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4F" w:rsidRDefault="00A47F4F" w:rsidP="002633BC">
      <w:pPr>
        <w:pStyle w:val="Heading1noTOC"/>
        <w:spacing w:after="0"/>
        <w:jc w:val="left"/>
        <w:rPr>
          <w:rFonts w:ascii="Times New Roman" w:hAnsi="Times New Roman"/>
          <w:sz w:val="48"/>
          <w:szCs w:val="22"/>
        </w:rPr>
      </w:pPr>
      <w:bookmarkStart w:id="0" w:name="_Toc463440694"/>
      <w:bookmarkStart w:id="1" w:name="_Toc464726268"/>
      <w:bookmarkStart w:id="2" w:name="_Toc464726550"/>
      <w:bookmarkStart w:id="3" w:name="_Toc464726604"/>
      <w:bookmarkStart w:id="4" w:name="_GoBack"/>
      <w:bookmarkEnd w:id="4"/>
      <w:r w:rsidRPr="00C94244">
        <w:rPr>
          <w:rFonts w:ascii="Times New Roman" w:hAnsi="Times New Roman"/>
          <w:sz w:val="48"/>
          <w:szCs w:val="22"/>
        </w:rPr>
        <w:t>Department of Education and Training</w:t>
      </w:r>
      <w:r w:rsidR="00C94244" w:rsidRPr="00C94244">
        <w:rPr>
          <w:rFonts w:ascii="Times New Roman" w:hAnsi="Times New Roman"/>
          <w:sz w:val="48"/>
          <w:szCs w:val="22"/>
        </w:rPr>
        <w:br/>
      </w:r>
      <w:r w:rsidRPr="00C94244">
        <w:rPr>
          <w:rFonts w:ascii="Times New Roman" w:hAnsi="Times New Roman"/>
          <w:sz w:val="48"/>
          <w:szCs w:val="22"/>
        </w:rPr>
        <w:t>Financial Statements 2015–16</w:t>
      </w:r>
      <w:bookmarkEnd w:id="0"/>
      <w:bookmarkEnd w:id="1"/>
      <w:bookmarkEnd w:id="2"/>
      <w:bookmarkEnd w:id="3"/>
    </w:p>
    <w:p w:rsidR="00E011FB" w:rsidRPr="00E011FB" w:rsidRDefault="00E011FB">
      <w:pPr>
        <w:pStyle w:val="TOC1"/>
        <w:tabs>
          <w:tab w:val="right" w:pos="9628"/>
        </w:tabs>
        <w:rPr>
          <w:rFonts w:eastAsiaTheme="minorEastAsia" w:cstheme="minorBidi"/>
          <w:b w:val="0"/>
          <w:bCs w:val="0"/>
          <w:noProof/>
          <w:sz w:val="22"/>
          <w:szCs w:val="22"/>
          <w:lang w:eastAsia="en-AU"/>
        </w:rPr>
      </w:pPr>
      <w:r>
        <w:fldChar w:fldCharType="begin"/>
      </w:r>
      <w:r>
        <w:instrText xml:space="preserve"> TOC \o "1-1" \u </w:instrText>
      </w:r>
      <w:r>
        <w:fldChar w:fldCharType="separate"/>
      </w:r>
      <w:r w:rsidRPr="00E011FB">
        <w:rPr>
          <w:rFonts w:ascii="Times New Roman" w:hAnsi="Times New Roman"/>
          <w:b w:val="0"/>
          <w:noProof/>
        </w:rPr>
        <w:t>Department of Education and Training Financial Statements 2015–16</w:t>
      </w:r>
      <w:r w:rsidRPr="00E011FB">
        <w:rPr>
          <w:b w:val="0"/>
          <w:noProof/>
        </w:rPr>
        <w:tab/>
      </w:r>
      <w:r w:rsidRPr="00E011FB">
        <w:rPr>
          <w:b w:val="0"/>
          <w:noProof/>
        </w:rPr>
        <w:fldChar w:fldCharType="begin"/>
      </w:r>
      <w:r w:rsidRPr="00E011FB">
        <w:rPr>
          <w:b w:val="0"/>
          <w:noProof/>
        </w:rPr>
        <w:instrText xml:space="preserve"> PAGEREF _Toc464726268 \h </w:instrText>
      </w:r>
      <w:r w:rsidRPr="00E011FB">
        <w:rPr>
          <w:b w:val="0"/>
          <w:noProof/>
        </w:rPr>
      </w:r>
      <w:r w:rsidRPr="00E011FB">
        <w:rPr>
          <w:b w:val="0"/>
          <w:noProof/>
        </w:rPr>
        <w:fldChar w:fldCharType="separate"/>
      </w:r>
      <w:r w:rsidRPr="00E011FB">
        <w:rPr>
          <w:b w:val="0"/>
          <w:noProof/>
        </w:rPr>
        <w:t>1</w:t>
      </w:r>
      <w:r w:rsidRPr="00E011FB">
        <w:rPr>
          <w:b w:val="0"/>
          <w:noProof/>
        </w:rPr>
        <w:fldChar w:fldCharType="end"/>
      </w:r>
    </w:p>
    <w:p w:rsidR="00E011FB" w:rsidRPr="00E011FB" w:rsidRDefault="00E011FB">
      <w:pPr>
        <w:pStyle w:val="TOC1"/>
        <w:tabs>
          <w:tab w:val="right" w:pos="9628"/>
        </w:tabs>
        <w:rPr>
          <w:rFonts w:eastAsiaTheme="minorEastAsia" w:cstheme="minorBidi"/>
          <w:b w:val="0"/>
          <w:bCs w:val="0"/>
          <w:noProof/>
          <w:sz w:val="22"/>
          <w:szCs w:val="22"/>
          <w:lang w:eastAsia="en-AU"/>
        </w:rPr>
      </w:pPr>
      <w:r w:rsidRPr="00E011FB">
        <w:rPr>
          <w:rFonts w:ascii="Times New Roman" w:hAnsi="Times New Roman"/>
          <w:b w:val="0"/>
          <w:noProof/>
        </w:rPr>
        <w:t>INDEPENDENT AUDITOR'S REPORT</w:t>
      </w:r>
      <w:r w:rsidRPr="00E011FB">
        <w:rPr>
          <w:b w:val="0"/>
          <w:noProof/>
        </w:rPr>
        <w:tab/>
      </w:r>
      <w:r w:rsidRPr="00E011FB">
        <w:rPr>
          <w:b w:val="0"/>
          <w:noProof/>
        </w:rPr>
        <w:fldChar w:fldCharType="begin"/>
      </w:r>
      <w:r w:rsidRPr="00E011FB">
        <w:rPr>
          <w:b w:val="0"/>
          <w:noProof/>
        </w:rPr>
        <w:instrText xml:space="preserve"> PAGEREF _Toc464726269 \h </w:instrText>
      </w:r>
      <w:r w:rsidRPr="00E011FB">
        <w:rPr>
          <w:b w:val="0"/>
          <w:noProof/>
        </w:rPr>
      </w:r>
      <w:r w:rsidRPr="00E011FB">
        <w:rPr>
          <w:b w:val="0"/>
          <w:noProof/>
        </w:rPr>
        <w:fldChar w:fldCharType="separate"/>
      </w:r>
      <w:r w:rsidRPr="00E011FB">
        <w:rPr>
          <w:b w:val="0"/>
          <w:noProof/>
        </w:rPr>
        <w:t>3</w:t>
      </w:r>
      <w:r w:rsidRPr="00E011FB">
        <w:rPr>
          <w:b w:val="0"/>
          <w:noProof/>
        </w:rPr>
        <w:fldChar w:fldCharType="end"/>
      </w:r>
    </w:p>
    <w:p w:rsidR="00E011FB" w:rsidRPr="00E011FB" w:rsidRDefault="00E011FB">
      <w:pPr>
        <w:pStyle w:val="TOC1"/>
        <w:tabs>
          <w:tab w:val="right" w:pos="9628"/>
        </w:tabs>
        <w:rPr>
          <w:rFonts w:eastAsiaTheme="minorEastAsia" w:cstheme="minorBidi"/>
          <w:b w:val="0"/>
          <w:bCs w:val="0"/>
          <w:noProof/>
          <w:sz w:val="22"/>
          <w:szCs w:val="22"/>
          <w:lang w:eastAsia="en-AU"/>
        </w:rPr>
      </w:pPr>
      <w:r w:rsidRPr="00E011FB">
        <w:rPr>
          <w:b w:val="0"/>
          <w:noProof/>
        </w:rPr>
        <w:t>STATEMENT BY THE ACCOUNTABLE AUTHORITY AND CHIEF FINANCE OFFICER</w:t>
      </w:r>
      <w:r w:rsidRPr="00E011FB">
        <w:rPr>
          <w:b w:val="0"/>
          <w:noProof/>
        </w:rPr>
        <w:tab/>
      </w:r>
      <w:r w:rsidRPr="00E011FB">
        <w:rPr>
          <w:b w:val="0"/>
          <w:noProof/>
        </w:rPr>
        <w:fldChar w:fldCharType="begin"/>
      </w:r>
      <w:r w:rsidRPr="00E011FB">
        <w:rPr>
          <w:b w:val="0"/>
          <w:noProof/>
        </w:rPr>
        <w:instrText xml:space="preserve"> PAGEREF _Toc464726270 \h </w:instrText>
      </w:r>
      <w:r w:rsidRPr="00E011FB">
        <w:rPr>
          <w:b w:val="0"/>
          <w:noProof/>
        </w:rPr>
      </w:r>
      <w:r w:rsidRPr="00E011FB">
        <w:rPr>
          <w:b w:val="0"/>
          <w:noProof/>
        </w:rPr>
        <w:fldChar w:fldCharType="separate"/>
      </w:r>
      <w:r w:rsidRPr="00E011FB">
        <w:rPr>
          <w:b w:val="0"/>
          <w:noProof/>
        </w:rPr>
        <w:t>5</w:t>
      </w:r>
      <w:r w:rsidRPr="00E011FB">
        <w:rPr>
          <w:b w:val="0"/>
          <w:noProof/>
        </w:rPr>
        <w:fldChar w:fldCharType="end"/>
      </w:r>
    </w:p>
    <w:p w:rsidR="00E011FB" w:rsidRPr="00E011FB" w:rsidRDefault="00E011FB">
      <w:pPr>
        <w:pStyle w:val="TOC1"/>
        <w:tabs>
          <w:tab w:val="right" w:pos="9628"/>
        </w:tabs>
        <w:rPr>
          <w:rFonts w:eastAsiaTheme="minorEastAsia" w:cstheme="minorBidi"/>
          <w:b w:val="0"/>
          <w:bCs w:val="0"/>
          <w:noProof/>
          <w:sz w:val="22"/>
          <w:szCs w:val="22"/>
          <w:lang w:eastAsia="en-AU"/>
        </w:rPr>
      </w:pPr>
      <w:r w:rsidRPr="00E011FB">
        <w:rPr>
          <w:b w:val="0"/>
          <w:noProof/>
        </w:rPr>
        <w:t>Overview</w:t>
      </w:r>
      <w:r w:rsidRPr="00E011FB">
        <w:rPr>
          <w:b w:val="0"/>
          <w:noProof/>
        </w:rPr>
        <w:tab/>
      </w:r>
      <w:r w:rsidRPr="00E011FB">
        <w:rPr>
          <w:b w:val="0"/>
          <w:noProof/>
        </w:rPr>
        <w:fldChar w:fldCharType="begin"/>
      </w:r>
      <w:r w:rsidRPr="00E011FB">
        <w:rPr>
          <w:b w:val="0"/>
          <w:noProof/>
        </w:rPr>
        <w:instrText xml:space="preserve"> PAGEREF _Toc464726282 \h </w:instrText>
      </w:r>
      <w:r w:rsidRPr="00E011FB">
        <w:rPr>
          <w:b w:val="0"/>
          <w:noProof/>
        </w:rPr>
      </w:r>
      <w:r w:rsidRPr="00E011FB">
        <w:rPr>
          <w:b w:val="0"/>
          <w:noProof/>
        </w:rPr>
        <w:fldChar w:fldCharType="separate"/>
      </w:r>
      <w:r w:rsidRPr="00E011FB">
        <w:rPr>
          <w:b w:val="0"/>
          <w:noProof/>
        </w:rPr>
        <w:t>18</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1.</w:t>
      </w:r>
      <w:r w:rsidRPr="00E011FB">
        <w:rPr>
          <w:rFonts w:eastAsiaTheme="minorEastAsia" w:cstheme="minorBidi"/>
          <w:b w:val="0"/>
          <w:bCs w:val="0"/>
          <w:noProof/>
          <w:sz w:val="22"/>
          <w:szCs w:val="22"/>
          <w:lang w:eastAsia="en-AU"/>
        </w:rPr>
        <w:tab/>
      </w:r>
      <w:r w:rsidRPr="00E011FB">
        <w:rPr>
          <w:b w:val="0"/>
          <w:noProof/>
        </w:rPr>
        <w:t>Financial Performance</w:t>
      </w:r>
      <w:r w:rsidRPr="00E011FB">
        <w:rPr>
          <w:b w:val="0"/>
          <w:noProof/>
        </w:rPr>
        <w:tab/>
      </w:r>
      <w:r w:rsidRPr="00E011FB">
        <w:rPr>
          <w:b w:val="0"/>
          <w:noProof/>
        </w:rPr>
        <w:fldChar w:fldCharType="begin"/>
      </w:r>
      <w:r w:rsidRPr="00E011FB">
        <w:rPr>
          <w:b w:val="0"/>
          <w:noProof/>
        </w:rPr>
        <w:instrText xml:space="preserve"> PAGEREF _Toc464726283 \h </w:instrText>
      </w:r>
      <w:r w:rsidRPr="00E011FB">
        <w:rPr>
          <w:b w:val="0"/>
          <w:noProof/>
        </w:rPr>
      </w:r>
      <w:r w:rsidRPr="00E011FB">
        <w:rPr>
          <w:b w:val="0"/>
          <w:noProof/>
        </w:rPr>
        <w:fldChar w:fldCharType="separate"/>
      </w:r>
      <w:r w:rsidRPr="00E011FB">
        <w:rPr>
          <w:b w:val="0"/>
          <w:noProof/>
        </w:rPr>
        <w:t>21</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2.</w:t>
      </w:r>
      <w:r w:rsidRPr="00E011FB">
        <w:rPr>
          <w:rFonts w:eastAsiaTheme="minorEastAsia" w:cstheme="minorBidi"/>
          <w:b w:val="0"/>
          <w:bCs w:val="0"/>
          <w:noProof/>
          <w:sz w:val="22"/>
          <w:szCs w:val="22"/>
          <w:lang w:eastAsia="en-AU"/>
        </w:rPr>
        <w:tab/>
      </w:r>
      <w:r w:rsidRPr="00E011FB">
        <w:rPr>
          <w:b w:val="0"/>
          <w:noProof/>
        </w:rPr>
        <w:t>Income and Expenses Administered on Behalf of Government</w:t>
      </w:r>
      <w:r w:rsidRPr="00E011FB">
        <w:rPr>
          <w:b w:val="0"/>
          <w:noProof/>
        </w:rPr>
        <w:tab/>
      </w:r>
      <w:r w:rsidRPr="00E011FB">
        <w:rPr>
          <w:b w:val="0"/>
          <w:noProof/>
        </w:rPr>
        <w:fldChar w:fldCharType="begin"/>
      </w:r>
      <w:r w:rsidRPr="00E011FB">
        <w:rPr>
          <w:b w:val="0"/>
          <w:noProof/>
        </w:rPr>
        <w:instrText xml:space="preserve"> PAGEREF _Toc464726284 \h </w:instrText>
      </w:r>
      <w:r w:rsidRPr="00E011FB">
        <w:rPr>
          <w:b w:val="0"/>
          <w:noProof/>
        </w:rPr>
      </w:r>
      <w:r w:rsidRPr="00E011FB">
        <w:rPr>
          <w:b w:val="0"/>
          <w:noProof/>
        </w:rPr>
        <w:fldChar w:fldCharType="separate"/>
      </w:r>
      <w:r w:rsidRPr="00E011FB">
        <w:rPr>
          <w:b w:val="0"/>
          <w:noProof/>
        </w:rPr>
        <w:t>26</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3.</w:t>
      </w:r>
      <w:r w:rsidRPr="00E011FB">
        <w:rPr>
          <w:rFonts w:eastAsiaTheme="minorEastAsia" w:cstheme="minorBidi"/>
          <w:b w:val="0"/>
          <w:bCs w:val="0"/>
          <w:noProof/>
          <w:sz w:val="22"/>
          <w:szCs w:val="22"/>
          <w:lang w:eastAsia="en-AU"/>
        </w:rPr>
        <w:tab/>
      </w:r>
      <w:r w:rsidRPr="00E011FB">
        <w:rPr>
          <w:b w:val="0"/>
          <w:noProof/>
        </w:rPr>
        <w:t>Departmental Financial Position</w:t>
      </w:r>
      <w:r w:rsidRPr="00E011FB">
        <w:rPr>
          <w:b w:val="0"/>
          <w:noProof/>
        </w:rPr>
        <w:tab/>
      </w:r>
      <w:r w:rsidRPr="00E011FB">
        <w:rPr>
          <w:b w:val="0"/>
          <w:noProof/>
        </w:rPr>
        <w:fldChar w:fldCharType="begin"/>
      </w:r>
      <w:r w:rsidRPr="00E011FB">
        <w:rPr>
          <w:b w:val="0"/>
          <w:noProof/>
        </w:rPr>
        <w:instrText xml:space="preserve"> PAGEREF _Toc464726285 \h </w:instrText>
      </w:r>
      <w:r w:rsidRPr="00E011FB">
        <w:rPr>
          <w:b w:val="0"/>
          <w:noProof/>
        </w:rPr>
      </w:r>
      <w:r w:rsidRPr="00E011FB">
        <w:rPr>
          <w:b w:val="0"/>
          <w:noProof/>
        </w:rPr>
        <w:fldChar w:fldCharType="separate"/>
      </w:r>
      <w:r w:rsidRPr="00E011FB">
        <w:rPr>
          <w:b w:val="0"/>
          <w:noProof/>
        </w:rPr>
        <w:t>30</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4.</w:t>
      </w:r>
      <w:r w:rsidRPr="00E011FB">
        <w:rPr>
          <w:rFonts w:eastAsiaTheme="minorEastAsia" w:cstheme="minorBidi"/>
          <w:b w:val="0"/>
          <w:bCs w:val="0"/>
          <w:noProof/>
          <w:sz w:val="22"/>
          <w:szCs w:val="22"/>
          <w:lang w:eastAsia="en-AU"/>
        </w:rPr>
        <w:tab/>
      </w:r>
      <w:r w:rsidRPr="00E011FB">
        <w:rPr>
          <w:b w:val="0"/>
          <w:noProof/>
        </w:rPr>
        <w:t>Assets and Liabilities Administered on Behalf of Government</w:t>
      </w:r>
      <w:r w:rsidRPr="00E011FB">
        <w:rPr>
          <w:b w:val="0"/>
          <w:noProof/>
        </w:rPr>
        <w:tab/>
      </w:r>
      <w:r w:rsidRPr="00E011FB">
        <w:rPr>
          <w:b w:val="0"/>
          <w:noProof/>
        </w:rPr>
        <w:fldChar w:fldCharType="begin"/>
      </w:r>
      <w:r w:rsidRPr="00E011FB">
        <w:rPr>
          <w:b w:val="0"/>
          <w:noProof/>
        </w:rPr>
        <w:instrText xml:space="preserve"> PAGEREF _Toc464726286 \h </w:instrText>
      </w:r>
      <w:r w:rsidRPr="00E011FB">
        <w:rPr>
          <w:b w:val="0"/>
          <w:noProof/>
        </w:rPr>
      </w:r>
      <w:r w:rsidRPr="00E011FB">
        <w:rPr>
          <w:b w:val="0"/>
          <w:noProof/>
        </w:rPr>
        <w:fldChar w:fldCharType="separate"/>
      </w:r>
      <w:r w:rsidRPr="00E011FB">
        <w:rPr>
          <w:b w:val="0"/>
          <w:noProof/>
        </w:rPr>
        <w:t>39</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5.</w:t>
      </w:r>
      <w:r w:rsidRPr="00E011FB">
        <w:rPr>
          <w:rFonts w:eastAsiaTheme="minorEastAsia" w:cstheme="minorBidi"/>
          <w:b w:val="0"/>
          <w:bCs w:val="0"/>
          <w:noProof/>
          <w:sz w:val="22"/>
          <w:szCs w:val="22"/>
          <w:lang w:eastAsia="en-AU"/>
        </w:rPr>
        <w:tab/>
      </w:r>
      <w:r w:rsidRPr="00E011FB">
        <w:rPr>
          <w:b w:val="0"/>
          <w:noProof/>
        </w:rPr>
        <w:t>Funding</w:t>
      </w:r>
      <w:r w:rsidRPr="00E011FB">
        <w:rPr>
          <w:b w:val="0"/>
          <w:noProof/>
        </w:rPr>
        <w:tab/>
      </w:r>
      <w:r w:rsidRPr="00E011FB">
        <w:rPr>
          <w:b w:val="0"/>
          <w:noProof/>
        </w:rPr>
        <w:fldChar w:fldCharType="begin"/>
      </w:r>
      <w:r w:rsidRPr="00E011FB">
        <w:rPr>
          <w:b w:val="0"/>
          <w:noProof/>
        </w:rPr>
        <w:instrText xml:space="preserve"> PAGEREF _Toc464726287 \h </w:instrText>
      </w:r>
      <w:r w:rsidRPr="00E011FB">
        <w:rPr>
          <w:b w:val="0"/>
          <w:noProof/>
        </w:rPr>
      </w:r>
      <w:r w:rsidRPr="00E011FB">
        <w:rPr>
          <w:b w:val="0"/>
          <w:noProof/>
        </w:rPr>
        <w:fldChar w:fldCharType="separate"/>
      </w:r>
      <w:r w:rsidRPr="00E011FB">
        <w:rPr>
          <w:b w:val="0"/>
          <w:noProof/>
        </w:rPr>
        <w:t>47</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lang w:eastAsia="en-AU"/>
        </w:rPr>
        <w:t>6.</w:t>
      </w:r>
      <w:r w:rsidRPr="00E011FB">
        <w:rPr>
          <w:rFonts w:eastAsiaTheme="minorEastAsia" w:cstheme="minorBidi"/>
          <w:b w:val="0"/>
          <w:bCs w:val="0"/>
          <w:noProof/>
          <w:sz w:val="22"/>
          <w:szCs w:val="22"/>
          <w:lang w:eastAsia="en-AU"/>
        </w:rPr>
        <w:tab/>
      </w:r>
      <w:r w:rsidRPr="00E011FB">
        <w:rPr>
          <w:b w:val="0"/>
          <w:noProof/>
          <w:lang w:eastAsia="en-AU"/>
        </w:rPr>
        <w:t>People and Relationships</w:t>
      </w:r>
      <w:r w:rsidRPr="00E011FB">
        <w:rPr>
          <w:b w:val="0"/>
          <w:noProof/>
        </w:rPr>
        <w:tab/>
      </w:r>
      <w:r w:rsidRPr="00E011FB">
        <w:rPr>
          <w:b w:val="0"/>
          <w:noProof/>
        </w:rPr>
        <w:fldChar w:fldCharType="begin"/>
      </w:r>
      <w:r w:rsidRPr="00E011FB">
        <w:rPr>
          <w:b w:val="0"/>
          <w:noProof/>
        </w:rPr>
        <w:instrText xml:space="preserve"> PAGEREF _Toc464726288 \h </w:instrText>
      </w:r>
      <w:r w:rsidRPr="00E011FB">
        <w:rPr>
          <w:b w:val="0"/>
          <w:noProof/>
        </w:rPr>
      </w:r>
      <w:r w:rsidRPr="00E011FB">
        <w:rPr>
          <w:b w:val="0"/>
          <w:noProof/>
        </w:rPr>
        <w:fldChar w:fldCharType="separate"/>
      </w:r>
      <w:r w:rsidRPr="00E011FB">
        <w:rPr>
          <w:b w:val="0"/>
          <w:noProof/>
        </w:rPr>
        <w:t>60</w:t>
      </w:r>
      <w:r w:rsidRPr="00E011FB">
        <w:rPr>
          <w:b w:val="0"/>
          <w:noProof/>
        </w:rPr>
        <w:fldChar w:fldCharType="end"/>
      </w:r>
    </w:p>
    <w:p w:rsidR="00E011FB" w:rsidRP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lang w:eastAsia="en-AU"/>
        </w:rPr>
        <w:t>7.</w:t>
      </w:r>
      <w:r w:rsidRPr="00E011FB">
        <w:rPr>
          <w:rFonts w:eastAsiaTheme="minorEastAsia" w:cstheme="minorBidi"/>
          <w:b w:val="0"/>
          <w:bCs w:val="0"/>
          <w:noProof/>
          <w:sz w:val="22"/>
          <w:szCs w:val="22"/>
          <w:lang w:eastAsia="en-AU"/>
        </w:rPr>
        <w:tab/>
      </w:r>
      <w:r w:rsidRPr="00E011FB">
        <w:rPr>
          <w:b w:val="0"/>
          <w:noProof/>
          <w:lang w:eastAsia="en-AU"/>
        </w:rPr>
        <w:t>Managing Uncertainties</w:t>
      </w:r>
      <w:r w:rsidRPr="00E011FB">
        <w:rPr>
          <w:b w:val="0"/>
          <w:noProof/>
        </w:rPr>
        <w:tab/>
      </w:r>
      <w:r w:rsidRPr="00E011FB">
        <w:rPr>
          <w:b w:val="0"/>
          <w:noProof/>
        </w:rPr>
        <w:fldChar w:fldCharType="begin"/>
      </w:r>
      <w:r w:rsidRPr="00E011FB">
        <w:rPr>
          <w:b w:val="0"/>
          <w:noProof/>
        </w:rPr>
        <w:instrText xml:space="preserve"> PAGEREF _Toc464726289 \h </w:instrText>
      </w:r>
      <w:r w:rsidRPr="00E011FB">
        <w:rPr>
          <w:b w:val="0"/>
          <w:noProof/>
        </w:rPr>
      </w:r>
      <w:r w:rsidRPr="00E011FB">
        <w:rPr>
          <w:b w:val="0"/>
          <w:noProof/>
        </w:rPr>
        <w:fldChar w:fldCharType="separate"/>
      </w:r>
      <w:r w:rsidRPr="00E011FB">
        <w:rPr>
          <w:b w:val="0"/>
          <w:noProof/>
        </w:rPr>
        <w:t>62</w:t>
      </w:r>
      <w:r w:rsidRPr="00E011FB">
        <w:rPr>
          <w:b w:val="0"/>
          <w:noProof/>
        </w:rPr>
        <w:fldChar w:fldCharType="end"/>
      </w:r>
    </w:p>
    <w:p w:rsidR="00E011FB" w:rsidRDefault="00E011FB">
      <w:pPr>
        <w:pStyle w:val="TOC1"/>
        <w:tabs>
          <w:tab w:val="left" w:pos="540"/>
          <w:tab w:val="right" w:pos="9628"/>
        </w:tabs>
        <w:rPr>
          <w:rFonts w:eastAsiaTheme="minorEastAsia" w:cstheme="minorBidi"/>
          <w:b w:val="0"/>
          <w:bCs w:val="0"/>
          <w:noProof/>
          <w:sz w:val="22"/>
          <w:szCs w:val="22"/>
          <w:lang w:eastAsia="en-AU"/>
        </w:rPr>
      </w:pPr>
      <w:r w:rsidRPr="00E011FB">
        <w:rPr>
          <w:b w:val="0"/>
          <w:noProof/>
        </w:rPr>
        <w:t>8.</w:t>
      </w:r>
      <w:r w:rsidRPr="00E011FB">
        <w:rPr>
          <w:rFonts w:eastAsiaTheme="minorEastAsia" w:cstheme="minorBidi"/>
          <w:b w:val="0"/>
          <w:bCs w:val="0"/>
          <w:noProof/>
          <w:sz w:val="22"/>
          <w:szCs w:val="22"/>
          <w:lang w:eastAsia="en-AU"/>
        </w:rPr>
        <w:tab/>
      </w:r>
      <w:r w:rsidRPr="00E011FB">
        <w:rPr>
          <w:b w:val="0"/>
          <w:noProof/>
        </w:rPr>
        <w:t>Other Information</w:t>
      </w:r>
      <w:r>
        <w:rPr>
          <w:noProof/>
        </w:rPr>
        <w:tab/>
      </w:r>
      <w:r>
        <w:rPr>
          <w:noProof/>
        </w:rPr>
        <w:fldChar w:fldCharType="begin"/>
      </w:r>
      <w:r>
        <w:rPr>
          <w:noProof/>
        </w:rPr>
        <w:instrText xml:space="preserve"> PAGEREF _Toc464726290 \h </w:instrText>
      </w:r>
      <w:r>
        <w:rPr>
          <w:noProof/>
        </w:rPr>
      </w:r>
      <w:r>
        <w:rPr>
          <w:noProof/>
        </w:rPr>
        <w:fldChar w:fldCharType="separate"/>
      </w:r>
      <w:r>
        <w:rPr>
          <w:noProof/>
        </w:rPr>
        <w:t>72</w:t>
      </w:r>
      <w:r>
        <w:rPr>
          <w:noProof/>
        </w:rPr>
        <w:fldChar w:fldCharType="end"/>
      </w:r>
    </w:p>
    <w:p w:rsidR="00A47F4F" w:rsidRPr="00C94244" w:rsidRDefault="00E011FB" w:rsidP="00C94244">
      <w:r>
        <w:fldChar w:fldCharType="end"/>
      </w:r>
    </w:p>
    <w:p w:rsidR="00A47F4F" w:rsidRDefault="00A47F4F" w:rsidP="002633BC">
      <w:pPr>
        <w:pStyle w:val="Heading1noTOC"/>
        <w:spacing w:after="0"/>
        <w:jc w:val="left"/>
        <w:rPr>
          <w:rFonts w:ascii="Times New Roman" w:hAnsi="Times New Roman"/>
          <w:sz w:val="22"/>
          <w:szCs w:val="22"/>
        </w:rPr>
        <w:sectPr w:rsidR="00A47F4F" w:rsidSect="008468D3">
          <w:footerReference w:type="default" r:id="rId9"/>
          <w:pgSz w:w="11906" w:h="16838"/>
          <w:pgMar w:top="1134" w:right="1134" w:bottom="1134" w:left="1134" w:header="958" w:footer="737" w:gutter="0"/>
          <w:cols w:space="720"/>
          <w:titlePg/>
          <w:docGrid w:linePitch="245"/>
        </w:sectPr>
      </w:pPr>
    </w:p>
    <w:p w:rsidR="00E011FB" w:rsidRPr="00E011FB" w:rsidRDefault="00403CAE" w:rsidP="00E011FB">
      <w:bookmarkStart w:id="5" w:name="_Toc463440695"/>
      <w:r w:rsidRPr="00E011FB">
        <w:rPr>
          <w:noProof/>
          <w:lang w:eastAsia="en-AU"/>
        </w:rPr>
        <w:lastRenderedPageBreak/>
        <w:drawing>
          <wp:inline distT="0" distB="0" distL="0" distR="0" wp14:anchorId="4D56EAB5" wp14:editId="1A771239">
            <wp:extent cx="5731510" cy="1260475"/>
            <wp:effectExtent l="0" t="0" r="2540" b="0"/>
            <wp:docPr id="8" name="Picture 8" descr="Contains the Commonwealth Coat of Arms and the Australian National Audit Office logo." title="ANAO lett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60475"/>
                    </a:xfrm>
                    <a:prstGeom prst="rect">
                      <a:avLst/>
                    </a:prstGeom>
                    <a:noFill/>
                    <a:ln>
                      <a:noFill/>
                    </a:ln>
                  </pic:spPr>
                </pic:pic>
              </a:graphicData>
            </a:graphic>
          </wp:inline>
        </w:drawing>
      </w:r>
    </w:p>
    <w:p w:rsidR="008468D3" w:rsidRPr="002633BC" w:rsidRDefault="008468D3" w:rsidP="002633BC">
      <w:pPr>
        <w:pStyle w:val="Heading1noTOC"/>
        <w:spacing w:after="0"/>
        <w:jc w:val="left"/>
        <w:rPr>
          <w:rFonts w:ascii="Times New Roman" w:hAnsi="Times New Roman"/>
          <w:sz w:val="22"/>
          <w:szCs w:val="22"/>
        </w:rPr>
      </w:pPr>
      <w:bookmarkStart w:id="6" w:name="_Toc464726269"/>
      <w:bookmarkStart w:id="7" w:name="_Toc464726551"/>
      <w:bookmarkStart w:id="8" w:name="_Toc464726605"/>
      <w:r w:rsidRPr="002633BC">
        <w:rPr>
          <w:rFonts w:ascii="Times New Roman" w:hAnsi="Times New Roman"/>
          <w:sz w:val="22"/>
          <w:szCs w:val="22"/>
        </w:rPr>
        <w:t>INDEPENDENT AUDITOR'S REPORT</w:t>
      </w:r>
      <w:bookmarkEnd w:id="5"/>
      <w:bookmarkEnd w:id="6"/>
      <w:bookmarkEnd w:id="7"/>
      <w:bookmarkEnd w:id="8"/>
    </w:p>
    <w:p w:rsidR="008468D3" w:rsidRPr="002633BC" w:rsidRDefault="008468D3" w:rsidP="008468D3">
      <w:pPr>
        <w:autoSpaceDE w:val="0"/>
        <w:autoSpaceDN w:val="0"/>
        <w:adjustRightInd w:val="0"/>
        <w:rPr>
          <w:rFonts w:ascii="Times New Roman" w:hAnsi="Times New Roman"/>
          <w:b/>
          <w:bCs/>
          <w:sz w:val="22"/>
          <w:szCs w:val="22"/>
        </w:rPr>
      </w:pPr>
      <w:r w:rsidRPr="002633BC">
        <w:rPr>
          <w:rFonts w:ascii="Times New Roman" w:hAnsi="Times New Roman"/>
          <w:b/>
          <w:bCs/>
          <w:sz w:val="22"/>
          <w:szCs w:val="22"/>
        </w:rPr>
        <w:t>To the Minister for Education and Training</w:t>
      </w:r>
    </w:p>
    <w:p w:rsidR="008468D3" w:rsidRPr="002633BC" w:rsidRDefault="008468D3" w:rsidP="008468D3">
      <w:pPr>
        <w:autoSpaceDE w:val="0"/>
        <w:autoSpaceDN w:val="0"/>
        <w:adjustRightInd w:val="0"/>
        <w:rPr>
          <w:b/>
          <w:bCs/>
          <w:sz w:val="22"/>
          <w:szCs w:val="22"/>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I have audited the accompanying annual financial statements of the Department of Education and Training for the year ended 30 June 2016, which comprise:</w:t>
      </w:r>
    </w:p>
    <w:p w:rsidR="008468D3" w:rsidRPr="002633BC" w:rsidRDefault="008468D3" w:rsidP="008468D3">
      <w:pPr>
        <w:autoSpaceDE w:val="0"/>
        <w:autoSpaceDN w:val="0"/>
        <w:adjustRightInd w:val="0"/>
        <w:rPr>
          <w:sz w:val="23"/>
          <w:szCs w:val="23"/>
        </w:rPr>
      </w:pP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Statement by the Accountable Authority and Chief Finance Officer;</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Statement of Comprehensive Income;</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Statement of Financial Position;</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Statement of Changes in Equity;</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Statement of Cash Flows;</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Administered Schedule of Comprehensive Income;</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Administered Schedule of Assets and Liabilities;</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Administered Reconciliation Schedule;</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Administered Cash Flow Statement; and</w:t>
      </w:r>
    </w:p>
    <w:p w:rsidR="008468D3" w:rsidRPr="002633BC" w:rsidRDefault="008468D3" w:rsidP="008468D3">
      <w:pPr>
        <w:pStyle w:val="ListParagraph"/>
        <w:numPr>
          <w:ilvl w:val="0"/>
          <w:numId w:val="40"/>
        </w:numPr>
        <w:autoSpaceDE w:val="0"/>
        <w:autoSpaceDN w:val="0"/>
        <w:adjustRightInd w:val="0"/>
        <w:ind w:left="426"/>
        <w:rPr>
          <w:rFonts w:ascii="Times New Roman" w:hAnsi="Times New Roman"/>
          <w:sz w:val="23"/>
          <w:szCs w:val="23"/>
        </w:rPr>
      </w:pPr>
      <w:r w:rsidRPr="002633BC">
        <w:rPr>
          <w:rFonts w:ascii="Times New Roman" w:hAnsi="Times New Roman"/>
          <w:sz w:val="23"/>
          <w:szCs w:val="23"/>
        </w:rPr>
        <w:t>Notes to and Forming Part of the Financial Statements.</w:t>
      </w:r>
    </w:p>
    <w:p w:rsidR="008468D3" w:rsidRPr="002633BC" w:rsidRDefault="008468D3" w:rsidP="008468D3">
      <w:pPr>
        <w:autoSpaceDE w:val="0"/>
        <w:autoSpaceDN w:val="0"/>
        <w:adjustRightInd w:val="0"/>
        <w:rPr>
          <w:rFonts w:ascii="Times New Roman" w:hAnsi="Times New Roman"/>
          <w:b/>
          <w:bCs/>
          <w:i/>
          <w:iCs/>
          <w:sz w:val="23"/>
          <w:szCs w:val="23"/>
        </w:rPr>
      </w:pPr>
      <w:r w:rsidRPr="002633BC">
        <w:rPr>
          <w:rFonts w:ascii="Times New Roman" w:hAnsi="Times New Roman"/>
          <w:b/>
          <w:bCs/>
          <w:i/>
          <w:iCs/>
          <w:sz w:val="23"/>
          <w:szCs w:val="23"/>
        </w:rPr>
        <w:t>Opinion</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In my opinion, the financial statements of the Department of Education and Training:</w:t>
      </w:r>
    </w:p>
    <w:p w:rsidR="008468D3" w:rsidRPr="002633BC" w:rsidRDefault="008468D3" w:rsidP="008468D3">
      <w:pPr>
        <w:pStyle w:val="ListParagraph"/>
        <w:numPr>
          <w:ilvl w:val="0"/>
          <w:numId w:val="41"/>
        </w:numPr>
        <w:autoSpaceDE w:val="0"/>
        <w:autoSpaceDN w:val="0"/>
        <w:adjustRightInd w:val="0"/>
        <w:spacing w:before="120"/>
        <w:ind w:left="425" w:hanging="357"/>
        <w:jc w:val="both"/>
        <w:rPr>
          <w:rFonts w:ascii="Times New Roman" w:hAnsi="Times New Roman"/>
          <w:sz w:val="23"/>
          <w:szCs w:val="23"/>
        </w:rPr>
      </w:pPr>
      <w:r w:rsidRPr="002633BC">
        <w:rPr>
          <w:rFonts w:ascii="Times New Roman" w:hAnsi="Times New Roman"/>
          <w:sz w:val="23"/>
          <w:szCs w:val="23"/>
        </w:rPr>
        <w:t xml:space="preserve">comply with Australian Accounting Standards and the </w:t>
      </w:r>
      <w:r w:rsidRPr="002633BC">
        <w:rPr>
          <w:rFonts w:ascii="Times New Roman" w:hAnsi="Times New Roman"/>
          <w:i/>
          <w:iCs/>
          <w:sz w:val="23"/>
          <w:szCs w:val="23"/>
        </w:rPr>
        <w:t xml:space="preserve">Public Governance, Performance and Accountability (Financial Reporting) Rule 2015; </w:t>
      </w:r>
      <w:r w:rsidRPr="002633BC">
        <w:rPr>
          <w:rFonts w:ascii="Times New Roman" w:hAnsi="Times New Roman"/>
          <w:sz w:val="23"/>
          <w:szCs w:val="23"/>
        </w:rPr>
        <w:t>and</w:t>
      </w:r>
    </w:p>
    <w:p w:rsidR="008468D3" w:rsidRPr="002633BC" w:rsidRDefault="008468D3" w:rsidP="008468D3">
      <w:pPr>
        <w:pStyle w:val="ListParagraph"/>
        <w:numPr>
          <w:ilvl w:val="0"/>
          <w:numId w:val="41"/>
        </w:numPr>
        <w:autoSpaceDE w:val="0"/>
        <w:autoSpaceDN w:val="0"/>
        <w:adjustRightInd w:val="0"/>
        <w:ind w:left="426"/>
        <w:jc w:val="both"/>
        <w:rPr>
          <w:rFonts w:ascii="Times New Roman" w:hAnsi="Times New Roman"/>
          <w:sz w:val="23"/>
          <w:szCs w:val="23"/>
        </w:rPr>
      </w:pPr>
      <w:r w:rsidRPr="002633BC">
        <w:rPr>
          <w:rFonts w:ascii="Times New Roman" w:hAnsi="Times New Roman"/>
          <w:sz w:val="23"/>
          <w:szCs w:val="23"/>
        </w:rPr>
        <w:t>present fairly the financial position of the Department of Education and Training as at 30 June 2016 and its financial performance and cash flows for the year then ended.</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rPr>
          <w:rFonts w:ascii="Times New Roman" w:hAnsi="Times New Roman"/>
          <w:b/>
          <w:bCs/>
          <w:i/>
          <w:iCs/>
          <w:sz w:val="23"/>
          <w:szCs w:val="23"/>
        </w:rPr>
      </w:pPr>
      <w:r w:rsidRPr="002633BC">
        <w:rPr>
          <w:rFonts w:ascii="Times New Roman" w:hAnsi="Times New Roman"/>
          <w:b/>
          <w:bCs/>
          <w:i/>
          <w:iCs/>
          <w:sz w:val="23"/>
          <w:szCs w:val="23"/>
        </w:rPr>
        <w:t>Accountable Authority's Responsibility for the Financial Statements</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 xml:space="preserve">The Secretary of the Department of Education and Training is responsible under the </w:t>
      </w:r>
      <w:r w:rsidRPr="002633BC">
        <w:rPr>
          <w:rFonts w:ascii="Times New Roman" w:hAnsi="Times New Roman"/>
          <w:i/>
          <w:sz w:val="23"/>
          <w:szCs w:val="23"/>
        </w:rPr>
        <w:t>Public Governance, Performance and Accountability Act 2013</w:t>
      </w:r>
      <w:r w:rsidRPr="002633BC">
        <w:rPr>
          <w:rFonts w:ascii="Times New Roman" w:hAnsi="Times New Roman"/>
          <w:sz w:val="23"/>
          <w:szCs w:val="23"/>
        </w:rPr>
        <w:t xml:space="preserve"> for the preparation and fair presentation of annual financial statements that comply with Australian Accounting Standards and the rules made under that Act. The Secretary is also responsible for such internal control as is necessary to enable the preparation and fair presentation of financial statements that are free from material misstatement, whether due to fraud or error.</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rPr>
          <w:rFonts w:ascii="Times New Roman" w:hAnsi="Times New Roman"/>
          <w:b/>
          <w:bCs/>
          <w:i/>
          <w:iCs/>
          <w:sz w:val="23"/>
          <w:szCs w:val="23"/>
        </w:rPr>
      </w:pPr>
      <w:r w:rsidRPr="002633BC">
        <w:rPr>
          <w:rFonts w:ascii="Times New Roman" w:hAnsi="Times New Roman"/>
          <w:b/>
          <w:bCs/>
          <w:i/>
          <w:iCs/>
          <w:sz w:val="23"/>
          <w:szCs w:val="23"/>
        </w:rPr>
        <w:t>Auditor's Responsibility</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My responsibility is to express an opinion on the financial statements based on my audit. I have conducted my audit in accordance with the Australian National Audit Office Auditing Standards, which incorporate the Australian Auditing Standards. These auditing standards require that I comply with relevant ethical requirements relating to audit engagements and plan and perform the audit to obtain reasonable assurance about whether the financial statements are free from material misstatement.</w:t>
      </w:r>
    </w:p>
    <w:p w:rsidR="008468D3" w:rsidRPr="002633BC" w:rsidRDefault="008468D3" w:rsidP="008468D3">
      <w:pPr>
        <w:autoSpaceDE w:val="0"/>
        <w:autoSpaceDN w:val="0"/>
        <w:adjustRightInd w:val="0"/>
        <w:rPr>
          <w:sz w:val="23"/>
          <w:szCs w:val="23"/>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lastRenderedPageBreak/>
        <w:t>An audit involves performing procedures to obtain audit evidence about the amounts and disclosures in the financial statements. The procedures selected depend on the auditor's judgement,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Secretary, as well as evaluating the overall presentation of the financial statements.</w:t>
      </w:r>
    </w:p>
    <w:p w:rsidR="008468D3" w:rsidRPr="002633BC" w:rsidRDefault="008468D3" w:rsidP="008468D3">
      <w:pPr>
        <w:autoSpaceDE w:val="0"/>
        <w:autoSpaceDN w:val="0"/>
        <w:adjustRightInd w:val="0"/>
        <w:jc w:val="both"/>
        <w:rPr>
          <w:rFonts w:ascii="Times New Roman" w:hAnsi="Times New Roman"/>
          <w:sz w:val="23"/>
          <w:szCs w:val="23"/>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I believe that the audit evidence I have obtained is sufficient and appropriate to provide a basis for my audit opinion.</w:t>
      </w:r>
    </w:p>
    <w:p w:rsidR="008468D3" w:rsidRPr="002633BC" w:rsidRDefault="008468D3" w:rsidP="008468D3">
      <w:pPr>
        <w:autoSpaceDE w:val="0"/>
        <w:autoSpaceDN w:val="0"/>
        <w:adjustRightInd w:val="0"/>
        <w:jc w:val="both"/>
        <w:rPr>
          <w:rFonts w:ascii="Times New Roman" w:hAnsi="Times New Roman"/>
          <w:sz w:val="23"/>
          <w:szCs w:val="23"/>
        </w:rPr>
      </w:pPr>
    </w:p>
    <w:p w:rsidR="008468D3" w:rsidRPr="002633BC" w:rsidRDefault="008468D3" w:rsidP="008468D3">
      <w:pPr>
        <w:autoSpaceDE w:val="0"/>
        <w:autoSpaceDN w:val="0"/>
        <w:adjustRightInd w:val="0"/>
        <w:rPr>
          <w:rFonts w:ascii="Times New Roman" w:hAnsi="Times New Roman"/>
          <w:b/>
          <w:bCs/>
          <w:i/>
          <w:iCs/>
          <w:sz w:val="23"/>
          <w:szCs w:val="23"/>
        </w:rPr>
      </w:pPr>
      <w:r w:rsidRPr="002633BC">
        <w:rPr>
          <w:rFonts w:ascii="Times New Roman" w:hAnsi="Times New Roman"/>
          <w:b/>
          <w:bCs/>
          <w:i/>
          <w:iCs/>
          <w:sz w:val="23"/>
          <w:szCs w:val="23"/>
        </w:rPr>
        <w:t>Independence</w:t>
      </w:r>
    </w:p>
    <w:p w:rsidR="008468D3" w:rsidRPr="002633BC" w:rsidRDefault="008468D3" w:rsidP="008468D3">
      <w:pPr>
        <w:autoSpaceDE w:val="0"/>
        <w:autoSpaceDN w:val="0"/>
        <w:adjustRightInd w:val="0"/>
        <w:rPr>
          <w:b/>
          <w:bCs/>
          <w:i/>
          <w:iCs/>
          <w:sz w:val="22"/>
          <w:szCs w:val="22"/>
        </w:rPr>
      </w:pP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In conducting my audit, I have followed the independence requirements of the Australian National Audit Office, which incorporate the requirements of the Australian accounting profession.</w:t>
      </w:r>
    </w:p>
    <w:p w:rsidR="008468D3" w:rsidRPr="002633BC" w:rsidRDefault="008468D3" w:rsidP="008468D3">
      <w:pPr>
        <w:autoSpaceDE w:val="0"/>
        <w:autoSpaceDN w:val="0"/>
        <w:adjustRightInd w:val="0"/>
        <w:jc w:val="both"/>
        <w:rPr>
          <w:rFonts w:ascii="Times New Roman" w:hAnsi="Times New Roman"/>
          <w:sz w:val="23"/>
          <w:szCs w:val="23"/>
        </w:rPr>
      </w:pPr>
    </w:p>
    <w:p w:rsidR="008468D3" w:rsidRPr="002633BC" w:rsidRDefault="008468D3" w:rsidP="008468D3">
      <w:pPr>
        <w:autoSpaceDE w:val="0"/>
        <w:autoSpaceDN w:val="0"/>
        <w:adjustRightInd w:val="0"/>
        <w:jc w:val="both"/>
        <w:rPr>
          <w:rFonts w:ascii="Times New Roman" w:hAnsi="Times New Roman"/>
          <w:sz w:val="23"/>
          <w:szCs w:val="23"/>
        </w:rPr>
      </w:pPr>
    </w:p>
    <w:p w:rsidR="008468D3" w:rsidRPr="002633BC" w:rsidRDefault="002633BC" w:rsidP="002633BC">
      <w:pPr>
        <w:autoSpaceDE w:val="0"/>
        <w:autoSpaceDN w:val="0"/>
        <w:adjustRightInd w:val="0"/>
        <w:spacing w:after="1920"/>
        <w:jc w:val="both"/>
        <w:rPr>
          <w:rFonts w:ascii="Times New Roman" w:hAnsi="Times New Roman"/>
          <w:sz w:val="23"/>
          <w:szCs w:val="23"/>
        </w:rPr>
      </w:pPr>
      <w:r w:rsidRPr="002633BC">
        <w:rPr>
          <w:noProof/>
          <w:sz w:val="23"/>
          <w:szCs w:val="23"/>
          <w:lang w:eastAsia="en-AU"/>
        </w:rPr>
        <w:drawing>
          <wp:anchor distT="0" distB="0" distL="114300" distR="114300" simplePos="0" relativeHeight="251662336" behindDoc="1" locked="0" layoutInCell="1" allowOverlap="1" wp14:anchorId="6502E0D5" wp14:editId="3A783A33">
            <wp:simplePos x="0" y="0"/>
            <wp:positionH relativeFrom="column">
              <wp:posOffset>-228600</wp:posOffset>
            </wp:positionH>
            <wp:positionV relativeFrom="paragraph">
              <wp:posOffset>361986</wp:posOffset>
            </wp:positionV>
            <wp:extent cx="2000250" cy="1229360"/>
            <wp:effectExtent l="0" t="0" r="0" b="8890"/>
            <wp:wrapNone/>
            <wp:docPr id="2" name="Picture 2" descr="John Jones Singnatur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Jones si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50" cy="1229360"/>
                    </a:xfrm>
                    <a:prstGeom prst="rect">
                      <a:avLst/>
                    </a:prstGeom>
                  </pic:spPr>
                </pic:pic>
              </a:graphicData>
            </a:graphic>
            <wp14:sizeRelH relativeFrom="page">
              <wp14:pctWidth>0</wp14:pctWidth>
            </wp14:sizeRelH>
            <wp14:sizeRelV relativeFrom="page">
              <wp14:pctHeight>0</wp14:pctHeight>
            </wp14:sizeRelV>
          </wp:anchor>
        </w:drawing>
      </w:r>
      <w:r w:rsidR="008468D3" w:rsidRPr="002633BC">
        <w:rPr>
          <w:rFonts w:ascii="Times New Roman" w:hAnsi="Times New Roman"/>
          <w:sz w:val="23"/>
          <w:szCs w:val="23"/>
        </w:rPr>
        <w:t>Australian National Audit Office</w:t>
      </w: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John Jones</w:t>
      </w: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Executive Director</w:t>
      </w: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Delegate of the Auditor-General</w:t>
      </w: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Canberra</w:t>
      </w:r>
    </w:p>
    <w:p w:rsidR="008468D3" w:rsidRPr="002633BC" w:rsidRDefault="008468D3" w:rsidP="008468D3">
      <w:pPr>
        <w:autoSpaceDE w:val="0"/>
        <w:autoSpaceDN w:val="0"/>
        <w:adjustRightInd w:val="0"/>
        <w:jc w:val="both"/>
        <w:rPr>
          <w:rFonts w:ascii="Times New Roman" w:hAnsi="Times New Roman"/>
          <w:sz w:val="23"/>
          <w:szCs w:val="23"/>
        </w:rPr>
      </w:pPr>
      <w:r w:rsidRPr="002633BC">
        <w:rPr>
          <w:rFonts w:ascii="Times New Roman" w:hAnsi="Times New Roman"/>
          <w:sz w:val="23"/>
          <w:szCs w:val="23"/>
        </w:rPr>
        <w:t>21 September 2016</w:t>
      </w:r>
    </w:p>
    <w:p w:rsidR="008468D3" w:rsidRPr="002633BC" w:rsidRDefault="008468D3" w:rsidP="008468D3">
      <w:pPr>
        <w:autoSpaceDE w:val="0"/>
        <w:autoSpaceDN w:val="0"/>
        <w:adjustRightInd w:val="0"/>
        <w:jc w:val="both"/>
        <w:rPr>
          <w:rFonts w:ascii="Times New Roman" w:hAnsi="Times New Roman"/>
          <w:sz w:val="23"/>
          <w:szCs w:val="23"/>
        </w:rPr>
      </w:pPr>
    </w:p>
    <w:p w:rsidR="003E6989" w:rsidRDefault="003E6989" w:rsidP="003E6989">
      <w:pPr>
        <w:rPr>
          <w:b/>
          <w:sz w:val="24"/>
          <w:szCs w:val="24"/>
        </w:rPr>
      </w:pPr>
      <w:r>
        <w:rPr>
          <w:b/>
          <w:sz w:val="24"/>
          <w:szCs w:val="24"/>
        </w:rPr>
        <w:br w:type="page"/>
      </w:r>
    </w:p>
    <w:p w:rsidR="003E6989" w:rsidRDefault="003E6989" w:rsidP="003E6989">
      <w:pPr>
        <w:spacing w:line="240" w:lineRule="auto"/>
        <w:sectPr w:rsidR="003E6989" w:rsidSect="008468D3">
          <w:headerReference w:type="first" r:id="rId12"/>
          <w:footerReference w:type="first" r:id="rId13"/>
          <w:pgSz w:w="11906" w:h="16838"/>
          <w:pgMar w:top="1134" w:right="1134" w:bottom="1134" w:left="1134" w:header="958" w:footer="737" w:gutter="0"/>
          <w:cols w:space="720"/>
          <w:titlePg/>
          <w:docGrid w:linePitch="245"/>
        </w:sectPr>
      </w:pPr>
    </w:p>
    <w:p w:rsidR="00C94244" w:rsidRPr="00EB3A47" w:rsidRDefault="00C94244" w:rsidP="00C94244">
      <w:pPr>
        <w:rPr>
          <w:rFonts w:asciiTheme="minorHAnsi" w:hAnsiTheme="minorHAnsi" w:cstheme="minorHAnsi"/>
          <w:b/>
          <w:sz w:val="24"/>
          <w:szCs w:val="24"/>
        </w:rPr>
      </w:pPr>
      <w:r w:rsidRPr="00EB3A47">
        <w:rPr>
          <w:b/>
        </w:rPr>
        <w:lastRenderedPageBreak/>
        <w:t>Department of Education and Training</w:t>
      </w:r>
    </w:p>
    <w:p w:rsidR="00C94244" w:rsidRPr="00C94244" w:rsidRDefault="00C94244" w:rsidP="00C94244">
      <w:pPr>
        <w:pStyle w:val="Heading1noTOC"/>
        <w:spacing w:after="0"/>
        <w:jc w:val="left"/>
        <w:rPr>
          <w:rFonts w:asciiTheme="minorHAnsi" w:hAnsiTheme="minorHAnsi"/>
          <w:sz w:val="24"/>
          <w:szCs w:val="22"/>
        </w:rPr>
      </w:pPr>
      <w:bookmarkStart w:id="9" w:name="_Toc463440696"/>
      <w:bookmarkStart w:id="10" w:name="_Toc464726270"/>
      <w:bookmarkStart w:id="11" w:name="_Toc464726552"/>
      <w:bookmarkStart w:id="12" w:name="_Toc464726606"/>
      <w:r w:rsidRPr="00C94244">
        <w:rPr>
          <w:rFonts w:asciiTheme="minorHAnsi" w:hAnsiTheme="minorHAnsi"/>
          <w:sz w:val="24"/>
          <w:szCs w:val="22"/>
        </w:rPr>
        <w:t>STATEMENT BY THE ACCOUNTABLE AUTHORITY AND CHIEF FINANCE OFFICER</w:t>
      </w:r>
      <w:bookmarkEnd w:id="9"/>
      <w:bookmarkEnd w:id="10"/>
      <w:bookmarkEnd w:id="11"/>
      <w:bookmarkEnd w:id="12"/>
    </w:p>
    <w:p w:rsidR="00C94244" w:rsidRDefault="00C94244" w:rsidP="003E6989"/>
    <w:p w:rsidR="003E6989" w:rsidRDefault="003E6989" w:rsidP="003E6989">
      <w:r w:rsidRPr="00085C94">
        <w:t xml:space="preserve">I, as the accountable authority of </w:t>
      </w:r>
      <w:r>
        <w:t>the Department of Education and Training</w:t>
      </w:r>
      <w:r w:rsidRPr="00085C94">
        <w:t xml:space="preserve">, present the </w:t>
      </w:r>
      <w:r>
        <w:t>2015–16 financial</w:t>
      </w:r>
      <w:r w:rsidRPr="00085C94">
        <w:t xml:space="preserve"> statements of </w:t>
      </w:r>
      <w:r>
        <w:t>the department</w:t>
      </w:r>
      <w:r w:rsidRPr="00085C94">
        <w:t xml:space="preserve">, as required under paragraph </w:t>
      </w:r>
      <w:r>
        <w:t>42(2)</w:t>
      </w:r>
      <w:r w:rsidRPr="00085C94">
        <w:t xml:space="preserve"> of the </w:t>
      </w:r>
      <w:r w:rsidRPr="00085C94">
        <w:rPr>
          <w:i/>
        </w:rPr>
        <w:t>Public Governance, Performance and Accountability Act 2013</w:t>
      </w:r>
      <w:r w:rsidRPr="00085C94">
        <w:t xml:space="preserve"> (PGPA Act). </w:t>
      </w:r>
    </w:p>
    <w:p w:rsidR="003E6989" w:rsidRDefault="003E6989" w:rsidP="003E6989"/>
    <w:p w:rsidR="003E6989" w:rsidRDefault="003E6989" w:rsidP="003E6989">
      <w:r w:rsidRPr="00085C94">
        <w:t xml:space="preserve">In my opinion, these </w:t>
      </w:r>
      <w:r>
        <w:t>financial</w:t>
      </w:r>
      <w:r w:rsidRPr="00085C94">
        <w:t xml:space="preserve"> statements are based on properly maintained </w:t>
      </w:r>
      <w:r>
        <w:t xml:space="preserve">financial </w:t>
      </w:r>
      <w:r w:rsidRPr="00085C94">
        <w:t xml:space="preserve">records, and comply with subsection </w:t>
      </w:r>
      <w:r>
        <w:t>41</w:t>
      </w:r>
      <w:r w:rsidRPr="00085C94">
        <w:t>(2) of the PGPA Act.</w:t>
      </w:r>
    </w:p>
    <w:p w:rsidR="003E6989" w:rsidRDefault="003E6989" w:rsidP="003E6989"/>
    <w:p w:rsidR="003E6989" w:rsidRDefault="003E6989" w:rsidP="003E6989">
      <w:r>
        <w:t xml:space="preserve">There are reasonable grounds to believe that the department will be able to pay its debts as and when they become due and payable. </w:t>
      </w:r>
    </w:p>
    <w:p w:rsidR="003E6989" w:rsidRDefault="003E6989" w:rsidP="003E6989"/>
    <w:p w:rsidR="003E6989" w:rsidRDefault="003E6989" w:rsidP="003E6989">
      <w:r>
        <w:t>All information required to comply with s42(2) is included in the financial statements with disclosures as required contained in the notes within.</w:t>
      </w:r>
    </w:p>
    <w:p w:rsidR="003E6989" w:rsidRDefault="003E6989" w:rsidP="003E6989"/>
    <w:p w:rsidR="003E6989" w:rsidRPr="00616523" w:rsidRDefault="003E6989" w:rsidP="001F2C80">
      <w:pPr>
        <w:spacing w:after="1320"/>
      </w:pPr>
      <w:r>
        <w:t>This rule was applied without exemption.</w:t>
      </w:r>
    </w:p>
    <w:p w:rsidR="003E6989" w:rsidRDefault="003E6989" w:rsidP="003E6989">
      <w:pPr>
        <w:pStyle w:val="PolicytextDept"/>
        <w:pBdr>
          <w:top w:val="none" w:sz="0" w:space="0" w:color="auto"/>
          <w:left w:val="none" w:sz="0" w:space="0" w:color="auto"/>
          <w:bottom w:val="none" w:sz="0" w:space="0" w:color="auto"/>
          <w:right w:val="none" w:sz="0" w:space="0" w:color="auto"/>
        </w:pBdr>
      </w:pPr>
    </w:p>
    <w:p w:rsidR="00562EDF" w:rsidRDefault="00562EDF" w:rsidP="003E6989">
      <w:pPr>
        <w:pStyle w:val="PolicytextDept"/>
        <w:pBdr>
          <w:top w:val="none" w:sz="0" w:space="0" w:color="auto"/>
          <w:left w:val="none" w:sz="0" w:space="0" w:color="auto"/>
          <w:bottom w:val="none" w:sz="0" w:space="0" w:color="auto"/>
          <w:right w:val="none" w:sz="0" w:space="0" w:color="auto"/>
        </w:pBdr>
        <w:sectPr w:rsidR="00562EDF" w:rsidSect="006A5410">
          <w:headerReference w:type="default" r:id="rId14"/>
          <w:pgSz w:w="11906" w:h="16838"/>
          <w:pgMar w:top="1134" w:right="1134" w:bottom="1134" w:left="1134" w:header="958" w:footer="737" w:gutter="0"/>
          <w:cols w:space="720"/>
        </w:sectPr>
      </w:pPr>
    </w:p>
    <w:p w:rsidR="003E6989" w:rsidRPr="00D54E7F" w:rsidRDefault="00562EDF" w:rsidP="003E6989">
      <w:pPr>
        <w:pStyle w:val="PolicytextDept"/>
        <w:pBdr>
          <w:top w:val="none" w:sz="0" w:space="0" w:color="auto"/>
          <w:left w:val="none" w:sz="0" w:space="0" w:color="auto"/>
          <w:bottom w:val="none" w:sz="0" w:space="0" w:color="auto"/>
          <w:right w:val="none" w:sz="0" w:space="0" w:color="auto"/>
        </w:pBdr>
      </w:pPr>
      <w:r>
        <w:rPr>
          <w:noProof/>
          <w:lang w:eastAsia="en-AU"/>
        </w:rPr>
        <w:lastRenderedPageBreak/>
        <w:drawing>
          <wp:anchor distT="0" distB="0" distL="114300" distR="114300" simplePos="0" relativeHeight="251660288" behindDoc="1" locked="0" layoutInCell="1" allowOverlap="1" wp14:anchorId="315D82CE" wp14:editId="6B6FEF3A">
            <wp:simplePos x="0" y="0"/>
            <wp:positionH relativeFrom="column">
              <wp:posOffset>321164</wp:posOffset>
            </wp:positionH>
            <wp:positionV relativeFrom="paragraph">
              <wp:posOffset>132168</wp:posOffset>
            </wp:positionV>
            <wp:extent cx="1623202" cy="395923"/>
            <wp:effectExtent l="0" t="0" r="0" b="4445"/>
            <wp:wrapNone/>
            <wp:docPr id="3" name="Picture 3" descr="Michele Brunigies Signatur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elle Brunigies Si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5008" cy="396364"/>
                    </a:xfrm>
                    <a:prstGeom prst="rect">
                      <a:avLst/>
                    </a:prstGeom>
                  </pic:spPr>
                </pic:pic>
              </a:graphicData>
            </a:graphic>
            <wp14:sizeRelH relativeFrom="page">
              <wp14:pctWidth>0</wp14:pctWidth>
            </wp14:sizeRelH>
            <wp14:sizeRelV relativeFrom="page">
              <wp14:pctHeight>0</wp14:pctHeight>
            </wp14:sizeRelV>
          </wp:anchor>
        </w:drawing>
      </w:r>
    </w:p>
    <w:p w:rsidR="003E6989" w:rsidRPr="00D54E7F" w:rsidRDefault="003E6989" w:rsidP="003E6989">
      <w:pPr>
        <w:pStyle w:val="PolicytextDept"/>
        <w:pBdr>
          <w:top w:val="none" w:sz="0" w:space="0" w:color="auto"/>
          <w:left w:val="none" w:sz="0" w:space="0" w:color="auto"/>
          <w:bottom w:val="none" w:sz="0" w:space="0" w:color="auto"/>
          <w:right w:val="none" w:sz="0" w:space="0" w:color="auto"/>
        </w:pBdr>
      </w:pPr>
      <w:r w:rsidRPr="00D54E7F">
        <w:t>Signed</w:t>
      </w:r>
    </w:p>
    <w:p w:rsidR="003E6989" w:rsidRDefault="003E6989" w:rsidP="003E6989">
      <w:pPr>
        <w:pStyle w:val="PolicytextDept"/>
        <w:pBdr>
          <w:top w:val="none" w:sz="0" w:space="0" w:color="auto"/>
          <w:left w:val="none" w:sz="0" w:space="0" w:color="auto"/>
          <w:bottom w:val="none" w:sz="0" w:space="0" w:color="auto"/>
          <w:right w:val="none" w:sz="0" w:space="0" w:color="auto"/>
        </w:pBdr>
      </w:pPr>
      <w:r>
        <w:t>Dr Michele Bruniges AM</w:t>
      </w:r>
    </w:p>
    <w:p w:rsidR="003E6989" w:rsidRDefault="003E6989" w:rsidP="003E6989">
      <w:pPr>
        <w:pStyle w:val="PolicytextDept"/>
        <w:pBdr>
          <w:top w:val="none" w:sz="0" w:space="0" w:color="auto"/>
          <w:left w:val="none" w:sz="0" w:space="0" w:color="auto"/>
          <w:bottom w:val="none" w:sz="0" w:space="0" w:color="auto"/>
          <w:right w:val="none" w:sz="0" w:space="0" w:color="auto"/>
        </w:pBdr>
      </w:pPr>
      <w:r>
        <w:t>Secretary</w:t>
      </w:r>
    </w:p>
    <w:p w:rsidR="003E6989" w:rsidRPr="00D54E7F" w:rsidRDefault="00D21804" w:rsidP="003E6989">
      <w:pPr>
        <w:pStyle w:val="PolicytextDept"/>
        <w:pBdr>
          <w:top w:val="none" w:sz="0" w:space="0" w:color="auto"/>
          <w:left w:val="none" w:sz="0" w:space="0" w:color="auto"/>
          <w:bottom w:val="none" w:sz="0" w:space="0" w:color="auto"/>
          <w:right w:val="none" w:sz="0" w:space="0" w:color="auto"/>
        </w:pBdr>
      </w:pPr>
      <w:r>
        <w:t xml:space="preserve">21 </w:t>
      </w:r>
      <w:r w:rsidR="003E6989">
        <w:t>September 2016</w:t>
      </w:r>
    </w:p>
    <w:p w:rsidR="00562EDF" w:rsidRDefault="00D21804" w:rsidP="00562EDF">
      <w:pPr>
        <w:spacing w:after="120"/>
      </w:pPr>
      <w:r>
        <w:rPr>
          <w:rFonts w:asciiTheme="minorHAnsi" w:hAnsiTheme="minorHAnsi" w:cs="Arial"/>
          <w:noProof/>
          <w:lang w:eastAsia="en-AU"/>
        </w:rPr>
        <w:drawing>
          <wp:anchor distT="0" distB="0" distL="114300" distR="114300" simplePos="0" relativeHeight="251661312" behindDoc="1" locked="0" layoutInCell="1" allowOverlap="1" wp14:anchorId="40396E78" wp14:editId="764FC8BB">
            <wp:simplePos x="0" y="0"/>
            <wp:positionH relativeFrom="column">
              <wp:posOffset>3599796</wp:posOffset>
            </wp:positionH>
            <wp:positionV relativeFrom="paragraph">
              <wp:posOffset>-1134110</wp:posOffset>
            </wp:positionV>
            <wp:extent cx="1017917" cy="479589"/>
            <wp:effectExtent l="0" t="0" r="0" b="0"/>
            <wp:wrapNone/>
            <wp:docPr id="5" name="Picture 5" descr="Susan Monkley's Signatur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 Monkley Si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7917" cy="479589"/>
                    </a:xfrm>
                    <a:prstGeom prst="rect">
                      <a:avLst/>
                    </a:prstGeom>
                  </pic:spPr>
                </pic:pic>
              </a:graphicData>
            </a:graphic>
            <wp14:sizeRelH relativeFrom="page">
              <wp14:pctWidth>0</wp14:pctWidth>
            </wp14:sizeRelH>
            <wp14:sizeRelV relativeFrom="page">
              <wp14:pctHeight>0</wp14:pctHeight>
            </wp14:sizeRelV>
          </wp:anchor>
        </w:drawing>
      </w:r>
      <w:r w:rsidR="00562EDF">
        <w:br w:type="column"/>
      </w:r>
    </w:p>
    <w:p w:rsidR="00562EDF" w:rsidRPr="00F931D8" w:rsidRDefault="00562EDF" w:rsidP="00562EDF">
      <w:pPr>
        <w:spacing w:after="120"/>
        <w:rPr>
          <w:rFonts w:asciiTheme="minorHAnsi" w:hAnsiTheme="minorHAnsi" w:cs="Arial"/>
        </w:rPr>
      </w:pPr>
      <w:r w:rsidRPr="00F931D8">
        <w:rPr>
          <w:rFonts w:asciiTheme="minorHAnsi" w:hAnsiTheme="minorHAnsi" w:cs="Arial"/>
          <w:szCs w:val="18"/>
        </w:rPr>
        <w:t>Signed</w:t>
      </w:r>
    </w:p>
    <w:p w:rsidR="00562EDF" w:rsidRPr="00F931D8" w:rsidRDefault="00562EDF" w:rsidP="00562EDF">
      <w:pPr>
        <w:spacing w:after="120"/>
        <w:rPr>
          <w:rFonts w:asciiTheme="minorHAnsi" w:hAnsiTheme="minorHAnsi" w:cs="Arial"/>
          <w:szCs w:val="18"/>
        </w:rPr>
      </w:pPr>
      <w:r w:rsidRPr="00F931D8">
        <w:rPr>
          <w:rFonts w:asciiTheme="minorHAnsi" w:hAnsiTheme="minorHAnsi" w:cs="Arial"/>
          <w:szCs w:val="18"/>
        </w:rPr>
        <w:t>Susan Monkley</w:t>
      </w:r>
    </w:p>
    <w:p w:rsidR="00562EDF" w:rsidRPr="00F931D8" w:rsidRDefault="00562EDF" w:rsidP="00562EDF">
      <w:pPr>
        <w:spacing w:after="120"/>
        <w:rPr>
          <w:rFonts w:asciiTheme="minorHAnsi" w:hAnsiTheme="minorHAnsi" w:cs="Arial"/>
          <w:szCs w:val="18"/>
        </w:rPr>
      </w:pPr>
      <w:r w:rsidRPr="00F931D8">
        <w:rPr>
          <w:rFonts w:asciiTheme="minorHAnsi" w:hAnsiTheme="minorHAnsi" w:cs="Arial"/>
          <w:szCs w:val="18"/>
        </w:rPr>
        <w:t xml:space="preserve">Chief Finance Officer </w:t>
      </w:r>
    </w:p>
    <w:p w:rsidR="00562EDF" w:rsidRPr="000E4CF1" w:rsidRDefault="00D21804" w:rsidP="00562EDF">
      <w:pPr>
        <w:pStyle w:val="PolicytextDept"/>
        <w:pBdr>
          <w:top w:val="none" w:sz="0" w:space="0" w:color="auto"/>
          <w:left w:val="none" w:sz="0" w:space="0" w:color="auto"/>
          <w:bottom w:val="none" w:sz="0" w:space="0" w:color="auto"/>
          <w:right w:val="none" w:sz="0" w:space="0" w:color="auto"/>
        </w:pBdr>
        <w:rPr>
          <w:rFonts w:asciiTheme="minorHAnsi" w:hAnsiTheme="minorHAnsi" w:cs="Arial"/>
        </w:rPr>
      </w:pPr>
      <w:r>
        <w:rPr>
          <w:noProof/>
          <w:lang w:eastAsia="en-AU"/>
        </w:rPr>
        <w:t xml:space="preserve">21 </w:t>
      </w:r>
      <w:r w:rsidR="00562EDF">
        <w:t>September 2016</w:t>
      </w:r>
    </w:p>
    <w:p w:rsidR="003E6989" w:rsidRDefault="003E6989" w:rsidP="003E6989">
      <w:pPr>
        <w:rPr>
          <w:rFonts w:asciiTheme="minorHAnsi" w:hAnsiTheme="minorHAnsi" w:cstheme="minorHAnsi"/>
        </w:rPr>
      </w:pPr>
    </w:p>
    <w:p w:rsidR="003E6989" w:rsidRDefault="003E6989" w:rsidP="003E6989">
      <w:pPr>
        <w:rPr>
          <w:rFonts w:asciiTheme="minorHAnsi" w:hAnsiTheme="minorHAnsi" w:cstheme="minorHAnsi"/>
        </w:rPr>
      </w:pPr>
    </w:p>
    <w:p w:rsidR="003E6989" w:rsidRPr="00F33B00" w:rsidRDefault="003E6989" w:rsidP="003E6989">
      <w:pPr>
        <w:rPr>
          <w:rFonts w:asciiTheme="minorHAnsi" w:hAnsiTheme="minorHAnsi" w:cstheme="minorHAnsi"/>
        </w:rPr>
        <w:sectPr w:rsidR="003E6989" w:rsidRPr="00F33B00" w:rsidSect="00562EDF">
          <w:type w:val="continuous"/>
          <w:pgSz w:w="11906" w:h="16838"/>
          <w:pgMar w:top="1134" w:right="1134" w:bottom="1134" w:left="1134" w:header="958" w:footer="737" w:gutter="0"/>
          <w:cols w:num="2" w:space="720"/>
        </w:sectPr>
      </w:pPr>
    </w:p>
    <w:p w:rsidR="00403CAE" w:rsidRDefault="00403CAE" w:rsidP="00403CAE">
      <w:pPr>
        <w:pStyle w:val="Heading1"/>
      </w:pPr>
      <w:bookmarkStart w:id="13" w:name="_Toc464726271"/>
      <w:bookmarkStart w:id="14" w:name="_Toc464726553"/>
      <w:bookmarkStart w:id="15" w:name="_Toc464726607"/>
      <w:bookmarkStart w:id="16" w:name="Note_DPLTABLE1" w:colFirst="0" w:colLast="0"/>
      <w:r>
        <w:lastRenderedPageBreak/>
        <w:t>Department of Education and Training</w:t>
      </w:r>
      <w:r>
        <w:br/>
        <w:t>STATEMENT OF COMPREHENSIVE INCOME</w:t>
      </w:r>
      <w:r>
        <w:br/>
        <w:t>For the period ended 30 June 2016</w:t>
      </w:r>
      <w:bookmarkEnd w:id="13"/>
      <w:bookmarkEnd w:id="14"/>
      <w:bookmarkEnd w:id="15"/>
    </w:p>
    <w:p w:rsidR="00403CAE" w:rsidRDefault="00403CAE" w:rsidP="006A5410">
      <w:pPr>
        <w:rPr>
          <w:rFonts w:cs="Calibri"/>
          <w:szCs w:val="18"/>
        </w:rPr>
        <w:sectPr w:rsidR="00403CAE" w:rsidSect="006A5410">
          <w:headerReference w:type="default" r:id="rId17"/>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3529"/>
        <w:gridCol w:w="669"/>
        <w:gridCol w:w="1060"/>
        <w:gridCol w:w="238"/>
        <w:gridCol w:w="1073"/>
        <w:gridCol w:w="238"/>
        <w:gridCol w:w="1021"/>
        <w:gridCol w:w="238"/>
        <w:gridCol w:w="1021"/>
      </w:tblGrid>
      <w:tr w:rsidR="003E6989" w:rsidTr="006A5410">
        <w:trPr>
          <w:trHeight w:val="480"/>
        </w:trPr>
        <w:tc>
          <w:tcPr>
            <w:tcW w:w="34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lastRenderedPageBreak/>
              <w:t> </w:t>
            </w:r>
          </w:p>
        </w:tc>
        <w:tc>
          <w:tcPr>
            <w:tcW w:w="663"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2016 Original Budget</w:t>
            </w:r>
            <w:r w:rsidRPr="00AD5525">
              <w:rPr>
                <w:rFonts w:cs="Calibri"/>
                <w:szCs w:val="18"/>
                <w:vertAlign w:val="superscript"/>
              </w:rPr>
              <w:t>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Variance</w:t>
            </w:r>
          </w:p>
        </w:tc>
      </w:tr>
      <w:bookmarkEnd w:id="16"/>
      <w:tr w:rsidR="003E6989" w:rsidTr="006A5410">
        <w:trPr>
          <w:trHeight w:val="255"/>
        </w:trPr>
        <w:tc>
          <w:tcPr>
            <w:tcW w:w="34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b/>
                <w:bCs/>
                <w:szCs w:val="18"/>
              </w:rPr>
            </w:pPr>
            <w:r>
              <w:rPr>
                <w:rFonts w:cs="Calibri"/>
                <w:b/>
                <w:bCs/>
                <w:szCs w:val="18"/>
              </w:rPr>
              <w:t>Notes</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49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NET COST OF SERVICES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b/>
                <w:bCs/>
                <w:szCs w:val="18"/>
              </w:rPr>
            </w:pPr>
            <w:r>
              <w:rPr>
                <w:rFonts w:cs="Calibri"/>
                <w:b/>
                <w:bCs/>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EXPENSES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Employee benefits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1.1A</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215,830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206,561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197,462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18,368</w:t>
            </w:r>
            <w:r w:rsidRPr="00AD5525">
              <w:rPr>
                <w:rFonts w:cs="Calibri"/>
                <w:szCs w:val="18"/>
                <w:vertAlign w:val="superscript"/>
              </w:rPr>
              <w:t>2</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Supplier expenses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1.1B</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127,923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101,179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85,307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42,616</w:t>
            </w:r>
            <w:r w:rsidRPr="00AD5525">
              <w:rPr>
                <w:rFonts w:cs="Calibri"/>
                <w:szCs w:val="18"/>
                <w:vertAlign w:val="superscript"/>
              </w:rPr>
              <w:t>3</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xml:space="preserve">Grants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1.1C</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629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629</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Depreciation and amortisation</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1.1D</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25,168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26,918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31,179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(6,011)</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Finance costs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1.1E</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Write-down and impairment of assets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1.1F</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2,774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2,866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2,774</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Losses from asset sales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1.1G</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234</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expenses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372,558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337,832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313,948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58,610</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OWN-SOURCE INCOME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Own-source revenue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Sale of goods and rendering of services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1.2A</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29,736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30,385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20,820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8,916</w:t>
            </w:r>
            <w:r w:rsidRPr="00AD5525">
              <w:rPr>
                <w:rFonts w:cs="Calibri"/>
                <w:szCs w:val="18"/>
                <w:vertAlign w:val="superscript"/>
              </w:rPr>
              <w:t>4</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own-source revenue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29,736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30,385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20,820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8,916</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Gains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Sale of assets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1.2B</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480"/>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Reversals of previous asset write-downs and impairment</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1.2C</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gains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1.2D</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8,640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6,847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6,743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1,897</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gains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8,640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6,998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6,743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1,897</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own-source income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38,376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37,383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27,563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10,813</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 xml:space="preserve">Net cost of (contribution by) services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334,182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300,449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286,385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47,797</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Revenue from Government</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1.2E</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313,127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276,854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255,206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57,921</w:t>
            </w:r>
            <w:r w:rsidRPr="00AD5525">
              <w:rPr>
                <w:rFonts w:cs="Calibri"/>
                <w:szCs w:val="18"/>
                <w:vertAlign w:val="superscript"/>
              </w:rPr>
              <w:t>5</w:t>
            </w:r>
          </w:p>
        </w:tc>
      </w:tr>
      <w:tr w:rsidR="003E6989" w:rsidTr="006A5410">
        <w:trPr>
          <w:trHeight w:val="480"/>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Surplus (Deficit) attributable to the Australian Government</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(21,055)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(23,595)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10,124</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COMPREHENSIVE INCOME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480"/>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Items not subject to subsequent reclassification to net cost of services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Changes in asset revaluation surplus: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 xml:space="preserve">Adjustment to land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Adjustment to buildings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Adjustment to leasehold improvements</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(1,242)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(1,242)</w:t>
            </w:r>
          </w:p>
        </w:tc>
      </w:tr>
      <w:tr w:rsidR="003E6989" w:rsidTr="006A5410">
        <w:trPr>
          <w:trHeight w:val="480"/>
        </w:trPr>
        <w:tc>
          <w:tcPr>
            <w:tcW w:w="3496"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Adjustment to infrastructure, plant and equipment</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897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897 </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comprehensive income</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(379)</w:t>
            </w:r>
          </w:p>
        </w:tc>
      </w:tr>
      <w:tr w:rsidR="003E6989" w:rsidTr="006A5410">
        <w:trPr>
          <w:trHeight w:val="255"/>
        </w:trPr>
        <w:tc>
          <w:tcPr>
            <w:tcW w:w="34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495"/>
        </w:trPr>
        <w:tc>
          <w:tcPr>
            <w:tcW w:w="349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comprehensive income (loss) attributable to the Australian Government</w:t>
            </w:r>
          </w:p>
        </w:tc>
        <w:tc>
          <w:tcPr>
            <w:tcW w:w="663"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050"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(21,434)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63"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(23,590)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1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9,745</w:t>
            </w:r>
          </w:p>
        </w:tc>
      </w:tr>
    </w:tbl>
    <w:p w:rsidR="003E6989" w:rsidRDefault="003E6989" w:rsidP="003E6989">
      <w:pPr>
        <w:spacing w:line="240" w:lineRule="auto"/>
      </w:pPr>
    </w:p>
    <w:p w:rsidR="003E6989" w:rsidRDefault="003E6989" w:rsidP="003E6989">
      <w:pPr>
        <w:spacing w:line="240" w:lineRule="auto"/>
      </w:pPr>
    </w:p>
    <w:p w:rsidR="003E6989" w:rsidRDefault="003E6989" w:rsidP="003E6989">
      <w:pPr>
        <w:spacing w:line="240" w:lineRule="auto"/>
        <w:sectPr w:rsidR="003E6989" w:rsidSect="00403CAE">
          <w:type w:val="continuous"/>
          <w:pgSz w:w="11906" w:h="16838"/>
          <w:pgMar w:top="1134" w:right="1134" w:bottom="1134" w:left="1134" w:header="958" w:footer="737" w:gutter="0"/>
          <w:cols w:space="720"/>
        </w:sectPr>
      </w:pPr>
    </w:p>
    <w:p w:rsidR="00403CAE" w:rsidRDefault="00403CAE" w:rsidP="00403CAE">
      <w:pPr>
        <w:pStyle w:val="Heading1"/>
      </w:pPr>
      <w:bookmarkStart w:id="17" w:name="_Toc464726272"/>
      <w:bookmarkStart w:id="18" w:name="_Toc464726554"/>
      <w:bookmarkStart w:id="19" w:name="_Toc464726608"/>
      <w:bookmarkStart w:id="20" w:name="Note_DBSTABLE1" w:colFirst="0" w:colLast="0"/>
      <w:r>
        <w:lastRenderedPageBreak/>
        <w:t>Department of Education and Training</w:t>
      </w:r>
      <w:r>
        <w:br/>
        <w:t>STATEMENT OF FINANCIAL POSITION</w:t>
      </w:r>
      <w:r>
        <w:br/>
        <w:t>as at 30 June 2016</w:t>
      </w:r>
      <w:bookmarkEnd w:id="17"/>
      <w:bookmarkEnd w:id="18"/>
      <w:bookmarkEnd w:id="19"/>
    </w:p>
    <w:p w:rsidR="00403CAE" w:rsidRDefault="00403CAE" w:rsidP="006A5410">
      <w:pPr>
        <w:rPr>
          <w:rFonts w:cs="Calibri"/>
          <w:szCs w:val="18"/>
        </w:rPr>
        <w:sectPr w:rsidR="00403CAE" w:rsidSect="006A5410">
          <w:headerReference w:type="default" r:id="rId18"/>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2805"/>
        <w:gridCol w:w="1129"/>
        <w:gridCol w:w="1114"/>
        <w:gridCol w:w="238"/>
        <w:gridCol w:w="1109"/>
        <w:gridCol w:w="238"/>
        <w:gridCol w:w="1109"/>
        <w:gridCol w:w="238"/>
        <w:gridCol w:w="1107"/>
      </w:tblGrid>
      <w:tr w:rsidR="003E6989" w:rsidTr="006A5410">
        <w:trPr>
          <w:trHeight w:val="480"/>
        </w:trPr>
        <w:tc>
          <w:tcPr>
            <w:tcW w:w="2805"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lastRenderedPageBreak/>
              <w:t> </w:t>
            </w:r>
          </w:p>
        </w:tc>
        <w:tc>
          <w:tcPr>
            <w:tcW w:w="112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2016 Original Budget</w:t>
            </w:r>
            <w:r w:rsidRPr="00AD5525">
              <w:rPr>
                <w:rFonts w:cs="Calibri"/>
                <w:szCs w:val="18"/>
                <w:vertAlign w:val="superscript"/>
              </w:rPr>
              <w:t>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Variance</w:t>
            </w:r>
          </w:p>
        </w:tc>
      </w:tr>
      <w:bookmarkEnd w:id="20"/>
      <w:tr w:rsidR="003E6989" w:rsidTr="006A5410">
        <w:trPr>
          <w:trHeight w:val="255"/>
        </w:trPr>
        <w:tc>
          <w:tcPr>
            <w:tcW w:w="2805"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b/>
                <w:bCs/>
                <w:szCs w:val="18"/>
              </w:rPr>
            </w:pPr>
            <w:r>
              <w:rPr>
                <w:rFonts w:cs="Calibri"/>
                <w:b/>
                <w:bCs/>
                <w:szCs w:val="18"/>
              </w:rPr>
              <w:t>Notes</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and cash equivalents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3.1A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6,132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9,817</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8,429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(2,297)</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Trade and other receivables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3.1B</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85,245</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51,829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32,310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52,935</w:t>
            </w:r>
            <w:r w:rsidRPr="00AD5525">
              <w:rPr>
                <w:rFonts w:cs="Calibri"/>
                <w:szCs w:val="18"/>
                <w:vertAlign w:val="superscript"/>
              </w:rPr>
              <w:t>5</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3.1C</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1,996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5,513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(3,517)</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93,373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64,922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46,252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47,121</w:t>
            </w:r>
          </w:p>
        </w:tc>
      </w:tr>
      <w:tr w:rsidR="003E6989" w:rsidTr="006A5410">
        <w:trPr>
          <w:trHeight w:val="255"/>
        </w:trPr>
        <w:tc>
          <w:tcPr>
            <w:tcW w:w="2805"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Non-financial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Land and buildings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3.2A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37,137</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42,118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46,194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(9,057)</w:t>
            </w:r>
            <w:r w:rsidRPr="00AD5525">
              <w:rPr>
                <w:rFonts w:cs="Calibri"/>
                <w:szCs w:val="18"/>
                <w:vertAlign w:val="superscript"/>
              </w:rPr>
              <w:t>6</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Infrastructure, plant and equipment</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3.2A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12,659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11,327</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13,940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(1,281)</w:t>
            </w:r>
            <w:r w:rsidRPr="00AD5525">
              <w:rPr>
                <w:rFonts w:cs="Calibri"/>
                <w:szCs w:val="18"/>
                <w:vertAlign w:val="superscript"/>
              </w:rPr>
              <w:t>6</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Intangibles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3.2A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75,589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70,403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80,099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(4,510)</w:t>
            </w:r>
            <w:r w:rsidRPr="00AD5525">
              <w:rPr>
                <w:rFonts w:cs="Calibri"/>
                <w:szCs w:val="18"/>
                <w:vertAlign w:val="superscript"/>
              </w:rPr>
              <w:t>6</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non-financial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3.2B</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10,126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10,728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8,599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1,527</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non-financial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135,511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134,576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148,832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(13,321)</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228,884</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199,498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195,084</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33,800</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LIABILITIES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Payables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Suppliers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3.3A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31,663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23,495</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12,975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18,688</w:t>
            </w:r>
            <w:r w:rsidRPr="00AD5525">
              <w:rPr>
                <w:rFonts w:cs="Calibri"/>
                <w:szCs w:val="18"/>
                <w:vertAlign w:val="superscript"/>
              </w:rPr>
              <w:t>3</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payables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3.3B</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20,329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28,963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21,397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(1,068)</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payables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51,992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52,458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34,372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17,620</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Provisions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Employee provisions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6.1A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71,173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54,778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79,326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(8,153)</w:t>
            </w:r>
            <w:r w:rsidRPr="00AD5525">
              <w:rPr>
                <w:rFonts w:cs="Calibri"/>
                <w:szCs w:val="18"/>
                <w:vertAlign w:val="superscript"/>
              </w:rPr>
              <w:t>2</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provisions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3.4A</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1,739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3,106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1,345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394</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provisions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72,912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57,884</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80,671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(7,759)</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liabilities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124,904</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110,342</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115,043</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9,861</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assets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103,980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89,156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80,041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23,939</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EQUITY</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Contributed equity</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171,110</w:t>
            </w:r>
          </w:p>
        </w:tc>
        <w:tc>
          <w:tcPr>
            <w:tcW w:w="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134,848</w:t>
            </w:r>
          </w:p>
        </w:tc>
        <w:tc>
          <w:tcPr>
            <w:tcW w:w="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112,209 </w:t>
            </w:r>
          </w:p>
        </w:tc>
        <w:tc>
          <w:tcPr>
            <w:tcW w:w="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58,901</w:t>
            </w:r>
            <w:r w:rsidRPr="00AD5525">
              <w:rPr>
                <w:rFonts w:cs="Calibri"/>
                <w:szCs w:val="18"/>
                <w:vertAlign w:val="superscript"/>
              </w:rPr>
              <w:t>7</w:t>
            </w:r>
          </w:p>
        </w:tc>
      </w:tr>
      <w:tr w:rsidR="003E6989" w:rsidTr="006A5410">
        <w:trPr>
          <w:trHeight w:val="255"/>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Reserves</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438</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433 </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(374)</w:t>
            </w:r>
          </w:p>
        </w:tc>
      </w:tr>
      <w:tr w:rsidR="003E6989" w:rsidTr="006A5410">
        <w:trPr>
          <w:trHeight w:val="480"/>
        </w:trPr>
        <w:tc>
          <w:tcPr>
            <w:tcW w:w="2805"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Retained surplus (accumulated deficit)</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(67,189)</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(46,130)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(32,601)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(34,588)</w:t>
            </w:r>
            <w:r w:rsidRPr="00AD5525">
              <w:rPr>
                <w:rFonts w:cs="Calibri"/>
                <w:szCs w:val="18"/>
                <w:vertAlign w:val="superscript"/>
              </w:rPr>
              <w:t>7</w:t>
            </w:r>
          </w:p>
        </w:tc>
      </w:tr>
      <w:tr w:rsidR="003E6989" w:rsidTr="006A5410">
        <w:trPr>
          <w:trHeight w:val="270"/>
        </w:trPr>
        <w:tc>
          <w:tcPr>
            <w:tcW w:w="2805"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equity</w:t>
            </w:r>
          </w:p>
        </w:tc>
        <w:tc>
          <w:tcPr>
            <w:tcW w:w="1129" w:type="dxa"/>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1114"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103,980</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89,156</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80,041</w:t>
            </w:r>
          </w:p>
        </w:tc>
        <w:tc>
          <w:tcPr>
            <w:tcW w:w="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07"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23,939</w:t>
            </w:r>
          </w:p>
        </w:tc>
      </w:tr>
    </w:tbl>
    <w:p w:rsidR="003E6989" w:rsidRDefault="003E6989" w:rsidP="003E6989">
      <w:pPr>
        <w:spacing w:line="240" w:lineRule="auto"/>
      </w:pPr>
      <w:bookmarkStart w:id="21" w:name="RANGE!D7:H45"/>
      <w:bookmarkStart w:id="22" w:name="RANGE!D6:H69"/>
      <w:bookmarkStart w:id="23" w:name="RANGE!D6:D69"/>
      <w:bookmarkStart w:id="24" w:name="RANGE!D6:H68"/>
      <w:bookmarkStart w:id="25" w:name="RANGE!D6:D68"/>
      <w:bookmarkStart w:id="26" w:name="RANGE!D6:H48"/>
      <w:bookmarkStart w:id="27" w:name="RANGE!D6:H41"/>
      <w:bookmarkStart w:id="28" w:name="RANGE!D6:H40"/>
      <w:bookmarkStart w:id="29" w:name="RANGE!D6:H42"/>
      <w:bookmarkStart w:id="30" w:name="RANGE!D6:H46"/>
      <w:bookmarkStart w:id="31" w:name="RANGE!D6:H45"/>
      <w:bookmarkEnd w:id="21"/>
      <w:bookmarkEnd w:id="22"/>
      <w:bookmarkEnd w:id="23"/>
      <w:bookmarkEnd w:id="24"/>
      <w:bookmarkEnd w:id="25"/>
      <w:bookmarkEnd w:id="26"/>
      <w:bookmarkEnd w:id="27"/>
      <w:bookmarkEnd w:id="28"/>
      <w:bookmarkEnd w:id="29"/>
      <w:bookmarkEnd w:id="30"/>
      <w:bookmarkEnd w:id="31"/>
    </w:p>
    <w:p w:rsidR="003E6989" w:rsidRDefault="003E6989" w:rsidP="003E6989">
      <w:pPr>
        <w:spacing w:line="240" w:lineRule="auto"/>
        <w:rPr>
          <w:rFonts w:ascii="Arial" w:hAnsi="Arial" w:cs="Arial"/>
          <w:sz w:val="16"/>
          <w:szCs w:val="16"/>
        </w:rPr>
        <w:sectPr w:rsidR="003E6989" w:rsidSect="00403CAE">
          <w:type w:val="continuous"/>
          <w:pgSz w:w="11906" w:h="16838"/>
          <w:pgMar w:top="1134" w:right="1134" w:bottom="1134" w:left="1134" w:header="958" w:footer="737" w:gutter="0"/>
          <w:cols w:space="720"/>
        </w:sectPr>
      </w:pPr>
      <w:r>
        <w:br w:type="page"/>
      </w:r>
    </w:p>
    <w:p w:rsidR="00403CAE" w:rsidRDefault="00403CAE" w:rsidP="00403CAE">
      <w:pPr>
        <w:pStyle w:val="Heading1"/>
      </w:pPr>
      <w:bookmarkStart w:id="32" w:name="_Toc464726273"/>
      <w:bookmarkStart w:id="33" w:name="_Toc464726555"/>
      <w:bookmarkStart w:id="34" w:name="_Toc464726609"/>
      <w:bookmarkStart w:id="35" w:name="Note_CEQTABLE1" w:colFirst="0" w:colLast="0"/>
      <w:r>
        <w:lastRenderedPageBreak/>
        <w:t>Department of Education and Training</w:t>
      </w:r>
      <w:r>
        <w:br/>
        <w:t>STATEMENT OF CHANGES IN EQUITY</w:t>
      </w:r>
      <w:r>
        <w:br/>
        <w:t>for the period ended 30 June 2016</w:t>
      </w:r>
      <w:bookmarkEnd w:id="32"/>
      <w:bookmarkEnd w:id="33"/>
      <w:bookmarkEnd w:id="34"/>
    </w:p>
    <w:p w:rsidR="00403CAE" w:rsidRDefault="00403CAE" w:rsidP="006A5410">
      <w:pPr>
        <w:spacing w:line="240" w:lineRule="auto"/>
        <w:rPr>
          <w:rFonts w:ascii="Arial" w:hAnsi="Arial" w:cs="Arial"/>
          <w:szCs w:val="18"/>
        </w:rPr>
        <w:sectPr w:rsidR="00403CAE" w:rsidSect="006A5410">
          <w:headerReference w:type="default" r:id="rId19"/>
          <w:pgSz w:w="11906" w:h="16838"/>
          <w:pgMar w:top="1134" w:right="1134" w:bottom="1134" w:left="1134" w:header="958" w:footer="737" w:gutter="0"/>
          <w:cols w:space="720"/>
          <w:docGrid w:linePitch="245"/>
        </w:sectPr>
      </w:pPr>
    </w:p>
    <w:tbl>
      <w:tblPr>
        <w:tblW w:w="9087" w:type="dxa"/>
        <w:tblInd w:w="80" w:type="dxa"/>
        <w:tblLayout w:type="fixed"/>
        <w:tblLook w:val="04A0" w:firstRow="1" w:lastRow="0" w:firstColumn="1" w:lastColumn="0" w:noHBand="0" w:noVBand="1"/>
      </w:tblPr>
      <w:tblGrid>
        <w:gridCol w:w="4803"/>
        <w:gridCol w:w="956"/>
        <w:gridCol w:w="239"/>
        <w:gridCol w:w="840"/>
        <w:gridCol w:w="239"/>
        <w:gridCol w:w="841"/>
        <w:gridCol w:w="239"/>
        <w:gridCol w:w="930"/>
      </w:tblGrid>
      <w:tr w:rsidR="003E6989" w:rsidTr="006A5410">
        <w:trPr>
          <w:trHeight w:val="227"/>
        </w:trPr>
        <w:tc>
          <w:tcPr>
            <w:tcW w:w="4753"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lastRenderedPageBreak/>
              <w:t> </w:t>
            </w:r>
          </w:p>
        </w:tc>
        <w:tc>
          <w:tcPr>
            <w:tcW w:w="946"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2015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2016 Original Budget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Variance</w:t>
            </w:r>
          </w:p>
        </w:tc>
      </w:tr>
      <w:bookmarkEnd w:id="35"/>
      <w:tr w:rsidR="003E6989" w:rsidTr="006A5410">
        <w:trPr>
          <w:trHeight w:val="227"/>
        </w:trPr>
        <w:tc>
          <w:tcPr>
            <w:tcW w:w="4753"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946"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CONTRIBUTED EQUITY</w:t>
            </w:r>
          </w:p>
        </w:tc>
        <w:tc>
          <w:tcPr>
            <w:tcW w:w="946"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Opening balance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Balance carried forward from previous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134,848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95,137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81,567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53,281</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Adjustment for rounding</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Adjusted opening balance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134,847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95,137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81,567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53,280</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Transactions with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Distributions to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Returns of capital:</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Restructuring (Note 8.1A)</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24,557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Contributions by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Equity injection - Appropriation</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10,438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3,489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8,465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1,973</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Departmental capital budget</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22,177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18,686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22,177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Restructuring (Note 8.1A)</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3,648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(7,021)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3,648</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transactions with owners</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36,263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39,711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30,642</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5,621</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Closing balance as at 30 June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171,110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134,848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112,209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58,901</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RETAINED EARNINGS</w:t>
            </w:r>
          </w:p>
        </w:tc>
        <w:tc>
          <w:tcPr>
            <w:tcW w:w="946"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Opening balance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Balance carried forward from previous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(46,130)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(22,538)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(1,422)</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(44,708)</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Adjustment for rounding</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Adjusted opening balance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(46,134)</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(22,535)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(1,422)</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(44,712)</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Comprehensive income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Surplus (Deficit) for the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(21,055)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(23,595)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10,124</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comprehensive income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(21,055)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(23,595)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10,124</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Closing balance as at 30 June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(67,189)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(46,130)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(32,601)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(34,588)</w:t>
            </w:r>
          </w:p>
        </w:tc>
      </w:tr>
      <w:tr w:rsidR="003E6989" w:rsidTr="006A5410">
        <w:trPr>
          <w:trHeight w:val="227"/>
        </w:trPr>
        <w:tc>
          <w:tcPr>
            <w:tcW w:w="4753"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ASSET REVALUATION RESERVES</w:t>
            </w:r>
          </w:p>
        </w:tc>
        <w:tc>
          <w:tcPr>
            <w:tcW w:w="946"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Opening balance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Balance carried forward from previous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433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433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Adjusted opening balance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433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433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Comprehensive income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 w:val="20"/>
              </w:rPr>
            </w:pPr>
            <w:r>
              <w:rPr>
                <w:rFonts w:ascii="Arial" w:hAnsi="Arial" w:cs="Arial"/>
                <w:sz w:val="20"/>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Other comprehensive income - changes in reserve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5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(379)</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comprehensive income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(379)</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Closing balance as at 30 June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59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433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(374)</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EQUITY</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Opening balance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Balance carried forward from previous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89,156</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73,032</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80,578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8,578</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Adjustment for rounding</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Adjusted opening balance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89,151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73,035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80,578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8,573</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Comprehensive income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Other comprehensive income - changes in reserve</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(379)</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Surplus (Deficit) for the period</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(21,055)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(23,595)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10,124</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comprehensive income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(21,434)</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(23,590)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(31,179)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9,745</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Transactions with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Distributions to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Returns of capital:</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4753"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Restructuring (Note 8.1A)</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24,557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Contributions by owners</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Equity injection - Appropriation</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10,438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3,489</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8,465</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1,973</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Departmental capital budget</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22,177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18,686</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22,177</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4753"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Restructuring (Note 8.1A)</w:t>
            </w:r>
          </w:p>
        </w:tc>
        <w:tc>
          <w:tcPr>
            <w:tcW w:w="94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3,648</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(7,021)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3,648</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transactions with owners</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36,263</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39,711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30,642</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5,621</w:t>
            </w:r>
          </w:p>
        </w:tc>
      </w:tr>
      <w:tr w:rsidR="003E6989" w:rsidTr="006A5410">
        <w:trPr>
          <w:trHeight w:val="227"/>
        </w:trPr>
        <w:tc>
          <w:tcPr>
            <w:tcW w:w="4753"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Closing balance as at 30 June</w:t>
            </w:r>
          </w:p>
        </w:tc>
        <w:tc>
          <w:tcPr>
            <w:tcW w:w="94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103,980</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89,156</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83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80,041</w:t>
            </w:r>
          </w:p>
        </w:tc>
        <w:tc>
          <w:tcPr>
            <w:tcW w:w="23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920"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23,939</w:t>
            </w:r>
          </w:p>
        </w:tc>
      </w:tr>
    </w:tbl>
    <w:p w:rsidR="003E6989" w:rsidRDefault="003E6989" w:rsidP="003E6989">
      <w:pPr>
        <w:spacing w:line="240" w:lineRule="auto"/>
      </w:pPr>
      <w:bookmarkStart w:id="36" w:name="RANGE!E7:L113"/>
      <w:bookmarkStart w:id="37" w:name="RANGE!E7:L118"/>
      <w:bookmarkStart w:id="38" w:name="RANGE!E7:L111"/>
      <w:bookmarkStart w:id="39" w:name="RANGE!E7:L104"/>
      <w:bookmarkStart w:id="40" w:name="RANGE!E7:J104"/>
      <w:bookmarkStart w:id="41" w:name="RANGE!E7:J105"/>
      <w:bookmarkStart w:id="42" w:name="RANGE!E7:H105"/>
      <w:bookmarkStart w:id="43" w:name="RANGE!E7:H103"/>
      <w:bookmarkStart w:id="44" w:name="RANGE!E7:H111"/>
      <w:bookmarkStart w:id="45" w:name="RANGE!D6:H57"/>
      <w:bookmarkStart w:id="46" w:name="RANGE!D6:D57"/>
      <w:bookmarkStart w:id="47" w:name="RANGE!D6:D56"/>
      <w:bookmarkStart w:id="48" w:name="RANGE!D6:H53"/>
      <w:bookmarkStart w:id="49" w:name="RANGE!D6:H43"/>
      <w:bookmarkStart w:id="50" w:name="RANGE!D6:H44"/>
      <w:bookmarkStart w:id="51" w:name="RANGE!E7:M33"/>
      <w:bookmarkStart w:id="52" w:name="RANGE!E7:M32"/>
      <w:bookmarkStart w:id="53" w:name="RANGE!E6:M31"/>
      <w:bookmarkStart w:id="54" w:name="RANGE!E6:M30"/>
      <w:bookmarkStart w:id="55" w:name="RANGE!E6:M35"/>
      <w:bookmarkStart w:id="56" w:name="RANGE!E6:E37"/>
      <w:bookmarkStart w:id="57" w:name="RANGE!E6:M3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br w:type="page"/>
      </w:r>
    </w:p>
    <w:p w:rsidR="003E6989" w:rsidRDefault="003E6989" w:rsidP="003E6989">
      <w:pPr>
        <w:pStyle w:val="PolicyTextboxbold"/>
      </w:pPr>
      <w:r w:rsidRPr="00C85147">
        <w:lastRenderedPageBreak/>
        <w:t>Accounting Policy</w:t>
      </w:r>
    </w:p>
    <w:p w:rsidR="003E6989" w:rsidRDefault="003E6989" w:rsidP="003E6989">
      <w:pPr>
        <w:pStyle w:val="PolicyTextboxbold"/>
      </w:pPr>
      <w:r>
        <w:t>Transactions with the Government as Owner</w:t>
      </w:r>
    </w:p>
    <w:p w:rsidR="003E6989" w:rsidRPr="00BC79B6" w:rsidRDefault="003E6989" w:rsidP="003E6989">
      <w:pPr>
        <w:pStyle w:val="PolicyTextdeptunderline"/>
      </w:pPr>
      <w:r w:rsidRPr="00BC79B6">
        <w:t>Equity injections</w:t>
      </w:r>
    </w:p>
    <w:p w:rsidR="003E6989" w:rsidRPr="00075D25" w:rsidRDefault="003E6989" w:rsidP="003E6989">
      <w:pPr>
        <w:pStyle w:val="PolicytextDept"/>
      </w:pPr>
      <w:r w:rsidRPr="00075D25">
        <w:t>Amounts appropriated which are designated as ‘equity injections’ for a year (less any formal reductions) and Departmental Capital Budgets (DCBs) are recognised directly in contributed equity in that year.</w:t>
      </w:r>
    </w:p>
    <w:p w:rsidR="003E6989" w:rsidRPr="00BC79B6" w:rsidRDefault="003E6989" w:rsidP="003E6989">
      <w:pPr>
        <w:pStyle w:val="PolicyTextdeptunderline"/>
      </w:pPr>
      <w:r w:rsidRPr="00BC79B6">
        <w:t>Restructuring of administrative arrangements</w:t>
      </w:r>
    </w:p>
    <w:p w:rsidR="003E6989" w:rsidRDefault="003E6989" w:rsidP="003E6989">
      <w:pPr>
        <w:pStyle w:val="PolicytextDept"/>
      </w:pPr>
      <w:r>
        <w:t xml:space="preserve">Net assets received from, or relinquished to, </w:t>
      </w:r>
      <w:r w:rsidRPr="00075D25">
        <w:t>another Australian Government entity under a restructuring of administrative arrangements are adjusted at their book value direc</w:t>
      </w:r>
      <w:r>
        <w:t>tly against contributed equity.</w:t>
      </w:r>
    </w:p>
    <w:p w:rsidR="003E6989" w:rsidRDefault="003E6989" w:rsidP="003E6989">
      <w:pPr>
        <w:spacing w:line="240" w:lineRule="auto"/>
      </w:pPr>
    </w:p>
    <w:p w:rsidR="003E6989" w:rsidRDefault="003E6989" w:rsidP="003E6989">
      <w:pPr>
        <w:spacing w:line="240" w:lineRule="auto"/>
      </w:pPr>
    </w:p>
    <w:p w:rsidR="003E6989" w:rsidRDefault="003E6989" w:rsidP="003E6989">
      <w:pPr>
        <w:spacing w:line="240" w:lineRule="auto"/>
        <w:sectPr w:rsidR="003E6989" w:rsidSect="00403CAE">
          <w:type w:val="continuous"/>
          <w:pgSz w:w="11906" w:h="16838"/>
          <w:pgMar w:top="1134" w:right="1134" w:bottom="1134" w:left="1134" w:header="958" w:footer="737" w:gutter="0"/>
          <w:cols w:space="720"/>
          <w:docGrid w:linePitch="245"/>
        </w:sectPr>
      </w:pPr>
    </w:p>
    <w:p w:rsidR="00403CAE" w:rsidRDefault="00403CAE" w:rsidP="00E011FB">
      <w:pPr>
        <w:pStyle w:val="Heading1"/>
        <w:spacing w:after="0"/>
      </w:pPr>
      <w:bookmarkStart w:id="58" w:name="_Toc464726274"/>
      <w:bookmarkStart w:id="59" w:name="_Toc464726556"/>
      <w:bookmarkStart w:id="60" w:name="_Toc464726610"/>
      <w:bookmarkStart w:id="61" w:name="Note_DCFTABLE1" w:colFirst="0" w:colLast="0"/>
      <w:r>
        <w:lastRenderedPageBreak/>
        <w:t>Department of Education and Training</w:t>
      </w:r>
      <w:r>
        <w:br/>
        <w:t>STATEMENT OF CASH FLOWS</w:t>
      </w:r>
      <w:r>
        <w:br/>
        <w:t>for the period ended 30 June 2016</w:t>
      </w:r>
      <w:bookmarkEnd w:id="58"/>
      <w:bookmarkEnd w:id="59"/>
      <w:bookmarkEnd w:id="60"/>
    </w:p>
    <w:p w:rsidR="00403CAE" w:rsidRDefault="00403CAE" w:rsidP="006A5410">
      <w:pPr>
        <w:rPr>
          <w:rFonts w:cs="Calibri"/>
          <w:szCs w:val="18"/>
        </w:rPr>
        <w:sectPr w:rsidR="00403CAE" w:rsidSect="006A5410">
          <w:headerReference w:type="default" r:id="rId20"/>
          <w:pgSz w:w="11906" w:h="16838"/>
          <w:pgMar w:top="1134" w:right="1134" w:bottom="1134" w:left="1134" w:header="958" w:footer="737" w:gutter="0"/>
          <w:cols w:space="720"/>
        </w:sectPr>
      </w:pPr>
    </w:p>
    <w:tbl>
      <w:tblPr>
        <w:tblW w:w="0" w:type="auto"/>
        <w:tblInd w:w="80" w:type="dxa"/>
        <w:tblLook w:val="04A0" w:firstRow="1" w:lastRow="0" w:firstColumn="1" w:lastColumn="0" w:noHBand="0" w:noVBand="1"/>
      </w:tblPr>
      <w:tblGrid>
        <w:gridCol w:w="4238"/>
        <w:gridCol w:w="657"/>
        <w:gridCol w:w="831"/>
        <w:gridCol w:w="257"/>
        <w:gridCol w:w="827"/>
        <w:gridCol w:w="257"/>
        <w:gridCol w:w="1595"/>
        <w:gridCol w:w="257"/>
        <w:gridCol w:w="855"/>
      </w:tblGrid>
      <w:tr w:rsidR="003E6989" w:rsidTr="00E011FB">
        <w:trPr>
          <w:trHeight w:val="720"/>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lastRenderedPageBreak/>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2016 Original Budget</w:t>
            </w:r>
            <w:r w:rsidRPr="00AD5525">
              <w:rPr>
                <w:rFonts w:cs="Calibri"/>
                <w:szCs w:val="18"/>
                <w:vertAlign w:val="superscript"/>
              </w:rPr>
              <w:t>1</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Variance</w:t>
            </w:r>
          </w:p>
        </w:tc>
      </w:tr>
      <w:bookmarkEnd w:id="61"/>
      <w:tr w:rsidR="003E6989" w:rsidTr="00E011FB">
        <w:trPr>
          <w:trHeight w:val="255"/>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Notes</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OPERATING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336,174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307,355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257,672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78,502</w:t>
            </w:r>
            <w:r w:rsidRPr="00AD5525">
              <w:rPr>
                <w:rFonts w:cs="Calibri"/>
                <w:szCs w:val="18"/>
                <w:vertAlign w:val="superscript"/>
              </w:rPr>
              <w:t>8</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Sale of goods and rendering of services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17,340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40,737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17,970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(630)</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Net GST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7,017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5,712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7,017</w:t>
            </w:r>
            <w:r w:rsidRPr="00AD5525">
              <w:rPr>
                <w:rFonts w:cs="Calibri"/>
                <w:szCs w:val="18"/>
                <w:vertAlign w:val="superscript"/>
              </w:rPr>
              <w:t>9</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12,839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9,922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2,850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9,989</w:t>
            </w:r>
            <w:r w:rsidRPr="00AD5525">
              <w:rPr>
                <w:rFonts w:cs="Calibri"/>
                <w:szCs w:val="18"/>
                <w:vertAlign w:val="superscript"/>
              </w:rPr>
              <w:t>10</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373,370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363,726</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278,492</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94,878</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used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40"/>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Employee benefits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211,878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215,581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197,355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14,523</w:t>
            </w:r>
            <w:r w:rsidRPr="00AD5525">
              <w:rPr>
                <w:rFonts w:cs="Calibri"/>
                <w:szCs w:val="18"/>
                <w:vertAlign w:val="superscript"/>
              </w:rPr>
              <w:t>2</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Supplier expenses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133,176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100,903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78,563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54,613</w:t>
            </w:r>
            <w:r w:rsidRPr="00AD5525">
              <w:rPr>
                <w:rFonts w:cs="Calibri"/>
                <w:szCs w:val="18"/>
                <w:vertAlign w:val="superscript"/>
              </w:rPr>
              <w:t>3</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Grants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629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629</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Section 74 receipts transferred to the OPA</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30,665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47,837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30,665</w:t>
            </w:r>
            <w:r w:rsidRPr="00AD5525">
              <w:rPr>
                <w:rFonts w:cs="Calibri"/>
                <w:szCs w:val="18"/>
                <w:vertAlign w:val="superscript"/>
              </w:rPr>
              <w:t>8</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cash used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376,348</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364,578</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275,918</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100,430</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E011FB">
        <w:trPr>
          <w:trHeight w:val="270"/>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cash from (used by) operating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5.5A</w:t>
            </w:r>
          </w:p>
        </w:tc>
        <w:tc>
          <w:tcPr>
            <w:tcW w:w="0" w:type="auto"/>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(2,978)</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(852)</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2,574</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(5,552)</w:t>
            </w:r>
          </w:p>
        </w:tc>
      </w:tr>
      <w:tr w:rsidR="003E6989" w:rsidTr="00E011FB">
        <w:trPr>
          <w:trHeight w:val="218"/>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INVESTING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480"/>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Proceeds from sales of infrastructure, plant and equipment</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23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735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735</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w:t>
            </w:r>
          </w:p>
        </w:tc>
      </w:tr>
      <w:tr w:rsidR="003E6989" w:rsidTr="00E011FB">
        <w:trPr>
          <w:trHeight w:val="255"/>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used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Purchase of infrastructure, plant and equipment</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3,427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3,985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7,174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(3,747)</w:t>
            </w:r>
            <w:r w:rsidRPr="00AD5525">
              <w:rPr>
                <w:rFonts w:cs="Calibri"/>
                <w:szCs w:val="18"/>
                <w:vertAlign w:val="superscript"/>
              </w:rPr>
              <w:t>6</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Purchase / development of intangibles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23,386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16,790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18,659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4,727</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Purchase of land and buildings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1,387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2,041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7,383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(5,996)</w:t>
            </w:r>
            <w:r w:rsidRPr="00AD5525">
              <w:rPr>
                <w:rFonts w:cs="Calibri"/>
                <w:szCs w:val="18"/>
                <w:vertAlign w:val="superscript"/>
              </w:rPr>
              <w:t>6</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cash used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28,200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22,816</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33,216</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(5,016)</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E011FB">
        <w:trPr>
          <w:trHeight w:val="270"/>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cash from (used by) investing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(28,177)</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(22,081)</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(33,216)</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5,039</w:t>
            </w:r>
          </w:p>
        </w:tc>
      </w:tr>
      <w:tr w:rsidR="003E6989" w:rsidTr="00E011FB">
        <w:trPr>
          <w:trHeight w:val="192"/>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Contributed equity - capital injections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8,023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3,836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8,465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(442)</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Contributed equity - capital budget</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19,447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18,299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22,177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(2,730)</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from restructuring</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2,186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cash received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27,470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24,321</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30,642</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(3,172)</w:t>
            </w:r>
          </w:p>
        </w:tc>
      </w:tr>
      <w:tr w:rsidR="003E6989" w:rsidTr="00E011FB">
        <w:trPr>
          <w:trHeight w:val="218"/>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E011FB">
        <w:trPr>
          <w:trHeight w:val="270"/>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cash from (used by) financing activities</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27,470</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24,321</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30,642</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(3,172)</w:t>
            </w:r>
          </w:p>
        </w:tc>
      </w:tr>
      <w:tr w:rsidR="003E6989" w:rsidTr="00E011FB">
        <w:trPr>
          <w:trHeight w:val="218"/>
        </w:trPr>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E011FB">
        <w:trPr>
          <w:trHeight w:val="25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increase (decrease) in cash held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(3,685)</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1,388</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(3,685)</w:t>
            </w:r>
          </w:p>
        </w:tc>
      </w:tr>
      <w:tr w:rsidR="003E6989" w:rsidTr="00E011FB">
        <w:trPr>
          <w:trHeight w:val="480"/>
        </w:trPr>
        <w:tc>
          <w:tcPr>
            <w:tcW w:w="0" w:type="auto"/>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and cash equivalents at the beginning of the reporting period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9,817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8,429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8,429 </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1,388</w:t>
            </w:r>
          </w:p>
        </w:tc>
      </w:tr>
      <w:tr w:rsidR="003E6989" w:rsidTr="00E011FB">
        <w:trPr>
          <w:trHeight w:val="495"/>
        </w:trPr>
        <w:tc>
          <w:tcPr>
            <w:tcW w:w="0" w:type="auto"/>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Cash and cash equivalents at the end of the reporting period</w:t>
            </w:r>
          </w:p>
        </w:tc>
        <w:tc>
          <w:tcPr>
            <w:tcW w:w="0" w:type="auto"/>
            <w:tcBorders>
              <w:top w:val="nil"/>
              <w:left w:val="nil"/>
              <w:bottom w:val="nil"/>
              <w:right w:val="nil"/>
            </w:tcBorders>
            <w:shd w:val="clear" w:color="FFFFFF" w:fill="FFFFFF"/>
            <w:noWrap/>
            <w:vAlign w:val="bottom"/>
            <w:hideMark/>
          </w:tcPr>
          <w:p w:rsidR="003E6989" w:rsidRDefault="003E6989" w:rsidP="006A5410">
            <w:pPr>
              <w:jc w:val="center"/>
              <w:rPr>
                <w:rFonts w:cs="Calibri"/>
                <w:szCs w:val="18"/>
              </w:rPr>
            </w:pPr>
            <w:r>
              <w:rPr>
                <w:rFonts w:cs="Calibri"/>
                <w:szCs w:val="18"/>
              </w:rPr>
              <w:t>3.1A</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6,132</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9,817</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8,429</w:t>
            </w:r>
          </w:p>
        </w:tc>
        <w:tc>
          <w:tcPr>
            <w:tcW w:w="0" w:type="auto"/>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0" w:type="auto"/>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(2,297)</w:t>
            </w:r>
          </w:p>
        </w:tc>
      </w:tr>
    </w:tbl>
    <w:p w:rsidR="003E6989" w:rsidRDefault="003E6989" w:rsidP="003E6989">
      <w:pPr>
        <w:spacing w:line="240" w:lineRule="auto"/>
        <w:sectPr w:rsidR="003E6989" w:rsidSect="00403CAE">
          <w:type w:val="continuous"/>
          <w:pgSz w:w="11906" w:h="16838"/>
          <w:pgMar w:top="1134" w:right="1134" w:bottom="1134" w:left="1134" w:header="958" w:footer="737" w:gutter="0"/>
          <w:cols w:space="720"/>
        </w:sectPr>
      </w:pPr>
      <w:bookmarkStart w:id="62" w:name="RANGE!E7:I57"/>
      <w:bookmarkEnd w:id="62"/>
    </w:p>
    <w:p w:rsidR="00403CAE" w:rsidRDefault="00403CAE" w:rsidP="00403CAE">
      <w:pPr>
        <w:pStyle w:val="Heading1"/>
      </w:pPr>
      <w:bookmarkStart w:id="63" w:name="RANGE!E6:I53"/>
      <w:bookmarkStart w:id="64" w:name="RANGE!E6:I52"/>
      <w:bookmarkStart w:id="65" w:name="RANGE!E6:I59"/>
      <w:bookmarkStart w:id="66" w:name="RANGE!E6:E65"/>
      <w:bookmarkStart w:id="67" w:name="RANGE!E6:I65"/>
      <w:bookmarkStart w:id="68" w:name="RANGE!E6:E64"/>
      <w:bookmarkStart w:id="69" w:name="RANGE!E6:I64"/>
      <w:bookmarkStart w:id="70" w:name="RANGE!D7:G50"/>
      <w:bookmarkStart w:id="71" w:name="RANGE!D7:G52"/>
      <w:bookmarkStart w:id="72" w:name="RANGE!D7:G63"/>
      <w:bookmarkStart w:id="73" w:name="RANGE!D7:G62"/>
      <w:bookmarkStart w:id="74" w:name="RANGE!D6:G63"/>
      <w:bookmarkStart w:id="75" w:name="RANGE!D6:H55"/>
      <w:bookmarkStart w:id="76" w:name="RANGE!D6:G59"/>
      <w:bookmarkStart w:id="77" w:name="RANGE!D6:D62"/>
      <w:bookmarkStart w:id="78" w:name="RANGE!D6:G62"/>
      <w:bookmarkStart w:id="79" w:name="_Toc464726275"/>
      <w:bookmarkStart w:id="80" w:name="_Toc464726557"/>
      <w:bookmarkStart w:id="81" w:name="_Toc46472661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Department of Education and Training</w:t>
      </w:r>
      <w:r>
        <w:br/>
        <w:t>BUDGETARY REPORTING</w:t>
      </w:r>
      <w:r>
        <w:br/>
        <w:t>for the period ended 30 June 2016</w:t>
      </w:r>
      <w:bookmarkEnd w:id="79"/>
      <w:bookmarkEnd w:id="80"/>
      <w:bookmarkEnd w:id="81"/>
    </w:p>
    <w:p w:rsidR="003E6989" w:rsidRPr="003D2D21" w:rsidRDefault="003E6989" w:rsidP="003E6989">
      <w:pPr>
        <w:spacing w:line="240" w:lineRule="auto"/>
      </w:pPr>
    </w:p>
    <w:p w:rsidR="003E6989" w:rsidRPr="00C85147" w:rsidRDefault="003E6989" w:rsidP="003E6989">
      <w:pPr>
        <w:pStyle w:val="PolicyTextboxbold"/>
      </w:pPr>
      <w:r w:rsidRPr="00C85147">
        <w:t>Budget Variances Commentary</w:t>
      </w:r>
    </w:p>
    <w:p w:rsidR="003E6989" w:rsidRPr="00C85147" w:rsidRDefault="003E6989" w:rsidP="003E6989">
      <w:pPr>
        <w:pStyle w:val="PolicyTextboxbold"/>
      </w:pPr>
      <w:r>
        <w:t>Departmental variances</w:t>
      </w:r>
    </w:p>
    <w:p w:rsidR="003E6989" w:rsidRDefault="003E6989" w:rsidP="003E6989">
      <w:pPr>
        <w:pStyle w:val="PolicytextDept"/>
      </w:pPr>
      <w:r>
        <w:t xml:space="preserve">Variance explanations are provided for departmental variances greater than 5 percent and $5 million. </w:t>
      </w:r>
    </w:p>
    <w:p w:rsidR="003E6989" w:rsidRPr="00A53529" w:rsidRDefault="003E6989" w:rsidP="003E6989">
      <w:pPr>
        <w:pStyle w:val="PolicytextDept"/>
      </w:pPr>
      <w:r w:rsidRPr="00A53529">
        <w:rPr>
          <w:vertAlign w:val="superscript"/>
        </w:rPr>
        <w:t>1</w:t>
      </w:r>
      <w:r>
        <w:rPr>
          <w:vertAlign w:val="superscript"/>
        </w:rPr>
        <w:t xml:space="preserve"> </w:t>
      </w:r>
      <w:r>
        <w:t xml:space="preserve">The 2015-2016 Education Portfolio Budget Statements (PBS) as presented to Parliament contains the Original Budget. The PBS was completed prior to the finalisation of the 2014-15 Financial Statements. It is noted, during 2015-16 the Administrative Arrangements Order (AAO) of 21 September 2015 transferred the Early Childhood Education and Care functions from the Department of Social Services (DSS). </w:t>
      </w:r>
    </w:p>
    <w:p w:rsidR="003E6989" w:rsidRPr="009E4C13" w:rsidRDefault="003E6989" w:rsidP="003E6989">
      <w:pPr>
        <w:pStyle w:val="PolicytextDept"/>
      </w:pPr>
      <w:r w:rsidRPr="00A53529">
        <w:rPr>
          <w:vertAlign w:val="superscript"/>
        </w:rPr>
        <w:t>2</w:t>
      </w:r>
      <w:r>
        <w:rPr>
          <w:vertAlign w:val="superscript"/>
        </w:rPr>
        <w:t xml:space="preserve"> </w:t>
      </w:r>
      <w:r>
        <w:t xml:space="preserve">Employee Benefits are higher than anticipated due to additional staff being transferred from DSS. The Enterprise Agreement was agreed during the year with a portion of staff receiving additional salary in the last quarter of the 2016 financial year as well as staff taking additional leave. This has had a flow on affect to Employee Provisions with a lower than anticipated total due to increased leave taken and additional cash paid out. </w:t>
      </w:r>
    </w:p>
    <w:p w:rsidR="003E6989" w:rsidRPr="009E4C13" w:rsidRDefault="003E6989" w:rsidP="003E6989">
      <w:pPr>
        <w:pStyle w:val="PolicytextDept"/>
      </w:pPr>
      <w:r w:rsidRPr="00A53529">
        <w:rPr>
          <w:vertAlign w:val="superscript"/>
        </w:rPr>
        <w:t>3</w:t>
      </w:r>
      <w:r>
        <w:rPr>
          <w:vertAlign w:val="superscript"/>
        </w:rPr>
        <w:t xml:space="preserve"> </w:t>
      </w:r>
      <w:r>
        <w:t xml:space="preserve">Supplier Expenses are higher than anticipated due to increased expenditure on contractors, consultants and IT Services. These were predominantly a result of a greater number of projects requiring external consultancy and the provision of reports and advice. Throughout the year there were a number of changes to the percentage ownership of the Shared Services Centre (SSC). This increased expenditure has had a flow on effect to supplier cash paid and supplier payables. </w:t>
      </w:r>
    </w:p>
    <w:p w:rsidR="003E6989" w:rsidRPr="008E260C" w:rsidRDefault="003E6989" w:rsidP="003E6989">
      <w:pPr>
        <w:pStyle w:val="PolicytextDept"/>
      </w:pPr>
      <w:r w:rsidRPr="00A53529">
        <w:rPr>
          <w:vertAlign w:val="superscript"/>
        </w:rPr>
        <w:t>4</w:t>
      </w:r>
      <w:r>
        <w:rPr>
          <w:vertAlign w:val="superscript"/>
        </w:rPr>
        <w:t xml:space="preserve"> </w:t>
      </w:r>
      <w:r>
        <w:t xml:space="preserve">Sale of goods and rendering of services is $8.916 million higher than anticipated at the 2015-16 Budget. This is due to revenue received for the Unique Student Identifier Special Account. </w:t>
      </w:r>
    </w:p>
    <w:p w:rsidR="003E6989" w:rsidRPr="008E260C" w:rsidRDefault="003E6989" w:rsidP="003E6989">
      <w:pPr>
        <w:pStyle w:val="PolicytextDept"/>
      </w:pPr>
      <w:r w:rsidRPr="00A53529">
        <w:rPr>
          <w:vertAlign w:val="superscript"/>
        </w:rPr>
        <w:t>5</w:t>
      </w:r>
      <w:r>
        <w:rPr>
          <w:vertAlign w:val="superscript"/>
        </w:rPr>
        <w:t xml:space="preserve"> </w:t>
      </w:r>
      <w:r>
        <w:t xml:space="preserve">Revenue from Government is higher than at PBS due to $44 million received from DSS as well as additional funding received in Appropriation Act 3 and Appropriation Act 4 at PAES. This is similarly reflected in the higher than anticipated Trade and Other Receivables. </w:t>
      </w:r>
    </w:p>
    <w:p w:rsidR="003E6989" w:rsidRPr="00652673" w:rsidRDefault="003E6989" w:rsidP="003E6989">
      <w:pPr>
        <w:pStyle w:val="PolicytextDept"/>
      </w:pPr>
      <w:r w:rsidRPr="00A53529">
        <w:rPr>
          <w:vertAlign w:val="superscript"/>
        </w:rPr>
        <w:t>6</w:t>
      </w:r>
      <w:r>
        <w:rPr>
          <w:vertAlign w:val="superscript"/>
        </w:rPr>
        <w:t xml:space="preserve"> </w:t>
      </w:r>
      <w:r>
        <w:t xml:space="preserve">The lower than expected level of non-financial assets is attributable to fewer capital purchases made throughout the year. There was a revaluation of all assets excluding intangibles prior to 30 June which resulted in an overall revaluation decrement for the department. The change in percentage ownership of the SSC assets also impacts these figures. There was a significant impairment of over $2 million for an intangible asset. The total movement is also reflected in lower cash being used than budgeted for. </w:t>
      </w:r>
    </w:p>
    <w:p w:rsidR="003E6989" w:rsidRPr="001D3F7E" w:rsidRDefault="003E6989" w:rsidP="003E6989">
      <w:pPr>
        <w:pStyle w:val="PolicytextDept"/>
      </w:pPr>
      <w:r w:rsidRPr="00A53529">
        <w:rPr>
          <w:vertAlign w:val="superscript"/>
        </w:rPr>
        <w:t>7</w:t>
      </w:r>
      <w:r>
        <w:rPr>
          <w:vertAlign w:val="superscript"/>
        </w:rPr>
        <w:t xml:space="preserve"> </w:t>
      </w:r>
      <w:r>
        <w:t>The movements in Equity are primarily a result of the opening balance discrepancies. These are caused by the PBS being released and prepared prior to the finalisation of the 2014-15 financial statements which included the finalisation of a number of machinery of government changes. There was a further machinery of government change in 2015-16.</w:t>
      </w:r>
    </w:p>
    <w:p w:rsidR="003E6989" w:rsidRPr="00281FAE" w:rsidRDefault="003E6989" w:rsidP="003E6989">
      <w:pPr>
        <w:pStyle w:val="PolicytextDept"/>
      </w:pPr>
      <w:r w:rsidRPr="00A53529">
        <w:rPr>
          <w:vertAlign w:val="superscript"/>
        </w:rPr>
        <w:t>8</w:t>
      </w:r>
      <w:r>
        <w:rPr>
          <w:vertAlign w:val="superscript"/>
        </w:rPr>
        <w:t xml:space="preserve"> </w:t>
      </w:r>
      <w:r>
        <w:t xml:space="preserve">The Appropriation received and Cash used for Section 74 separate the Section 74 transfers to the Official Public Account which are presented on a net basis in the PBS. Appropriation received is also significantly different than budgeted due to the receipt of funds from DSS. </w:t>
      </w:r>
    </w:p>
    <w:p w:rsidR="003E6989" w:rsidRPr="007C0B72" w:rsidRDefault="003E6989" w:rsidP="003E6989">
      <w:pPr>
        <w:pStyle w:val="PolicytextDept"/>
      </w:pPr>
      <w:r w:rsidRPr="00A53529">
        <w:rPr>
          <w:vertAlign w:val="superscript"/>
        </w:rPr>
        <w:t>9</w:t>
      </w:r>
      <w:r>
        <w:rPr>
          <w:vertAlign w:val="superscript"/>
        </w:rPr>
        <w:t xml:space="preserve"> </w:t>
      </w:r>
      <w:r>
        <w:t xml:space="preserve">Net GST received is not disclosed separately in the Budget estimate. </w:t>
      </w:r>
    </w:p>
    <w:p w:rsidR="003E6989" w:rsidRPr="007C0B72" w:rsidRDefault="003E6989" w:rsidP="003E6989">
      <w:pPr>
        <w:pStyle w:val="PolicytextDept"/>
      </w:pPr>
      <w:r>
        <w:rPr>
          <w:vertAlign w:val="superscript"/>
        </w:rPr>
        <w:t xml:space="preserve">10 </w:t>
      </w:r>
      <w:r>
        <w:t xml:space="preserve">Other Cash received is predominantly due to the increase in ownership of the SSC revenues. The majority is due to an increase in sublease revenues. There has been an additional letting of space by the Department to the DTO and the AEC throughout 2015-16. </w:t>
      </w:r>
    </w:p>
    <w:p w:rsidR="003E6989" w:rsidRDefault="003E6989" w:rsidP="003E6989">
      <w:pPr>
        <w:pStyle w:val="PolicytextDept"/>
      </w:pPr>
    </w:p>
    <w:p w:rsidR="003E6989" w:rsidRPr="003D2D21" w:rsidRDefault="003E6989" w:rsidP="003E6989">
      <w:pPr>
        <w:rPr>
          <w:lang w:eastAsia="en-AU"/>
        </w:rPr>
        <w:sectPr w:rsidR="003E6989" w:rsidRPr="003D2D21" w:rsidSect="006A5410">
          <w:headerReference w:type="default" r:id="rId21"/>
          <w:footerReference w:type="default" r:id="rId22"/>
          <w:type w:val="continuous"/>
          <w:pgSz w:w="11906" w:h="16838"/>
          <w:pgMar w:top="1134" w:right="1134" w:bottom="1134" w:left="1134" w:header="958" w:footer="737" w:gutter="0"/>
          <w:cols w:space="720"/>
        </w:sectPr>
      </w:pPr>
    </w:p>
    <w:p w:rsidR="00403CAE" w:rsidRDefault="00403CAE" w:rsidP="00403CAE">
      <w:pPr>
        <w:pStyle w:val="Heading1"/>
      </w:pPr>
      <w:bookmarkStart w:id="82" w:name="_Toc464726276"/>
      <w:bookmarkStart w:id="83" w:name="_Toc464726558"/>
      <w:bookmarkStart w:id="84" w:name="_Toc464726612"/>
      <w:bookmarkStart w:id="85" w:name="Note_APLTABLE1" w:colFirst="0" w:colLast="0"/>
      <w:r>
        <w:lastRenderedPageBreak/>
        <w:t>Department of Education and Training</w:t>
      </w:r>
      <w:r>
        <w:br/>
        <w:t>ADMINISTERED SCHEDULE OF COMPREHENSIVE INCOME</w:t>
      </w:r>
      <w:r>
        <w:br/>
        <w:t>For the period ended 30 June 2016</w:t>
      </w:r>
      <w:bookmarkEnd w:id="82"/>
      <w:bookmarkEnd w:id="83"/>
      <w:bookmarkEnd w:id="84"/>
    </w:p>
    <w:p w:rsidR="00403CAE" w:rsidRDefault="00403CAE" w:rsidP="006A5410">
      <w:pPr>
        <w:rPr>
          <w:rFonts w:ascii="Arial" w:hAnsi="Arial" w:cs="Arial"/>
          <w:sz w:val="16"/>
          <w:szCs w:val="16"/>
        </w:rPr>
        <w:sectPr w:rsidR="00403CAE" w:rsidSect="006A5410">
          <w:headerReference w:type="default" r:id="rId23"/>
          <w:pgSz w:w="11906" w:h="16838"/>
          <w:pgMar w:top="1134" w:right="1134" w:bottom="1134" w:left="1134" w:header="958" w:footer="737" w:gutter="0"/>
          <w:cols w:space="720"/>
        </w:sectPr>
      </w:pPr>
    </w:p>
    <w:tbl>
      <w:tblPr>
        <w:tblW w:w="9087" w:type="dxa"/>
        <w:tblInd w:w="80" w:type="dxa"/>
        <w:tblLayout w:type="fixed"/>
        <w:tblCellMar>
          <w:left w:w="68" w:type="dxa"/>
          <w:right w:w="68" w:type="dxa"/>
        </w:tblCellMar>
        <w:tblLook w:val="04A0" w:firstRow="1" w:lastRow="0" w:firstColumn="1" w:lastColumn="0" w:noHBand="0" w:noVBand="1"/>
      </w:tblPr>
      <w:tblGrid>
        <w:gridCol w:w="3220"/>
        <w:gridCol w:w="669"/>
        <w:gridCol w:w="1151"/>
        <w:gridCol w:w="156"/>
        <w:gridCol w:w="1148"/>
        <w:gridCol w:w="237"/>
        <w:gridCol w:w="1214"/>
        <w:gridCol w:w="237"/>
        <w:gridCol w:w="1055"/>
      </w:tblGrid>
      <w:tr w:rsidR="003E6989" w:rsidTr="006A5410">
        <w:trPr>
          <w:trHeight w:val="480"/>
        </w:trPr>
        <w:tc>
          <w:tcPr>
            <w:tcW w:w="322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lastRenderedPageBreak/>
              <w:t> </w:t>
            </w:r>
          </w:p>
        </w:tc>
        <w:tc>
          <w:tcPr>
            <w:tcW w:w="669"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51" w:type="dxa"/>
            <w:tcBorders>
              <w:top w:val="nil"/>
              <w:left w:val="nil"/>
              <w:bottom w:val="single" w:sz="4" w:space="0" w:color="D9D9D9"/>
              <w:right w:val="single" w:sz="4" w:space="0" w:color="D9D9D9"/>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2016 Original Budget</w:t>
            </w:r>
            <w:r w:rsidRPr="00355D47">
              <w:rPr>
                <w:rFonts w:cs="Calibri"/>
                <w:szCs w:val="18"/>
                <w:vertAlign w:val="superscript"/>
              </w:rPr>
              <w:t>1</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Variance</w:t>
            </w:r>
          </w:p>
        </w:tc>
      </w:tr>
      <w:bookmarkEnd w:id="85"/>
      <w:tr w:rsidR="003E6989" w:rsidTr="006A5410">
        <w:trPr>
          <w:trHeight w:val="255"/>
        </w:trPr>
        <w:tc>
          <w:tcPr>
            <w:tcW w:w="322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69" w:type="dxa"/>
            <w:tcBorders>
              <w:top w:val="nil"/>
              <w:left w:val="nil"/>
              <w:bottom w:val="nil"/>
              <w:right w:val="single" w:sz="4" w:space="0" w:color="D9D9D9"/>
            </w:tcBorders>
            <w:shd w:val="clear" w:color="000000" w:fill="D9D9D9"/>
            <w:vAlign w:val="bottom"/>
            <w:hideMark/>
          </w:tcPr>
          <w:p w:rsidR="003E6989" w:rsidRDefault="003E6989" w:rsidP="006A5410">
            <w:pPr>
              <w:jc w:val="center"/>
              <w:rPr>
                <w:rFonts w:cs="Calibri"/>
                <w:b/>
                <w:bCs/>
                <w:szCs w:val="18"/>
              </w:rPr>
            </w:pPr>
            <w:r>
              <w:rPr>
                <w:rFonts w:cs="Calibri"/>
                <w:b/>
                <w:bCs/>
                <w:szCs w:val="18"/>
              </w:rPr>
              <w:t>Notes</w:t>
            </w:r>
          </w:p>
        </w:tc>
        <w:tc>
          <w:tcPr>
            <w:tcW w:w="1151" w:type="dxa"/>
            <w:tcBorders>
              <w:top w:val="nil"/>
              <w:left w:val="nil"/>
              <w:bottom w:val="single" w:sz="4" w:space="0" w:color="D9D9D9"/>
              <w:right w:val="single" w:sz="4" w:space="0" w:color="D9D9D9"/>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NET COST OF SERVICES</w:t>
            </w:r>
          </w:p>
        </w:tc>
        <w:tc>
          <w:tcPr>
            <w:tcW w:w="669" w:type="dxa"/>
            <w:tcBorders>
              <w:top w:val="nil"/>
              <w:left w:val="nil"/>
              <w:bottom w:val="nil"/>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 </w:t>
            </w:r>
          </w:p>
        </w:tc>
        <w:tc>
          <w:tcPr>
            <w:tcW w:w="1151"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EXPENSES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Supplier expenses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2.1A</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598,827</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338,577</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677,139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(78,312)</w:t>
            </w:r>
            <w:r w:rsidRPr="00355D47">
              <w:rPr>
                <w:rFonts w:cs="Calibri"/>
                <w:szCs w:val="18"/>
                <w:vertAlign w:val="superscript"/>
              </w:rPr>
              <w:t>2</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Subsidies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2.1B</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327,810</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144,309</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417,707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(89,897)</w:t>
            </w:r>
            <w:r w:rsidRPr="00355D47">
              <w:rPr>
                <w:rFonts w:cs="Calibri"/>
                <w:szCs w:val="18"/>
                <w:vertAlign w:val="superscript"/>
              </w:rPr>
              <w:t>3</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Personal benefits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2.1C</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5,092,274</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3,535,096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122,944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4,969,330</w:t>
            </w:r>
            <w:r w:rsidRPr="00355D47">
              <w:rPr>
                <w:rFonts w:cs="Calibri"/>
                <w:szCs w:val="18"/>
                <w:vertAlign w:val="superscript"/>
              </w:rPr>
              <w:t>4</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xml:space="preserve">Grants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2.1D</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25,725,320</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24,410,096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25,504,343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220,977</w:t>
            </w:r>
            <w:r w:rsidRPr="00355D47">
              <w:rPr>
                <w:rFonts w:cs="Calibri"/>
                <w:szCs w:val="18"/>
                <w:vertAlign w:val="superscript"/>
              </w:rPr>
              <w:t>5</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Finance costs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2.1E</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636,237</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801,980</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965,356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(329,119)</w:t>
            </w:r>
            <w:r w:rsidRPr="00355D47">
              <w:rPr>
                <w:rFonts w:cs="Calibri"/>
                <w:szCs w:val="18"/>
                <w:vertAlign w:val="superscript"/>
              </w:rPr>
              <w:t>6</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Write-down and impairment of assets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2.1F</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18,595</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26,237</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18,595</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Payment to Corporate Commonwealth Entities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2.1G</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15,009</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13,370</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14,935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74</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Fair value losses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2.1H</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1,058,199</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1,261,294</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1,531,632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(473,433)</w:t>
            </w:r>
            <w:r w:rsidRPr="00355D47">
              <w:rPr>
                <w:rFonts w:cs="Calibri"/>
                <w:szCs w:val="18"/>
                <w:vertAlign w:val="superscript"/>
              </w:rPr>
              <w:t>7</w:t>
            </w:r>
          </w:p>
        </w:tc>
      </w:tr>
      <w:tr w:rsidR="003E6989" w:rsidTr="006A5410">
        <w:trPr>
          <w:trHeight w:val="255"/>
        </w:trPr>
        <w:tc>
          <w:tcPr>
            <w:tcW w:w="3220" w:type="dxa"/>
            <w:tcBorders>
              <w:top w:val="nil"/>
              <w:left w:val="nil"/>
              <w:bottom w:val="single" w:sz="4" w:space="0" w:color="D9D9D9"/>
              <w:right w:val="single" w:sz="12" w:space="0" w:color="D9D9D9"/>
            </w:tcBorders>
            <w:shd w:val="clear" w:color="000000" w:fill="D9D9D9"/>
            <w:vAlign w:val="bottom"/>
            <w:hideMark/>
          </w:tcPr>
          <w:p w:rsidR="003E6989" w:rsidRDefault="003E6989" w:rsidP="006A5410">
            <w:pPr>
              <w:rPr>
                <w:rFonts w:cs="Calibri"/>
                <w:szCs w:val="18"/>
              </w:rPr>
            </w:pPr>
            <w:r>
              <w:rPr>
                <w:rFonts w:cs="Calibri"/>
                <w:szCs w:val="18"/>
              </w:rPr>
              <w:t>Other Expenses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2.1I</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147</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57</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147</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expenses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33,472,418</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30,531,016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29,234,056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4,238,362</w:t>
            </w:r>
          </w:p>
        </w:tc>
      </w:tr>
      <w:tr w:rsidR="003E6989" w:rsidTr="006A5410">
        <w:trPr>
          <w:trHeight w:val="169"/>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INCOME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Taxation 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taxes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2.2A</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10,144</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8,576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6,999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3,145</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taxation 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10,144</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8,576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6,999</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3,145</w:t>
            </w:r>
          </w:p>
        </w:tc>
      </w:tr>
      <w:tr w:rsidR="003E6989" w:rsidTr="006A5410">
        <w:trPr>
          <w:trHeight w:val="169"/>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Non-taxation 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Interest</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2.2B</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529,337</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583,134</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670,382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(141,045)</w:t>
            </w:r>
            <w:r w:rsidRPr="00355D47">
              <w:rPr>
                <w:rFonts w:cs="Calibri"/>
                <w:szCs w:val="18"/>
                <w:vertAlign w:val="superscript"/>
              </w:rPr>
              <w:t>6</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2.2C</w:t>
            </w:r>
          </w:p>
        </w:tc>
        <w:tc>
          <w:tcPr>
            <w:tcW w:w="115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813,177</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849,841</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772,640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40,537</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non-taxation revenue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1,342,514</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1,432,975</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1,443,022</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(100,508)</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xml:space="preserve">Total revenue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1,352,658</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1,441,551</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1,450,021</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(97,363)</w:t>
            </w:r>
          </w:p>
        </w:tc>
      </w:tr>
      <w:tr w:rsidR="003E6989" w:rsidTr="006A5410">
        <w:trPr>
          <w:trHeight w:val="158"/>
        </w:trPr>
        <w:tc>
          <w:tcPr>
            <w:tcW w:w="322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Gains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xml:space="preserve">Fair value gains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2.2D</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131,400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(131,400)</w:t>
            </w:r>
            <w:r w:rsidRPr="00355D47">
              <w:rPr>
                <w:rFonts w:cs="Calibri"/>
                <w:szCs w:val="18"/>
                <w:vertAlign w:val="superscript"/>
              </w:rPr>
              <w:t>7</w:t>
            </w:r>
          </w:p>
        </w:tc>
      </w:tr>
      <w:tr w:rsidR="003E6989" w:rsidTr="006A5410">
        <w:trPr>
          <w:trHeight w:val="480"/>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Reversals of previous asset write-downs and impairment</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2.2E</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1,200,266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xml:space="preserve">Total gains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1,200,266</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131,400</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(131,400)</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income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1,352,658</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2,641,817</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1,581,421</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(228,763)</w:t>
            </w:r>
          </w:p>
        </w:tc>
      </w:tr>
      <w:tr w:rsidR="003E6989" w:rsidTr="006A5410">
        <w:trPr>
          <w:trHeight w:val="218"/>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Net cost of (contribution by) services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32,119,760</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27,889,199</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27,652,635</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4,467,125</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Surplus (Deficit)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(32,119,760)</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(27,889,199)</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(27,652,635)</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(4,467,125)</w:t>
            </w:r>
          </w:p>
        </w:tc>
      </w:tr>
      <w:tr w:rsidR="003E6989" w:rsidTr="006A5410">
        <w:trPr>
          <w:trHeight w:val="229"/>
        </w:trPr>
        <w:tc>
          <w:tcPr>
            <w:tcW w:w="322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OTHER COMPREHENSIVE INCOME</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480"/>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Items not subject to subsequent reclassification to net cost of services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Changes in asset revaluation surplus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(31,593)</w:t>
            </w:r>
          </w:p>
        </w:tc>
      </w:tr>
      <w:tr w:rsidR="003E6989" w:rsidTr="006A5410">
        <w:trPr>
          <w:trHeight w:val="255"/>
        </w:trPr>
        <w:tc>
          <w:tcPr>
            <w:tcW w:w="322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other comprehensive income (loss)</w:t>
            </w:r>
          </w:p>
        </w:tc>
        <w:tc>
          <w:tcPr>
            <w:tcW w:w="669"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5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(31,593)</w:t>
            </w:r>
          </w:p>
        </w:tc>
      </w:tr>
      <w:tr w:rsidR="003E6989" w:rsidTr="006A5410">
        <w:trPr>
          <w:trHeight w:val="169"/>
        </w:trPr>
        <w:tc>
          <w:tcPr>
            <w:tcW w:w="322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69"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3220" w:type="dxa"/>
            <w:tcBorders>
              <w:top w:val="nil"/>
              <w:left w:val="nil"/>
              <w:bottom w:val="single" w:sz="12"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comprehensive income (loss)</w:t>
            </w:r>
          </w:p>
        </w:tc>
        <w:tc>
          <w:tcPr>
            <w:tcW w:w="669" w:type="dxa"/>
            <w:tcBorders>
              <w:top w:val="single" w:sz="4" w:space="0" w:color="D9D9D9"/>
              <w:left w:val="nil"/>
              <w:bottom w:val="single" w:sz="12"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51"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(32,151,353)</w:t>
            </w:r>
          </w:p>
        </w:tc>
        <w:tc>
          <w:tcPr>
            <w:tcW w:w="156" w:type="dxa"/>
            <w:tcBorders>
              <w:top w:val="nil"/>
              <w:left w:val="nil"/>
              <w:bottom w:val="single" w:sz="12"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4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(27,888,295)</w:t>
            </w:r>
          </w:p>
        </w:tc>
        <w:tc>
          <w:tcPr>
            <w:tcW w:w="237" w:type="dxa"/>
            <w:tcBorders>
              <w:top w:val="nil"/>
              <w:left w:val="nil"/>
              <w:bottom w:val="single" w:sz="12"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14"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(27,652,635)</w:t>
            </w:r>
          </w:p>
        </w:tc>
        <w:tc>
          <w:tcPr>
            <w:tcW w:w="237" w:type="dxa"/>
            <w:tcBorders>
              <w:top w:val="nil"/>
              <w:left w:val="nil"/>
              <w:bottom w:val="single" w:sz="12"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5"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(4,498,718)</w:t>
            </w:r>
          </w:p>
        </w:tc>
      </w:tr>
      <w:tr w:rsidR="003E6989" w:rsidTr="006A5410">
        <w:trPr>
          <w:trHeight w:val="270"/>
        </w:trPr>
        <w:tc>
          <w:tcPr>
            <w:tcW w:w="3220"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6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5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5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4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14"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5"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bl>
    <w:p w:rsidR="003E6989" w:rsidRDefault="003E6989" w:rsidP="003E6989">
      <w:bookmarkStart w:id="86" w:name="RANGE!D7:G16"/>
      <w:bookmarkStart w:id="87" w:name="RANGE!D6:D19"/>
      <w:bookmarkStart w:id="88" w:name="RANGE!D6:G19"/>
      <w:bookmarkStart w:id="89" w:name="RANGE!D7:I49"/>
      <w:bookmarkStart w:id="90" w:name="RANGE!D7:H48"/>
      <w:bookmarkStart w:id="91" w:name="RANGE!D7:H47"/>
      <w:bookmarkStart w:id="92" w:name="RANGE!D7:H46"/>
      <w:bookmarkStart w:id="93" w:name="RANGE!D7:H54"/>
      <w:bookmarkEnd w:id="86"/>
      <w:bookmarkEnd w:id="87"/>
      <w:bookmarkEnd w:id="88"/>
      <w:bookmarkEnd w:id="89"/>
      <w:bookmarkEnd w:id="90"/>
      <w:bookmarkEnd w:id="91"/>
      <w:bookmarkEnd w:id="92"/>
      <w:bookmarkEnd w:id="93"/>
    </w:p>
    <w:p w:rsidR="003E6989" w:rsidRDefault="003E6989" w:rsidP="003E6989">
      <w:pPr>
        <w:spacing w:line="240" w:lineRule="auto"/>
        <w:sectPr w:rsidR="003E6989" w:rsidSect="00403CAE">
          <w:type w:val="continuous"/>
          <w:pgSz w:w="11906" w:h="16838"/>
          <w:pgMar w:top="1134" w:right="1134" w:bottom="1134" w:left="1134" w:header="958" w:footer="737" w:gutter="0"/>
          <w:cols w:space="720"/>
        </w:sectPr>
      </w:pPr>
    </w:p>
    <w:p w:rsidR="00403CAE" w:rsidRDefault="00403CAE" w:rsidP="00403CAE">
      <w:pPr>
        <w:pStyle w:val="Heading1"/>
      </w:pPr>
      <w:bookmarkStart w:id="94" w:name="_Toc464726277"/>
      <w:bookmarkStart w:id="95" w:name="_Toc464726559"/>
      <w:bookmarkStart w:id="96" w:name="_Toc464726613"/>
      <w:r>
        <w:lastRenderedPageBreak/>
        <w:t>Department of Education and Training</w:t>
      </w:r>
      <w:r>
        <w:br/>
        <w:t>ADMINISTERED SCHEDULE OF ASSETS AND LIABILITIES</w:t>
      </w:r>
      <w:r>
        <w:br/>
        <w:t>as at 30 June 2016</w:t>
      </w:r>
      <w:bookmarkEnd w:id="94"/>
      <w:bookmarkEnd w:id="95"/>
      <w:bookmarkEnd w:id="96"/>
    </w:p>
    <w:p w:rsidR="003E6989" w:rsidRDefault="003E6989" w:rsidP="003E6989">
      <w:pPr>
        <w:spacing w:line="240" w:lineRule="auto"/>
      </w:pPr>
    </w:p>
    <w:p w:rsidR="003E6989" w:rsidRDefault="003E6989" w:rsidP="003E6989">
      <w:pPr>
        <w:spacing w:line="240" w:lineRule="auto"/>
      </w:pPr>
    </w:p>
    <w:tbl>
      <w:tblPr>
        <w:tblW w:w="9087" w:type="dxa"/>
        <w:tblInd w:w="80" w:type="dxa"/>
        <w:tblLayout w:type="fixed"/>
        <w:tblLook w:val="04A0" w:firstRow="1" w:lastRow="0" w:firstColumn="1" w:lastColumn="0" w:noHBand="0" w:noVBand="1"/>
      </w:tblPr>
      <w:tblGrid>
        <w:gridCol w:w="3323"/>
        <w:gridCol w:w="699"/>
        <w:gridCol w:w="1129"/>
        <w:gridCol w:w="238"/>
        <w:gridCol w:w="1064"/>
        <w:gridCol w:w="238"/>
        <w:gridCol w:w="1080"/>
        <w:gridCol w:w="238"/>
        <w:gridCol w:w="1078"/>
      </w:tblGrid>
      <w:tr w:rsidR="003E6989" w:rsidTr="006A5410">
        <w:trPr>
          <w:trHeight w:val="480"/>
        </w:trPr>
        <w:tc>
          <w:tcPr>
            <w:tcW w:w="329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bookmarkStart w:id="97" w:name="Note_ABSTABLE1" w:colFirst="0" w:colLast="0"/>
            <w:r>
              <w:rPr>
                <w:rFonts w:ascii="Arial" w:hAnsi="Arial" w:cs="Arial"/>
                <w:sz w:val="16"/>
                <w:szCs w:val="16"/>
              </w:rPr>
              <w:t> </w:t>
            </w:r>
          </w:p>
        </w:tc>
        <w:tc>
          <w:tcPr>
            <w:tcW w:w="69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1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c>
          <w:tcPr>
            <w:tcW w:w="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069"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2016 Original Budget</w:t>
            </w:r>
            <w:r w:rsidRPr="00E84D20">
              <w:rPr>
                <w:rFonts w:cs="Calibri"/>
                <w:szCs w:val="18"/>
                <w:vertAlign w:val="superscript"/>
              </w:rPr>
              <w:t>1</w:t>
            </w:r>
          </w:p>
        </w:tc>
        <w:tc>
          <w:tcPr>
            <w:tcW w:w="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067"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Variance</w:t>
            </w:r>
          </w:p>
        </w:tc>
      </w:tr>
      <w:bookmarkEnd w:id="97"/>
      <w:tr w:rsidR="003E6989" w:rsidTr="006A5410">
        <w:trPr>
          <w:trHeight w:val="255"/>
        </w:trPr>
        <w:tc>
          <w:tcPr>
            <w:tcW w:w="329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92" w:type="dxa"/>
            <w:tcBorders>
              <w:top w:val="nil"/>
              <w:left w:val="nil"/>
              <w:bottom w:val="nil"/>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Notes</w:t>
            </w:r>
          </w:p>
        </w:tc>
        <w:tc>
          <w:tcPr>
            <w:tcW w:w="111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9"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7"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9"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7"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Cash and cash equivalents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4.1A</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72,092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26,528</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832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71,260</w:t>
            </w:r>
            <w:r w:rsidRPr="00E84D20">
              <w:rPr>
                <w:rFonts w:cs="Calibri"/>
                <w:szCs w:val="18"/>
                <w:vertAlign w:val="superscript"/>
              </w:rPr>
              <w:t>8</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Receivables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4.1B</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37,870,400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30,927,974</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37,509,956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360,444</w:t>
            </w:r>
            <w:r w:rsidRPr="00E84D20">
              <w:rPr>
                <w:rFonts w:cs="Calibri"/>
                <w:szCs w:val="18"/>
                <w:vertAlign w:val="superscript"/>
              </w:rPr>
              <w:t>7</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investments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4.1C</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2,153,175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(34,838)</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financial 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40,060,829</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33,104,432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39,663,963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396,866</w:t>
            </w:r>
          </w:p>
        </w:tc>
      </w:tr>
      <w:tr w:rsidR="003E6989" w:rsidTr="006A5410">
        <w:trPr>
          <w:trHeight w:val="255"/>
        </w:trPr>
        <w:tc>
          <w:tcPr>
            <w:tcW w:w="3290"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Non-financial 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non-financial 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4.2A</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523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(283)</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non-financial assets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523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(283)</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480"/>
        </w:trPr>
        <w:tc>
          <w:tcPr>
            <w:tcW w:w="3290"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assets administered on behalf of Government</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40,061,069</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33,104,432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39,664,486</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396,583</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LIABILITIES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Payables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Suppliers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4.3A</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57,624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54,235</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53,085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4,539</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Personal benefits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4.3B</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149,271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4,879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144,392</w:t>
            </w:r>
            <w:r w:rsidRPr="00E84D20">
              <w:rPr>
                <w:rFonts w:cs="Calibri"/>
                <w:szCs w:val="18"/>
                <w:vertAlign w:val="superscript"/>
              </w:rPr>
              <w:t>4</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Grants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4.3C</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3,318</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36,246</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52,259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(48,941)</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payables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4.3D</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37,081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17,701</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19,489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17,592</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payables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247,294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108,182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129,712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117,582</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Provisions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Provision of personal benefits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4.4A</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872,819</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872,819</w:t>
            </w:r>
            <w:r w:rsidRPr="00E84D20">
              <w:rPr>
                <w:rFonts w:cs="Calibri"/>
                <w:szCs w:val="18"/>
                <w:vertAlign w:val="superscript"/>
              </w:rPr>
              <w:t>4</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Provision for grants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4.4A</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6,959,011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6,068,013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5,794,051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1,164,960</w:t>
            </w:r>
            <w:r w:rsidRPr="00E84D20">
              <w:rPr>
                <w:rFonts w:cs="Calibri"/>
                <w:szCs w:val="18"/>
                <w:vertAlign w:val="superscript"/>
              </w:rPr>
              <w:t>5</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provisions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7,831,830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6,068,013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5,794,051</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2,037,779</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480"/>
        </w:trPr>
        <w:tc>
          <w:tcPr>
            <w:tcW w:w="3290"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liabilities administered on behalf of Government</w:t>
            </w:r>
          </w:p>
        </w:tc>
        <w:tc>
          <w:tcPr>
            <w:tcW w:w="692" w:type="dxa"/>
            <w:tcBorders>
              <w:top w:val="nil"/>
              <w:left w:val="nil"/>
              <w:bottom w:val="single" w:sz="4" w:space="0" w:color="D9D9D9"/>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8,079,124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6,176,195</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5,923,763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2,155,361</w:t>
            </w:r>
          </w:p>
        </w:tc>
      </w:tr>
      <w:tr w:rsidR="003E6989" w:rsidTr="006A5410">
        <w:trPr>
          <w:trHeight w:val="255"/>
        </w:trPr>
        <w:tc>
          <w:tcPr>
            <w:tcW w:w="329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70"/>
        </w:trPr>
        <w:tc>
          <w:tcPr>
            <w:tcW w:w="3290"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Net assets (liabilities)</w:t>
            </w:r>
          </w:p>
        </w:tc>
        <w:tc>
          <w:tcPr>
            <w:tcW w:w="692"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11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31,981,945</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53"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26,928,237</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9"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33,740,723</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7"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(1,758,778)</w:t>
            </w:r>
          </w:p>
        </w:tc>
      </w:tr>
      <w:tr w:rsidR="003E6989" w:rsidTr="006A5410">
        <w:trPr>
          <w:trHeight w:val="270"/>
        </w:trPr>
        <w:tc>
          <w:tcPr>
            <w:tcW w:w="3290"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69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1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53"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69"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6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bl>
    <w:p w:rsidR="003E6989" w:rsidRDefault="003E6989" w:rsidP="003E6989">
      <w:pPr>
        <w:pStyle w:val="GreyShadeTableBreak"/>
        <w:shd w:val="clear" w:color="auto" w:fill="auto"/>
        <w:sectPr w:rsidR="003E6989" w:rsidSect="006A5410">
          <w:headerReference w:type="default" r:id="rId24"/>
          <w:pgSz w:w="11906" w:h="16838"/>
          <w:pgMar w:top="1134" w:right="1134" w:bottom="1134" w:left="1134" w:header="958" w:footer="737" w:gutter="0"/>
          <w:cols w:space="720"/>
        </w:sectPr>
      </w:pPr>
      <w:bookmarkStart w:id="98" w:name="RANGE!D7:I39"/>
      <w:bookmarkStart w:id="99" w:name="RANGE!D7:H38"/>
      <w:bookmarkStart w:id="100" w:name="RANGE!D6:H80"/>
      <w:bookmarkStart w:id="101" w:name="RANGE!D6:H64"/>
      <w:bookmarkStart w:id="102" w:name="RANGE!D6:H50"/>
      <w:bookmarkStart w:id="103" w:name="RANGE!D6:H52"/>
      <w:bookmarkStart w:id="104" w:name="RANGE!D7:H53"/>
      <w:bookmarkStart w:id="105" w:name="RANGE!D7:H52"/>
      <w:bookmarkStart w:id="106" w:name="RANGE!D7:H33"/>
      <w:bookmarkStart w:id="107" w:name="RANGE!D7:H37"/>
      <w:bookmarkEnd w:id="98"/>
      <w:bookmarkEnd w:id="99"/>
      <w:bookmarkEnd w:id="100"/>
      <w:bookmarkEnd w:id="101"/>
      <w:bookmarkEnd w:id="102"/>
      <w:bookmarkEnd w:id="103"/>
      <w:bookmarkEnd w:id="104"/>
      <w:bookmarkEnd w:id="105"/>
      <w:bookmarkEnd w:id="106"/>
      <w:bookmarkEnd w:id="107"/>
    </w:p>
    <w:p w:rsidR="00403CAE" w:rsidRDefault="00403CAE" w:rsidP="00403CAE">
      <w:pPr>
        <w:pStyle w:val="Heading1"/>
      </w:pPr>
      <w:bookmarkStart w:id="108" w:name="_Toc464726278"/>
      <w:bookmarkStart w:id="109" w:name="_Toc464726560"/>
      <w:bookmarkStart w:id="110" w:name="_Toc464726614"/>
      <w:r>
        <w:lastRenderedPageBreak/>
        <w:t>Department of Education and Training</w:t>
      </w:r>
      <w:r>
        <w:br/>
        <w:t>BUDGETARY REPORTING</w:t>
      </w:r>
      <w:r>
        <w:br/>
        <w:t>as at 30 June 2016</w:t>
      </w:r>
      <w:bookmarkEnd w:id="108"/>
      <w:bookmarkEnd w:id="109"/>
      <w:bookmarkEnd w:id="110"/>
    </w:p>
    <w:p w:rsidR="003E6989" w:rsidRDefault="003E6989" w:rsidP="003E6989">
      <w:pPr>
        <w:pStyle w:val="GreyShadeTableBreak"/>
        <w:shd w:val="clear" w:color="auto" w:fill="auto"/>
      </w:pPr>
    </w:p>
    <w:p w:rsidR="003E6989" w:rsidRDefault="003E6989" w:rsidP="003E6989">
      <w:pPr>
        <w:pStyle w:val="GreyShadeTableBreak"/>
        <w:shd w:val="clear" w:color="auto" w:fill="auto"/>
      </w:pPr>
    </w:p>
    <w:p w:rsidR="003E6989" w:rsidRPr="009E3BA6" w:rsidRDefault="003E6989" w:rsidP="003E6989">
      <w:pPr>
        <w:pStyle w:val="PolicyTextAdminbold"/>
        <w:pBdr>
          <w:bottom w:val="single" w:sz="4" w:space="1" w:color="009560"/>
        </w:pBdr>
      </w:pPr>
    </w:p>
    <w:p w:rsidR="003E6989" w:rsidRPr="00B452C5" w:rsidRDefault="003E6989" w:rsidP="003E6989">
      <w:pPr>
        <w:pStyle w:val="PolicyTextAdminbold"/>
        <w:pBdr>
          <w:bottom w:val="single" w:sz="4" w:space="1" w:color="009560"/>
        </w:pBdr>
      </w:pPr>
      <w:r w:rsidRPr="00B452C5">
        <w:t>Budget Variances Commentary</w:t>
      </w:r>
    </w:p>
    <w:p w:rsidR="003E6989" w:rsidRPr="00C85147" w:rsidRDefault="003E6989" w:rsidP="003E6989">
      <w:pPr>
        <w:pStyle w:val="PolicyTextAdminbold"/>
        <w:pBdr>
          <w:bottom w:val="single" w:sz="4" w:space="1" w:color="009560"/>
        </w:pBdr>
      </w:pPr>
      <w:r>
        <w:t>Administered variances</w:t>
      </w:r>
    </w:p>
    <w:p w:rsidR="003E6989" w:rsidRDefault="003E6989" w:rsidP="003E6989">
      <w:pPr>
        <w:pStyle w:val="PolicyTextAdmin"/>
        <w:pBdr>
          <w:bottom w:val="single" w:sz="4" w:space="1" w:color="009560"/>
        </w:pBdr>
      </w:pPr>
      <w:r>
        <w:t xml:space="preserve">Variance explanations are provided for administered variances greater than 5 percent and $50 million. </w:t>
      </w:r>
    </w:p>
    <w:p w:rsidR="003E6989" w:rsidRDefault="003E6989" w:rsidP="003E6989">
      <w:pPr>
        <w:pStyle w:val="PolicyTextAdmin"/>
        <w:pBdr>
          <w:bottom w:val="single" w:sz="4" w:space="1" w:color="009560"/>
        </w:pBdr>
      </w:pPr>
    </w:p>
    <w:p w:rsidR="003E6989" w:rsidRDefault="003E6989" w:rsidP="003E6989">
      <w:pPr>
        <w:pStyle w:val="PolicyTextAdmin"/>
        <w:pBdr>
          <w:bottom w:val="single" w:sz="4" w:space="1" w:color="009560"/>
        </w:pBdr>
      </w:pPr>
      <w:r w:rsidRPr="0096226E">
        <w:rPr>
          <w:vertAlign w:val="superscript"/>
        </w:rPr>
        <w:t>1</w:t>
      </w:r>
      <w:r>
        <w:t xml:space="preserve"> The 2015-2016 Education Portfolio Budget Statements (PBS) as presented to Parliament contains the Original Budget. The PBS was completed prior to the finalisation of the 2014-15 Financial Statements. It is noted, during 2015-16 the Administrative Arrangements Order (AAO) of 21 September 2015 transferred the Early Childhood Education and Care functions from the Department of Social Services (DSS).</w:t>
      </w:r>
    </w:p>
    <w:p w:rsidR="003E6989" w:rsidRDefault="003E6989" w:rsidP="003E6989">
      <w:pPr>
        <w:pStyle w:val="PolicyTextAdmin"/>
        <w:pBdr>
          <w:bottom w:val="single" w:sz="4" w:space="1" w:color="009560"/>
        </w:pBdr>
      </w:pPr>
      <w:r w:rsidRPr="001B6DC8">
        <w:rPr>
          <w:vertAlign w:val="superscript"/>
        </w:rPr>
        <w:t>2</w:t>
      </w:r>
      <w:r>
        <w:t xml:space="preserve"> Supplier Expenses are less than anticipated at PBS largely due to underspends in a range of </w:t>
      </w:r>
      <w:r w:rsidRPr="00EA6349">
        <w:t>Building skills and capability programs</w:t>
      </w:r>
      <w:r>
        <w:t xml:space="preserve">. </w:t>
      </w:r>
    </w:p>
    <w:p w:rsidR="003E6989" w:rsidRDefault="003E6989" w:rsidP="003E6989">
      <w:pPr>
        <w:pStyle w:val="PolicyTextAdmin"/>
        <w:pBdr>
          <w:bottom w:val="single" w:sz="4" w:space="1" w:color="009560"/>
        </w:pBdr>
      </w:pPr>
      <w:r w:rsidRPr="001B6DC8">
        <w:rPr>
          <w:vertAlign w:val="superscript"/>
        </w:rPr>
        <w:t>3</w:t>
      </w:r>
      <w:r>
        <w:t xml:space="preserve"> Subsidy Expenses are less than expected due to underspends across the Building skills and capability programs. </w:t>
      </w:r>
    </w:p>
    <w:p w:rsidR="003E6989" w:rsidRPr="001B6DC8" w:rsidRDefault="003E6989" w:rsidP="003E6989">
      <w:pPr>
        <w:pStyle w:val="PolicyTextAdmin"/>
        <w:pBdr>
          <w:bottom w:val="single" w:sz="4" w:space="1" w:color="009560"/>
        </w:pBdr>
      </w:pPr>
      <w:r w:rsidRPr="001B6DC8">
        <w:rPr>
          <w:vertAlign w:val="superscript"/>
        </w:rPr>
        <w:t>4</w:t>
      </w:r>
      <w:r>
        <w:rPr>
          <w:vertAlign w:val="superscript"/>
        </w:rPr>
        <w:t xml:space="preserve"> </w:t>
      </w:r>
      <w:r>
        <w:t xml:space="preserve">The variance primarily relates to the transfer of the Early Childhood Education and Care functions from the Department of Social Services. </w:t>
      </w:r>
    </w:p>
    <w:p w:rsidR="003E6989" w:rsidRDefault="003E6989" w:rsidP="003E6989">
      <w:pPr>
        <w:pStyle w:val="PolicyTextAdmin"/>
        <w:pBdr>
          <w:bottom w:val="single" w:sz="4" w:space="1" w:color="009560"/>
        </w:pBdr>
      </w:pPr>
      <w:r w:rsidRPr="002753E3">
        <w:rPr>
          <w:vertAlign w:val="superscript"/>
        </w:rPr>
        <w:t>5</w:t>
      </w:r>
      <w:r>
        <w:t xml:space="preserve"> The variance is primarily due to the actuarial review on the Higher Education Superannuation Program (HESP) recognising additional grant expenditure relating to the Interest and Service costs. The balance of the program valuation and actuarial adjustments is recognised in Provision for grants liability. </w:t>
      </w:r>
    </w:p>
    <w:p w:rsidR="003E6989" w:rsidRDefault="003E6989" w:rsidP="003E6989">
      <w:pPr>
        <w:pStyle w:val="PolicyTextAdmin"/>
        <w:pBdr>
          <w:bottom w:val="single" w:sz="4" w:space="1" w:color="009560"/>
        </w:pBdr>
      </w:pPr>
      <w:r w:rsidRPr="002753E3">
        <w:rPr>
          <w:vertAlign w:val="superscript"/>
        </w:rPr>
        <w:t>6</w:t>
      </w:r>
      <w:r>
        <w:t xml:space="preserve"> The variance relates to the concessional loan discount on the Higher Education Loan Program (HELP) and the Trade Support Loan (TSL) program, subject to actuarial valuations. </w:t>
      </w:r>
    </w:p>
    <w:p w:rsidR="003E6989" w:rsidRDefault="003E6989" w:rsidP="003E6989">
      <w:pPr>
        <w:pStyle w:val="PolicyTextAdmin"/>
        <w:pBdr>
          <w:bottom w:val="single" w:sz="4" w:space="1" w:color="009560"/>
        </w:pBdr>
      </w:pPr>
      <w:r w:rsidRPr="00CC00B4">
        <w:rPr>
          <w:vertAlign w:val="superscript"/>
        </w:rPr>
        <w:t>7</w:t>
      </w:r>
      <w:r>
        <w:t xml:space="preserve"> The variance relates to the actuarial valuations for HELP and TSL. Additionally in the actual figures there is a netting off of the fair value loss and the fair value gain reported separately in the PBS. </w:t>
      </w:r>
    </w:p>
    <w:p w:rsidR="003E6989" w:rsidRDefault="003E6989" w:rsidP="003E6989">
      <w:pPr>
        <w:pStyle w:val="PolicyTextAdmin"/>
        <w:pBdr>
          <w:bottom w:val="single" w:sz="4" w:space="1" w:color="009560"/>
        </w:pBdr>
      </w:pPr>
      <w:r w:rsidRPr="00A60DBC">
        <w:rPr>
          <w:vertAlign w:val="superscript"/>
        </w:rPr>
        <w:t>8</w:t>
      </w:r>
      <w:r>
        <w:t xml:space="preserve"> The variances relate to the Special Account balances held by the department. Over 50 percent of the balance is due to the Early Years Quality Fund (EYQF) account transferred from DSS. The Special Account balances are not recorded in the PBS. </w:t>
      </w:r>
    </w:p>
    <w:p w:rsidR="003E6989" w:rsidRPr="00B452C5" w:rsidRDefault="003E6989" w:rsidP="003E6989">
      <w:pPr>
        <w:pStyle w:val="PolicyTextAdmin"/>
        <w:pBdr>
          <w:bottom w:val="single" w:sz="4" w:space="1" w:color="009560"/>
        </w:pBdr>
      </w:pPr>
    </w:p>
    <w:p w:rsidR="003E6989" w:rsidRDefault="003E6989" w:rsidP="003E6989">
      <w:pPr>
        <w:spacing w:line="240" w:lineRule="auto"/>
        <w:sectPr w:rsidR="003E6989" w:rsidSect="006A5410">
          <w:headerReference w:type="default" r:id="rId25"/>
          <w:pgSz w:w="11906" w:h="16838"/>
          <w:pgMar w:top="1134" w:right="1134" w:bottom="1134" w:left="1134" w:header="958" w:footer="737" w:gutter="0"/>
          <w:cols w:space="720"/>
        </w:sectPr>
      </w:pPr>
    </w:p>
    <w:p w:rsidR="00403CAE" w:rsidRDefault="00403CAE" w:rsidP="00403CAE">
      <w:pPr>
        <w:pStyle w:val="Heading1"/>
      </w:pPr>
      <w:bookmarkStart w:id="111" w:name="_Toc464726279"/>
      <w:bookmarkStart w:id="112" w:name="_Toc464726561"/>
      <w:bookmarkStart w:id="113" w:name="_Toc464726615"/>
      <w:bookmarkStart w:id="114" w:name="RANGE!E7:E35"/>
      <w:bookmarkStart w:id="115" w:name="Note_AEQTABLE1" w:colFirst="0" w:colLast="0"/>
      <w:r>
        <w:lastRenderedPageBreak/>
        <w:t>Department of Education and Training</w:t>
      </w:r>
      <w:r>
        <w:br/>
        <w:t>ADMINISTERED RECONCILIATION SCHEDULE</w:t>
      </w:r>
      <w:r>
        <w:br/>
        <w:t>for the period ended 30 June 2016</w:t>
      </w:r>
      <w:bookmarkEnd w:id="111"/>
      <w:bookmarkEnd w:id="112"/>
      <w:bookmarkEnd w:id="113"/>
    </w:p>
    <w:p w:rsidR="00403CAE" w:rsidRDefault="00403CAE" w:rsidP="006A5410">
      <w:pPr>
        <w:rPr>
          <w:rFonts w:ascii="Arial" w:hAnsi="Arial" w:cs="Arial"/>
          <w:sz w:val="16"/>
          <w:szCs w:val="16"/>
        </w:rPr>
        <w:sectPr w:rsidR="00403CAE" w:rsidSect="006A5410">
          <w:headerReference w:type="default" r:id="rId26"/>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5777"/>
        <w:gridCol w:w="1687"/>
        <w:gridCol w:w="279"/>
        <w:gridCol w:w="1344"/>
      </w:tblGrid>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lastRenderedPageBreak/>
              <w:t> </w:t>
            </w:r>
            <w:bookmarkEnd w:id="114"/>
          </w:p>
        </w:tc>
        <w:tc>
          <w:tcPr>
            <w:tcW w:w="157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bookmarkStart w:id="116" w:name="RANGE!F7:F35"/>
            <w:r>
              <w:rPr>
                <w:rFonts w:cs="Calibri"/>
                <w:b/>
                <w:bCs/>
                <w:szCs w:val="18"/>
              </w:rPr>
              <w:t>2016</w:t>
            </w:r>
            <w:bookmarkEnd w:id="116"/>
          </w:p>
        </w:tc>
        <w:tc>
          <w:tcPr>
            <w:tcW w:w="261"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115"/>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57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61"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Opening assets less liabilities as at 1 July</w:t>
            </w:r>
          </w:p>
        </w:tc>
        <w:tc>
          <w:tcPr>
            <w:tcW w:w="157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26,928,237</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20,341,243</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Adjustment for errors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Opening balance adjustment - retained earnings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Adjusted opening assets less liabilities</w:t>
            </w:r>
          </w:p>
        </w:tc>
        <w:tc>
          <w:tcPr>
            <w:tcW w:w="15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26,928,237</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20,341,243</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Net cost of (contribution by) services</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Income</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1,352,658</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2,641,817</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Expenses</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entities other than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(33,457,409)</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(30,517,646)</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(15,009)</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(13,370)</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Other comprehensive income</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Revaluations transferred to (from) reserves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904 </w:t>
            </w:r>
          </w:p>
        </w:tc>
      </w:tr>
      <w:tr w:rsidR="003E6989" w:rsidTr="006A5410">
        <w:trPr>
          <w:trHeight w:val="255"/>
        </w:trPr>
        <w:tc>
          <w:tcPr>
            <w:tcW w:w="53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Transfers (to) from the Australian Government:</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Appropriation transfers from Official Public Account</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Annual appropriations</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entities other than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1,451,762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1,179,383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15,009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13,370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xml:space="preserve">Special appropriations (limited) </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entities other than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xml:space="preserve">Special appropriations (unlimited) </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Payments to entities other than Corporate Commonwealth entities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38,466,432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34,755,501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Special accounts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Appropriation transfers to Official Public Account</w:t>
            </w:r>
          </w:p>
        </w:tc>
        <w:tc>
          <w:tcPr>
            <w:tcW w:w="15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Transfers to OPA</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(2,279,438)</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(1,989,547)</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Transfers to OPA (withholdings)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(14,374)</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(12,139)</w:t>
            </w:r>
          </w:p>
        </w:tc>
      </w:tr>
      <w:tr w:rsidR="003E6989" w:rsidTr="006A5410">
        <w:trPr>
          <w:trHeight w:val="255"/>
        </w:trPr>
        <w:tc>
          <w:tcPr>
            <w:tcW w:w="53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xml:space="preserve">Restructuring </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(434,327)</w:t>
            </w:r>
          </w:p>
        </w:tc>
        <w:tc>
          <w:tcPr>
            <w:tcW w:w="261"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528,753 </w:t>
            </w:r>
          </w:p>
        </w:tc>
      </w:tr>
      <w:tr w:rsidR="003E6989" w:rsidTr="006A5410">
        <w:trPr>
          <w:trHeight w:val="255"/>
        </w:trPr>
        <w:tc>
          <w:tcPr>
            <w:tcW w:w="5396"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 movements</w:t>
            </w:r>
          </w:p>
        </w:tc>
        <w:tc>
          <w:tcPr>
            <w:tcW w:w="15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w:t>
            </w:r>
          </w:p>
        </w:tc>
        <w:tc>
          <w:tcPr>
            <w:tcW w:w="261" w:type="dxa"/>
            <w:tcBorders>
              <w:top w:val="nil"/>
              <w:left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w:t>
            </w:r>
          </w:p>
        </w:tc>
      </w:tr>
      <w:tr w:rsidR="003E6989" w:rsidTr="006A5410">
        <w:trPr>
          <w:trHeight w:val="270"/>
        </w:trPr>
        <w:tc>
          <w:tcPr>
            <w:tcW w:w="539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Closing assets less liabilities as at 30 June</w:t>
            </w:r>
          </w:p>
        </w:tc>
        <w:tc>
          <w:tcPr>
            <w:tcW w:w="157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31,981,945</w:t>
            </w:r>
          </w:p>
        </w:tc>
        <w:tc>
          <w:tcPr>
            <w:tcW w:w="261" w:type="dxa"/>
            <w:tcBorders>
              <w:top w:val="nil"/>
              <w:left w:val="nil"/>
              <w:bottom w:val="single" w:sz="24" w:space="0" w:color="D8D8D8"/>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26,928,237</w:t>
            </w:r>
          </w:p>
        </w:tc>
      </w:tr>
    </w:tbl>
    <w:p w:rsidR="003E6989" w:rsidRDefault="003E6989" w:rsidP="003E6989">
      <w:pPr>
        <w:pStyle w:val="GreyShadeTableBreak"/>
      </w:pPr>
      <w:bookmarkStart w:id="117" w:name="RANGE!E7:H35"/>
      <w:bookmarkStart w:id="118" w:name="RANGE!E7:H27"/>
      <w:bookmarkStart w:id="119" w:name="RANGE!D6:H56"/>
      <w:bookmarkStart w:id="120" w:name="RANGE!D6:H37"/>
      <w:bookmarkStart w:id="121" w:name="RANGE!D6:H36"/>
      <w:bookmarkStart w:id="122" w:name="RANGE!E7:H31"/>
      <w:bookmarkStart w:id="123" w:name="RANGE!E6:H30"/>
      <w:bookmarkStart w:id="124" w:name="RANGE!E6:H34"/>
      <w:bookmarkStart w:id="125" w:name="RANGE!E6:M33"/>
      <w:bookmarkStart w:id="126" w:name="RANGE!E6:M36"/>
      <w:bookmarkEnd w:id="117"/>
      <w:bookmarkEnd w:id="118"/>
      <w:bookmarkEnd w:id="119"/>
      <w:bookmarkEnd w:id="120"/>
      <w:bookmarkEnd w:id="121"/>
      <w:bookmarkEnd w:id="122"/>
      <w:bookmarkEnd w:id="123"/>
      <w:bookmarkEnd w:id="124"/>
      <w:bookmarkEnd w:id="125"/>
      <w:bookmarkEnd w:id="126"/>
    </w:p>
    <w:p w:rsidR="003E6989" w:rsidRDefault="003E6989" w:rsidP="003E6989">
      <w:pPr>
        <w:pStyle w:val="GreyShadeTableBreak"/>
      </w:pPr>
    </w:p>
    <w:p w:rsidR="003E6989" w:rsidRPr="004F0F98" w:rsidRDefault="003E6989" w:rsidP="003E6989">
      <w:pPr>
        <w:pStyle w:val="PolicyTextAdminbold"/>
      </w:pPr>
      <w:r w:rsidRPr="004F0F98">
        <w:t>Accounting Policy</w:t>
      </w:r>
    </w:p>
    <w:p w:rsidR="003E6989" w:rsidRPr="004F0F98" w:rsidRDefault="003E6989" w:rsidP="003E6989">
      <w:pPr>
        <w:pStyle w:val="PlicytextAdminUnderline"/>
      </w:pPr>
      <w:r w:rsidRPr="004F0F98">
        <w:t>Administered cash transfers to and from the Official Public Account</w:t>
      </w:r>
    </w:p>
    <w:p w:rsidR="003E6989" w:rsidRPr="006557EB" w:rsidRDefault="003E6989" w:rsidP="003E6989">
      <w:pPr>
        <w:pStyle w:val="PolicyTextAdmin"/>
      </w:pPr>
      <w:r w:rsidRPr="006557EB">
        <w:t xml:space="preserve">Revenue collected by the department for use by the Government rather than the department is administered revenue. Collections are transferred to the Official Public Account (OPA) maintained by the Department of Finance. Conversely, cash is drawn from the OPA to make payments under Parliamentary appropriation on behalf of Government. These transfers to and from the OPA are adjustments to the administered cash held by the department on behalf of the </w:t>
      </w:r>
      <w:r>
        <w:t xml:space="preserve">Government and reported as such in the administered cash flow statement. </w:t>
      </w:r>
    </w:p>
    <w:p w:rsidR="003E6989" w:rsidRDefault="003E6989" w:rsidP="003E6989">
      <w:pPr>
        <w:spacing w:line="240" w:lineRule="auto"/>
        <w:sectPr w:rsidR="003E6989" w:rsidSect="00403CAE">
          <w:type w:val="continuous"/>
          <w:pgSz w:w="11906" w:h="16838"/>
          <w:pgMar w:top="1134" w:right="1134" w:bottom="1134" w:left="1134" w:header="958" w:footer="737" w:gutter="0"/>
          <w:cols w:space="720"/>
        </w:sectPr>
      </w:pPr>
    </w:p>
    <w:p w:rsidR="00403CAE" w:rsidRDefault="00403CAE" w:rsidP="00403CAE">
      <w:pPr>
        <w:pStyle w:val="Heading1"/>
      </w:pPr>
      <w:bookmarkStart w:id="127" w:name="_Toc464726280"/>
      <w:bookmarkStart w:id="128" w:name="_Toc464726562"/>
      <w:bookmarkStart w:id="129" w:name="_Toc464726616"/>
      <w:bookmarkStart w:id="130" w:name="Note_ACFTABLE1" w:colFirst="0" w:colLast="0"/>
      <w:r>
        <w:lastRenderedPageBreak/>
        <w:t>Department of Education and Training</w:t>
      </w:r>
      <w:r>
        <w:br/>
        <w:t>ADMINISTERED CASH FLOW STATEMENT</w:t>
      </w:r>
      <w:r>
        <w:br/>
        <w:t>for the period ended 30 June 2016</w:t>
      </w:r>
      <w:bookmarkEnd w:id="127"/>
      <w:bookmarkEnd w:id="128"/>
      <w:bookmarkEnd w:id="129"/>
    </w:p>
    <w:p w:rsidR="00403CAE" w:rsidRDefault="00403CAE" w:rsidP="006A5410">
      <w:pPr>
        <w:rPr>
          <w:rFonts w:ascii="Arial" w:hAnsi="Arial" w:cs="Arial"/>
          <w:sz w:val="16"/>
          <w:szCs w:val="16"/>
        </w:rPr>
        <w:sectPr w:rsidR="00403CAE" w:rsidSect="006A5410">
          <w:headerReference w:type="default" r:id="rId27"/>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4950"/>
        <w:gridCol w:w="1291"/>
        <w:gridCol w:w="1291"/>
        <w:gridCol w:w="264"/>
        <w:gridCol w:w="1291"/>
      </w:tblGrid>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lastRenderedPageBreak/>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ascii="Arial" w:hAnsi="Arial" w:cs="Arial"/>
                <w:b/>
                <w:bCs/>
                <w:szCs w:val="18"/>
              </w:rPr>
            </w:pPr>
            <w:r>
              <w:rPr>
                <w:rFonts w:ascii="Arial" w:hAnsi="Arial" w:cs="Arial"/>
                <w:b/>
                <w:bCs/>
                <w:szCs w:val="18"/>
              </w:rPr>
              <w:t> </w:t>
            </w:r>
          </w:p>
        </w:tc>
        <w:tc>
          <w:tcPr>
            <w:tcW w:w="1256" w:type="dxa"/>
            <w:tcBorders>
              <w:top w:val="nil"/>
              <w:left w:val="nil"/>
              <w:bottom w:val="single" w:sz="4" w:space="0" w:color="D9D9D9"/>
              <w:right w:val="single" w:sz="4" w:space="0" w:color="D9D9D9"/>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130"/>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b/>
                <w:bCs/>
                <w:szCs w:val="18"/>
              </w:rPr>
            </w:pPr>
            <w:r>
              <w:rPr>
                <w:rFonts w:cs="Calibri"/>
                <w:b/>
                <w:bCs/>
                <w:szCs w:val="18"/>
              </w:rPr>
              <w:t>Notes</w:t>
            </w:r>
          </w:p>
        </w:tc>
        <w:tc>
          <w:tcPr>
            <w:tcW w:w="1256" w:type="dxa"/>
            <w:tcBorders>
              <w:top w:val="nil"/>
              <w:left w:val="nil"/>
              <w:bottom w:val="single" w:sz="4" w:space="0" w:color="D9D9D9"/>
              <w:right w:val="single" w:sz="4" w:space="0" w:color="D9D9D9"/>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OPERATING ACTIVITIES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ascii="Arial" w:hAnsi="Arial" w:cs="Arial"/>
                <w:b/>
                <w:bCs/>
                <w:szCs w:val="18"/>
              </w:rPr>
            </w:pPr>
            <w:r>
              <w:rPr>
                <w:rFonts w:ascii="Arial" w:hAnsi="Arial" w:cs="Arial"/>
                <w:b/>
                <w:bCs/>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Cash received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Interest</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337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Net GST received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1,103,762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1,048,886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Levies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10,144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8,576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137,654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317,296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cash received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1,251,567</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1,375,095</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Cash used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Suppliers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1,726,548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1,359,700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Subsidies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327,810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144,309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Personal benefits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5,044,934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3,601,627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Grants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25,735,881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24,254,785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Payments to Corporate Commonwealth Entities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15,009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13,370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cash used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32,850,182</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29,373,791</w:t>
            </w:r>
          </w:p>
        </w:tc>
      </w:tr>
      <w:tr w:rsidR="003E6989" w:rsidTr="006A5410">
        <w:trPr>
          <w:trHeight w:val="270"/>
        </w:trPr>
        <w:tc>
          <w:tcPr>
            <w:tcW w:w="481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Net cash from (used by) operating activities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center"/>
              <w:rPr>
                <w:rFonts w:cs="Calibri"/>
                <w:szCs w:val="18"/>
              </w:rPr>
            </w:pPr>
            <w:r>
              <w:rPr>
                <w:rFonts w:cs="Calibri"/>
                <w:szCs w:val="18"/>
              </w:rPr>
              <w:t>5.5B</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(31,598,615)</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(27,998,696)</w:t>
            </w:r>
          </w:p>
        </w:tc>
      </w:tr>
      <w:tr w:rsidR="003E6989" w:rsidTr="006A5410">
        <w:trPr>
          <w:trHeight w:val="270"/>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INVESTING ACTIVITIES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Cash received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Repayments of advances and loans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2,165,832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1,924,200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cash received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2,165,832</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1,924,200</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Cash used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Loans made</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8,295,624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7,920,396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cash used</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8,295,624</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7,920,396</w:t>
            </w:r>
          </w:p>
        </w:tc>
      </w:tr>
      <w:tr w:rsidR="003E6989" w:rsidTr="006A5410">
        <w:trPr>
          <w:trHeight w:val="270"/>
        </w:trPr>
        <w:tc>
          <w:tcPr>
            <w:tcW w:w="481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Net cash from (used by) investing activities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(6,129,792)</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(5,996,196)</w:t>
            </w:r>
          </w:p>
        </w:tc>
      </w:tr>
      <w:tr w:rsidR="003E6989" w:rsidTr="006A5410">
        <w:trPr>
          <w:trHeight w:val="270"/>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Net increase (decrease) in cash held</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(37,728,407)</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(33,994,892)</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Cash from the Official Public Account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Appropriations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39,933,192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35,948,329 </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GST appropriations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89,706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84,848 </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Special accounts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73,494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239,710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Total cash from the official public account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40,096,392</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36,272,887</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Cash to the Official Public Account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Appropriations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(2,279,420)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(2,026,805)</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Return of GST appropriations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(71,577)</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(76,669)</w:t>
            </w:r>
          </w:p>
        </w:tc>
      </w:tr>
      <w:tr w:rsidR="003E6989" w:rsidTr="006A5410">
        <w:trPr>
          <w:trHeight w:val="255"/>
        </w:trPr>
        <w:tc>
          <w:tcPr>
            <w:tcW w:w="481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Special accounts</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(16,988)</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(174,521)</w:t>
            </w:r>
          </w:p>
        </w:tc>
      </w:tr>
      <w:tr w:rsidR="003E6989" w:rsidTr="006A5410">
        <w:trPr>
          <w:trHeight w:val="255"/>
        </w:trPr>
        <w:tc>
          <w:tcPr>
            <w:tcW w:w="48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Total cash to the official public account </w:t>
            </w:r>
          </w:p>
        </w:tc>
        <w:tc>
          <w:tcPr>
            <w:tcW w:w="1256" w:type="dxa"/>
            <w:tcBorders>
              <w:top w:val="nil"/>
              <w:left w:val="nil"/>
              <w:bottom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(2,367,985)</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(2,277,995)</w:t>
            </w:r>
          </w:p>
        </w:tc>
      </w:tr>
      <w:tr w:rsidR="003E6989" w:rsidTr="006A5410">
        <w:trPr>
          <w:trHeight w:val="255"/>
        </w:trPr>
        <w:tc>
          <w:tcPr>
            <w:tcW w:w="4816" w:type="dxa"/>
            <w:tcBorders>
              <w:top w:val="nil"/>
              <w:left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right w:val="nil"/>
            </w:tcBorders>
            <w:shd w:val="clear" w:color="000000" w:fill="D9D9D9"/>
            <w:noWrap/>
            <w:vAlign w:val="bottom"/>
            <w:hideMark/>
          </w:tcPr>
          <w:p w:rsidR="003E6989" w:rsidRDefault="003E6989" w:rsidP="006A5410">
            <w:pPr>
              <w:jc w:val="center"/>
              <w:rPr>
                <w:rFonts w:cs="Calibri"/>
                <w:szCs w:val="18"/>
              </w:rPr>
            </w:pPr>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481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szCs w:val="18"/>
              </w:rPr>
            </w:pPr>
            <w:r>
              <w:rPr>
                <w:rFonts w:cs="Calibri"/>
                <w:b/>
                <w:bCs/>
                <w:szCs w:val="18"/>
              </w:rPr>
              <w:t>Cash and cash equivalents at the end of the reporting period</w:t>
            </w:r>
          </w:p>
        </w:tc>
        <w:tc>
          <w:tcPr>
            <w:tcW w:w="1256" w:type="dxa"/>
            <w:tcBorders>
              <w:top w:val="nil"/>
              <w:left w:val="nil"/>
              <w:bottom w:val="single" w:sz="24" w:space="0" w:color="D8D8D8"/>
              <w:right w:val="nil"/>
            </w:tcBorders>
            <w:shd w:val="clear" w:color="000000" w:fill="D9D9D9"/>
            <w:noWrap/>
            <w:vAlign w:val="bottom"/>
            <w:hideMark/>
          </w:tcPr>
          <w:p w:rsidR="003E6989" w:rsidRDefault="003E6989" w:rsidP="006A5410">
            <w:pPr>
              <w:jc w:val="center"/>
              <w:rPr>
                <w:rFonts w:cs="Calibri"/>
                <w:szCs w:val="18"/>
              </w:rPr>
            </w:pPr>
            <w:r>
              <w:rPr>
                <w:rFonts w:cs="Calibri"/>
                <w:szCs w:val="18"/>
              </w:rPr>
              <w:t>5.5B</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57" w:type="dxa"/>
            <w:tcBorders>
              <w:top w:val="single" w:sz="4" w:space="0" w:color="D9D9D9"/>
              <w:left w:val="nil"/>
              <w:bottom w:val="single" w:sz="24" w:space="0" w:color="D8D8D8"/>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spacing w:line="240" w:lineRule="auto"/>
        <w:sectPr w:rsidR="003E6989" w:rsidSect="00403CAE">
          <w:type w:val="continuous"/>
          <w:pgSz w:w="11906" w:h="16838"/>
          <w:pgMar w:top="1134" w:right="1134" w:bottom="1134" w:left="1134" w:header="958" w:footer="737" w:gutter="0"/>
          <w:cols w:space="720"/>
        </w:sectPr>
      </w:pPr>
      <w:bookmarkStart w:id="131" w:name="RANGE!E7:I54"/>
      <w:bookmarkStart w:id="132" w:name="RANGE!E7:I53"/>
      <w:bookmarkStart w:id="133" w:name="RANGE!E7:I52"/>
      <w:bookmarkStart w:id="134" w:name="RANGE!E6:I51"/>
      <w:bookmarkStart w:id="135" w:name="RANGE!E6:I54"/>
      <w:bookmarkEnd w:id="131"/>
      <w:bookmarkEnd w:id="132"/>
      <w:bookmarkEnd w:id="133"/>
      <w:bookmarkEnd w:id="134"/>
      <w:bookmarkEnd w:id="135"/>
    </w:p>
    <w:p w:rsidR="003E6989" w:rsidRDefault="003E6989" w:rsidP="003E6989">
      <w:pPr>
        <w:spacing w:line="240" w:lineRule="auto"/>
      </w:pPr>
      <w:bookmarkStart w:id="136" w:name="RANGE!D7:G35"/>
      <w:bookmarkStart w:id="137" w:name="RANGE!D7:G36"/>
      <w:bookmarkStart w:id="138" w:name="RANGE!D7:G17"/>
      <w:bookmarkEnd w:id="136"/>
      <w:bookmarkEnd w:id="137"/>
      <w:bookmarkEnd w:id="138"/>
      <w:r>
        <w:lastRenderedPageBreak/>
        <w:br w:type="page"/>
      </w:r>
    </w:p>
    <w:p w:rsidR="003E6989" w:rsidRDefault="003E6989" w:rsidP="003E6989">
      <w:pPr>
        <w:spacing w:line="240" w:lineRule="auto"/>
        <w:sectPr w:rsidR="003E6989" w:rsidSect="006A5410">
          <w:headerReference w:type="default" r:id="rId28"/>
          <w:type w:val="continuous"/>
          <w:pgSz w:w="11906" w:h="16838"/>
          <w:pgMar w:top="1134" w:right="1134" w:bottom="1134" w:left="1134" w:header="958" w:footer="737" w:gutter="0"/>
          <w:cols w:space="720"/>
        </w:sectPr>
      </w:pPr>
    </w:p>
    <w:p w:rsidR="00403CAE" w:rsidRDefault="00403CAE" w:rsidP="00403CAE">
      <w:pPr>
        <w:pStyle w:val="Heading1"/>
      </w:pPr>
      <w:bookmarkStart w:id="139" w:name="_Toc464726281"/>
      <w:bookmarkStart w:id="140" w:name="_Toc464726563"/>
      <w:bookmarkStart w:id="141" w:name="_Toc464726617"/>
      <w:r>
        <w:lastRenderedPageBreak/>
        <w:t>Department of Education and Training</w:t>
      </w:r>
      <w:r>
        <w:br/>
        <w:t>NOTES TO AND FORMING PART OF THE FINANCIAL STATEMENTS</w:t>
      </w:r>
      <w:bookmarkEnd w:id="139"/>
      <w:bookmarkEnd w:id="140"/>
      <w:bookmarkEnd w:id="141"/>
    </w:p>
    <w:p w:rsidR="00161F3A" w:rsidRDefault="00161F3A" w:rsidP="00161F3A">
      <w:pPr>
        <w:pStyle w:val="TOC1"/>
        <w:tabs>
          <w:tab w:val="right" w:pos="9628"/>
        </w:tabs>
        <w:spacing w:line="240" w:lineRule="auto"/>
        <w:contextualSpacing/>
        <w:rPr>
          <w:rFonts w:eastAsiaTheme="minorEastAsia" w:cstheme="minorBidi"/>
          <w:b w:val="0"/>
          <w:bCs w:val="0"/>
          <w:noProof/>
          <w:sz w:val="22"/>
          <w:szCs w:val="22"/>
          <w:lang w:eastAsia="en-AU"/>
        </w:rPr>
      </w:pPr>
      <w:r>
        <w:rPr>
          <w:b w:val="0"/>
          <w:bCs w:val="0"/>
        </w:rPr>
        <w:fldChar w:fldCharType="begin"/>
      </w:r>
      <w:r>
        <w:rPr>
          <w:b w:val="0"/>
          <w:bCs w:val="0"/>
        </w:rPr>
        <w:instrText xml:space="preserve"> TOC \o "1-2" \u </w:instrText>
      </w:r>
      <w:r>
        <w:rPr>
          <w:b w:val="0"/>
          <w:bCs w:val="0"/>
        </w:rPr>
        <w:fldChar w:fldCharType="separate"/>
      </w:r>
      <w:r>
        <w:rPr>
          <w:noProof/>
        </w:rPr>
        <w:t>Overview</w:t>
      </w:r>
      <w:r>
        <w:rPr>
          <w:noProof/>
        </w:rPr>
        <w:tab/>
      </w:r>
      <w:r>
        <w:rPr>
          <w:noProof/>
        </w:rPr>
        <w:fldChar w:fldCharType="begin"/>
      </w:r>
      <w:r>
        <w:rPr>
          <w:noProof/>
        </w:rPr>
        <w:instrText xml:space="preserve"> PAGEREF _Toc464726618 \h </w:instrText>
      </w:r>
      <w:r>
        <w:rPr>
          <w:noProof/>
        </w:rPr>
      </w:r>
      <w:r>
        <w:rPr>
          <w:noProof/>
        </w:rPr>
        <w:fldChar w:fldCharType="separate"/>
      </w:r>
      <w:r>
        <w:rPr>
          <w:noProof/>
        </w:rPr>
        <w:t>17</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1.</w:t>
      </w:r>
      <w:r>
        <w:rPr>
          <w:rFonts w:eastAsiaTheme="minorEastAsia" w:cstheme="minorBidi"/>
          <w:b w:val="0"/>
          <w:bCs w:val="0"/>
          <w:noProof/>
          <w:sz w:val="22"/>
          <w:szCs w:val="22"/>
          <w:lang w:eastAsia="en-AU"/>
        </w:rPr>
        <w:tab/>
      </w:r>
      <w:r>
        <w:rPr>
          <w:noProof/>
        </w:rPr>
        <w:t>Financial Performance</w:t>
      </w:r>
      <w:r>
        <w:rPr>
          <w:noProof/>
        </w:rPr>
        <w:tab/>
      </w:r>
      <w:r>
        <w:rPr>
          <w:noProof/>
        </w:rPr>
        <w:fldChar w:fldCharType="begin"/>
      </w:r>
      <w:r>
        <w:rPr>
          <w:noProof/>
        </w:rPr>
        <w:instrText xml:space="preserve"> PAGEREF _Toc464726619 \h </w:instrText>
      </w:r>
      <w:r>
        <w:rPr>
          <w:noProof/>
        </w:rPr>
      </w:r>
      <w:r>
        <w:rPr>
          <w:noProof/>
        </w:rPr>
        <w:fldChar w:fldCharType="separate"/>
      </w:r>
      <w:r>
        <w:rPr>
          <w:noProof/>
        </w:rPr>
        <w:t>20</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1.1. Expenses</w:t>
      </w:r>
      <w:r>
        <w:rPr>
          <w:noProof/>
        </w:rPr>
        <w:tab/>
      </w:r>
      <w:r>
        <w:rPr>
          <w:noProof/>
        </w:rPr>
        <w:fldChar w:fldCharType="begin"/>
      </w:r>
      <w:r>
        <w:rPr>
          <w:noProof/>
        </w:rPr>
        <w:instrText xml:space="preserve"> PAGEREF _Toc464726620 \h </w:instrText>
      </w:r>
      <w:r>
        <w:rPr>
          <w:noProof/>
        </w:rPr>
      </w:r>
      <w:r>
        <w:rPr>
          <w:noProof/>
        </w:rPr>
        <w:fldChar w:fldCharType="separate"/>
      </w:r>
      <w:r>
        <w:rPr>
          <w:noProof/>
        </w:rPr>
        <w:t>20</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1.2. Own-Source Revenue and Gains</w:t>
      </w:r>
      <w:r>
        <w:rPr>
          <w:noProof/>
        </w:rPr>
        <w:tab/>
      </w:r>
      <w:r>
        <w:rPr>
          <w:noProof/>
        </w:rPr>
        <w:fldChar w:fldCharType="begin"/>
      </w:r>
      <w:r>
        <w:rPr>
          <w:noProof/>
        </w:rPr>
        <w:instrText xml:space="preserve"> PAGEREF _Toc464726621 \h </w:instrText>
      </w:r>
      <w:r>
        <w:rPr>
          <w:noProof/>
        </w:rPr>
      </w:r>
      <w:r>
        <w:rPr>
          <w:noProof/>
        </w:rPr>
        <w:fldChar w:fldCharType="separate"/>
      </w:r>
      <w:r>
        <w:rPr>
          <w:noProof/>
        </w:rPr>
        <w:t>23</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2.</w:t>
      </w:r>
      <w:r>
        <w:rPr>
          <w:rFonts w:eastAsiaTheme="minorEastAsia" w:cstheme="minorBidi"/>
          <w:b w:val="0"/>
          <w:bCs w:val="0"/>
          <w:noProof/>
          <w:sz w:val="22"/>
          <w:szCs w:val="22"/>
          <w:lang w:eastAsia="en-AU"/>
        </w:rPr>
        <w:tab/>
      </w:r>
      <w:r>
        <w:rPr>
          <w:noProof/>
        </w:rPr>
        <w:t>Income and Expenses Administered on Behalf of Government</w:t>
      </w:r>
      <w:r>
        <w:rPr>
          <w:noProof/>
        </w:rPr>
        <w:tab/>
      </w:r>
      <w:r>
        <w:rPr>
          <w:noProof/>
        </w:rPr>
        <w:fldChar w:fldCharType="begin"/>
      </w:r>
      <w:r>
        <w:rPr>
          <w:noProof/>
        </w:rPr>
        <w:instrText xml:space="preserve"> PAGEREF _Toc464726622 \h </w:instrText>
      </w:r>
      <w:r>
        <w:rPr>
          <w:noProof/>
        </w:rPr>
      </w:r>
      <w:r>
        <w:rPr>
          <w:noProof/>
        </w:rPr>
        <w:fldChar w:fldCharType="separate"/>
      </w:r>
      <w:r>
        <w:rPr>
          <w:noProof/>
        </w:rPr>
        <w:t>25</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2.1. Administered – Expenses</w:t>
      </w:r>
      <w:r>
        <w:rPr>
          <w:noProof/>
        </w:rPr>
        <w:tab/>
      </w:r>
      <w:r>
        <w:rPr>
          <w:noProof/>
        </w:rPr>
        <w:fldChar w:fldCharType="begin"/>
      </w:r>
      <w:r>
        <w:rPr>
          <w:noProof/>
        </w:rPr>
        <w:instrText xml:space="preserve"> PAGEREF _Toc464726623 \h </w:instrText>
      </w:r>
      <w:r>
        <w:rPr>
          <w:noProof/>
        </w:rPr>
      </w:r>
      <w:r>
        <w:rPr>
          <w:noProof/>
        </w:rPr>
        <w:fldChar w:fldCharType="separate"/>
      </w:r>
      <w:r>
        <w:rPr>
          <w:noProof/>
        </w:rPr>
        <w:t>25</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2.2. Administered Income</w:t>
      </w:r>
      <w:r>
        <w:rPr>
          <w:noProof/>
        </w:rPr>
        <w:tab/>
      </w:r>
      <w:r>
        <w:rPr>
          <w:noProof/>
        </w:rPr>
        <w:fldChar w:fldCharType="begin"/>
      </w:r>
      <w:r>
        <w:rPr>
          <w:noProof/>
        </w:rPr>
        <w:instrText xml:space="preserve"> PAGEREF _Toc464726624 \h </w:instrText>
      </w:r>
      <w:r>
        <w:rPr>
          <w:noProof/>
        </w:rPr>
      </w:r>
      <w:r>
        <w:rPr>
          <w:noProof/>
        </w:rPr>
        <w:fldChar w:fldCharType="separate"/>
      </w:r>
      <w:r>
        <w:rPr>
          <w:noProof/>
        </w:rPr>
        <w:t>28</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3.</w:t>
      </w:r>
      <w:r>
        <w:rPr>
          <w:rFonts w:eastAsiaTheme="minorEastAsia" w:cstheme="minorBidi"/>
          <w:b w:val="0"/>
          <w:bCs w:val="0"/>
          <w:noProof/>
          <w:sz w:val="22"/>
          <w:szCs w:val="22"/>
          <w:lang w:eastAsia="en-AU"/>
        </w:rPr>
        <w:tab/>
      </w:r>
      <w:r>
        <w:rPr>
          <w:noProof/>
        </w:rPr>
        <w:t>Departmental Financial Position</w:t>
      </w:r>
      <w:r>
        <w:rPr>
          <w:noProof/>
        </w:rPr>
        <w:tab/>
      </w:r>
      <w:r>
        <w:rPr>
          <w:noProof/>
        </w:rPr>
        <w:fldChar w:fldCharType="begin"/>
      </w:r>
      <w:r>
        <w:rPr>
          <w:noProof/>
        </w:rPr>
        <w:instrText xml:space="preserve"> PAGEREF _Toc464726625 \h </w:instrText>
      </w:r>
      <w:r>
        <w:rPr>
          <w:noProof/>
        </w:rPr>
      </w:r>
      <w:r>
        <w:rPr>
          <w:noProof/>
        </w:rPr>
        <w:fldChar w:fldCharType="separate"/>
      </w:r>
      <w:r>
        <w:rPr>
          <w:noProof/>
        </w:rPr>
        <w:t>29</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3.1. Financial Assets</w:t>
      </w:r>
      <w:r>
        <w:rPr>
          <w:noProof/>
        </w:rPr>
        <w:tab/>
      </w:r>
      <w:r>
        <w:rPr>
          <w:noProof/>
        </w:rPr>
        <w:fldChar w:fldCharType="begin"/>
      </w:r>
      <w:r>
        <w:rPr>
          <w:noProof/>
        </w:rPr>
        <w:instrText xml:space="preserve"> PAGEREF _Toc464726626 \h </w:instrText>
      </w:r>
      <w:r>
        <w:rPr>
          <w:noProof/>
        </w:rPr>
      </w:r>
      <w:r>
        <w:rPr>
          <w:noProof/>
        </w:rPr>
        <w:fldChar w:fldCharType="separate"/>
      </w:r>
      <w:r>
        <w:rPr>
          <w:noProof/>
        </w:rPr>
        <w:t>29</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3.2. Non-Financial Assets</w:t>
      </w:r>
      <w:r>
        <w:rPr>
          <w:noProof/>
        </w:rPr>
        <w:tab/>
      </w:r>
      <w:r>
        <w:rPr>
          <w:noProof/>
        </w:rPr>
        <w:fldChar w:fldCharType="begin"/>
      </w:r>
      <w:r>
        <w:rPr>
          <w:noProof/>
        </w:rPr>
        <w:instrText xml:space="preserve"> PAGEREF _Toc464726627 \h </w:instrText>
      </w:r>
      <w:r>
        <w:rPr>
          <w:noProof/>
        </w:rPr>
      </w:r>
      <w:r>
        <w:rPr>
          <w:noProof/>
        </w:rPr>
        <w:fldChar w:fldCharType="separate"/>
      </w:r>
      <w:r>
        <w:rPr>
          <w:noProof/>
        </w:rPr>
        <w:t>31</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3.3. Payables</w:t>
      </w:r>
      <w:r>
        <w:rPr>
          <w:noProof/>
        </w:rPr>
        <w:tab/>
      </w:r>
      <w:r>
        <w:rPr>
          <w:noProof/>
        </w:rPr>
        <w:fldChar w:fldCharType="begin"/>
      </w:r>
      <w:r>
        <w:rPr>
          <w:noProof/>
        </w:rPr>
        <w:instrText xml:space="preserve"> PAGEREF _Toc464726628 \h </w:instrText>
      </w:r>
      <w:r>
        <w:rPr>
          <w:noProof/>
        </w:rPr>
      </w:r>
      <w:r>
        <w:rPr>
          <w:noProof/>
        </w:rPr>
        <w:fldChar w:fldCharType="separate"/>
      </w:r>
      <w:r>
        <w:rPr>
          <w:noProof/>
        </w:rPr>
        <w:t>36</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3.4. Other Provisions</w:t>
      </w:r>
      <w:r>
        <w:rPr>
          <w:noProof/>
        </w:rPr>
        <w:tab/>
      </w:r>
      <w:r>
        <w:rPr>
          <w:noProof/>
        </w:rPr>
        <w:fldChar w:fldCharType="begin"/>
      </w:r>
      <w:r>
        <w:rPr>
          <w:noProof/>
        </w:rPr>
        <w:instrText xml:space="preserve"> PAGEREF _Toc464726629 \h </w:instrText>
      </w:r>
      <w:r>
        <w:rPr>
          <w:noProof/>
        </w:rPr>
      </w:r>
      <w:r>
        <w:rPr>
          <w:noProof/>
        </w:rPr>
        <w:fldChar w:fldCharType="separate"/>
      </w:r>
      <w:r>
        <w:rPr>
          <w:noProof/>
        </w:rPr>
        <w:t>37</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4.</w:t>
      </w:r>
      <w:r>
        <w:rPr>
          <w:rFonts w:eastAsiaTheme="minorEastAsia" w:cstheme="minorBidi"/>
          <w:b w:val="0"/>
          <w:bCs w:val="0"/>
          <w:noProof/>
          <w:sz w:val="22"/>
          <w:szCs w:val="22"/>
          <w:lang w:eastAsia="en-AU"/>
        </w:rPr>
        <w:tab/>
      </w:r>
      <w:r>
        <w:rPr>
          <w:noProof/>
        </w:rPr>
        <w:t>Assets and Liabilities Administered on Behalf of Government</w:t>
      </w:r>
      <w:r>
        <w:rPr>
          <w:noProof/>
        </w:rPr>
        <w:tab/>
      </w:r>
      <w:r>
        <w:rPr>
          <w:noProof/>
        </w:rPr>
        <w:fldChar w:fldCharType="begin"/>
      </w:r>
      <w:r>
        <w:rPr>
          <w:noProof/>
        </w:rPr>
        <w:instrText xml:space="preserve"> PAGEREF _Toc464726630 \h </w:instrText>
      </w:r>
      <w:r>
        <w:rPr>
          <w:noProof/>
        </w:rPr>
      </w:r>
      <w:r>
        <w:rPr>
          <w:noProof/>
        </w:rPr>
        <w:fldChar w:fldCharType="separate"/>
      </w:r>
      <w:r>
        <w:rPr>
          <w:noProof/>
        </w:rPr>
        <w:t>38</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4.1. Administered – Financial Assets</w:t>
      </w:r>
      <w:r>
        <w:rPr>
          <w:noProof/>
        </w:rPr>
        <w:tab/>
      </w:r>
      <w:r>
        <w:rPr>
          <w:noProof/>
        </w:rPr>
        <w:fldChar w:fldCharType="begin"/>
      </w:r>
      <w:r>
        <w:rPr>
          <w:noProof/>
        </w:rPr>
        <w:instrText xml:space="preserve"> PAGEREF _Toc464726631 \h </w:instrText>
      </w:r>
      <w:r>
        <w:rPr>
          <w:noProof/>
        </w:rPr>
      </w:r>
      <w:r>
        <w:rPr>
          <w:noProof/>
        </w:rPr>
        <w:fldChar w:fldCharType="separate"/>
      </w:r>
      <w:r>
        <w:rPr>
          <w:noProof/>
        </w:rPr>
        <w:t>38</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4.2. Administered – Non-Financial Asset</w:t>
      </w:r>
      <w:r>
        <w:rPr>
          <w:noProof/>
        </w:rPr>
        <w:tab/>
      </w:r>
      <w:r>
        <w:rPr>
          <w:noProof/>
        </w:rPr>
        <w:fldChar w:fldCharType="begin"/>
      </w:r>
      <w:r>
        <w:rPr>
          <w:noProof/>
        </w:rPr>
        <w:instrText xml:space="preserve"> PAGEREF _Toc464726632 \h </w:instrText>
      </w:r>
      <w:r>
        <w:rPr>
          <w:noProof/>
        </w:rPr>
      </w:r>
      <w:r>
        <w:rPr>
          <w:noProof/>
        </w:rPr>
        <w:fldChar w:fldCharType="separate"/>
      </w:r>
      <w:r>
        <w:rPr>
          <w:noProof/>
        </w:rPr>
        <w:t>42</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4.3. Administered - Payables</w:t>
      </w:r>
      <w:r>
        <w:rPr>
          <w:noProof/>
        </w:rPr>
        <w:tab/>
      </w:r>
      <w:r>
        <w:rPr>
          <w:noProof/>
        </w:rPr>
        <w:fldChar w:fldCharType="begin"/>
      </w:r>
      <w:r>
        <w:rPr>
          <w:noProof/>
        </w:rPr>
        <w:instrText xml:space="preserve"> PAGEREF _Toc464726633 \h </w:instrText>
      </w:r>
      <w:r>
        <w:rPr>
          <w:noProof/>
        </w:rPr>
      </w:r>
      <w:r>
        <w:rPr>
          <w:noProof/>
        </w:rPr>
        <w:fldChar w:fldCharType="separate"/>
      </w:r>
      <w:r>
        <w:rPr>
          <w:noProof/>
        </w:rPr>
        <w:t>43</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4.4. Administered – Other Provisions</w:t>
      </w:r>
      <w:r>
        <w:rPr>
          <w:noProof/>
        </w:rPr>
        <w:tab/>
      </w:r>
      <w:r>
        <w:rPr>
          <w:noProof/>
        </w:rPr>
        <w:fldChar w:fldCharType="begin"/>
      </w:r>
      <w:r>
        <w:rPr>
          <w:noProof/>
        </w:rPr>
        <w:instrText xml:space="preserve"> PAGEREF _Toc464726634 \h </w:instrText>
      </w:r>
      <w:r>
        <w:rPr>
          <w:noProof/>
        </w:rPr>
      </w:r>
      <w:r>
        <w:rPr>
          <w:noProof/>
        </w:rPr>
        <w:fldChar w:fldCharType="separate"/>
      </w:r>
      <w:r>
        <w:rPr>
          <w:noProof/>
        </w:rPr>
        <w:t>44</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5.</w:t>
      </w:r>
      <w:r>
        <w:rPr>
          <w:rFonts w:eastAsiaTheme="minorEastAsia" w:cstheme="minorBidi"/>
          <w:b w:val="0"/>
          <w:bCs w:val="0"/>
          <w:noProof/>
          <w:sz w:val="22"/>
          <w:szCs w:val="22"/>
          <w:lang w:eastAsia="en-AU"/>
        </w:rPr>
        <w:tab/>
      </w:r>
      <w:r>
        <w:rPr>
          <w:noProof/>
        </w:rPr>
        <w:t>Funding</w:t>
      </w:r>
      <w:r>
        <w:rPr>
          <w:noProof/>
        </w:rPr>
        <w:tab/>
      </w:r>
      <w:r>
        <w:rPr>
          <w:noProof/>
        </w:rPr>
        <w:fldChar w:fldCharType="begin"/>
      </w:r>
      <w:r>
        <w:rPr>
          <w:noProof/>
        </w:rPr>
        <w:instrText xml:space="preserve"> PAGEREF _Toc464726635 \h </w:instrText>
      </w:r>
      <w:r>
        <w:rPr>
          <w:noProof/>
        </w:rPr>
      </w:r>
      <w:r>
        <w:rPr>
          <w:noProof/>
        </w:rPr>
        <w:fldChar w:fldCharType="separate"/>
      </w:r>
      <w:r>
        <w:rPr>
          <w:noProof/>
        </w:rPr>
        <w:t>46</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5.1. Appropriations</w:t>
      </w:r>
      <w:r>
        <w:rPr>
          <w:noProof/>
        </w:rPr>
        <w:tab/>
      </w:r>
      <w:r>
        <w:rPr>
          <w:noProof/>
        </w:rPr>
        <w:fldChar w:fldCharType="begin"/>
      </w:r>
      <w:r>
        <w:rPr>
          <w:noProof/>
        </w:rPr>
        <w:instrText xml:space="preserve"> PAGEREF _Toc464726636 \h </w:instrText>
      </w:r>
      <w:r>
        <w:rPr>
          <w:noProof/>
        </w:rPr>
      </w:r>
      <w:r>
        <w:rPr>
          <w:noProof/>
        </w:rPr>
        <w:fldChar w:fldCharType="separate"/>
      </w:r>
      <w:r>
        <w:rPr>
          <w:noProof/>
        </w:rPr>
        <w:t>46</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5.2. Special Accounts</w:t>
      </w:r>
      <w:r>
        <w:rPr>
          <w:noProof/>
        </w:rPr>
        <w:tab/>
      </w:r>
      <w:r>
        <w:rPr>
          <w:noProof/>
        </w:rPr>
        <w:fldChar w:fldCharType="begin"/>
      </w:r>
      <w:r>
        <w:rPr>
          <w:noProof/>
        </w:rPr>
        <w:instrText xml:space="preserve"> PAGEREF _Toc464726637 \h </w:instrText>
      </w:r>
      <w:r>
        <w:rPr>
          <w:noProof/>
        </w:rPr>
      </w:r>
      <w:r>
        <w:rPr>
          <w:noProof/>
        </w:rPr>
        <w:fldChar w:fldCharType="separate"/>
      </w:r>
      <w:r>
        <w:rPr>
          <w:noProof/>
        </w:rPr>
        <w:t>52</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5.3. Regulatory Charging Summary</w:t>
      </w:r>
      <w:r>
        <w:rPr>
          <w:noProof/>
        </w:rPr>
        <w:tab/>
      </w:r>
      <w:r>
        <w:rPr>
          <w:noProof/>
        </w:rPr>
        <w:fldChar w:fldCharType="begin"/>
      </w:r>
      <w:r>
        <w:rPr>
          <w:noProof/>
        </w:rPr>
        <w:instrText xml:space="preserve"> PAGEREF _Toc464726638 \h </w:instrText>
      </w:r>
      <w:r>
        <w:rPr>
          <w:noProof/>
        </w:rPr>
      </w:r>
      <w:r>
        <w:rPr>
          <w:noProof/>
        </w:rPr>
        <w:fldChar w:fldCharType="separate"/>
      </w:r>
      <w:r>
        <w:rPr>
          <w:noProof/>
        </w:rPr>
        <w:t>55</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5.4. Net Cash Appropriation Arrangements</w:t>
      </w:r>
      <w:r>
        <w:rPr>
          <w:noProof/>
        </w:rPr>
        <w:tab/>
      </w:r>
      <w:r>
        <w:rPr>
          <w:noProof/>
        </w:rPr>
        <w:fldChar w:fldCharType="begin"/>
      </w:r>
      <w:r>
        <w:rPr>
          <w:noProof/>
        </w:rPr>
        <w:instrText xml:space="preserve"> PAGEREF _Toc464726639 \h </w:instrText>
      </w:r>
      <w:r>
        <w:rPr>
          <w:noProof/>
        </w:rPr>
      </w:r>
      <w:r>
        <w:rPr>
          <w:noProof/>
        </w:rPr>
        <w:fldChar w:fldCharType="separate"/>
      </w:r>
      <w:r>
        <w:rPr>
          <w:noProof/>
        </w:rPr>
        <w:t>56</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lang w:eastAsia="en-AU"/>
        </w:rPr>
        <w:t>5.5. Cash Flow Reconciliation</w:t>
      </w:r>
      <w:r>
        <w:rPr>
          <w:noProof/>
        </w:rPr>
        <w:tab/>
      </w:r>
      <w:r>
        <w:rPr>
          <w:noProof/>
        </w:rPr>
        <w:fldChar w:fldCharType="begin"/>
      </w:r>
      <w:r>
        <w:rPr>
          <w:noProof/>
        </w:rPr>
        <w:instrText xml:space="preserve"> PAGEREF _Toc464726640 \h </w:instrText>
      </w:r>
      <w:r>
        <w:rPr>
          <w:noProof/>
        </w:rPr>
      </w:r>
      <w:r>
        <w:rPr>
          <w:noProof/>
        </w:rPr>
        <w:fldChar w:fldCharType="separate"/>
      </w:r>
      <w:r>
        <w:rPr>
          <w:noProof/>
        </w:rPr>
        <w:t>57</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lang w:eastAsia="en-AU"/>
        </w:rPr>
        <w:t>6.</w:t>
      </w:r>
      <w:r>
        <w:rPr>
          <w:rFonts w:eastAsiaTheme="minorEastAsia" w:cstheme="minorBidi"/>
          <w:b w:val="0"/>
          <w:bCs w:val="0"/>
          <w:noProof/>
          <w:sz w:val="22"/>
          <w:szCs w:val="22"/>
          <w:lang w:eastAsia="en-AU"/>
        </w:rPr>
        <w:tab/>
      </w:r>
      <w:r>
        <w:rPr>
          <w:noProof/>
          <w:lang w:eastAsia="en-AU"/>
        </w:rPr>
        <w:t>People and Relationships</w:t>
      </w:r>
      <w:r>
        <w:rPr>
          <w:noProof/>
        </w:rPr>
        <w:tab/>
      </w:r>
      <w:r>
        <w:rPr>
          <w:noProof/>
        </w:rPr>
        <w:fldChar w:fldCharType="begin"/>
      </w:r>
      <w:r>
        <w:rPr>
          <w:noProof/>
        </w:rPr>
        <w:instrText xml:space="preserve"> PAGEREF _Toc464726641 \h </w:instrText>
      </w:r>
      <w:r>
        <w:rPr>
          <w:noProof/>
        </w:rPr>
      </w:r>
      <w:r>
        <w:rPr>
          <w:noProof/>
        </w:rPr>
        <w:fldChar w:fldCharType="separate"/>
      </w:r>
      <w:r>
        <w:rPr>
          <w:noProof/>
        </w:rPr>
        <w:t>59</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lang w:eastAsia="en-AU"/>
        </w:rPr>
        <w:t>6.1. Employee Provisions</w:t>
      </w:r>
      <w:r>
        <w:rPr>
          <w:noProof/>
        </w:rPr>
        <w:tab/>
      </w:r>
      <w:r>
        <w:rPr>
          <w:noProof/>
        </w:rPr>
        <w:fldChar w:fldCharType="begin"/>
      </w:r>
      <w:r>
        <w:rPr>
          <w:noProof/>
        </w:rPr>
        <w:instrText xml:space="preserve"> PAGEREF _Toc464726642 \h </w:instrText>
      </w:r>
      <w:r>
        <w:rPr>
          <w:noProof/>
        </w:rPr>
      </w:r>
      <w:r>
        <w:rPr>
          <w:noProof/>
        </w:rPr>
        <w:fldChar w:fldCharType="separate"/>
      </w:r>
      <w:r>
        <w:rPr>
          <w:noProof/>
        </w:rPr>
        <w:t>59</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lang w:eastAsia="en-AU"/>
        </w:rPr>
        <w:t>6.2. Senior Management Personnel Remuneration</w:t>
      </w:r>
      <w:r>
        <w:rPr>
          <w:noProof/>
        </w:rPr>
        <w:tab/>
      </w:r>
      <w:r>
        <w:rPr>
          <w:noProof/>
        </w:rPr>
        <w:fldChar w:fldCharType="begin"/>
      </w:r>
      <w:r>
        <w:rPr>
          <w:noProof/>
        </w:rPr>
        <w:instrText xml:space="preserve"> PAGEREF _Toc464726643 \h </w:instrText>
      </w:r>
      <w:r>
        <w:rPr>
          <w:noProof/>
        </w:rPr>
      </w:r>
      <w:r>
        <w:rPr>
          <w:noProof/>
        </w:rPr>
        <w:fldChar w:fldCharType="separate"/>
      </w:r>
      <w:r>
        <w:rPr>
          <w:noProof/>
        </w:rPr>
        <w:t>60</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lang w:eastAsia="en-AU"/>
        </w:rPr>
        <w:t>7.</w:t>
      </w:r>
      <w:r>
        <w:rPr>
          <w:rFonts w:eastAsiaTheme="minorEastAsia" w:cstheme="minorBidi"/>
          <w:b w:val="0"/>
          <w:bCs w:val="0"/>
          <w:noProof/>
          <w:sz w:val="22"/>
          <w:szCs w:val="22"/>
          <w:lang w:eastAsia="en-AU"/>
        </w:rPr>
        <w:tab/>
      </w:r>
      <w:r>
        <w:rPr>
          <w:noProof/>
          <w:lang w:eastAsia="en-AU"/>
        </w:rPr>
        <w:t>Managing Uncertainties</w:t>
      </w:r>
      <w:r>
        <w:rPr>
          <w:noProof/>
        </w:rPr>
        <w:tab/>
      </w:r>
      <w:r>
        <w:rPr>
          <w:noProof/>
        </w:rPr>
        <w:fldChar w:fldCharType="begin"/>
      </w:r>
      <w:r>
        <w:rPr>
          <w:noProof/>
        </w:rPr>
        <w:instrText xml:space="preserve"> PAGEREF _Toc464726644 \h </w:instrText>
      </w:r>
      <w:r>
        <w:rPr>
          <w:noProof/>
        </w:rPr>
      </w:r>
      <w:r>
        <w:rPr>
          <w:noProof/>
        </w:rPr>
        <w:fldChar w:fldCharType="separate"/>
      </w:r>
      <w:r>
        <w:rPr>
          <w:noProof/>
        </w:rPr>
        <w:t>61</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7.1. Contingent Assets and Liabilities</w:t>
      </w:r>
      <w:r>
        <w:rPr>
          <w:noProof/>
        </w:rPr>
        <w:tab/>
      </w:r>
      <w:r>
        <w:rPr>
          <w:noProof/>
        </w:rPr>
        <w:fldChar w:fldCharType="begin"/>
      </w:r>
      <w:r>
        <w:rPr>
          <w:noProof/>
        </w:rPr>
        <w:instrText xml:space="preserve"> PAGEREF _Toc464726645 \h </w:instrText>
      </w:r>
      <w:r>
        <w:rPr>
          <w:noProof/>
        </w:rPr>
      </w:r>
      <w:r>
        <w:rPr>
          <w:noProof/>
        </w:rPr>
        <w:fldChar w:fldCharType="separate"/>
      </w:r>
      <w:r>
        <w:rPr>
          <w:noProof/>
        </w:rPr>
        <w:t>61</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7.2. Financial Instruments</w:t>
      </w:r>
      <w:r>
        <w:rPr>
          <w:noProof/>
        </w:rPr>
        <w:tab/>
      </w:r>
      <w:r>
        <w:rPr>
          <w:noProof/>
        </w:rPr>
        <w:fldChar w:fldCharType="begin"/>
      </w:r>
      <w:r>
        <w:rPr>
          <w:noProof/>
        </w:rPr>
        <w:instrText xml:space="preserve"> PAGEREF _Toc464726646 \h </w:instrText>
      </w:r>
      <w:r>
        <w:rPr>
          <w:noProof/>
        </w:rPr>
      </w:r>
      <w:r>
        <w:rPr>
          <w:noProof/>
        </w:rPr>
        <w:fldChar w:fldCharType="separate"/>
      </w:r>
      <w:r>
        <w:rPr>
          <w:noProof/>
        </w:rPr>
        <w:t>62</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7.3. Administered – Financial Instruments</w:t>
      </w:r>
      <w:r>
        <w:rPr>
          <w:noProof/>
        </w:rPr>
        <w:tab/>
      </w:r>
      <w:r>
        <w:rPr>
          <w:noProof/>
        </w:rPr>
        <w:fldChar w:fldCharType="begin"/>
      </w:r>
      <w:r>
        <w:rPr>
          <w:noProof/>
        </w:rPr>
        <w:instrText xml:space="preserve"> PAGEREF _Toc464726647 \h </w:instrText>
      </w:r>
      <w:r>
        <w:rPr>
          <w:noProof/>
        </w:rPr>
      </w:r>
      <w:r>
        <w:rPr>
          <w:noProof/>
        </w:rPr>
        <w:fldChar w:fldCharType="separate"/>
      </w:r>
      <w:r>
        <w:rPr>
          <w:noProof/>
        </w:rPr>
        <w:t>64</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7.4. Fair Value Measurement</w:t>
      </w:r>
      <w:r>
        <w:rPr>
          <w:noProof/>
        </w:rPr>
        <w:tab/>
      </w:r>
      <w:r>
        <w:rPr>
          <w:noProof/>
        </w:rPr>
        <w:fldChar w:fldCharType="begin"/>
      </w:r>
      <w:r>
        <w:rPr>
          <w:noProof/>
        </w:rPr>
        <w:instrText xml:space="preserve"> PAGEREF _Toc464726648 \h </w:instrText>
      </w:r>
      <w:r>
        <w:rPr>
          <w:noProof/>
        </w:rPr>
      </w:r>
      <w:r>
        <w:rPr>
          <w:noProof/>
        </w:rPr>
        <w:fldChar w:fldCharType="separate"/>
      </w:r>
      <w:r>
        <w:rPr>
          <w:noProof/>
        </w:rPr>
        <w:t>67</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7.5. Administered – Fair Value Measurement</w:t>
      </w:r>
      <w:r>
        <w:rPr>
          <w:noProof/>
        </w:rPr>
        <w:tab/>
      </w:r>
      <w:r>
        <w:rPr>
          <w:noProof/>
        </w:rPr>
        <w:fldChar w:fldCharType="begin"/>
      </w:r>
      <w:r>
        <w:rPr>
          <w:noProof/>
        </w:rPr>
        <w:instrText xml:space="preserve"> PAGEREF _Toc464726649 \h </w:instrText>
      </w:r>
      <w:r>
        <w:rPr>
          <w:noProof/>
        </w:rPr>
      </w:r>
      <w:r>
        <w:rPr>
          <w:noProof/>
        </w:rPr>
        <w:fldChar w:fldCharType="separate"/>
      </w:r>
      <w:r>
        <w:rPr>
          <w:noProof/>
        </w:rPr>
        <w:t>69</w:t>
      </w:r>
      <w:r>
        <w:rPr>
          <w:noProof/>
        </w:rPr>
        <w:fldChar w:fldCharType="end"/>
      </w:r>
    </w:p>
    <w:p w:rsidR="00161F3A" w:rsidRDefault="00161F3A" w:rsidP="00161F3A">
      <w:pPr>
        <w:pStyle w:val="TOC1"/>
        <w:tabs>
          <w:tab w:val="left" w:pos="540"/>
          <w:tab w:val="right" w:pos="9628"/>
        </w:tabs>
        <w:spacing w:line="240" w:lineRule="auto"/>
        <w:contextualSpacing/>
        <w:rPr>
          <w:rFonts w:eastAsiaTheme="minorEastAsia" w:cstheme="minorBidi"/>
          <w:b w:val="0"/>
          <w:bCs w:val="0"/>
          <w:noProof/>
          <w:sz w:val="22"/>
          <w:szCs w:val="22"/>
          <w:lang w:eastAsia="en-AU"/>
        </w:rPr>
      </w:pPr>
      <w:r>
        <w:rPr>
          <w:noProof/>
        </w:rPr>
        <w:t>8.</w:t>
      </w:r>
      <w:r>
        <w:rPr>
          <w:rFonts w:eastAsiaTheme="minorEastAsia" w:cstheme="minorBidi"/>
          <w:b w:val="0"/>
          <w:bCs w:val="0"/>
          <w:noProof/>
          <w:sz w:val="22"/>
          <w:szCs w:val="22"/>
          <w:lang w:eastAsia="en-AU"/>
        </w:rPr>
        <w:tab/>
      </w:r>
      <w:r>
        <w:rPr>
          <w:noProof/>
        </w:rPr>
        <w:t>Other Information</w:t>
      </w:r>
      <w:r>
        <w:rPr>
          <w:noProof/>
        </w:rPr>
        <w:tab/>
      </w:r>
      <w:r>
        <w:rPr>
          <w:noProof/>
        </w:rPr>
        <w:fldChar w:fldCharType="begin"/>
      </w:r>
      <w:r>
        <w:rPr>
          <w:noProof/>
        </w:rPr>
        <w:instrText xml:space="preserve"> PAGEREF _Toc464726650 \h </w:instrText>
      </w:r>
      <w:r>
        <w:rPr>
          <w:noProof/>
        </w:rPr>
      </w:r>
      <w:r>
        <w:rPr>
          <w:noProof/>
        </w:rPr>
        <w:fldChar w:fldCharType="separate"/>
      </w:r>
      <w:r>
        <w:rPr>
          <w:noProof/>
        </w:rPr>
        <w:t>71</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8.1. Restructuring</w:t>
      </w:r>
      <w:r>
        <w:rPr>
          <w:noProof/>
        </w:rPr>
        <w:tab/>
      </w:r>
      <w:r>
        <w:rPr>
          <w:noProof/>
        </w:rPr>
        <w:fldChar w:fldCharType="begin"/>
      </w:r>
      <w:r>
        <w:rPr>
          <w:noProof/>
        </w:rPr>
        <w:instrText xml:space="preserve"> PAGEREF _Toc464726651 \h </w:instrText>
      </w:r>
      <w:r>
        <w:rPr>
          <w:noProof/>
        </w:rPr>
      </w:r>
      <w:r>
        <w:rPr>
          <w:noProof/>
        </w:rPr>
        <w:fldChar w:fldCharType="separate"/>
      </w:r>
      <w:r>
        <w:rPr>
          <w:noProof/>
        </w:rPr>
        <w:t>71</w:t>
      </w:r>
      <w:r>
        <w:rPr>
          <w:noProof/>
        </w:rPr>
        <w:fldChar w:fldCharType="end"/>
      </w:r>
    </w:p>
    <w:p w:rsidR="00161F3A" w:rsidRDefault="00161F3A" w:rsidP="00161F3A">
      <w:pPr>
        <w:pStyle w:val="TOC2"/>
        <w:tabs>
          <w:tab w:val="right" w:pos="9628"/>
        </w:tabs>
        <w:spacing w:line="240" w:lineRule="auto"/>
        <w:contextualSpacing/>
        <w:rPr>
          <w:rFonts w:eastAsiaTheme="minorEastAsia" w:cstheme="minorBidi"/>
          <w:i w:val="0"/>
          <w:iCs w:val="0"/>
          <w:noProof/>
          <w:sz w:val="22"/>
          <w:szCs w:val="22"/>
          <w:lang w:eastAsia="en-AU"/>
        </w:rPr>
      </w:pPr>
      <w:r>
        <w:rPr>
          <w:noProof/>
        </w:rPr>
        <w:t>8.2. Reporting of Outcomes</w:t>
      </w:r>
      <w:r>
        <w:rPr>
          <w:noProof/>
        </w:rPr>
        <w:tab/>
      </w:r>
      <w:r>
        <w:rPr>
          <w:noProof/>
        </w:rPr>
        <w:fldChar w:fldCharType="begin"/>
      </w:r>
      <w:r>
        <w:rPr>
          <w:noProof/>
        </w:rPr>
        <w:instrText xml:space="preserve"> PAGEREF _Toc464726652 \h </w:instrText>
      </w:r>
      <w:r>
        <w:rPr>
          <w:noProof/>
        </w:rPr>
      </w:r>
      <w:r>
        <w:rPr>
          <w:noProof/>
        </w:rPr>
        <w:fldChar w:fldCharType="separate"/>
      </w:r>
      <w:r>
        <w:rPr>
          <w:noProof/>
        </w:rPr>
        <w:t>75</w:t>
      </w:r>
      <w:r>
        <w:rPr>
          <w:noProof/>
        </w:rPr>
        <w:fldChar w:fldCharType="end"/>
      </w:r>
    </w:p>
    <w:p w:rsidR="003E6989" w:rsidRDefault="00161F3A" w:rsidP="003E6989">
      <w:pPr>
        <w:spacing w:line="240" w:lineRule="auto"/>
        <w:contextualSpacing/>
        <w:rPr>
          <w:lang w:eastAsia="en-AU"/>
        </w:rPr>
      </w:pPr>
      <w:r>
        <w:rPr>
          <w:rFonts w:asciiTheme="minorHAnsi" w:hAnsiTheme="minorHAnsi" w:cstheme="minorHAnsi"/>
          <w:b/>
          <w:bCs/>
          <w:sz w:val="20"/>
        </w:rPr>
        <w:fldChar w:fldCharType="end"/>
      </w:r>
      <w:r>
        <w:rPr>
          <w:lang w:eastAsia="en-AU"/>
        </w:rPr>
        <w:br w:type="page"/>
      </w:r>
    </w:p>
    <w:p w:rsidR="003E6989" w:rsidRDefault="003E6989" w:rsidP="003E6989">
      <w:pPr>
        <w:spacing w:line="240" w:lineRule="auto"/>
        <w:sectPr w:rsidR="003E6989" w:rsidSect="006A5410">
          <w:headerReference w:type="default" r:id="rId29"/>
          <w:footerReference w:type="default" r:id="rId30"/>
          <w:pgSz w:w="11906" w:h="16838"/>
          <w:pgMar w:top="1134" w:right="1134" w:bottom="1134" w:left="1134" w:header="958" w:footer="737" w:gutter="0"/>
          <w:cols w:space="720"/>
        </w:sectPr>
      </w:pPr>
    </w:p>
    <w:p w:rsidR="003E6989" w:rsidRDefault="003E6989" w:rsidP="003E6989">
      <w:pPr>
        <w:pStyle w:val="SectionHeading"/>
        <w:numPr>
          <w:ilvl w:val="0"/>
          <w:numId w:val="0"/>
        </w:numPr>
        <w:ind w:left="360" w:hanging="360"/>
      </w:pPr>
      <w:bookmarkStart w:id="142" w:name="_Toc443469521"/>
      <w:bookmarkStart w:id="143" w:name="_Toc443577395"/>
      <w:bookmarkStart w:id="144" w:name="_Toc444267415"/>
      <w:bookmarkStart w:id="145" w:name="_Toc444267550"/>
      <w:bookmarkStart w:id="146" w:name="_Toc455416727"/>
      <w:bookmarkStart w:id="147" w:name="_Toc463440697"/>
      <w:bookmarkStart w:id="148" w:name="_Toc464726282"/>
      <w:bookmarkStart w:id="149" w:name="_Toc464726618"/>
      <w:r>
        <w:lastRenderedPageBreak/>
        <w:t>Overview</w:t>
      </w:r>
      <w:bookmarkEnd w:id="142"/>
      <w:bookmarkEnd w:id="143"/>
      <w:bookmarkEnd w:id="144"/>
      <w:bookmarkEnd w:id="145"/>
      <w:bookmarkEnd w:id="146"/>
      <w:bookmarkEnd w:id="147"/>
      <w:bookmarkEnd w:id="148"/>
      <w:bookmarkEnd w:id="149"/>
    </w:p>
    <w:p w:rsidR="003E6989" w:rsidRPr="00E95939" w:rsidRDefault="003E6989" w:rsidP="003E6989">
      <w:pPr>
        <w:spacing w:after="120" w:line="120" w:lineRule="atLeast"/>
        <w:rPr>
          <w:rFonts w:ascii="Arial" w:hAnsi="Arial"/>
          <w:b/>
          <w:bCs/>
          <w:sz w:val="4"/>
          <w:szCs w:val="4"/>
        </w:rPr>
      </w:pPr>
    </w:p>
    <w:p w:rsidR="003E6989" w:rsidRPr="00242230" w:rsidRDefault="003E6989" w:rsidP="003E6989">
      <w:pPr>
        <w:spacing w:after="240" w:line="240" w:lineRule="auto"/>
        <w:rPr>
          <w:rFonts w:ascii="Arial" w:hAnsi="Arial" w:cs="Arial"/>
          <w:b/>
          <w:bCs/>
          <w:color w:val="009560"/>
          <w:szCs w:val="18"/>
          <w:lang w:eastAsia="en-AU"/>
        </w:rPr>
      </w:pPr>
      <w:r w:rsidRPr="00C12BB6">
        <w:rPr>
          <w:rFonts w:ascii="Arial" w:hAnsi="Arial" w:cs="Arial"/>
          <w:b/>
          <w:bCs/>
          <w:color w:val="009560"/>
          <w:szCs w:val="18"/>
          <w:lang w:eastAsia="en-AU"/>
        </w:rPr>
        <w:t xml:space="preserve">Objectives of the </w:t>
      </w:r>
      <w:r w:rsidR="00403CAE">
        <w:rPr>
          <w:rFonts w:ascii="Arial" w:hAnsi="Arial" w:cs="Arial"/>
          <w:b/>
          <w:bCs/>
          <w:color w:val="009560"/>
          <w:szCs w:val="18"/>
          <w:lang w:eastAsia="en-AU"/>
        </w:rPr>
        <w:t>Department of Education and Training</w:t>
      </w:r>
    </w:p>
    <w:p w:rsidR="003E6989" w:rsidRPr="00075D25" w:rsidRDefault="003E6989" w:rsidP="003E6989">
      <w:pPr>
        <w:pStyle w:val="NotesText0"/>
      </w:pPr>
      <w:r w:rsidRPr="00075D25">
        <w:t xml:space="preserve">The </w:t>
      </w:r>
      <w:r w:rsidR="00403CAE">
        <w:t>Department of Education and Training</w:t>
      </w:r>
      <w:r>
        <w:t xml:space="preserve"> </w:t>
      </w:r>
      <w:r w:rsidRPr="00075D25">
        <w:t>(the department) is an Australia</w:t>
      </w:r>
      <w:r>
        <w:t xml:space="preserve">n Government controlled </w:t>
      </w:r>
      <w:r w:rsidRPr="00075D25">
        <w:t>not-for-profit entity.</w:t>
      </w:r>
    </w:p>
    <w:p w:rsidR="003E6989" w:rsidRPr="00075D25" w:rsidRDefault="003E6989" w:rsidP="003E6989">
      <w:pPr>
        <w:pStyle w:val="NotesText0"/>
      </w:pPr>
      <w:r w:rsidRPr="00075D25">
        <w:t>The department provides advice to the Government and administers programs to achieve the Government’s objectives for education</w:t>
      </w:r>
      <w:r>
        <w:t xml:space="preserve"> and training</w:t>
      </w:r>
      <w:r w:rsidRPr="00075D25">
        <w:t>. The department works in partnership with the states and territories, non-government authorities, providers and industry.</w:t>
      </w:r>
    </w:p>
    <w:p w:rsidR="003E6989" w:rsidRPr="00075D25" w:rsidRDefault="003E6989" w:rsidP="003E6989">
      <w:pPr>
        <w:pStyle w:val="NotesText0"/>
      </w:pPr>
      <w:r>
        <w:t>For the financial year ended 30 June 2016, t</w:t>
      </w:r>
      <w:r w:rsidRPr="00075D25">
        <w:t xml:space="preserve">he department </w:t>
      </w:r>
      <w:r>
        <w:t xml:space="preserve">was </w:t>
      </w:r>
      <w:r w:rsidRPr="00075D25">
        <w:t>structured to meet the following outcomes:</w:t>
      </w:r>
    </w:p>
    <w:p w:rsidR="003E6989" w:rsidRPr="00DE355B" w:rsidRDefault="003E6989" w:rsidP="003E6989">
      <w:pPr>
        <w:pStyle w:val="NotesText0"/>
      </w:pPr>
      <w:r w:rsidRPr="00DE355B">
        <w:t>Outcome 1: Improved early learning, schooling, student educational outcomes and transitions to and from school through access to quality</w:t>
      </w:r>
      <w:r>
        <w:t xml:space="preserve"> child care</w:t>
      </w:r>
      <w:r w:rsidRPr="00DE355B">
        <w:t xml:space="preserve"> support, parent engagement, quality teaching and learning environments.</w:t>
      </w:r>
    </w:p>
    <w:p w:rsidR="003E6989" w:rsidRPr="00DE355B" w:rsidRDefault="003E6989" w:rsidP="003E6989">
      <w:pPr>
        <w:pStyle w:val="NotesText0"/>
      </w:pPr>
      <w:r w:rsidRPr="00DE355B">
        <w:t>Outcome 2: Promote growth in economic productivity and social wellbeing through access to quality higher education, international education, and international quality research, skills and training.</w:t>
      </w:r>
    </w:p>
    <w:p w:rsidR="003E6989" w:rsidRPr="00075D25" w:rsidRDefault="003E6989" w:rsidP="003E6989">
      <w:pPr>
        <w:pStyle w:val="NotesText0"/>
      </w:pPr>
      <w:r w:rsidRPr="00075D25">
        <w:t>The department</w:t>
      </w:r>
      <w:r>
        <w:t xml:space="preserve">’s responsibilities changed as a result of the Administrative Arrangement Orders (AAO) that took effect on </w:t>
      </w:r>
      <w:r>
        <w:br/>
        <w:t xml:space="preserve">21 September 2015.  Responsibility for child care and early childhood development transferred from the Department of Social Services.  The transfer of function encompasses programs 1.7 to 1.10.  </w:t>
      </w:r>
    </w:p>
    <w:p w:rsidR="003E6989" w:rsidRPr="00075D25" w:rsidRDefault="003E6989" w:rsidP="003E6989">
      <w:pPr>
        <w:pStyle w:val="NotesText0"/>
      </w:pPr>
      <w:r w:rsidRPr="00075D25">
        <w:t>The continued existence of the department in its present form and with its present programs is dependent on Government policy and on continuing funding by Parliament for the department’s administration and program</w:t>
      </w:r>
      <w:r>
        <w:t>s</w:t>
      </w:r>
      <w:r w:rsidRPr="00075D25">
        <w:t>.</w:t>
      </w:r>
    </w:p>
    <w:p w:rsidR="003E6989" w:rsidRDefault="003E6989" w:rsidP="003E6989">
      <w:pPr>
        <w:spacing w:before="100" w:after="100" w:line="240" w:lineRule="auto"/>
        <w:rPr>
          <w:rFonts w:ascii="Arial" w:hAnsi="Arial" w:cs="Arial"/>
          <w:szCs w:val="18"/>
          <w:lang w:eastAsia="en-AU"/>
        </w:rPr>
      </w:pPr>
      <w:r w:rsidRPr="00075D25">
        <w:t>The department’s activities contributing toward these outcomes are classified as either departmental or administered.  Departmental activities involve the use of assets, liabilities, income and expenses controlled or incurred by the department in its own right.  Administered activities involve the management or oversight by the department, on behalf of the Government, of items controlled or incurred by the Government.</w:t>
      </w:r>
    </w:p>
    <w:p w:rsidR="003E6989" w:rsidRPr="00242230" w:rsidRDefault="003E6989" w:rsidP="003E6989">
      <w:pPr>
        <w:spacing w:before="240" w:after="240" w:line="240" w:lineRule="auto"/>
        <w:rPr>
          <w:rFonts w:ascii="Arial" w:hAnsi="Arial" w:cs="Arial"/>
          <w:b/>
          <w:bCs/>
          <w:color w:val="009560"/>
          <w:szCs w:val="18"/>
          <w:lang w:eastAsia="en-AU"/>
        </w:rPr>
      </w:pPr>
      <w:r>
        <w:rPr>
          <w:rFonts w:ascii="Arial" w:hAnsi="Arial" w:cs="Arial"/>
          <w:b/>
          <w:bCs/>
          <w:color w:val="009560"/>
          <w:szCs w:val="18"/>
          <w:lang w:eastAsia="en-AU"/>
        </w:rPr>
        <w:t>The Basis of Preparation</w:t>
      </w:r>
    </w:p>
    <w:p w:rsidR="003E6989" w:rsidRPr="00075D25" w:rsidRDefault="003E6989" w:rsidP="003E6989">
      <w:pPr>
        <w:pStyle w:val="NotesText0"/>
      </w:pPr>
      <w:r w:rsidRPr="00075D25">
        <w:t>The financial statements are general purpose financial statements and are required by section 4</w:t>
      </w:r>
      <w:r>
        <w:t>2</w:t>
      </w:r>
      <w:r w:rsidRPr="00075D25">
        <w:t xml:space="preserve"> of the</w:t>
      </w:r>
      <w:r w:rsidRPr="00075D25">
        <w:rPr>
          <w:bCs/>
        </w:rPr>
        <w:t xml:space="preserve"> </w:t>
      </w:r>
      <w:r>
        <w:rPr>
          <w:bCs/>
          <w:i/>
        </w:rPr>
        <w:t>Public Governance, Performance and Accountability Act 2013 (PGPA Act)</w:t>
      </w:r>
      <w:r w:rsidRPr="00075D25">
        <w:t>.</w:t>
      </w:r>
    </w:p>
    <w:p w:rsidR="003E6989" w:rsidRPr="00075D25" w:rsidRDefault="003E6989" w:rsidP="003E6989">
      <w:pPr>
        <w:pStyle w:val="NotesText0"/>
      </w:pPr>
      <w:r w:rsidRPr="00075D25">
        <w:t>The financial statements have been prepared in accordance with:</w:t>
      </w:r>
    </w:p>
    <w:p w:rsidR="003E6989" w:rsidRPr="008104A5" w:rsidRDefault="003E6989" w:rsidP="003E6989">
      <w:pPr>
        <w:pStyle w:val="NotesText0"/>
        <w:numPr>
          <w:ilvl w:val="0"/>
          <w:numId w:val="16"/>
        </w:numPr>
      </w:pPr>
      <w:r w:rsidRPr="00F03562">
        <w:rPr>
          <w:i/>
        </w:rPr>
        <w:t>PGPA</w:t>
      </w:r>
      <w:r>
        <w:rPr>
          <w:i/>
        </w:rPr>
        <w:t xml:space="preserve"> </w:t>
      </w:r>
      <w:r w:rsidRPr="007D3EBD">
        <w:t>Act</w:t>
      </w:r>
      <w:r w:rsidRPr="00F03562">
        <w:rPr>
          <w:i/>
        </w:rPr>
        <w:t xml:space="preserve"> (Financial Reporting Rule) 201</w:t>
      </w:r>
      <w:r>
        <w:rPr>
          <w:i/>
        </w:rPr>
        <w:t>6</w:t>
      </w:r>
      <w:r>
        <w:t xml:space="preserve"> (FRR) for reporting</w:t>
      </w:r>
      <w:r w:rsidRPr="008104A5">
        <w:t xml:space="preserve"> periods </w:t>
      </w:r>
      <w:r>
        <w:t>commencing 1 July 2015; and</w:t>
      </w:r>
    </w:p>
    <w:p w:rsidR="003E6989" w:rsidRPr="008104A5" w:rsidRDefault="003E6989" w:rsidP="003E6989">
      <w:pPr>
        <w:pStyle w:val="NotesText0"/>
        <w:numPr>
          <w:ilvl w:val="0"/>
          <w:numId w:val="16"/>
        </w:numPr>
      </w:pPr>
      <w:r w:rsidRPr="008104A5">
        <w:t>Australian Accounting Standards and Interpretations issued by the Australian Accounting Standards Board (AASB) that apply for the reporting period.</w:t>
      </w:r>
    </w:p>
    <w:p w:rsidR="003E6989" w:rsidRPr="00075D25" w:rsidRDefault="003E6989" w:rsidP="003E6989">
      <w:pPr>
        <w:pStyle w:val="NotesText0"/>
      </w:pPr>
      <w:r w:rsidRPr="00075D25">
        <w:t xml:space="preserve">The financial statements have been prepared on an accrual basis and are in accordance with the historical cost convention, except for certain assets </w:t>
      </w:r>
      <w:r>
        <w:t xml:space="preserve">and liabilities at fair value. </w:t>
      </w:r>
      <w:r w:rsidRPr="00075D25">
        <w:t>Except where stated, no allowance is made for the effect of changing prices on the results or the financial position.</w:t>
      </w:r>
    </w:p>
    <w:p w:rsidR="003E6989" w:rsidRDefault="003E6989" w:rsidP="003E6989">
      <w:pPr>
        <w:pStyle w:val="NotesText0"/>
      </w:pPr>
      <w:r w:rsidRPr="00075D25">
        <w:t>The financial statements are presented in Australian dollars and values are rounded to the nearest thousand dollars unless otherwise specified.</w:t>
      </w:r>
    </w:p>
    <w:p w:rsidR="003E6989" w:rsidRPr="00D31BED" w:rsidRDefault="003E6989" w:rsidP="003E6989">
      <w:pPr>
        <w:spacing w:before="240" w:after="240" w:line="240" w:lineRule="auto"/>
        <w:rPr>
          <w:rFonts w:ascii="Arial" w:hAnsi="Arial" w:cs="Arial"/>
          <w:b/>
          <w:bCs/>
          <w:color w:val="009560"/>
          <w:szCs w:val="18"/>
          <w:lang w:eastAsia="en-AU"/>
        </w:rPr>
      </w:pPr>
      <w:r w:rsidRPr="003A70A7">
        <w:rPr>
          <w:rFonts w:ascii="Arial" w:hAnsi="Arial" w:cs="Arial"/>
          <w:b/>
          <w:bCs/>
          <w:color w:val="009560"/>
          <w:szCs w:val="18"/>
          <w:lang w:eastAsia="en-AU"/>
        </w:rPr>
        <w:t>Significant Accounting Judgements and Estimates</w:t>
      </w:r>
      <w:r w:rsidRPr="00D31BED">
        <w:rPr>
          <w:rFonts w:ascii="Arial" w:hAnsi="Arial" w:cs="Arial"/>
          <w:b/>
          <w:bCs/>
          <w:color w:val="009560"/>
          <w:szCs w:val="18"/>
          <w:lang w:eastAsia="en-AU"/>
        </w:rPr>
        <w:t xml:space="preserve"> </w:t>
      </w:r>
    </w:p>
    <w:p w:rsidR="003E6989" w:rsidRPr="00075D25" w:rsidRDefault="003E6989" w:rsidP="003E6989">
      <w:pPr>
        <w:pStyle w:val="NotesText0"/>
      </w:pPr>
      <w:r w:rsidRPr="00075D25">
        <w:t xml:space="preserve">In the process of applying the accounting policies listed in this note, the department has not identified accounting assumptions or estimates that have a significant risk of causing a material adjustment to carrying amounts of assets and liabilities within the next reporting period. </w:t>
      </w:r>
    </w:p>
    <w:p w:rsidR="003E6989" w:rsidRPr="00075D25" w:rsidRDefault="003E6989" w:rsidP="003E6989">
      <w:pPr>
        <w:pStyle w:val="NotesText0"/>
      </w:pPr>
      <w:r w:rsidRPr="00075D25">
        <w:t>During the 201</w:t>
      </w:r>
      <w:r>
        <w:t>5-16</w:t>
      </w:r>
      <w:r w:rsidRPr="00075D25">
        <w:t xml:space="preserve"> financial year the department made the following judgements that had a significant impact on the amounts recorded in the financial statements.</w:t>
      </w:r>
    </w:p>
    <w:p w:rsidR="003E6989" w:rsidRPr="0025580A" w:rsidRDefault="003E6989" w:rsidP="003E6989">
      <w:pPr>
        <w:pStyle w:val="GreyShadeTableBreak"/>
        <w:spacing w:before="100" w:after="100" w:line="240" w:lineRule="auto"/>
        <w:rPr>
          <w:rFonts w:asciiTheme="minorHAnsi" w:hAnsiTheme="minorHAnsi" w:cs="Arial"/>
          <w:szCs w:val="18"/>
          <w:lang w:eastAsia="en-AU"/>
        </w:rPr>
      </w:pPr>
      <w:bookmarkStart w:id="150" w:name="_Toc419266935"/>
      <w:r w:rsidRPr="0025580A">
        <w:rPr>
          <w:rFonts w:asciiTheme="minorHAnsi" w:hAnsiTheme="minorHAnsi" w:cs="Arial"/>
          <w:i/>
          <w:szCs w:val="18"/>
          <w:lang w:eastAsia="en-AU"/>
        </w:rPr>
        <w:t>Child Care Fee Assistance</w:t>
      </w:r>
      <w:r w:rsidRPr="0025580A">
        <w:rPr>
          <w:rFonts w:asciiTheme="minorHAnsi" w:hAnsiTheme="minorHAnsi" w:cs="Arial"/>
          <w:szCs w:val="18"/>
          <w:lang w:eastAsia="en-AU"/>
        </w:rPr>
        <w:br/>
        <w:t>The Child Care</w:t>
      </w:r>
      <w:r>
        <w:rPr>
          <w:rFonts w:asciiTheme="minorHAnsi" w:hAnsiTheme="minorHAnsi" w:cs="Arial"/>
          <w:szCs w:val="18"/>
          <w:lang w:eastAsia="en-AU"/>
        </w:rPr>
        <w:t xml:space="preserve"> Fee Assistance (CCFA) program</w:t>
      </w:r>
      <w:r w:rsidRPr="0025580A">
        <w:rPr>
          <w:rFonts w:asciiTheme="minorHAnsi" w:hAnsiTheme="minorHAnsi" w:cs="Arial"/>
          <w:szCs w:val="18"/>
          <w:lang w:eastAsia="en-AU"/>
        </w:rPr>
        <w:t xml:space="preserve"> is aimed at assisting families with the cost of child care. Recipients receive an estimated entitlement fortnightly, either as a fee reduction via the child care provider or in some instances directly. Recipients may also receive certain benefits quarterly or annually. The benefits are paid on the basis of an estimate of taxable income and the subsequent lodgement of their tax return establishes actual income and an adjustment to the recipient’s entitlement.</w:t>
      </w:r>
    </w:p>
    <w:p w:rsidR="003E6989" w:rsidRPr="0025580A" w:rsidRDefault="003E6989" w:rsidP="003E6989">
      <w:pPr>
        <w:pStyle w:val="GreyShadeTableBreak"/>
        <w:spacing w:before="100" w:after="100" w:line="240" w:lineRule="auto"/>
        <w:rPr>
          <w:rFonts w:asciiTheme="minorHAnsi" w:hAnsiTheme="minorHAnsi" w:cs="Arial"/>
          <w:szCs w:val="18"/>
          <w:lang w:eastAsia="en-AU"/>
        </w:rPr>
      </w:pPr>
      <w:r w:rsidRPr="0025580A">
        <w:rPr>
          <w:rFonts w:asciiTheme="minorHAnsi" w:hAnsiTheme="minorHAnsi" w:cs="Arial"/>
          <w:szCs w:val="18"/>
          <w:lang w:eastAsia="en-AU"/>
        </w:rPr>
        <w:t xml:space="preserve">At any point in time there are recipients entitled to receive CCFA who have not yet received their full entitlement from the Australian Government. The department estimates a provision for these entitlements. The amount recognised as a provision is the best estimate of the consideration required to settle the present obligation as at the reporting date, taking into account the risks and uncertainties that surround the events and circumstances that affect the provision as required by </w:t>
      </w:r>
      <w:r w:rsidRPr="004061CB">
        <w:rPr>
          <w:rFonts w:asciiTheme="minorHAnsi" w:hAnsiTheme="minorHAnsi" w:cs="Arial"/>
          <w:i/>
          <w:szCs w:val="18"/>
          <w:lang w:eastAsia="en-AU"/>
        </w:rPr>
        <w:t>AASB 137 – Provision</w:t>
      </w:r>
      <w:r>
        <w:rPr>
          <w:rFonts w:asciiTheme="minorHAnsi" w:hAnsiTheme="minorHAnsi" w:cs="Arial"/>
          <w:i/>
          <w:szCs w:val="18"/>
          <w:lang w:eastAsia="en-AU"/>
        </w:rPr>
        <w:t>s</w:t>
      </w:r>
      <w:r w:rsidRPr="004061CB">
        <w:rPr>
          <w:rFonts w:asciiTheme="minorHAnsi" w:hAnsiTheme="minorHAnsi" w:cs="Arial"/>
          <w:i/>
          <w:szCs w:val="18"/>
          <w:lang w:eastAsia="en-AU"/>
        </w:rPr>
        <w:t>, Contingent Liabilities and Contingent Assets</w:t>
      </w:r>
      <w:r w:rsidRPr="0025580A">
        <w:rPr>
          <w:rFonts w:asciiTheme="minorHAnsi" w:hAnsiTheme="minorHAnsi" w:cs="Arial"/>
          <w:szCs w:val="18"/>
          <w:lang w:eastAsia="en-AU"/>
        </w:rPr>
        <w:t xml:space="preserve">. The provision calculates the current year and earlier years’ liability for claims that have yet to be realised. The methodology considers the likely lodgement profiles associated with reconciliation top-ups, lump sum claims, and quarterly and fortnightly payments, including the impact of new measures. There are also a number of eligible recipients who have received in excess of their entitlement and owe money </w:t>
      </w:r>
      <w:r w:rsidRPr="0025580A">
        <w:rPr>
          <w:rFonts w:asciiTheme="minorHAnsi" w:hAnsiTheme="minorHAnsi" w:cs="Arial"/>
          <w:szCs w:val="18"/>
          <w:lang w:eastAsia="en-AU"/>
        </w:rPr>
        <w:lastRenderedPageBreak/>
        <w:t xml:space="preserve">to the department. The department estimates a receivable for these benefits. The methodology to determine the department’s receivable considers historic recipient behaviours adjusted for the impact of new measures. The impairment allowance account for the CCFA receivable has been calculated by the Australian Government Actuary in accordance with the overall requirement of </w:t>
      </w:r>
      <w:r w:rsidRPr="004061CB">
        <w:rPr>
          <w:rFonts w:asciiTheme="minorHAnsi" w:hAnsiTheme="minorHAnsi" w:cs="Arial"/>
          <w:i/>
          <w:szCs w:val="18"/>
          <w:lang w:eastAsia="en-AU"/>
        </w:rPr>
        <w:t>AASB 136 – Impairment of Assets</w:t>
      </w:r>
      <w:r w:rsidRPr="0025580A">
        <w:rPr>
          <w:rFonts w:asciiTheme="minorHAnsi" w:hAnsiTheme="minorHAnsi" w:cs="Arial"/>
          <w:szCs w:val="18"/>
          <w:lang w:eastAsia="en-AU"/>
        </w:rPr>
        <w:t>, which relies on a profile of past customer behaviour.</w:t>
      </w:r>
    </w:p>
    <w:p w:rsidR="003E6989" w:rsidRPr="0025580A" w:rsidRDefault="003E6989" w:rsidP="003E6989">
      <w:pPr>
        <w:pStyle w:val="GreyShadeTableBreak"/>
        <w:spacing w:before="100" w:after="100" w:line="240" w:lineRule="auto"/>
        <w:rPr>
          <w:rFonts w:asciiTheme="minorHAnsi" w:hAnsiTheme="minorHAnsi" w:cs="Arial"/>
          <w:i/>
          <w:szCs w:val="18"/>
          <w:lang w:eastAsia="en-AU"/>
        </w:rPr>
      </w:pPr>
      <w:r w:rsidRPr="0025580A">
        <w:rPr>
          <w:rFonts w:asciiTheme="minorHAnsi" w:hAnsiTheme="minorHAnsi" w:cs="Arial"/>
          <w:i/>
          <w:szCs w:val="18"/>
          <w:lang w:eastAsia="en-AU"/>
        </w:rPr>
        <w:t>Higher Education Loan Program</w:t>
      </w:r>
      <w:bookmarkEnd w:id="150"/>
    </w:p>
    <w:p w:rsidR="003E6989" w:rsidRPr="0025580A" w:rsidRDefault="003E6989" w:rsidP="003E6989">
      <w:pPr>
        <w:pStyle w:val="GreyShadeTableBreak"/>
        <w:spacing w:before="100" w:after="100" w:line="240" w:lineRule="auto"/>
        <w:rPr>
          <w:rFonts w:asciiTheme="minorHAnsi" w:hAnsiTheme="minorHAnsi" w:cs="Arial"/>
          <w:szCs w:val="18"/>
          <w:lang w:eastAsia="en-AU"/>
        </w:rPr>
      </w:pPr>
      <w:r w:rsidRPr="0025580A">
        <w:rPr>
          <w:rFonts w:asciiTheme="minorHAnsi" w:hAnsiTheme="minorHAnsi" w:cs="Arial"/>
          <w:szCs w:val="18"/>
          <w:lang w:eastAsia="en-AU"/>
        </w:rPr>
        <w:t>The value of the Higher Education Loan Program (HELP) receivable is calculated each year by actuarial assessment. The two main measures impacting on the calculation of the HELP asset are the face value of the debt not expected to be repaid and the fair value of the remaining receivable, calculated as the present value of projected future cash flows.</w:t>
      </w:r>
      <w:r w:rsidR="001F2C80">
        <w:rPr>
          <w:rFonts w:asciiTheme="minorHAnsi" w:hAnsiTheme="minorHAnsi" w:cs="Arial"/>
          <w:szCs w:val="18"/>
          <w:lang w:eastAsia="en-AU"/>
        </w:rPr>
        <w:t xml:space="preserve"> </w:t>
      </w:r>
    </w:p>
    <w:p w:rsidR="003E6989" w:rsidRPr="0025580A" w:rsidDel="008B4962" w:rsidRDefault="003E6989" w:rsidP="003E6989">
      <w:pPr>
        <w:pStyle w:val="GreyShadeTableBreak"/>
        <w:spacing w:before="100" w:after="100" w:line="240" w:lineRule="auto"/>
        <w:rPr>
          <w:rFonts w:asciiTheme="minorHAnsi" w:hAnsiTheme="minorHAnsi" w:cs="Arial"/>
          <w:i/>
          <w:szCs w:val="18"/>
          <w:lang w:eastAsia="en-AU"/>
        </w:rPr>
      </w:pPr>
      <w:bookmarkStart w:id="151" w:name="_Toc419266936"/>
      <w:r>
        <w:rPr>
          <w:rFonts w:asciiTheme="minorHAnsi" w:hAnsiTheme="minorHAnsi" w:cs="Arial"/>
          <w:i/>
          <w:szCs w:val="18"/>
          <w:lang w:eastAsia="en-AU"/>
        </w:rPr>
        <w:t>Higher Education</w:t>
      </w:r>
      <w:r w:rsidRPr="0025580A" w:rsidDel="008B4962">
        <w:rPr>
          <w:rFonts w:asciiTheme="minorHAnsi" w:hAnsiTheme="minorHAnsi" w:cs="Arial"/>
          <w:i/>
          <w:szCs w:val="18"/>
          <w:lang w:eastAsia="en-AU"/>
        </w:rPr>
        <w:t xml:space="preserve"> Superannuation</w:t>
      </w:r>
      <w:bookmarkEnd w:id="151"/>
    </w:p>
    <w:p w:rsidR="003E6989" w:rsidRPr="0025580A" w:rsidRDefault="003E6989" w:rsidP="003E6989">
      <w:pPr>
        <w:pStyle w:val="GreyShadeTableBreak"/>
        <w:spacing w:before="100" w:after="100" w:line="240" w:lineRule="auto"/>
        <w:rPr>
          <w:rFonts w:asciiTheme="minorHAnsi" w:hAnsiTheme="minorHAnsi" w:cs="Arial"/>
          <w:szCs w:val="18"/>
          <w:lang w:eastAsia="en-AU"/>
        </w:rPr>
      </w:pPr>
      <w:r w:rsidRPr="0025580A">
        <w:rPr>
          <w:rFonts w:asciiTheme="minorHAnsi" w:hAnsiTheme="minorHAnsi" w:cs="Arial"/>
          <w:szCs w:val="18"/>
          <w:lang w:eastAsia="en-AU"/>
        </w:rPr>
        <w:t>The fair value of the p</w:t>
      </w:r>
      <w:r w:rsidRPr="0025580A" w:rsidDel="008B4962">
        <w:rPr>
          <w:rFonts w:asciiTheme="minorHAnsi" w:hAnsiTheme="minorHAnsi" w:cs="Arial"/>
          <w:szCs w:val="18"/>
          <w:lang w:eastAsia="en-AU"/>
        </w:rPr>
        <w:t xml:space="preserve">rovision for </w:t>
      </w:r>
      <w:r w:rsidRPr="0025580A">
        <w:rPr>
          <w:rFonts w:asciiTheme="minorHAnsi" w:hAnsiTheme="minorHAnsi" w:cs="Arial"/>
          <w:szCs w:val="18"/>
          <w:lang w:eastAsia="en-AU"/>
        </w:rPr>
        <w:t>Higher Education Superannuation in 2015-16</w:t>
      </w:r>
      <w:r w:rsidRPr="0025580A" w:rsidDel="008B4962">
        <w:rPr>
          <w:rFonts w:asciiTheme="minorHAnsi" w:hAnsiTheme="minorHAnsi" w:cs="Arial"/>
          <w:szCs w:val="18"/>
          <w:lang w:eastAsia="en-AU"/>
        </w:rPr>
        <w:t xml:space="preserve"> $</w:t>
      </w:r>
      <w:r>
        <w:rPr>
          <w:rFonts w:asciiTheme="minorHAnsi" w:hAnsiTheme="minorHAnsi" w:cs="Arial"/>
          <w:szCs w:val="18"/>
          <w:lang w:eastAsia="en-AU"/>
        </w:rPr>
        <w:t>6.950</w:t>
      </w:r>
      <w:r w:rsidRPr="0025580A">
        <w:rPr>
          <w:rFonts w:asciiTheme="minorHAnsi" w:hAnsiTheme="minorHAnsi" w:cs="Arial"/>
          <w:szCs w:val="18"/>
          <w:lang w:eastAsia="en-AU"/>
        </w:rPr>
        <w:t xml:space="preserve"> billion (2015</w:t>
      </w:r>
      <w:r w:rsidRPr="0025580A" w:rsidDel="008B4962">
        <w:rPr>
          <w:rFonts w:asciiTheme="minorHAnsi" w:hAnsiTheme="minorHAnsi" w:cs="Arial"/>
          <w:szCs w:val="18"/>
          <w:lang w:eastAsia="en-AU"/>
        </w:rPr>
        <w:t xml:space="preserve"> $6.</w:t>
      </w:r>
      <w:r w:rsidRPr="0025580A">
        <w:rPr>
          <w:rFonts w:asciiTheme="minorHAnsi" w:hAnsiTheme="minorHAnsi" w:cs="Arial"/>
          <w:szCs w:val="18"/>
          <w:lang w:eastAsia="en-AU"/>
        </w:rPr>
        <w:t>068</w:t>
      </w:r>
      <w:r w:rsidRPr="0025580A" w:rsidDel="008B4962">
        <w:rPr>
          <w:rFonts w:asciiTheme="minorHAnsi" w:hAnsiTheme="minorHAnsi" w:cs="Arial"/>
          <w:szCs w:val="18"/>
          <w:lang w:eastAsia="en-AU"/>
        </w:rPr>
        <w:t xml:space="preserve"> billion) is calculated annually by actuarial assessment. The provision is valued in accordance with the requirements of </w:t>
      </w:r>
      <w:r w:rsidRPr="004061CB" w:rsidDel="008B4962">
        <w:rPr>
          <w:rFonts w:asciiTheme="minorHAnsi" w:hAnsiTheme="minorHAnsi" w:cs="Arial"/>
          <w:i/>
          <w:szCs w:val="18"/>
          <w:lang w:eastAsia="en-AU"/>
        </w:rPr>
        <w:t>AASB119, Employee Benefits</w:t>
      </w:r>
      <w:r w:rsidRPr="0025580A" w:rsidDel="008B4962">
        <w:rPr>
          <w:rFonts w:asciiTheme="minorHAnsi" w:hAnsiTheme="minorHAnsi" w:cs="Arial"/>
          <w:szCs w:val="18"/>
          <w:lang w:eastAsia="en-AU"/>
        </w:rPr>
        <w:t xml:space="preserve">.  The discount rate used is based on the yields available on government bonds. The prevailing rate as at 30 </w:t>
      </w:r>
      <w:r w:rsidRPr="0025580A">
        <w:rPr>
          <w:rFonts w:asciiTheme="minorHAnsi" w:hAnsiTheme="minorHAnsi" w:cs="Arial"/>
          <w:szCs w:val="18"/>
          <w:lang w:eastAsia="en-AU"/>
        </w:rPr>
        <w:t>June 2016</w:t>
      </w:r>
      <w:r w:rsidRPr="0025580A" w:rsidDel="008B4962">
        <w:rPr>
          <w:rFonts w:asciiTheme="minorHAnsi" w:hAnsiTheme="minorHAnsi" w:cs="Arial"/>
          <w:szCs w:val="18"/>
          <w:lang w:eastAsia="en-AU"/>
        </w:rPr>
        <w:t xml:space="preserve"> is </w:t>
      </w:r>
      <w:r>
        <w:rPr>
          <w:rFonts w:asciiTheme="minorHAnsi" w:hAnsiTheme="minorHAnsi" w:cs="Arial"/>
          <w:szCs w:val="18"/>
          <w:lang w:eastAsia="en-AU"/>
        </w:rPr>
        <w:t>2.7</w:t>
      </w:r>
      <w:r w:rsidRPr="0025580A">
        <w:rPr>
          <w:rFonts w:asciiTheme="minorHAnsi" w:hAnsiTheme="minorHAnsi" w:cs="Arial"/>
          <w:szCs w:val="18"/>
          <w:lang w:eastAsia="en-AU"/>
        </w:rPr>
        <w:t>% (2015 3.7</w:t>
      </w:r>
      <w:r w:rsidRPr="0025580A" w:rsidDel="008B4962">
        <w:rPr>
          <w:rFonts w:asciiTheme="minorHAnsi" w:hAnsiTheme="minorHAnsi" w:cs="Arial"/>
          <w:szCs w:val="18"/>
          <w:lang w:eastAsia="en-AU"/>
        </w:rPr>
        <w:t>%).</w:t>
      </w:r>
    </w:p>
    <w:p w:rsidR="003E6989" w:rsidRPr="002257EA" w:rsidRDefault="003E6989" w:rsidP="003E6989">
      <w:pPr>
        <w:pStyle w:val="PolicyTextAdminbold"/>
        <w:shd w:val="clear" w:color="auto" w:fill="D9D9D9" w:themeFill="background1" w:themeFillShade="D9"/>
        <w:spacing w:before="100" w:after="100" w:line="240" w:lineRule="auto"/>
      </w:pPr>
      <w:r w:rsidRPr="002257EA">
        <w:t>Reporting of administered activities</w:t>
      </w:r>
    </w:p>
    <w:p w:rsidR="003E6989" w:rsidRDefault="003E6989" w:rsidP="003E6989">
      <w:pPr>
        <w:pStyle w:val="PolicyTextAdmin"/>
        <w:shd w:val="clear" w:color="auto" w:fill="D9D9D9" w:themeFill="background1" w:themeFillShade="D9"/>
        <w:spacing w:before="100" w:after="100" w:line="240" w:lineRule="auto"/>
      </w:pPr>
      <w:r w:rsidRPr="00E95939">
        <w:t xml:space="preserve">Administered revenues, expenses, assets, liabilities and cash flows are disclosed in the administered schedules and related notes. </w:t>
      </w:r>
    </w:p>
    <w:p w:rsidR="003E6989" w:rsidRPr="00E95939" w:rsidRDefault="003E6989" w:rsidP="003E6989">
      <w:pPr>
        <w:pStyle w:val="PolicyTextAdmin"/>
        <w:shd w:val="clear" w:color="auto" w:fill="D9D9D9" w:themeFill="background1" w:themeFillShade="D9"/>
        <w:spacing w:before="100" w:after="100" w:line="240" w:lineRule="auto"/>
      </w:pPr>
      <w:r>
        <w:t>Unless</w:t>
      </w:r>
      <w:r w:rsidRPr="00E95939">
        <w:t xml:space="preserve"> otherwise stated, administered items are accounted for on the same basis and using the same policies as for departmental items, including the application of Australian Accounting Standards.</w:t>
      </w:r>
    </w:p>
    <w:p w:rsidR="003E6989" w:rsidRPr="00C12BB6" w:rsidRDefault="003E6989" w:rsidP="003E6989">
      <w:pPr>
        <w:spacing w:before="240" w:after="240" w:line="240" w:lineRule="auto"/>
        <w:rPr>
          <w:rFonts w:ascii="Arial" w:hAnsi="Arial" w:cs="Arial"/>
          <w:b/>
          <w:bCs/>
          <w:color w:val="009560"/>
          <w:szCs w:val="18"/>
          <w:lang w:eastAsia="en-AU"/>
        </w:rPr>
      </w:pPr>
      <w:r w:rsidRPr="00C12BB6">
        <w:rPr>
          <w:rFonts w:ascii="Arial" w:hAnsi="Arial" w:cs="Arial"/>
          <w:b/>
          <w:bCs/>
          <w:color w:val="009560"/>
          <w:szCs w:val="18"/>
          <w:lang w:eastAsia="en-AU"/>
        </w:rPr>
        <w:t>New Australian Accounting Standards</w:t>
      </w:r>
    </w:p>
    <w:p w:rsidR="003E6989" w:rsidRDefault="003E6989" w:rsidP="003E6989">
      <w:pPr>
        <w:spacing w:before="100" w:after="100" w:line="120" w:lineRule="atLeast"/>
        <w:rPr>
          <w:rFonts w:asciiTheme="minorHAnsi" w:hAnsiTheme="minorHAnsi" w:cs="Arial"/>
          <w:i/>
          <w:szCs w:val="18"/>
          <w:u w:val="single"/>
          <w:lang w:eastAsia="en-AU"/>
        </w:rPr>
      </w:pPr>
      <w:r w:rsidRPr="00242230">
        <w:rPr>
          <w:rFonts w:asciiTheme="minorHAnsi" w:hAnsiTheme="minorHAnsi" w:cs="Arial"/>
          <w:i/>
          <w:szCs w:val="18"/>
          <w:u w:val="single"/>
          <w:lang w:eastAsia="en-AU"/>
        </w:rPr>
        <w:t>Adoption of new Australian Accounting Standard requirements</w:t>
      </w:r>
    </w:p>
    <w:p w:rsidR="003E6989" w:rsidRDefault="003E6989" w:rsidP="003E6989">
      <w:pPr>
        <w:spacing w:before="100" w:after="100" w:line="240" w:lineRule="auto"/>
      </w:pPr>
      <w:r>
        <w:rPr>
          <w:szCs w:val="18"/>
        </w:rPr>
        <w:t>No accounting standard has been adopted earlier than the application as stated in the standard.  There have been no new standards, amended standards or interpretations that were issued by the Australian Accounting Standards Board prior to the sign-off date that are applicable to the current reporting period and have a material impact on the department.</w:t>
      </w:r>
    </w:p>
    <w:p w:rsidR="003E6989" w:rsidRPr="00A1196B" w:rsidRDefault="003E6989" w:rsidP="003E6989">
      <w:pPr>
        <w:pStyle w:val="NotesText0"/>
      </w:pPr>
      <w:r w:rsidRPr="00A1196B">
        <w:t>Future Australian Accounting Standard Requirements</w:t>
      </w:r>
    </w:p>
    <w:p w:rsidR="003E6989" w:rsidRPr="00AE681F" w:rsidRDefault="003E6989" w:rsidP="003E6989">
      <w:pPr>
        <w:pStyle w:val="NotesText0"/>
      </w:pPr>
      <w:r w:rsidRPr="00AE681F">
        <w:t>The following new standards, revised standards, interpretations and amending standards were issued by the Australian Accounting Standards B</w:t>
      </w:r>
      <w:r>
        <w:t>oard prior to the sign-off date. T</w:t>
      </w:r>
      <w:r w:rsidRPr="00AE681F">
        <w:t>hey are expected to have a financial impact on the department for future reporting periods:</w:t>
      </w:r>
    </w:p>
    <w:tbl>
      <w:tblPr>
        <w:tblW w:w="9087" w:type="dxa"/>
        <w:tblInd w:w="93" w:type="dxa"/>
        <w:tblLook w:val="04A0" w:firstRow="1" w:lastRow="0" w:firstColumn="1" w:lastColumn="0" w:noHBand="0" w:noVBand="1"/>
      </w:tblPr>
      <w:tblGrid>
        <w:gridCol w:w="1575"/>
        <w:gridCol w:w="7512"/>
      </w:tblGrid>
      <w:tr w:rsidR="003E6989" w:rsidRPr="00EF3318" w:rsidTr="006A5410">
        <w:trPr>
          <w:trHeight w:val="410"/>
        </w:trPr>
        <w:tc>
          <w:tcPr>
            <w:tcW w:w="1575" w:type="dxa"/>
            <w:noWrap/>
          </w:tcPr>
          <w:p w:rsidR="003E6989" w:rsidRPr="00803335" w:rsidRDefault="003E6989" w:rsidP="006A5410">
            <w:pPr>
              <w:spacing w:before="100" w:after="100" w:line="240" w:lineRule="auto"/>
              <w:rPr>
                <w:rFonts w:asciiTheme="minorHAnsi" w:hAnsiTheme="minorHAnsi" w:cstheme="minorHAnsi"/>
                <w:color w:val="000000"/>
                <w:szCs w:val="18"/>
              </w:rPr>
            </w:pPr>
            <w:r>
              <w:rPr>
                <w:rFonts w:asciiTheme="minorHAnsi" w:hAnsiTheme="minorHAnsi" w:cstheme="minorHAnsi"/>
                <w:color w:val="000000"/>
                <w:szCs w:val="18"/>
              </w:rPr>
              <w:t>AASB 124</w:t>
            </w:r>
          </w:p>
        </w:tc>
        <w:tc>
          <w:tcPr>
            <w:tcW w:w="7512" w:type="dxa"/>
          </w:tcPr>
          <w:p w:rsidR="003E6989" w:rsidRDefault="003E6989" w:rsidP="006A5410">
            <w:pPr>
              <w:spacing w:before="100" w:after="100" w:line="240" w:lineRule="auto"/>
              <w:rPr>
                <w:rFonts w:asciiTheme="minorHAnsi" w:hAnsiTheme="minorHAnsi" w:cstheme="minorHAnsi"/>
                <w:color w:val="000000"/>
                <w:szCs w:val="18"/>
              </w:rPr>
            </w:pPr>
            <w:r>
              <w:rPr>
                <w:rFonts w:asciiTheme="minorHAnsi" w:hAnsiTheme="minorHAnsi" w:cstheme="minorHAnsi"/>
                <w:color w:val="000000"/>
                <w:szCs w:val="18"/>
              </w:rPr>
              <w:t>Related Party Disclosure – applies from 1 July 2016. Entities will be required to identify related parties and related party transactions. A separate disclosure is required where activity is collectively material or significant in nature.</w:t>
            </w:r>
          </w:p>
        </w:tc>
      </w:tr>
      <w:tr w:rsidR="003E6989" w:rsidRPr="00EF3318" w:rsidTr="006A5410">
        <w:trPr>
          <w:trHeight w:val="410"/>
        </w:trPr>
        <w:tc>
          <w:tcPr>
            <w:tcW w:w="1575" w:type="dxa"/>
            <w:noWrap/>
          </w:tcPr>
          <w:p w:rsidR="003E6989" w:rsidRPr="00803335" w:rsidRDefault="003E6989" w:rsidP="006A5410">
            <w:pPr>
              <w:spacing w:before="100" w:after="100" w:line="240" w:lineRule="auto"/>
              <w:rPr>
                <w:rFonts w:asciiTheme="minorHAnsi" w:hAnsiTheme="minorHAnsi" w:cstheme="minorHAnsi"/>
                <w:color w:val="000000"/>
                <w:szCs w:val="18"/>
              </w:rPr>
            </w:pPr>
            <w:r w:rsidRPr="00803335">
              <w:rPr>
                <w:rFonts w:asciiTheme="minorHAnsi" w:hAnsiTheme="minorHAnsi" w:cstheme="minorHAnsi"/>
                <w:color w:val="000000"/>
                <w:szCs w:val="18"/>
              </w:rPr>
              <w:t>AASB 9</w:t>
            </w:r>
          </w:p>
        </w:tc>
        <w:tc>
          <w:tcPr>
            <w:tcW w:w="7512" w:type="dxa"/>
          </w:tcPr>
          <w:p w:rsidR="003E6989" w:rsidRPr="00803335" w:rsidRDefault="003E6989" w:rsidP="006A5410">
            <w:pPr>
              <w:spacing w:before="100" w:after="100" w:line="240" w:lineRule="auto"/>
              <w:rPr>
                <w:rFonts w:asciiTheme="minorHAnsi" w:hAnsiTheme="minorHAnsi" w:cstheme="minorHAnsi"/>
                <w:color w:val="000000"/>
                <w:szCs w:val="18"/>
              </w:rPr>
            </w:pPr>
            <w:r>
              <w:rPr>
                <w:rFonts w:asciiTheme="minorHAnsi" w:hAnsiTheme="minorHAnsi" w:cstheme="minorHAnsi"/>
                <w:color w:val="000000"/>
                <w:szCs w:val="18"/>
              </w:rPr>
              <w:t xml:space="preserve">Financial Instruments </w:t>
            </w:r>
            <w:r w:rsidRPr="00803335">
              <w:rPr>
                <w:rFonts w:asciiTheme="minorHAnsi" w:hAnsiTheme="minorHAnsi" w:cstheme="minorHAnsi"/>
                <w:color w:val="000000"/>
                <w:szCs w:val="18"/>
              </w:rPr>
              <w:t>–</w:t>
            </w:r>
            <w:r>
              <w:rPr>
                <w:rFonts w:asciiTheme="minorHAnsi" w:hAnsiTheme="minorHAnsi" w:cstheme="minorHAnsi"/>
                <w:color w:val="000000"/>
                <w:szCs w:val="18"/>
              </w:rPr>
              <w:t xml:space="preserve"> ap</w:t>
            </w:r>
            <w:r w:rsidRPr="00803335">
              <w:rPr>
                <w:rFonts w:asciiTheme="minorHAnsi" w:hAnsiTheme="minorHAnsi" w:cstheme="minorHAnsi"/>
                <w:color w:val="000000"/>
                <w:szCs w:val="18"/>
              </w:rPr>
              <w:t>plies fro</w:t>
            </w:r>
            <w:r>
              <w:rPr>
                <w:rFonts w:asciiTheme="minorHAnsi" w:hAnsiTheme="minorHAnsi" w:cstheme="minorHAnsi"/>
                <w:color w:val="000000"/>
                <w:szCs w:val="18"/>
              </w:rPr>
              <w:t>m 1 January 2017</w:t>
            </w:r>
            <w:r w:rsidRPr="00803335">
              <w:rPr>
                <w:rFonts w:asciiTheme="minorHAnsi" w:hAnsiTheme="minorHAnsi" w:cstheme="minorHAnsi"/>
                <w:color w:val="000000"/>
                <w:szCs w:val="18"/>
              </w:rPr>
              <w:t>.  Potential impact on measurement of post initial recognition and recognition of gains and losses from financial instruments is yet to be assessed.</w:t>
            </w:r>
          </w:p>
        </w:tc>
      </w:tr>
      <w:tr w:rsidR="003E6989" w:rsidRPr="00EF3318" w:rsidTr="006A5410">
        <w:trPr>
          <w:trHeight w:val="410"/>
        </w:trPr>
        <w:tc>
          <w:tcPr>
            <w:tcW w:w="1575" w:type="dxa"/>
            <w:noWrap/>
          </w:tcPr>
          <w:p w:rsidR="003E6989" w:rsidRPr="00803335" w:rsidRDefault="003E6989" w:rsidP="006A5410">
            <w:pPr>
              <w:spacing w:before="100" w:after="100" w:line="240" w:lineRule="auto"/>
              <w:rPr>
                <w:rFonts w:asciiTheme="minorHAnsi" w:hAnsiTheme="minorHAnsi" w:cstheme="minorHAnsi"/>
                <w:color w:val="000000"/>
                <w:szCs w:val="18"/>
              </w:rPr>
            </w:pPr>
            <w:r w:rsidRPr="00803335">
              <w:rPr>
                <w:rFonts w:asciiTheme="minorHAnsi" w:hAnsiTheme="minorHAnsi" w:cstheme="minorHAnsi"/>
                <w:color w:val="000000"/>
                <w:szCs w:val="18"/>
              </w:rPr>
              <w:t>AASB 2010-7</w:t>
            </w:r>
          </w:p>
        </w:tc>
        <w:tc>
          <w:tcPr>
            <w:tcW w:w="7512" w:type="dxa"/>
          </w:tcPr>
          <w:p w:rsidR="003E6989" w:rsidRPr="00803335" w:rsidRDefault="003E6989" w:rsidP="006A5410">
            <w:pPr>
              <w:spacing w:before="100" w:after="100" w:line="240" w:lineRule="auto"/>
              <w:rPr>
                <w:rFonts w:asciiTheme="minorHAnsi" w:hAnsiTheme="minorHAnsi" w:cstheme="minorHAnsi"/>
                <w:color w:val="000000"/>
                <w:szCs w:val="18"/>
              </w:rPr>
            </w:pPr>
            <w:r w:rsidRPr="00803335">
              <w:rPr>
                <w:rFonts w:asciiTheme="minorHAnsi" w:hAnsiTheme="minorHAnsi" w:cstheme="minorHAnsi"/>
                <w:color w:val="000000"/>
                <w:szCs w:val="18"/>
              </w:rPr>
              <w:t>Amendments to Australian Accounting Standards arising from AASB 9</w:t>
            </w:r>
            <w:r>
              <w:rPr>
                <w:rFonts w:asciiTheme="minorHAnsi" w:hAnsiTheme="minorHAnsi" w:cstheme="minorHAnsi"/>
                <w:color w:val="000000"/>
                <w:szCs w:val="18"/>
              </w:rPr>
              <w:t xml:space="preserve"> - applies</w:t>
            </w:r>
            <w:r w:rsidRPr="00803335">
              <w:rPr>
                <w:rFonts w:asciiTheme="minorHAnsi" w:hAnsiTheme="minorHAnsi" w:cstheme="minorHAnsi"/>
                <w:color w:val="000000"/>
                <w:szCs w:val="18"/>
              </w:rPr>
              <w:t xml:space="preserve"> from </w:t>
            </w:r>
            <w:r>
              <w:rPr>
                <w:rFonts w:asciiTheme="minorHAnsi" w:hAnsiTheme="minorHAnsi" w:cstheme="minorHAnsi"/>
                <w:color w:val="000000"/>
                <w:szCs w:val="18"/>
              </w:rPr>
              <w:t>1 January 2018.</w:t>
            </w:r>
          </w:p>
        </w:tc>
      </w:tr>
      <w:tr w:rsidR="003E6989" w:rsidTr="006A5410">
        <w:tblPrEx>
          <w:tblCellMar>
            <w:left w:w="0" w:type="dxa"/>
            <w:right w:w="0" w:type="dxa"/>
          </w:tblCellMar>
        </w:tblPrEx>
        <w:trPr>
          <w:trHeight w:val="414"/>
        </w:trPr>
        <w:tc>
          <w:tcPr>
            <w:tcW w:w="1575" w:type="dxa"/>
            <w:noWrap/>
            <w:tcMar>
              <w:top w:w="0" w:type="dxa"/>
              <w:left w:w="108" w:type="dxa"/>
              <w:bottom w:w="0" w:type="dxa"/>
              <w:right w:w="108" w:type="dxa"/>
            </w:tcMar>
          </w:tcPr>
          <w:p w:rsidR="003E6989" w:rsidRPr="00803335" w:rsidRDefault="003E6989" w:rsidP="006A5410">
            <w:pPr>
              <w:spacing w:before="100" w:after="100" w:line="240" w:lineRule="auto"/>
              <w:rPr>
                <w:color w:val="000000"/>
                <w:szCs w:val="18"/>
              </w:rPr>
            </w:pPr>
            <w:r w:rsidRPr="00803335">
              <w:rPr>
                <w:color w:val="000000"/>
                <w:szCs w:val="18"/>
              </w:rPr>
              <w:t>AASB 15</w:t>
            </w:r>
          </w:p>
        </w:tc>
        <w:tc>
          <w:tcPr>
            <w:tcW w:w="7512" w:type="dxa"/>
            <w:tcMar>
              <w:top w:w="0" w:type="dxa"/>
              <w:left w:w="108" w:type="dxa"/>
              <w:bottom w:w="0" w:type="dxa"/>
              <w:right w:w="108" w:type="dxa"/>
            </w:tcMar>
          </w:tcPr>
          <w:p w:rsidR="003E6989" w:rsidRPr="00803335" w:rsidRDefault="003E6989" w:rsidP="006A5410">
            <w:pPr>
              <w:spacing w:before="100" w:after="100" w:line="240" w:lineRule="auto"/>
              <w:rPr>
                <w:rFonts w:cs="Calibri"/>
                <w:color w:val="000000"/>
                <w:szCs w:val="18"/>
              </w:rPr>
            </w:pPr>
            <w:r w:rsidRPr="00803335">
              <w:rPr>
                <w:rFonts w:cs="Calibri"/>
                <w:color w:val="000000"/>
                <w:szCs w:val="18"/>
              </w:rPr>
              <w:t xml:space="preserve">Revenue from Contracts with Customers – </w:t>
            </w:r>
            <w:r>
              <w:rPr>
                <w:rFonts w:cs="Calibri"/>
                <w:color w:val="000000"/>
                <w:szCs w:val="18"/>
              </w:rPr>
              <w:t xml:space="preserve">applies from 1 January 2018 and </w:t>
            </w:r>
            <w:r w:rsidRPr="00803335">
              <w:rPr>
                <w:rFonts w:cs="Calibri"/>
                <w:color w:val="000000"/>
                <w:szCs w:val="18"/>
              </w:rPr>
              <w:t>specifies the accounting treatment for all revenue arising from contracts with customers. The department is yet to undertake a detailed assessment of the impact of AASB15 however this is not expected to have a material impact.</w:t>
            </w:r>
          </w:p>
        </w:tc>
      </w:tr>
      <w:tr w:rsidR="003E6989" w:rsidRPr="00EF3318" w:rsidTr="006A5410">
        <w:trPr>
          <w:trHeight w:val="410"/>
        </w:trPr>
        <w:tc>
          <w:tcPr>
            <w:tcW w:w="1575" w:type="dxa"/>
            <w:noWrap/>
          </w:tcPr>
          <w:p w:rsidR="003E6989" w:rsidRPr="00803335" w:rsidRDefault="003E6989" w:rsidP="006A5410">
            <w:pPr>
              <w:spacing w:before="100" w:after="100" w:line="240" w:lineRule="auto"/>
              <w:rPr>
                <w:rFonts w:asciiTheme="minorHAnsi" w:hAnsiTheme="minorHAnsi" w:cstheme="minorHAnsi"/>
                <w:color w:val="000000"/>
                <w:szCs w:val="18"/>
              </w:rPr>
            </w:pPr>
            <w:r>
              <w:rPr>
                <w:rFonts w:asciiTheme="minorHAnsi" w:hAnsiTheme="minorHAnsi" w:cstheme="minorHAnsi"/>
                <w:color w:val="000000"/>
                <w:szCs w:val="18"/>
              </w:rPr>
              <w:t>AASB 16</w:t>
            </w:r>
          </w:p>
        </w:tc>
        <w:tc>
          <w:tcPr>
            <w:tcW w:w="7512" w:type="dxa"/>
          </w:tcPr>
          <w:p w:rsidR="003E6989" w:rsidRPr="00803335" w:rsidRDefault="003E6989" w:rsidP="006A5410">
            <w:pPr>
              <w:spacing w:before="100" w:after="100" w:line="240" w:lineRule="auto"/>
              <w:rPr>
                <w:rFonts w:asciiTheme="minorHAnsi" w:hAnsiTheme="minorHAnsi" w:cstheme="minorHAnsi"/>
                <w:color w:val="000000"/>
                <w:szCs w:val="18"/>
              </w:rPr>
            </w:pPr>
            <w:r>
              <w:rPr>
                <w:rFonts w:asciiTheme="minorHAnsi" w:hAnsiTheme="minorHAnsi" w:cstheme="minorHAnsi"/>
                <w:color w:val="000000"/>
                <w:szCs w:val="18"/>
              </w:rPr>
              <w:t>Leases – a</w:t>
            </w:r>
            <w:r w:rsidRPr="00675740">
              <w:rPr>
                <w:rFonts w:asciiTheme="minorHAnsi" w:hAnsiTheme="minorHAnsi" w:cstheme="minorHAnsi"/>
                <w:color w:val="000000"/>
                <w:szCs w:val="18"/>
              </w:rPr>
              <w:t xml:space="preserve">pplies from 1 January 2019. Potential </w:t>
            </w:r>
            <w:r>
              <w:rPr>
                <w:rFonts w:asciiTheme="minorHAnsi" w:hAnsiTheme="minorHAnsi" w:cstheme="minorHAnsi"/>
                <w:color w:val="000000"/>
                <w:szCs w:val="18"/>
              </w:rPr>
              <w:t>impact is yet to be assessed.</w:t>
            </w:r>
          </w:p>
        </w:tc>
      </w:tr>
    </w:tbl>
    <w:p w:rsidR="003E6989" w:rsidRPr="00C12BB6" w:rsidRDefault="003E6989" w:rsidP="003E6989">
      <w:pPr>
        <w:spacing w:before="240" w:after="240" w:line="240" w:lineRule="auto"/>
        <w:rPr>
          <w:rFonts w:ascii="Arial" w:hAnsi="Arial" w:cs="Arial"/>
          <w:b/>
          <w:bCs/>
          <w:color w:val="009560"/>
          <w:szCs w:val="18"/>
          <w:lang w:eastAsia="en-AU"/>
        </w:rPr>
      </w:pPr>
      <w:r>
        <w:rPr>
          <w:rFonts w:ascii="Arial" w:hAnsi="Arial" w:cs="Arial"/>
          <w:b/>
          <w:bCs/>
          <w:color w:val="009560"/>
          <w:szCs w:val="18"/>
          <w:lang w:eastAsia="en-AU"/>
        </w:rPr>
        <w:t>Taxation</w:t>
      </w:r>
    </w:p>
    <w:p w:rsidR="003E6989" w:rsidRPr="00075D25" w:rsidRDefault="003E6989" w:rsidP="003E6989">
      <w:pPr>
        <w:pStyle w:val="NotesText0"/>
      </w:pPr>
      <w:r w:rsidRPr="00075D25">
        <w:t>The department is exempt from all forms of taxation except Fringe Benefits Tax (FBT) and the Goods and Services Tax (GST).</w:t>
      </w:r>
      <w:r>
        <w:t xml:space="preserve"> </w:t>
      </w:r>
      <w:r w:rsidRPr="00075D25">
        <w:t>Revenues, expenses and assets are recognised net of GST except:</w:t>
      </w:r>
      <w:r w:rsidRPr="00075D25">
        <w:tab/>
      </w:r>
    </w:p>
    <w:p w:rsidR="003E6989" w:rsidRPr="00BC79B6" w:rsidRDefault="003E6989" w:rsidP="003E6989">
      <w:pPr>
        <w:pStyle w:val="BulletKPMG"/>
        <w:numPr>
          <w:ilvl w:val="0"/>
          <w:numId w:val="12"/>
        </w:numPr>
        <w:rPr>
          <w:rFonts w:asciiTheme="minorHAnsi" w:hAnsiTheme="minorHAnsi" w:cstheme="minorHAnsi"/>
          <w:sz w:val="18"/>
          <w:szCs w:val="18"/>
          <w:lang w:val="en-AU"/>
        </w:rPr>
      </w:pPr>
      <w:r w:rsidRPr="00BC79B6">
        <w:rPr>
          <w:rFonts w:asciiTheme="minorHAnsi" w:hAnsiTheme="minorHAnsi" w:cstheme="minorHAnsi"/>
          <w:sz w:val="18"/>
          <w:szCs w:val="18"/>
          <w:lang w:val="en-AU"/>
        </w:rPr>
        <w:t>where the amount of GST incurred is not recoverable from the Australian Taxation Office</w:t>
      </w:r>
    </w:p>
    <w:p w:rsidR="003E6989" w:rsidRPr="00D31BED" w:rsidRDefault="003E6989" w:rsidP="003E6989">
      <w:pPr>
        <w:pStyle w:val="BulletKPMG"/>
        <w:numPr>
          <w:ilvl w:val="0"/>
          <w:numId w:val="12"/>
        </w:numPr>
        <w:rPr>
          <w:rFonts w:asciiTheme="minorHAnsi" w:hAnsiTheme="minorHAnsi" w:cstheme="minorHAnsi"/>
          <w:szCs w:val="18"/>
        </w:rPr>
      </w:pPr>
      <w:r w:rsidRPr="00D31BED">
        <w:rPr>
          <w:rFonts w:asciiTheme="minorHAnsi" w:hAnsiTheme="minorHAnsi" w:cstheme="minorHAnsi"/>
          <w:sz w:val="18"/>
          <w:szCs w:val="18"/>
          <w:lang w:val="en-AU"/>
        </w:rPr>
        <w:t>for receivables and payables.</w:t>
      </w:r>
      <w:r w:rsidRPr="00D31BED">
        <w:rPr>
          <w:rFonts w:asciiTheme="minorHAnsi" w:hAnsiTheme="minorHAnsi" w:cstheme="minorHAnsi"/>
          <w:szCs w:val="18"/>
        </w:rPr>
        <w:br w:type="page"/>
      </w:r>
    </w:p>
    <w:p w:rsidR="003E6989" w:rsidRDefault="003E6989" w:rsidP="003E6989">
      <w:pPr>
        <w:spacing w:after="240" w:line="240" w:lineRule="auto"/>
        <w:rPr>
          <w:rFonts w:ascii="Arial" w:hAnsi="Arial" w:cs="Arial"/>
          <w:b/>
          <w:bCs/>
          <w:color w:val="009560"/>
          <w:szCs w:val="18"/>
          <w:lang w:eastAsia="en-AU"/>
        </w:rPr>
      </w:pPr>
      <w:r w:rsidRPr="00C12BB6">
        <w:rPr>
          <w:rFonts w:ascii="Arial" w:hAnsi="Arial" w:cs="Arial"/>
          <w:b/>
          <w:bCs/>
          <w:color w:val="009560"/>
          <w:szCs w:val="18"/>
          <w:lang w:eastAsia="en-AU"/>
        </w:rPr>
        <w:lastRenderedPageBreak/>
        <w:t>Events After the Reporting Period</w:t>
      </w:r>
    </w:p>
    <w:p w:rsidR="003E6989" w:rsidRPr="0089401D" w:rsidRDefault="003E6989" w:rsidP="003E6989">
      <w:pPr>
        <w:pStyle w:val="PlainText"/>
        <w:jc w:val="both"/>
        <w:rPr>
          <w:rFonts w:asciiTheme="minorHAnsi" w:eastAsia="Times New Roman" w:hAnsiTheme="minorHAnsi" w:cstheme="minorHAnsi"/>
          <w:sz w:val="18"/>
          <w:szCs w:val="18"/>
        </w:rPr>
      </w:pPr>
      <w:r w:rsidRPr="0089401D">
        <w:rPr>
          <w:rFonts w:asciiTheme="minorHAnsi" w:eastAsia="Times New Roman" w:hAnsiTheme="minorHAnsi" w:cstheme="minorHAnsi"/>
          <w:sz w:val="18"/>
          <w:szCs w:val="18"/>
        </w:rPr>
        <w:t xml:space="preserve">On 8 September 2016, the Secretary of the Department of Education and Training (Education) was advised of the Government’s decision to transfer Shared Services Centre functions to the Department of Finance. This restructure of administrative arrangements does not have any material impact on the Department’s 2015-16 Financial Statements. </w:t>
      </w:r>
    </w:p>
    <w:p w:rsidR="003E6989" w:rsidRDefault="003E6989" w:rsidP="003E6989">
      <w:pPr>
        <w:spacing w:after="240" w:line="240" w:lineRule="auto"/>
        <w:rPr>
          <w:rFonts w:ascii="Arial" w:hAnsi="Arial" w:cs="Arial"/>
          <w:bCs/>
          <w:color w:val="009560"/>
          <w:szCs w:val="18"/>
          <w:lang w:eastAsia="en-AU"/>
        </w:rPr>
      </w:pPr>
    </w:p>
    <w:p w:rsidR="003E6989" w:rsidRDefault="003E6989" w:rsidP="003E6989">
      <w:pPr>
        <w:spacing w:after="240" w:line="240" w:lineRule="auto"/>
        <w:rPr>
          <w:rFonts w:ascii="Arial" w:hAnsi="Arial" w:cs="Arial"/>
          <w:b/>
          <w:bCs/>
          <w:color w:val="009560"/>
          <w:szCs w:val="18"/>
          <w:lang w:eastAsia="en-AU"/>
        </w:rPr>
      </w:pPr>
      <w:r>
        <w:rPr>
          <w:rFonts w:ascii="Arial" w:hAnsi="Arial" w:cs="Arial"/>
          <w:b/>
          <w:bCs/>
          <w:color w:val="009560"/>
          <w:szCs w:val="18"/>
          <w:lang w:eastAsia="en-AU"/>
        </w:rPr>
        <w:t>Changes in Accounting Policy</w:t>
      </w:r>
    </w:p>
    <w:p w:rsidR="003E6989" w:rsidRPr="0089401D" w:rsidRDefault="003E6989" w:rsidP="003E6989">
      <w:pPr>
        <w:spacing w:before="100" w:after="100" w:line="240" w:lineRule="auto"/>
        <w:rPr>
          <w:rFonts w:ascii="Arial" w:hAnsi="Arial" w:cs="Arial"/>
          <w:b/>
          <w:bCs/>
          <w:color w:val="009560"/>
          <w:szCs w:val="18"/>
          <w:lang w:eastAsia="en-AU"/>
        </w:rPr>
      </w:pPr>
      <w:r>
        <w:rPr>
          <w:rFonts w:asciiTheme="minorHAnsi" w:hAnsiTheme="minorHAnsi" w:cstheme="minorHAnsi"/>
          <w:szCs w:val="18"/>
        </w:rPr>
        <w:t xml:space="preserve">In 2015-16 a reliable estimate of the loan fee revenue generated by HELP was calculated and reported separately in the financial statements. The total amount had previously been reported as a part of the actuarial adjustments to HELP, however with the calculation provided the treatment was to separate the revenue and expenses from the actuarial review. This resulted in a comparative adjustment to Administered Expenses. The adjustment was a total of $558.656 million impacting Fair value losses (Note 2.1H) and Other revenue (Note 2.2C). In 2015-16 the figure was included as a component of the actuarial review with the </w:t>
      </w:r>
      <w:r w:rsidRPr="0089401D">
        <w:rPr>
          <w:rFonts w:asciiTheme="minorHAnsi" w:hAnsiTheme="minorHAnsi" w:cstheme="minorHAnsi"/>
          <w:szCs w:val="18"/>
        </w:rPr>
        <w:t>total revenue being $675.522 million.</w:t>
      </w:r>
      <w:r w:rsidRPr="0089401D">
        <w:rPr>
          <w:rFonts w:ascii="Arial" w:hAnsi="Arial" w:cs="Arial"/>
          <w:b/>
          <w:bCs/>
          <w:color w:val="009560"/>
          <w:szCs w:val="18"/>
          <w:lang w:eastAsia="en-AU"/>
        </w:rPr>
        <w:t xml:space="preserve"> </w:t>
      </w:r>
    </w:p>
    <w:p w:rsidR="003E6989" w:rsidRPr="0089401D" w:rsidRDefault="003E6989" w:rsidP="003E6989">
      <w:pPr>
        <w:spacing w:before="100" w:after="100" w:line="240" w:lineRule="auto"/>
        <w:rPr>
          <w:rFonts w:ascii="Arial" w:hAnsi="Arial" w:cs="Arial"/>
          <w:b/>
          <w:bCs/>
          <w:color w:val="009560"/>
          <w:szCs w:val="18"/>
          <w:lang w:eastAsia="en-AU"/>
        </w:rPr>
      </w:pPr>
    </w:p>
    <w:p w:rsidR="003E6989" w:rsidRDefault="003E6989" w:rsidP="003E6989">
      <w:pPr>
        <w:spacing w:before="100" w:after="100" w:line="240" w:lineRule="auto"/>
        <w:rPr>
          <w:rFonts w:ascii="Arial" w:hAnsi="Arial" w:cs="Arial"/>
          <w:b/>
          <w:bCs/>
          <w:color w:val="009560"/>
          <w:szCs w:val="18"/>
          <w:lang w:eastAsia="en-AU"/>
        </w:rPr>
      </w:pPr>
      <w:r>
        <w:rPr>
          <w:rFonts w:ascii="Arial" w:hAnsi="Arial" w:cs="Arial"/>
          <w:b/>
          <w:bCs/>
          <w:color w:val="009560"/>
          <w:szCs w:val="18"/>
          <w:lang w:eastAsia="en-AU"/>
        </w:rPr>
        <w:t>Comparatives</w:t>
      </w:r>
    </w:p>
    <w:p w:rsidR="003E6989" w:rsidRDefault="003E6989" w:rsidP="003E6989">
      <w:pPr>
        <w:spacing w:before="100" w:after="100" w:line="240" w:lineRule="auto"/>
        <w:rPr>
          <w:rFonts w:asciiTheme="minorHAnsi" w:hAnsiTheme="minorHAnsi" w:cstheme="minorHAnsi"/>
          <w:szCs w:val="18"/>
        </w:rPr>
      </w:pPr>
      <w:r w:rsidRPr="00932071">
        <w:rPr>
          <w:rFonts w:asciiTheme="minorHAnsi" w:hAnsiTheme="minorHAnsi" w:cstheme="minorHAnsi"/>
          <w:szCs w:val="18"/>
        </w:rPr>
        <w:t>Where</w:t>
      </w:r>
      <w:r>
        <w:rPr>
          <w:rFonts w:asciiTheme="minorHAnsi" w:hAnsiTheme="minorHAnsi" w:cstheme="minorHAnsi"/>
          <w:szCs w:val="18"/>
        </w:rPr>
        <w:t xml:space="preserve"> necessary, comparative figures have been reclassified to conform with changes in presentation in the current year.</w:t>
      </w:r>
    </w:p>
    <w:p w:rsidR="003E6989" w:rsidRPr="0089401D" w:rsidRDefault="003E6989" w:rsidP="003E6989">
      <w:pPr>
        <w:spacing w:before="100" w:after="100" w:line="240" w:lineRule="auto"/>
        <w:rPr>
          <w:rFonts w:asciiTheme="minorHAnsi" w:hAnsiTheme="minorHAnsi" w:cstheme="minorHAnsi"/>
          <w:szCs w:val="18"/>
        </w:rPr>
      </w:pPr>
    </w:p>
    <w:p w:rsidR="003E6989" w:rsidRPr="0089401D" w:rsidRDefault="003E6989" w:rsidP="003E6989">
      <w:pPr>
        <w:spacing w:before="100" w:after="100" w:line="240" w:lineRule="auto"/>
        <w:rPr>
          <w:rFonts w:ascii="Arial" w:hAnsi="Arial" w:cs="Arial"/>
          <w:b/>
          <w:bCs/>
          <w:color w:val="009560"/>
          <w:szCs w:val="18"/>
          <w:lang w:eastAsia="en-AU"/>
        </w:rPr>
      </w:pPr>
      <w:r w:rsidRPr="0089401D">
        <w:rPr>
          <w:rFonts w:ascii="Arial" w:hAnsi="Arial" w:cs="Arial"/>
          <w:b/>
          <w:bCs/>
          <w:color w:val="009560"/>
          <w:szCs w:val="18"/>
          <w:lang w:eastAsia="en-AU"/>
        </w:rPr>
        <w:t>Breach of Section 83 of the Constitution</w:t>
      </w:r>
    </w:p>
    <w:p w:rsidR="003E6989" w:rsidRPr="004061CB" w:rsidRDefault="003E6989" w:rsidP="003E6989">
      <w:pPr>
        <w:spacing w:before="100" w:after="100" w:line="240" w:lineRule="auto"/>
        <w:rPr>
          <w:rFonts w:asciiTheme="minorHAnsi" w:hAnsiTheme="minorHAnsi" w:cstheme="minorHAnsi"/>
          <w:szCs w:val="18"/>
        </w:rPr>
      </w:pPr>
      <w:r w:rsidRPr="004061CB">
        <w:rPr>
          <w:rFonts w:asciiTheme="minorHAnsi" w:hAnsiTheme="minorHAnsi" w:cstheme="minorHAnsi"/>
          <w:szCs w:val="18"/>
        </w:rPr>
        <w:t xml:space="preserve">Section 83 of the Constitution provides that no amount may be paid out of the Consolidated Revenue Fund except under an appropriation made by law.  The Department of Finance (Finance) provided guidance to all agencies in 2011 regarding the need for risk assessments in relation to compliance with statutory conditions on payments and special appropriations, including special accounts. During 2012-13 additional legal advice was received from Finance that indicated there could be breaches of section 83 under certain circumstances with overpayments for long service leave, goods and services tax (GST) and payments under determinations of the Remuneration Tribunal.  </w:t>
      </w:r>
    </w:p>
    <w:p w:rsidR="003E6989" w:rsidRPr="004061CB" w:rsidRDefault="003E6989" w:rsidP="003E6989">
      <w:pPr>
        <w:spacing w:before="100" w:after="100" w:line="240" w:lineRule="auto"/>
        <w:rPr>
          <w:rFonts w:asciiTheme="minorHAnsi" w:hAnsiTheme="minorHAnsi" w:cstheme="minorHAnsi"/>
          <w:szCs w:val="18"/>
        </w:rPr>
      </w:pPr>
      <w:r w:rsidRPr="004061CB">
        <w:rPr>
          <w:rFonts w:asciiTheme="minorHAnsi" w:hAnsiTheme="minorHAnsi" w:cstheme="minorHAnsi"/>
          <w:szCs w:val="18"/>
        </w:rPr>
        <w:t xml:space="preserve">The department </w:t>
      </w:r>
      <w:r>
        <w:rPr>
          <w:rFonts w:asciiTheme="minorHAnsi" w:hAnsiTheme="minorHAnsi" w:cstheme="minorHAnsi"/>
          <w:szCs w:val="18"/>
        </w:rPr>
        <w:t xml:space="preserve">has nil breaches to report for 2015-16 (2014-15: nil) and </w:t>
      </w:r>
      <w:r w:rsidRPr="004061CB">
        <w:rPr>
          <w:rFonts w:asciiTheme="minorHAnsi" w:hAnsiTheme="minorHAnsi" w:cstheme="minorHAnsi"/>
          <w:szCs w:val="18"/>
        </w:rPr>
        <w:t>continues to monitor its level of compliance with section 83 of the Constitution across all legislation for which it is administratively responsible</w:t>
      </w:r>
      <w:r>
        <w:rPr>
          <w:rFonts w:asciiTheme="minorHAnsi" w:hAnsiTheme="minorHAnsi" w:cstheme="minorHAnsi"/>
          <w:szCs w:val="18"/>
        </w:rPr>
        <w:t>.</w:t>
      </w:r>
      <w:r w:rsidRPr="004061CB">
        <w:rPr>
          <w:rFonts w:asciiTheme="minorHAnsi" w:hAnsiTheme="minorHAnsi" w:cstheme="minorHAnsi"/>
          <w:szCs w:val="18"/>
        </w:rPr>
        <w:t xml:space="preserve"> </w:t>
      </w:r>
      <w:r>
        <w:rPr>
          <w:rFonts w:asciiTheme="minorHAnsi" w:hAnsiTheme="minorHAnsi" w:cstheme="minorHAnsi"/>
          <w:szCs w:val="18"/>
        </w:rPr>
        <w:t>W</w:t>
      </w:r>
      <w:r w:rsidRPr="004061CB">
        <w:rPr>
          <w:rFonts w:asciiTheme="minorHAnsi" w:hAnsiTheme="minorHAnsi" w:cstheme="minorHAnsi"/>
          <w:szCs w:val="18"/>
        </w:rPr>
        <w:t>here possible</w:t>
      </w:r>
      <w:r>
        <w:rPr>
          <w:rFonts w:asciiTheme="minorHAnsi" w:hAnsiTheme="minorHAnsi" w:cstheme="minorHAnsi"/>
          <w:szCs w:val="18"/>
        </w:rPr>
        <w:t xml:space="preserve"> and required,</w:t>
      </w:r>
      <w:r w:rsidRPr="004061CB">
        <w:rPr>
          <w:rFonts w:asciiTheme="minorHAnsi" w:hAnsiTheme="minorHAnsi" w:cstheme="minorHAnsi"/>
          <w:szCs w:val="18"/>
        </w:rPr>
        <w:t xml:space="preserve"> legislative amendments and system changes will continue to be progressed.</w:t>
      </w:r>
    </w:p>
    <w:p w:rsidR="003E6989" w:rsidRDefault="003E6989" w:rsidP="003E6989">
      <w:pPr>
        <w:spacing w:before="100" w:after="100" w:line="240" w:lineRule="auto"/>
        <w:rPr>
          <w:rFonts w:ascii="Arial" w:hAnsi="Arial" w:cs="Arial"/>
          <w:b/>
          <w:bCs/>
          <w:color w:val="009560"/>
          <w:szCs w:val="18"/>
          <w:lang w:eastAsia="en-AU"/>
        </w:rPr>
      </w:pPr>
    </w:p>
    <w:p w:rsidR="003E6989" w:rsidRPr="00571BFD" w:rsidRDefault="003E6989" w:rsidP="003E6989">
      <w:pPr>
        <w:spacing w:before="100" w:after="100" w:line="240" w:lineRule="auto"/>
        <w:rPr>
          <w:rFonts w:ascii="Arial" w:hAnsi="Arial" w:cs="Arial"/>
          <w:b/>
          <w:bCs/>
          <w:color w:val="009560"/>
          <w:szCs w:val="18"/>
          <w:lang w:eastAsia="en-AU"/>
        </w:rPr>
      </w:pPr>
      <w:r w:rsidRPr="00571BFD">
        <w:rPr>
          <w:rFonts w:ascii="Arial" w:hAnsi="Arial" w:cs="Arial"/>
          <w:b/>
          <w:bCs/>
          <w:color w:val="009560"/>
          <w:szCs w:val="18"/>
          <w:lang w:eastAsia="en-AU"/>
        </w:rPr>
        <w:t>Shared Services arrangements</w:t>
      </w:r>
    </w:p>
    <w:p w:rsidR="003E6989" w:rsidRPr="004061CB" w:rsidRDefault="003E6989" w:rsidP="003E6989">
      <w:pPr>
        <w:spacing w:before="100" w:after="100" w:line="240" w:lineRule="auto"/>
        <w:rPr>
          <w:rFonts w:asciiTheme="minorHAnsi" w:hAnsiTheme="minorHAnsi" w:cstheme="minorHAnsi"/>
          <w:szCs w:val="18"/>
        </w:rPr>
      </w:pPr>
      <w:r w:rsidRPr="004061CB">
        <w:rPr>
          <w:rFonts w:asciiTheme="minorHAnsi" w:hAnsiTheme="minorHAnsi" w:cstheme="minorHAnsi"/>
          <w:szCs w:val="18"/>
        </w:rPr>
        <w:t xml:space="preserve">The Department of Education and Training (Education) and the Department of Employment (Employment) established a Shared Services Centre (SSC) on 1 July 2014.  The SSC provides operational, transactional, advisory, and support functions for information technology and a range of corporate services. </w:t>
      </w:r>
    </w:p>
    <w:p w:rsidR="003E6989" w:rsidRPr="00E97F57" w:rsidRDefault="003E6989" w:rsidP="003E6989">
      <w:pPr>
        <w:spacing w:before="100" w:after="100" w:line="240" w:lineRule="auto"/>
        <w:rPr>
          <w:rFonts w:asciiTheme="minorHAnsi" w:hAnsiTheme="minorHAnsi" w:cstheme="minorHAnsi"/>
          <w:szCs w:val="18"/>
        </w:rPr>
      </w:pPr>
      <w:r w:rsidRPr="00E97F57">
        <w:rPr>
          <w:rFonts w:asciiTheme="minorHAnsi" w:hAnsiTheme="minorHAnsi" w:cstheme="minorHAnsi"/>
          <w:szCs w:val="18"/>
        </w:rPr>
        <w:t xml:space="preserve">The SSC is classed as a joint operating arrangement under </w:t>
      </w:r>
      <w:r w:rsidRPr="00E97F57">
        <w:rPr>
          <w:rFonts w:asciiTheme="minorHAnsi" w:hAnsiTheme="minorHAnsi" w:cstheme="minorHAnsi"/>
          <w:i/>
          <w:szCs w:val="18"/>
        </w:rPr>
        <w:t>AASB 11 – Joint Arrangements</w:t>
      </w:r>
      <w:r w:rsidRPr="00E97F57">
        <w:rPr>
          <w:rFonts w:asciiTheme="minorHAnsi" w:hAnsiTheme="minorHAnsi" w:cstheme="minorHAnsi"/>
          <w:szCs w:val="18"/>
        </w:rPr>
        <w:t xml:space="preserve">, whereby Education and Employment have joint control of the arrangement with rights to the revenue, expenses, assets and obligations for the liabilities relating to the SSC. The rights and obligations, as well as the contributions by the partner agencies are underpinned by a Heads of Agreement between the two partner departments.  The financial statements of both departments recognise their interest in the SSC on the face of the financial statements.  </w:t>
      </w:r>
    </w:p>
    <w:p w:rsidR="003E6989" w:rsidRPr="004061CB" w:rsidRDefault="003E6989" w:rsidP="003E6989">
      <w:pPr>
        <w:spacing w:before="100" w:after="100" w:line="240" w:lineRule="auto"/>
        <w:rPr>
          <w:rFonts w:asciiTheme="minorHAnsi" w:hAnsiTheme="minorHAnsi" w:cstheme="minorHAnsi"/>
          <w:szCs w:val="18"/>
        </w:rPr>
      </w:pPr>
      <w:r w:rsidRPr="004061CB">
        <w:rPr>
          <w:rFonts w:asciiTheme="minorHAnsi" w:hAnsiTheme="minorHAnsi" w:cstheme="minorHAnsi"/>
          <w:szCs w:val="18"/>
        </w:rPr>
        <w:t>The partner’s ow</w:t>
      </w:r>
      <w:r>
        <w:rPr>
          <w:rFonts w:asciiTheme="minorHAnsi" w:hAnsiTheme="minorHAnsi" w:cstheme="minorHAnsi"/>
          <w:szCs w:val="18"/>
        </w:rPr>
        <w:t xml:space="preserve">nership at 30 June 2016 is </w:t>
      </w:r>
      <w:r w:rsidRPr="00613C2D">
        <w:rPr>
          <w:rFonts w:asciiTheme="minorHAnsi" w:hAnsiTheme="minorHAnsi" w:cstheme="minorHAnsi"/>
          <w:szCs w:val="18"/>
        </w:rPr>
        <w:t>50:50</w:t>
      </w:r>
      <w:r w:rsidRPr="004061CB">
        <w:rPr>
          <w:rFonts w:asciiTheme="minorHAnsi" w:hAnsiTheme="minorHAnsi" w:cstheme="minorHAnsi"/>
          <w:szCs w:val="18"/>
        </w:rPr>
        <w:t xml:space="preserve"> (Education:Employment) with the exception of property related items which are allocated based on occupancy at an agreed date.  The resultant ownership percentage for Education in 2015-16 </w:t>
      </w:r>
      <w:r w:rsidRPr="00613C2D">
        <w:rPr>
          <w:rFonts w:asciiTheme="minorHAnsi" w:hAnsiTheme="minorHAnsi" w:cstheme="minorHAnsi"/>
          <w:szCs w:val="18"/>
        </w:rPr>
        <w:t>is 49 per cent.</w:t>
      </w:r>
      <w:r w:rsidRPr="004061CB">
        <w:rPr>
          <w:rFonts w:asciiTheme="minorHAnsi" w:hAnsiTheme="minorHAnsi" w:cstheme="minorHAnsi"/>
          <w:szCs w:val="18"/>
        </w:rPr>
        <w:t xml:space="preserve"> </w:t>
      </w:r>
    </w:p>
    <w:p w:rsidR="003E6989" w:rsidRPr="00F52ACB" w:rsidRDefault="003E6989" w:rsidP="003E6989">
      <w:pPr>
        <w:spacing w:before="100" w:after="100" w:line="240" w:lineRule="auto"/>
      </w:pPr>
      <w:r>
        <w:br w:type="page"/>
      </w:r>
    </w:p>
    <w:p w:rsidR="003E6989" w:rsidRPr="00F52ACB" w:rsidRDefault="003E6989" w:rsidP="003E6989">
      <w:pPr>
        <w:spacing w:before="100" w:after="100" w:line="240" w:lineRule="auto"/>
        <w:sectPr w:rsidR="003E6989" w:rsidRPr="00F52ACB" w:rsidSect="006A5410">
          <w:type w:val="continuous"/>
          <w:pgSz w:w="11906" w:h="16838"/>
          <w:pgMar w:top="1134" w:right="1134" w:bottom="993" w:left="1134" w:header="958" w:footer="737" w:gutter="0"/>
          <w:cols w:space="720"/>
        </w:sectPr>
      </w:pPr>
    </w:p>
    <w:p w:rsidR="003E6989" w:rsidRPr="00970D5C" w:rsidRDefault="003E6989" w:rsidP="003E6989">
      <w:pPr>
        <w:pStyle w:val="SectionHeading"/>
      </w:pPr>
      <w:bookmarkStart w:id="152" w:name="_Toc444065770"/>
      <w:bookmarkStart w:id="153" w:name="_Toc444079969"/>
      <w:bookmarkStart w:id="154" w:name="_Toc455416728"/>
      <w:bookmarkStart w:id="155" w:name="_Toc463440698"/>
      <w:bookmarkStart w:id="156" w:name="_Toc464726283"/>
      <w:bookmarkStart w:id="157" w:name="_Toc464726619"/>
      <w:bookmarkStart w:id="158" w:name="_Toc443469523"/>
      <w:r w:rsidRPr="00970D5C">
        <w:lastRenderedPageBreak/>
        <w:t xml:space="preserve">Financial </w:t>
      </w:r>
      <w:r w:rsidRPr="008F2FB9">
        <w:t>Performance</w:t>
      </w:r>
      <w:bookmarkEnd w:id="152"/>
      <w:bookmarkEnd w:id="153"/>
      <w:bookmarkEnd w:id="154"/>
      <w:bookmarkEnd w:id="155"/>
      <w:bookmarkEnd w:id="156"/>
      <w:bookmarkEnd w:id="157"/>
    </w:p>
    <w:p w:rsidR="003E6989" w:rsidRPr="009B6056" w:rsidRDefault="003E6989" w:rsidP="003E6989">
      <w:pPr>
        <w:pStyle w:val="SectionHeadingDescription"/>
      </w:pPr>
      <w:bookmarkStart w:id="159" w:name="_Toc444065771"/>
      <w:r w:rsidRPr="009B6056">
        <w:t xml:space="preserve">This section analyses the financial performance of the </w:t>
      </w:r>
      <w:r>
        <w:t>Department</w:t>
      </w:r>
      <w:r w:rsidRPr="009B6056">
        <w:t xml:space="preserve"> for the year ended </w:t>
      </w:r>
      <w:r w:rsidR="00403CAE">
        <w:t>2016</w:t>
      </w:r>
      <w:r w:rsidRPr="009B6056">
        <w:t>.</w:t>
      </w:r>
      <w:bookmarkEnd w:id="159"/>
    </w:p>
    <w:p w:rsidR="003E6989" w:rsidRPr="00970D5C" w:rsidRDefault="003E6989" w:rsidP="003E6989">
      <w:pPr>
        <w:pStyle w:val="SubHeading"/>
      </w:pPr>
      <w:bookmarkStart w:id="160" w:name="_Toc444065772"/>
      <w:bookmarkStart w:id="161" w:name="_Toc444079970"/>
      <w:bookmarkStart w:id="162" w:name="_Toc455416729"/>
      <w:bookmarkStart w:id="163" w:name="_Toc464726620"/>
      <w:bookmarkEnd w:id="158"/>
      <w:r w:rsidRPr="001B41A4">
        <w:t>Expenses</w:t>
      </w:r>
      <w:bookmarkEnd w:id="160"/>
      <w:bookmarkEnd w:id="161"/>
      <w:bookmarkEnd w:id="162"/>
      <w:bookmarkEnd w:id="163"/>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164" w:name="Note_EEX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164"/>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1.1A: Employee benefits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Wages and salaries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160,954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150,817</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Defined contribution plans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11,736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10,538</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Defined benefit plans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19,308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18,586</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Leave and other entitlements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18,417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13,166</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Separations and redundancies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2,171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11,518</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Other employee expenses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3,244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1,936</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i/>
                <w:iCs/>
                <w:szCs w:val="18"/>
              </w:rPr>
            </w:pPr>
            <w:r>
              <w:rPr>
                <w:rFonts w:cs="Calibri"/>
                <w:b/>
                <w:bCs/>
                <w:i/>
                <w:iCs/>
                <w:szCs w:val="18"/>
              </w:rPr>
              <w:t>Total employee benefits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215,830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206,561</w:t>
            </w:r>
          </w:p>
        </w:tc>
      </w:tr>
    </w:tbl>
    <w:p w:rsidR="003E6989" w:rsidRDefault="003E6989" w:rsidP="003E6989">
      <w:pPr>
        <w:pStyle w:val="PolicyTextboxbold"/>
        <w:spacing w:before="120" w:after="80"/>
      </w:pPr>
      <w:bookmarkStart w:id="165" w:name="RANGE!D6:D16"/>
      <w:bookmarkStart w:id="166" w:name="RANGE!D6:G16"/>
      <w:bookmarkEnd w:id="165"/>
      <w:bookmarkEnd w:id="166"/>
      <w:r>
        <w:t>Accounting Policy</w:t>
      </w:r>
    </w:p>
    <w:p w:rsidR="003E6989" w:rsidRDefault="003E6989" w:rsidP="003E6989">
      <w:pPr>
        <w:pStyle w:val="PolicytextDept"/>
      </w:pPr>
      <w:r>
        <w:t>Accounting policies for employee related expenses is contained in Section 6 People and Relationships.</w:t>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167" w:name="Note_SXPTABLE1" w:colFirst="0" w:colLast="0"/>
            <w:r>
              <w:rPr>
                <w:rFonts w:cs="Calibri"/>
                <w:b/>
                <w:bCs/>
                <w:szCs w:val="18"/>
                <w:u w:val="single"/>
              </w:rPr>
              <w:t>1.1B: Supplier expenses</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bookmarkEnd w:id="167"/>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Goods and services supplied or rendered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Consultants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13,925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9,829</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Contractors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21,009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9,660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Travel</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4,298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3,011</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IT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23,090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15,378</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Property</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4,296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6,782</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Resources received free of charge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6,446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5,464</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18,534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15,361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goods and services supplied or rendered</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91,598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65,485</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Goods and services are made up of:</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Provision of goods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1,398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1,729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Rendering of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90,200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63,756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goods and services supplied or rendered</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91,598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65,485</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supplier expenses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Operating lease rentals in connection with</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Minimum lease repayments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33,606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32,950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Contingent rentals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552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443</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Workers compensation expenses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2,167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2,301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other supplier expenses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36,325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35,694</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supplier expenses</w:t>
            </w:r>
          </w:p>
        </w:tc>
        <w:tc>
          <w:tcPr>
            <w:tcW w:w="1238"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127,923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101,179</w:t>
            </w:r>
          </w:p>
        </w:tc>
      </w:tr>
      <w:tr w:rsidR="003E6989" w:rsidTr="006A5410">
        <w:trPr>
          <w:trHeight w:val="27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Leasing Commitments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8982" w:type="dxa"/>
            <w:gridSpan w:val="4"/>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Commitments for minimum lease payments in relation to non-cancellable operating leases are payable as follows:</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Within 1 year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35,037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36,399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Between 1 to 5 years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129,457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128,731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5 years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126,672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157,997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operating lease commitments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291,166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323,127</w:t>
            </w:r>
          </w:p>
        </w:tc>
      </w:tr>
    </w:tbl>
    <w:p w:rsidR="003E6989" w:rsidRDefault="003E6989" w:rsidP="003E6989">
      <w:bookmarkStart w:id="168" w:name="RANGE!D7:G37"/>
      <w:bookmarkStart w:id="169" w:name="RANGE!D7:G39"/>
      <w:bookmarkStart w:id="170" w:name="RANGE!D7:G32"/>
      <w:bookmarkStart w:id="171" w:name="RANGE!D6:G35"/>
      <w:bookmarkStart w:id="172" w:name="RANGE!D6:D34"/>
      <w:bookmarkStart w:id="173" w:name="RANGE!D6:G34"/>
      <w:bookmarkStart w:id="174" w:name="RANGE!D7:G14"/>
      <w:bookmarkStart w:id="175" w:name="RANGE!D6:D15"/>
      <w:bookmarkStart w:id="176" w:name="RANGE!D6:G15"/>
      <w:bookmarkEnd w:id="168"/>
      <w:bookmarkEnd w:id="169"/>
      <w:bookmarkEnd w:id="170"/>
      <w:bookmarkEnd w:id="171"/>
      <w:bookmarkEnd w:id="172"/>
      <w:bookmarkEnd w:id="173"/>
      <w:bookmarkEnd w:id="174"/>
      <w:bookmarkEnd w:id="175"/>
      <w:bookmarkEnd w:id="176"/>
    </w:p>
    <w:p w:rsidR="003E6989" w:rsidRDefault="003E6989" w:rsidP="003E6989">
      <w:pPr>
        <w:spacing w:line="240" w:lineRule="auto"/>
      </w:pPr>
      <w:r>
        <w:br w:type="page"/>
      </w:r>
    </w:p>
    <w:p w:rsidR="003E6989" w:rsidRPr="00CB5F0E" w:rsidRDefault="003E6989" w:rsidP="003E6989">
      <w:pPr>
        <w:rPr>
          <w:b/>
        </w:rPr>
      </w:pPr>
      <w:r w:rsidRPr="00CB5F0E">
        <w:rPr>
          <w:b/>
        </w:rPr>
        <w:lastRenderedPageBreak/>
        <w:t>Operating Leases included are effectively non-cancellable and comprise: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3E6989" w:rsidTr="006A5410">
        <w:tc>
          <w:tcPr>
            <w:tcW w:w="3261" w:type="dxa"/>
            <w:tcBorders>
              <w:top w:val="single" w:sz="4" w:space="0" w:color="auto"/>
              <w:left w:val="single" w:sz="4" w:space="0" w:color="auto"/>
              <w:bottom w:val="single" w:sz="4" w:space="0" w:color="auto"/>
              <w:right w:val="single" w:sz="4" w:space="0" w:color="auto"/>
            </w:tcBorders>
            <w:hideMark/>
          </w:tcPr>
          <w:p w:rsidR="003E6989" w:rsidRDefault="003E6989" w:rsidP="006A5410">
            <w:pPr>
              <w:pStyle w:val="StatementTextLevel1b"/>
              <w:rPr>
                <w:rFonts w:ascii="Calibri" w:hAnsi="Calibri"/>
              </w:rPr>
            </w:pPr>
            <w:r>
              <w:rPr>
                <w:rFonts w:ascii="Calibri" w:hAnsi="Calibri"/>
              </w:rPr>
              <w:t>Nature of lease</w:t>
            </w:r>
          </w:p>
        </w:tc>
        <w:tc>
          <w:tcPr>
            <w:tcW w:w="5811" w:type="dxa"/>
            <w:tcBorders>
              <w:top w:val="single" w:sz="4" w:space="0" w:color="auto"/>
              <w:left w:val="single" w:sz="4" w:space="0" w:color="auto"/>
              <w:bottom w:val="single" w:sz="4" w:space="0" w:color="auto"/>
              <w:right w:val="single" w:sz="4" w:space="0" w:color="auto"/>
            </w:tcBorders>
            <w:hideMark/>
          </w:tcPr>
          <w:p w:rsidR="003E6989" w:rsidRDefault="003E6989" w:rsidP="006A5410">
            <w:pPr>
              <w:pStyle w:val="StatementTextLevel1b"/>
              <w:rPr>
                <w:rFonts w:ascii="Calibri" w:hAnsi="Calibri"/>
              </w:rPr>
            </w:pPr>
            <w:r>
              <w:rPr>
                <w:rFonts w:ascii="Calibri" w:hAnsi="Calibri"/>
              </w:rPr>
              <w:t>General description of leasing arrangement</w:t>
            </w:r>
          </w:p>
        </w:tc>
      </w:tr>
      <w:tr w:rsidR="003E6989" w:rsidTr="006A5410">
        <w:tc>
          <w:tcPr>
            <w:tcW w:w="3261" w:type="dxa"/>
            <w:tcBorders>
              <w:top w:val="single" w:sz="4" w:space="0" w:color="auto"/>
              <w:left w:val="single" w:sz="4" w:space="0" w:color="auto"/>
              <w:bottom w:val="single" w:sz="4" w:space="0" w:color="auto"/>
              <w:right w:val="single" w:sz="4" w:space="0" w:color="auto"/>
            </w:tcBorders>
            <w:hideMark/>
          </w:tcPr>
          <w:p w:rsidR="003E6989" w:rsidRDefault="003E6989" w:rsidP="006A5410">
            <w:pPr>
              <w:rPr>
                <w:rFonts w:cs="Arial"/>
                <w:szCs w:val="18"/>
              </w:rPr>
            </w:pPr>
            <w:r>
              <w:rPr>
                <w:rFonts w:cs="Arial"/>
                <w:szCs w:val="18"/>
              </w:rPr>
              <w:t>Leases for office accommodation</w:t>
            </w:r>
          </w:p>
        </w:tc>
        <w:tc>
          <w:tcPr>
            <w:tcW w:w="5811" w:type="dxa"/>
            <w:tcBorders>
              <w:top w:val="single" w:sz="4" w:space="0" w:color="auto"/>
              <w:left w:val="single" w:sz="4" w:space="0" w:color="auto"/>
              <w:bottom w:val="single" w:sz="4" w:space="0" w:color="auto"/>
              <w:right w:val="single" w:sz="4" w:space="0" w:color="auto"/>
            </w:tcBorders>
            <w:hideMark/>
          </w:tcPr>
          <w:p w:rsidR="003E6989" w:rsidRDefault="003E6989" w:rsidP="006A5410">
            <w:pPr>
              <w:rPr>
                <w:rFonts w:cs="Arial"/>
                <w:szCs w:val="18"/>
              </w:rPr>
            </w:pPr>
            <w:r>
              <w:rPr>
                <w:rFonts w:cs="Arial"/>
                <w:szCs w:val="18"/>
              </w:rPr>
              <w:t>Lease payments are subject to periodic market value or indexed increases.</w:t>
            </w:r>
          </w:p>
        </w:tc>
      </w:tr>
      <w:tr w:rsidR="003E6989" w:rsidTr="006A5410">
        <w:tc>
          <w:tcPr>
            <w:tcW w:w="3261" w:type="dxa"/>
            <w:tcBorders>
              <w:top w:val="single" w:sz="4" w:space="0" w:color="auto"/>
              <w:left w:val="single" w:sz="4" w:space="0" w:color="auto"/>
              <w:bottom w:val="single" w:sz="4" w:space="0" w:color="auto"/>
              <w:right w:val="single" w:sz="4" w:space="0" w:color="auto"/>
            </w:tcBorders>
            <w:hideMark/>
          </w:tcPr>
          <w:p w:rsidR="003E6989" w:rsidRDefault="003E6989" w:rsidP="006A5410">
            <w:pPr>
              <w:rPr>
                <w:rFonts w:cs="Arial"/>
                <w:szCs w:val="18"/>
              </w:rPr>
            </w:pPr>
            <w:r>
              <w:rPr>
                <w:rFonts w:cs="Arial"/>
                <w:szCs w:val="18"/>
              </w:rPr>
              <w:t>Agreement for provision of motor vehicles to senior executive officers</w:t>
            </w:r>
          </w:p>
        </w:tc>
        <w:tc>
          <w:tcPr>
            <w:tcW w:w="5811" w:type="dxa"/>
            <w:tcBorders>
              <w:top w:val="single" w:sz="4" w:space="0" w:color="auto"/>
              <w:left w:val="single" w:sz="4" w:space="0" w:color="auto"/>
              <w:bottom w:val="single" w:sz="4" w:space="0" w:color="auto"/>
              <w:right w:val="single" w:sz="4" w:space="0" w:color="auto"/>
            </w:tcBorders>
            <w:hideMark/>
          </w:tcPr>
          <w:p w:rsidR="003E6989" w:rsidRPr="00607902" w:rsidRDefault="003E6989" w:rsidP="006A5410">
            <w:pPr>
              <w:rPr>
                <w:rFonts w:cs="Arial"/>
                <w:szCs w:val="18"/>
              </w:rPr>
            </w:pPr>
            <w:r w:rsidRPr="00607902">
              <w:rPr>
                <w:rFonts w:cs="Arial"/>
                <w:szCs w:val="18"/>
              </w:rPr>
              <w:t>No contingent rentals exist. There are no renewal or purchase options available to the department.</w:t>
            </w:r>
          </w:p>
        </w:tc>
      </w:tr>
    </w:tbl>
    <w:p w:rsidR="003E6989" w:rsidRDefault="003E6989" w:rsidP="003E6989"/>
    <w:p w:rsidR="003E6989" w:rsidRDefault="003E6989" w:rsidP="003E6989">
      <w:pPr>
        <w:pStyle w:val="PolicyTextboxbold"/>
        <w:spacing w:after="0"/>
      </w:pPr>
      <w:r w:rsidRPr="00861350">
        <w:t>Accounting Policy</w:t>
      </w:r>
    </w:p>
    <w:p w:rsidR="003E6989" w:rsidRPr="00861350" w:rsidRDefault="003E6989" w:rsidP="003E6989">
      <w:pPr>
        <w:pStyle w:val="PolicyTextdeptunderline"/>
        <w:spacing w:after="0"/>
      </w:pPr>
      <w:r>
        <w:t>Leases</w:t>
      </w:r>
    </w:p>
    <w:p w:rsidR="003E6989" w:rsidRDefault="003E6989" w:rsidP="003E6989">
      <w:pPr>
        <w:pStyle w:val="PolicytextDept"/>
        <w:spacing w:after="0"/>
      </w:pPr>
      <w:r w:rsidRPr="00861350">
        <w:t xml:space="preserve">Operating lease payments are expensed on a straight-line basis which is representative of the pattern of benefits derived from the leased assets. </w:t>
      </w:r>
    </w:p>
    <w:p w:rsidR="003E6989" w:rsidRDefault="003E6989" w:rsidP="003E6989">
      <w:pPr>
        <w:pStyle w:val="PolicytextDept"/>
        <w:spacing w:after="0"/>
      </w:pPr>
    </w:p>
    <w:p w:rsidR="003E6989" w:rsidRDefault="003E6989" w:rsidP="003E6989">
      <w:pPr>
        <w:pStyle w:val="PolicytextDept"/>
        <w:spacing w:after="0"/>
        <w:rPr>
          <w:u w:val="single"/>
        </w:rPr>
      </w:pPr>
      <w:r>
        <w:rPr>
          <w:u w:val="single"/>
        </w:rPr>
        <w:t>Resources received free of charge</w:t>
      </w:r>
    </w:p>
    <w:p w:rsidR="003E6989" w:rsidRDefault="003E6989" w:rsidP="003E6989">
      <w:pPr>
        <w:pStyle w:val="PolicytextDept"/>
        <w:spacing w:after="0"/>
      </w:pPr>
      <w:r>
        <w:t>Resources received free of charge for 2015-16 (2014-15) include:</w:t>
      </w:r>
    </w:p>
    <w:p w:rsidR="003E6989" w:rsidRDefault="003E6989" w:rsidP="003E6989">
      <w:pPr>
        <w:pStyle w:val="PolicytextDept"/>
        <w:spacing w:after="0"/>
      </w:pPr>
      <w:r>
        <w:t>ANAO financial statement audit fee $1.400 million (1.350 million)</w:t>
      </w:r>
    </w:p>
    <w:p w:rsidR="003E6989" w:rsidRDefault="003E6989" w:rsidP="003E6989">
      <w:pPr>
        <w:pStyle w:val="PolicytextDept"/>
        <w:spacing w:after="0"/>
      </w:pPr>
      <w:r>
        <w:t>ANAO performance audit fee $0.585 million (Nil)</w:t>
      </w:r>
    </w:p>
    <w:p w:rsidR="003E6989" w:rsidRPr="00E11587" w:rsidRDefault="003E6989" w:rsidP="003E6989">
      <w:pPr>
        <w:pStyle w:val="PolicytextDept"/>
        <w:spacing w:after="0"/>
      </w:pPr>
      <w:r>
        <w:t>ATO collection of revenues on behalf of the department $4.461 million (4.114 million)</w:t>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177" w:name="Note_GRXTABLE1" w:colFirst="0" w:colLast="0"/>
            <w:r>
              <w:rPr>
                <w:rFonts w:cs="Calibri"/>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177"/>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1.1C: Grants</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629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257</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629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257</w:t>
            </w:r>
          </w:p>
        </w:tc>
      </w:tr>
    </w:tbl>
    <w:p w:rsidR="003E6989" w:rsidRDefault="003E6989" w:rsidP="003E6989">
      <w:bookmarkStart w:id="178" w:name="RANGE!D6:D20"/>
      <w:bookmarkStart w:id="179" w:name="RANGE!D6:G20"/>
      <w:bookmarkEnd w:id="178"/>
      <w:bookmarkEnd w:id="17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180" w:name="Note_DAATABLE1" w:colFirst="0" w:colLast="0"/>
            <w:r>
              <w:rPr>
                <w:rFonts w:cs="Calibri"/>
                <w:b/>
                <w:bCs/>
                <w:szCs w:val="18"/>
                <w:u w:val="single"/>
              </w:rPr>
              <w:t>1.1D: Depreciation and amortisation</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bookmarkEnd w:id="180"/>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Depreciation</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Infrastructure, plant and equipment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3,862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3,928</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Buildings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Leasehold improvements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4,608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6,984</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depreciation</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8,478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10,935</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Amortisation</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Intangibles: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Computer software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16,690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15,983</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amortisation</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16,690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15,983</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depreciation and amortisation</w:t>
            </w:r>
          </w:p>
        </w:tc>
        <w:tc>
          <w:tcPr>
            <w:tcW w:w="1238"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25,168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26,918</w:t>
            </w:r>
          </w:p>
        </w:tc>
      </w:tr>
    </w:tbl>
    <w:p w:rsidR="003E6989" w:rsidRDefault="003E6989" w:rsidP="003E6989"/>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181" w:name="Note_FCETABLE1" w:colFirst="0" w:colLast="0"/>
            <w:r>
              <w:rPr>
                <w:rFonts w:cs="Calibri"/>
                <w:b/>
                <w:bCs/>
                <w:szCs w:val="18"/>
                <w:u w:val="single"/>
              </w:rPr>
              <w:t>1.1E: Finance costs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181"/>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Unwinding of discount on provision for restoration obligations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Discount on surplus lease space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41</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finance costs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w:t>
            </w:r>
          </w:p>
        </w:tc>
      </w:tr>
    </w:tbl>
    <w:p w:rsidR="003E6989" w:rsidRDefault="003E6989" w:rsidP="003E6989">
      <w:bookmarkStart w:id="182" w:name="RANGE!D9:G13"/>
      <w:bookmarkEnd w:id="182"/>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bookmarkStart w:id="183" w:name="Note_WDATABLE1" w:colFirst="0" w:colLast="0"/>
            <w:r>
              <w:rPr>
                <w:rFonts w:ascii="Arial" w:hAnsi="Arial" w:cs="Arial"/>
                <w:szCs w:val="18"/>
              </w:rPr>
              <w:lastRenderedPageBreak/>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183"/>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1.1F: Write-down and impairment of assets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Write-off of receivables - 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Impairment of receivables - 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Impairment  of intangibles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2,502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2,532</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Impairment of leasehold improvements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264</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Write-off of non-financial assets – infrastructure, plant  and equipment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Write-off of non-financial assets – land and buildings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write-down and impairment of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2,774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2,866</w:t>
            </w:r>
          </w:p>
        </w:tc>
      </w:tr>
    </w:tbl>
    <w:p w:rsidR="003E6989" w:rsidRDefault="003E6989" w:rsidP="003E6989">
      <w:pPr>
        <w:spacing w:line="240" w:lineRule="auto"/>
      </w:pPr>
      <w:bookmarkStart w:id="184" w:name="RANGE!D7:G18"/>
      <w:bookmarkStart w:id="185" w:name="RANGE!D6:D17"/>
      <w:bookmarkStart w:id="186" w:name="RANGE!D6:G17"/>
      <w:bookmarkStart w:id="187" w:name="RANGE!D6:D10"/>
      <w:bookmarkStart w:id="188" w:name="RANGE!D6:G10"/>
      <w:bookmarkStart w:id="189" w:name="RANGE!D6:G37"/>
      <w:bookmarkStart w:id="190" w:name="RANGE!D6:D38"/>
      <w:bookmarkStart w:id="191" w:name="RANGE!D6:G38"/>
      <w:bookmarkEnd w:id="184"/>
      <w:bookmarkEnd w:id="185"/>
      <w:bookmarkEnd w:id="186"/>
      <w:bookmarkEnd w:id="187"/>
      <w:bookmarkEnd w:id="188"/>
      <w:bookmarkEnd w:id="189"/>
      <w:bookmarkEnd w:id="190"/>
      <w:bookmarkEnd w:id="191"/>
    </w:p>
    <w:tbl>
      <w:tblPr>
        <w:tblW w:w="9087" w:type="dxa"/>
        <w:tblInd w:w="80" w:type="dxa"/>
        <w:tblLayout w:type="fixed"/>
        <w:tblLook w:val="04A0" w:firstRow="1" w:lastRow="0" w:firstColumn="1" w:lastColumn="0" w:noHBand="0" w:noVBand="1"/>
      </w:tblPr>
      <w:tblGrid>
        <w:gridCol w:w="6350"/>
        <w:gridCol w:w="1251"/>
        <w:gridCol w:w="239"/>
        <w:gridCol w:w="1247"/>
      </w:tblGrid>
      <w:tr w:rsidR="003E6989" w:rsidTr="006A5410">
        <w:trPr>
          <w:trHeight w:val="255"/>
        </w:trPr>
        <w:tc>
          <w:tcPr>
            <w:tcW w:w="627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192" w:name="Note_LSATABLE1" w:colFirst="0" w:colLast="0"/>
            <w:r>
              <w:rPr>
                <w:rFonts w:cs="Calibri"/>
                <w:b/>
                <w:bCs/>
                <w:szCs w:val="18"/>
                <w:u w:val="single"/>
              </w:rPr>
              <w:t>1.1G: Losses from asset sales</w:t>
            </w:r>
          </w:p>
        </w:tc>
        <w:tc>
          <w:tcPr>
            <w:tcW w:w="1237"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bookmarkEnd w:id="192"/>
      <w:tr w:rsidR="003E6989" w:rsidTr="006A5410">
        <w:trPr>
          <w:trHeight w:val="255"/>
        </w:trPr>
        <w:tc>
          <w:tcPr>
            <w:tcW w:w="627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7"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Infrastructure, plant and equipment</w:t>
            </w:r>
          </w:p>
        </w:tc>
        <w:tc>
          <w:tcPr>
            <w:tcW w:w="123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Proceeds from sale</w:t>
            </w:r>
          </w:p>
        </w:tc>
        <w:tc>
          <w:tcPr>
            <w:tcW w:w="123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w:t>
            </w:r>
          </w:p>
        </w:tc>
      </w:tr>
      <w:tr w:rsidR="003E6989" w:rsidTr="006A5410">
        <w:trPr>
          <w:trHeight w:val="255"/>
        </w:trPr>
        <w:tc>
          <w:tcPr>
            <w:tcW w:w="627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Carrying value of assets sold</w:t>
            </w:r>
          </w:p>
        </w:tc>
        <w:tc>
          <w:tcPr>
            <w:tcW w:w="123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w:t>
            </w:r>
          </w:p>
        </w:tc>
      </w:tr>
      <w:tr w:rsidR="003E6989" w:rsidTr="006A5410">
        <w:trPr>
          <w:trHeight w:val="255"/>
        </w:trPr>
        <w:tc>
          <w:tcPr>
            <w:tcW w:w="627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loss from infrastructure, plant and equipment</w:t>
            </w:r>
          </w:p>
        </w:tc>
        <w:tc>
          <w:tcPr>
            <w:tcW w:w="123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70"/>
        </w:trPr>
        <w:tc>
          <w:tcPr>
            <w:tcW w:w="627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losses from asset sales</w:t>
            </w:r>
          </w:p>
        </w:tc>
        <w:tc>
          <w:tcPr>
            <w:tcW w:w="1237"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234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3"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bookmarkStart w:id="193" w:name="RANGE!D7:I13"/>
      <w:bookmarkStart w:id="194" w:name="RANGE!D7:I14"/>
      <w:bookmarkEnd w:id="193"/>
      <w:bookmarkEnd w:id="194"/>
    </w:p>
    <w:p w:rsidR="003E6989" w:rsidRDefault="003E6989" w:rsidP="003E6989"/>
    <w:p w:rsidR="003E6989" w:rsidRDefault="003E6989" w:rsidP="003E6989">
      <w:r>
        <w:br w:type="page"/>
      </w:r>
    </w:p>
    <w:p w:rsidR="003E6989" w:rsidRPr="00B51ED1" w:rsidRDefault="003E6989" w:rsidP="003E6989">
      <w:pPr>
        <w:pStyle w:val="SubHeading"/>
      </w:pPr>
      <w:bookmarkStart w:id="195" w:name="_Toc455416730"/>
      <w:bookmarkStart w:id="196" w:name="_Toc464726621"/>
      <w:r>
        <w:lastRenderedPageBreak/>
        <w:t>Own-</w:t>
      </w:r>
      <w:r w:rsidRPr="00B51ED1">
        <w:t>Source Revenue</w:t>
      </w:r>
      <w:r>
        <w:t xml:space="preserve"> and Gains</w:t>
      </w:r>
      <w:bookmarkEnd w:id="195"/>
      <w:bookmarkEnd w:id="196"/>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bookmarkStart w:id="197" w:name="Note_GASTABLE1" w:colFirst="0" w:colLast="0"/>
            <w:r>
              <w:rPr>
                <w:rFonts w:cs="Calibri"/>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197"/>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OWN-SOURCE REVENUE</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1.2A: Sale of goods and rendering of services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Provision of goods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444</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Rendering of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29,280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29,941</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sale of goods and rendering of services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29,736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30,385</w:t>
            </w:r>
          </w:p>
        </w:tc>
      </w:tr>
    </w:tbl>
    <w:p w:rsidR="003E6989" w:rsidRDefault="003E6989" w:rsidP="003E6989">
      <w:bookmarkStart w:id="198" w:name="RANGE!D6:D12"/>
      <w:bookmarkStart w:id="199" w:name="RANGE!D6:G12"/>
      <w:bookmarkEnd w:id="198"/>
      <w:bookmarkEnd w:id="199"/>
    </w:p>
    <w:p w:rsidR="003E6989" w:rsidRPr="00B452C5" w:rsidRDefault="003E6989" w:rsidP="003E6989">
      <w:pPr>
        <w:pStyle w:val="PolicyTextboxbold"/>
        <w:spacing w:before="100" w:after="100" w:line="240" w:lineRule="auto"/>
      </w:pPr>
      <w:r w:rsidRPr="00B452C5">
        <w:t>Accounting Policy</w:t>
      </w:r>
    </w:p>
    <w:p w:rsidR="003E6989" w:rsidRPr="00B452C5" w:rsidRDefault="003E6989" w:rsidP="003E6989">
      <w:pPr>
        <w:pStyle w:val="PolicyTextdeptunderline"/>
        <w:spacing w:before="100" w:after="100" w:line="240" w:lineRule="auto"/>
      </w:pPr>
      <w:r w:rsidRPr="00B452C5">
        <w:t>Revenue from the sale of goods or services</w:t>
      </w:r>
    </w:p>
    <w:p w:rsidR="003E6989" w:rsidRPr="00B452C5" w:rsidRDefault="003E6989" w:rsidP="003E6989">
      <w:pPr>
        <w:pStyle w:val="PolicytextDept"/>
        <w:spacing w:before="100" w:after="100" w:line="240" w:lineRule="auto"/>
      </w:pPr>
      <w:r w:rsidRPr="00B452C5">
        <w:t>The revenue is recognised when:</w:t>
      </w:r>
    </w:p>
    <w:p w:rsidR="003E6989" w:rsidRPr="00B452C5" w:rsidRDefault="003E6989" w:rsidP="003E6989">
      <w:pPr>
        <w:pStyle w:val="Policytextdeptbulletpoint"/>
        <w:spacing w:before="100" w:after="100" w:line="240" w:lineRule="auto"/>
      </w:pPr>
      <w:r w:rsidRPr="00B452C5">
        <w:t>the amount of revenue, stage of completion and transaction costs incurred can be reliably measured; and</w:t>
      </w:r>
    </w:p>
    <w:p w:rsidR="003E6989" w:rsidRDefault="003E6989" w:rsidP="003E6989">
      <w:pPr>
        <w:pStyle w:val="Policytextdeptbulletpoint"/>
        <w:spacing w:before="100" w:after="100" w:line="240" w:lineRule="auto"/>
      </w:pPr>
      <w:r w:rsidRPr="00B452C5">
        <w:t>the probable economic benefits associated with the transact</w:t>
      </w:r>
      <w:r>
        <w:t>ion will flow to the department.</w:t>
      </w:r>
    </w:p>
    <w:p w:rsidR="003E6989" w:rsidRPr="00A87FBA" w:rsidRDefault="003E6989" w:rsidP="003E6989">
      <w:pPr>
        <w:pStyle w:val="Policytextdeptbulletpoint"/>
        <w:numPr>
          <w:ilvl w:val="0"/>
          <w:numId w:val="0"/>
        </w:numPr>
        <w:spacing w:before="100" w:after="100" w:line="240" w:lineRule="auto"/>
      </w:pPr>
      <w:r w:rsidRPr="00A87FBA">
        <w:t>The stage of completion of contracts at the reporting date is determined by reference to the proportion that costs incurred to date bear to the estimated total costs of the transaction.</w:t>
      </w:r>
      <w:r>
        <w:t xml:space="preserve"> </w:t>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42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bookmarkStart w:id="200" w:name="Note_SRCTABLE1" w:colFirst="0" w:colLast="0"/>
            <w:r>
              <w:rPr>
                <w:rFonts w:cs="Calibri"/>
                <w:b/>
                <w:bCs/>
                <w:szCs w:val="18"/>
              </w:rPr>
              <w:t>Subleasing rental income commitments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200"/>
      <w:tr w:rsidR="003E6989" w:rsidTr="006A5410">
        <w:trPr>
          <w:trHeight w:val="750"/>
        </w:trPr>
        <w:tc>
          <w:tcPr>
            <w:tcW w:w="8982"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Sub lease revenue for office accommodation. Vacant office space is sub leased where possible. The total of future minimum lease payments expected to be received over the next five years is $14.318 million (2015: $11.110 million) including GST.</w:t>
            </w:r>
          </w:p>
        </w:tc>
      </w:tr>
      <w:tr w:rsidR="003E6989" w:rsidTr="006A5410">
        <w:trPr>
          <w:trHeight w:val="323"/>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Commitments for sublease rental income receivables are as follows: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Within 1 year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(6,174)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(5,708)</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Between 1 to 5 years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(8,144)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(5,124)</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5 years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(278)</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operating lease commitments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(14,318)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(11,110)</w:t>
            </w:r>
          </w:p>
        </w:tc>
      </w:tr>
    </w:tbl>
    <w:p w:rsidR="003E6989" w:rsidRDefault="003E6989" w:rsidP="003E6989"/>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bookmarkStart w:id="201" w:name="Note_GSATABLE1" w:colFirst="0" w:colLast="0"/>
            <w:r>
              <w:rPr>
                <w:rFonts w:cs="Calibri"/>
                <w:b/>
                <w:bCs/>
                <w:szCs w:val="18"/>
              </w:rPr>
              <w:t>GAINS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bookmarkEnd w:id="201"/>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1.2B: Sale of 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Land and buildings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Proceeds from sale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712</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Carrying value of assets sold</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(625)</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gain from sale of land and buildings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87</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ascii="Arial" w:hAnsi="Arial" w:cs="Arial"/>
                <w:szCs w:val="18"/>
              </w:rPr>
            </w:pPr>
            <w:r>
              <w:rPr>
                <w:rFonts w:ascii="Arial" w:hAnsi="Arial" w:cs="Arial"/>
                <w:szCs w:val="18"/>
              </w:rPr>
              <w:t>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gain from sale of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87</w:t>
            </w:r>
          </w:p>
        </w:tc>
      </w:tr>
    </w:tbl>
    <w:p w:rsidR="003E6989" w:rsidRDefault="003E6989" w:rsidP="003E6989"/>
    <w:p w:rsidR="003E6989" w:rsidRDefault="003E6989" w:rsidP="003E6989">
      <w:pPr>
        <w:pStyle w:val="PolicyTextboxbold"/>
      </w:pPr>
      <w:r w:rsidRPr="00A8397F">
        <w:t>Accounting Policy</w:t>
      </w:r>
    </w:p>
    <w:p w:rsidR="003E6989" w:rsidRPr="00A8397F" w:rsidRDefault="003E6989" w:rsidP="003E6989">
      <w:pPr>
        <w:pStyle w:val="PolicyTextdeptunderline"/>
      </w:pPr>
      <w:r w:rsidRPr="00A8397F">
        <w:t>Sale of assets</w:t>
      </w:r>
    </w:p>
    <w:p w:rsidR="003E6989" w:rsidRDefault="003E6989" w:rsidP="003E6989">
      <w:pPr>
        <w:pStyle w:val="PolicytextDept"/>
        <w:spacing w:after="0"/>
      </w:pPr>
      <w:r w:rsidRPr="00075D25">
        <w:t>Gains from disposal of assets are recognised when control of the</w:t>
      </w:r>
      <w:r>
        <w:t xml:space="preserve"> asset has passed to the buyer.</w:t>
      </w:r>
    </w:p>
    <w:p w:rsidR="003E6989" w:rsidRDefault="003E6989" w:rsidP="003E6989"/>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202" w:name="Note_RAWTABLE1" w:colFirst="0" w:colLast="0"/>
            <w:r>
              <w:rPr>
                <w:rFonts w:cs="Calibri"/>
                <w:b/>
                <w:bCs/>
                <w:szCs w:val="18"/>
                <w:u w:val="single"/>
              </w:rPr>
              <w:t>1.2C: Reversals of previous asset write-downs and impairment</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202"/>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Reversal of impairment losses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reversals of previous asset write-downs and impairments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r>
    </w:tbl>
    <w:p w:rsidR="003E6989" w:rsidRDefault="003E6989" w:rsidP="003E6989">
      <w:bookmarkStart w:id="203" w:name="RANGE!D7:G10"/>
      <w:bookmarkEnd w:id="203"/>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bookmarkStart w:id="204" w:name="Note_OGATABLE1" w:colFirst="0" w:colLast="0"/>
            <w:r>
              <w:rPr>
                <w:rFonts w:cs="Calibri"/>
                <w:b/>
                <w:bCs/>
                <w:szCs w:val="18"/>
              </w:rPr>
              <w:lastRenderedPageBreak/>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204"/>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1.2D: Other gains</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Resources received free of charge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6,446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5,464</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Gain on write back of restoration provision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229</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First time recognition of assets – property, plant and equipment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881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2,069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273</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gains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8,640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6,847</w:t>
            </w:r>
          </w:p>
        </w:tc>
      </w:tr>
    </w:tbl>
    <w:p w:rsidR="003E6989" w:rsidRDefault="003E6989" w:rsidP="003E6989"/>
    <w:p w:rsidR="003E6989" w:rsidRPr="003A70A7" w:rsidRDefault="003E6989" w:rsidP="003E6989">
      <w:pPr>
        <w:pStyle w:val="PolicyTextboxbold"/>
        <w:spacing w:before="100" w:after="100" w:line="240" w:lineRule="auto"/>
      </w:pPr>
      <w:r w:rsidRPr="00A8397F">
        <w:t>Accounting Policy</w:t>
      </w:r>
    </w:p>
    <w:p w:rsidR="003E6989" w:rsidRPr="00FE00E4" w:rsidRDefault="003E6989" w:rsidP="003E6989">
      <w:pPr>
        <w:pStyle w:val="PolicyTextdeptunderline"/>
        <w:spacing w:before="100" w:after="100" w:line="240" w:lineRule="auto"/>
      </w:pPr>
      <w:r w:rsidRPr="00FE00E4">
        <w:t>Resources Received Free of Charge</w:t>
      </w:r>
    </w:p>
    <w:p w:rsidR="003E6989" w:rsidRDefault="003E6989" w:rsidP="003E6989">
      <w:pPr>
        <w:pStyle w:val="PolicytextDept"/>
        <w:spacing w:before="100" w:after="100" w:line="240" w:lineRule="auto"/>
      </w:pPr>
      <w:r w:rsidRPr="00A87FBA">
        <w:t xml:space="preserve">Resources received free of charge are recognised as revenue when, and only when, a fair value can be reliably determined and the services would have been purchased if they had not been donated. Use of those resources is recognised as an expense. </w:t>
      </w:r>
    </w:p>
    <w:p w:rsidR="003E6989" w:rsidRDefault="003E6989" w:rsidP="003E6989">
      <w:pPr>
        <w:pStyle w:val="PolicytextDept"/>
        <w:spacing w:before="100" w:after="100" w:line="240" w:lineRule="auto"/>
      </w:pPr>
      <w:r w:rsidRPr="00A87FBA">
        <w:t>Resources received free of charge are recorded as either revenue or gains depending on their nature.</w:t>
      </w:r>
    </w:p>
    <w:p w:rsidR="003E6989" w:rsidRDefault="003E6989" w:rsidP="003E6989">
      <w:pPr>
        <w:pStyle w:val="PolicytextDept"/>
        <w:spacing w:before="100" w:after="100" w:line="240" w:lineRule="auto"/>
      </w:pPr>
      <w:r w:rsidRPr="00006EAB">
        <w:t>Contributions of assets at no cost of acquisition or for nominal consideration are recognised as gains at their fair value when the asset qualifies for recognition, unless received from another Government entity as a consequence of a restructuring of administrative</w:t>
      </w:r>
      <w:r>
        <w:t xml:space="preserve"> arrangements (Refer to Note 8</w:t>
      </w:r>
      <w:r w:rsidRPr="00006EAB">
        <w:t>).</w:t>
      </w:r>
    </w:p>
    <w:p w:rsidR="003E6989" w:rsidRDefault="003E6989" w:rsidP="003E6989"/>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bookmarkStart w:id="205" w:name="Note_RFGTABLE1" w:colFirst="0" w:colLast="0"/>
            <w:r>
              <w:rPr>
                <w:rFonts w:cs="Calibri"/>
                <w:b/>
                <w:bCs/>
                <w:szCs w:val="18"/>
              </w:rPr>
              <w:t>REVENUE FROM GOVERNMENT</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p>
        </w:tc>
      </w:tr>
      <w:bookmarkEnd w:id="205"/>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1.2E: Revenue from Government</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Departmental appropriations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313,127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276,854</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revenue from Government</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313,127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276,854</w:t>
            </w:r>
          </w:p>
        </w:tc>
      </w:tr>
    </w:tbl>
    <w:p w:rsidR="003E6989" w:rsidRDefault="003E6989" w:rsidP="003E6989">
      <w:pPr>
        <w:rPr>
          <w:rFonts w:ascii="Arial" w:hAnsi="Arial" w:cs="Arial"/>
          <w:szCs w:val="18"/>
        </w:rPr>
      </w:pPr>
      <w:bookmarkStart w:id="206" w:name="RANGE!D6:D14"/>
      <w:bookmarkStart w:id="207" w:name="RANGE!D6:G14"/>
      <w:bookmarkEnd w:id="206"/>
      <w:bookmarkEnd w:id="207"/>
    </w:p>
    <w:p w:rsidR="003E6989" w:rsidRPr="003A70A7" w:rsidRDefault="003E6989" w:rsidP="003E6989">
      <w:pPr>
        <w:pStyle w:val="PolicyTextboxbold"/>
        <w:spacing w:before="100" w:after="100" w:line="240" w:lineRule="auto"/>
      </w:pPr>
      <w:r w:rsidRPr="00A8397F">
        <w:t>Accounting Policy</w:t>
      </w:r>
    </w:p>
    <w:p w:rsidR="003E6989" w:rsidRPr="00A831A8" w:rsidRDefault="003E6989" w:rsidP="003E6989">
      <w:pPr>
        <w:pStyle w:val="PolicyTextdeptunderline"/>
        <w:spacing w:before="100" w:after="100" w:line="240" w:lineRule="auto"/>
        <w:rPr>
          <w:lang w:eastAsia="en-AU"/>
        </w:rPr>
      </w:pPr>
      <w:r w:rsidRPr="00A831A8">
        <w:rPr>
          <w:lang w:eastAsia="en-AU"/>
        </w:rPr>
        <w:t xml:space="preserve">Revenue from Government </w:t>
      </w:r>
    </w:p>
    <w:p w:rsidR="003E6989" w:rsidRPr="00A831A8" w:rsidRDefault="003E6989" w:rsidP="003E6989">
      <w:pPr>
        <w:pStyle w:val="PolicytextDept"/>
        <w:spacing w:before="100" w:after="100" w:line="240" w:lineRule="auto"/>
        <w:rPr>
          <w:lang w:eastAsia="en-AU"/>
        </w:rPr>
      </w:pPr>
      <w:r w:rsidRPr="00A831A8">
        <w:rPr>
          <w:lang w:eastAsia="en-AU"/>
        </w:rPr>
        <w:t>Amounts appropriated for departmental appropriations for the year (adjusted for any formal additions and reductions) are recognised as Revenue from Government when the department gains control of the ap</w:t>
      </w:r>
      <w:r>
        <w:rPr>
          <w:lang w:eastAsia="en-AU"/>
        </w:rPr>
        <w:t>propriation.</w:t>
      </w:r>
    </w:p>
    <w:p w:rsidR="003E6989" w:rsidRDefault="003E6989" w:rsidP="003E6989">
      <w:pPr>
        <w:pStyle w:val="PolicytextDept"/>
        <w:spacing w:before="100" w:after="100" w:line="240" w:lineRule="auto"/>
        <w:rPr>
          <w:rFonts w:ascii="Arial" w:hAnsi="Arial" w:cs="Arial"/>
        </w:rPr>
      </w:pPr>
      <w:r w:rsidRPr="00A831A8">
        <w:rPr>
          <w:lang w:eastAsia="en-AU"/>
        </w:rPr>
        <w:t>Appropriations receivable are recognised at their nominal amounts.</w:t>
      </w:r>
    </w:p>
    <w:p w:rsidR="003E6989" w:rsidRDefault="003E6989" w:rsidP="003E6989">
      <w:pPr>
        <w:rPr>
          <w:rFonts w:ascii="Arial" w:hAnsi="Arial" w:cs="Arial"/>
          <w:szCs w:val="18"/>
        </w:rPr>
      </w:pPr>
    </w:p>
    <w:p w:rsidR="003E6989" w:rsidRPr="00A46C83" w:rsidRDefault="003E6989" w:rsidP="003E6989">
      <w:pPr>
        <w:rPr>
          <w:rFonts w:ascii="Arial" w:hAnsi="Arial" w:cs="Arial"/>
          <w:szCs w:val="18"/>
        </w:rPr>
        <w:sectPr w:rsidR="003E6989" w:rsidRPr="00A46C83" w:rsidSect="006A5410">
          <w:pgSz w:w="11906" w:h="16838"/>
          <w:pgMar w:top="1134" w:right="1134" w:bottom="1134" w:left="1134" w:header="958" w:footer="737" w:gutter="0"/>
          <w:cols w:space="720"/>
        </w:sectPr>
      </w:pPr>
    </w:p>
    <w:p w:rsidR="003E6989" w:rsidRPr="00970D5C" w:rsidRDefault="003E6989" w:rsidP="003E6989">
      <w:pPr>
        <w:pStyle w:val="SectionHeading"/>
      </w:pPr>
      <w:bookmarkStart w:id="208" w:name="_Toc443469525"/>
      <w:bookmarkStart w:id="209" w:name="_Toc443577399"/>
      <w:bookmarkStart w:id="210" w:name="_Toc455416731"/>
      <w:bookmarkStart w:id="211" w:name="_Toc463440699"/>
      <w:bookmarkStart w:id="212" w:name="_Toc464726284"/>
      <w:bookmarkStart w:id="213" w:name="_Toc464726622"/>
      <w:r w:rsidRPr="00970D5C">
        <w:lastRenderedPageBreak/>
        <w:t>Income and Expenses Administered on Behalf of Government</w:t>
      </w:r>
      <w:bookmarkEnd w:id="208"/>
      <w:bookmarkEnd w:id="209"/>
      <w:bookmarkEnd w:id="210"/>
      <w:bookmarkEnd w:id="211"/>
      <w:bookmarkEnd w:id="212"/>
      <w:bookmarkEnd w:id="213"/>
    </w:p>
    <w:p w:rsidR="003E6989" w:rsidRPr="006C56A3" w:rsidRDefault="003E6989" w:rsidP="003E6989">
      <w:pPr>
        <w:pStyle w:val="SectionHeadingDescription"/>
      </w:pPr>
      <w:r w:rsidRPr="006C56A3">
        <w:t>This section analyses the activities that the Department does not control but administers on behalf of the Government. Unless otherwise noted, the accounting policies adopted are consistent with those applied for departmental reporting</w:t>
      </w:r>
      <w:r>
        <w:t>.</w:t>
      </w:r>
    </w:p>
    <w:p w:rsidR="003E6989" w:rsidRPr="00C54293" w:rsidRDefault="003E6989" w:rsidP="003E6989">
      <w:pPr>
        <w:ind w:left="142" w:hanging="142"/>
      </w:pPr>
      <w:bookmarkStart w:id="214" w:name="_Toc443992542"/>
      <w:bookmarkStart w:id="215" w:name="_Toc444001415"/>
      <w:bookmarkStart w:id="216" w:name="_Toc444260011"/>
      <w:bookmarkStart w:id="217" w:name="_Toc445116318"/>
      <w:bookmarkStart w:id="218" w:name="_Toc447095774"/>
      <w:bookmarkStart w:id="219" w:name="_Toc447095821"/>
      <w:bookmarkStart w:id="220" w:name="_Toc447095864"/>
      <w:bookmarkStart w:id="221" w:name="_Toc447096060"/>
      <w:bookmarkStart w:id="222" w:name="_Toc447796054"/>
      <w:bookmarkStart w:id="223" w:name="_Toc443577400"/>
      <w:bookmarkEnd w:id="214"/>
      <w:bookmarkEnd w:id="215"/>
      <w:bookmarkEnd w:id="216"/>
      <w:bookmarkEnd w:id="217"/>
      <w:bookmarkEnd w:id="218"/>
      <w:bookmarkEnd w:id="219"/>
      <w:bookmarkEnd w:id="220"/>
      <w:bookmarkEnd w:id="221"/>
      <w:bookmarkEnd w:id="222"/>
    </w:p>
    <w:p w:rsidR="003E6989" w:rsidRDefault="003E6989" w:rsidP="003E6989">
      <w:pPr>
        <w:pStyle w:val="SubHeading"/>
      </w:pPr>
      <w:bookmarkStart w:id="224" w:name="_Toc455416732"/>
      <w:bookmarkStart w:id="225" w:name="_Toc464726623"/>
      <w:r>
        <w:t>Administered – Expenses</w:t>
      </w:r>
      <w:bookmarkEnd w:id="223"/>
      <w:bookmarkEnd w:id="224"/>
      <w:bookmarkEnd w:id="225"/>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b/>
                <w:bCs/>
                <w:szCs w:val="18"/>
              </w:rPr>
            </w:pPr>
            <w:bookmarkStart w:id="226" w:name="Note_ASXTABLE1" w:colFirst="0" w:colLast="0"/>
            <w:r>
              <w:rPr>
                <w:rFonts w:cs="Calibri"/>
                <w:b/>
                <w:bCs/>
                <w:szCs w:val="18"/>
              </w:rPr>
              <w:t> </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226"/>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2.1A: Suppliers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Goods and services supplied or rendered</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8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Assistance to families with children</w:t>
            </w:r>
            <w:r>
              <w:rPr>
                <w:rFonts w:cs="Calibri"/>
                <w:szCs w:val="18"/>
                <w:vertAlign w:val="superscript"/>
              </w:rPr>
              <w:t>1</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8,542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32,685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General Research</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104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4,452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Higher Education</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18,499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21,481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School education - specific funding</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36,280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83,227 </w:t>
            </w:r>
          </w:p>
        </w:tc>
      </w:tr>
      <w:tr w:rsidR="003E6989" w:rsidTr="006A5410">
        <w:trPr>
          <w:trHeight w:val="28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Vocational and industry training</w:t>
            </w:r>
            <w:r>
              <w:rPr>
                <w:rFonts w:cs="Calibri"/>
                <w:szCs w:val="18"/>
                <w:vertAlign w:val="superscript"/>
              </w:rPr>
              <w:t>2</w:t>
            </w:r>
          </w:p>
        </w:tc>
        <w:tc>
          <w:tcPr>
            <w:tcW w:w="123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535,402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196,732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goods and services supplied or rendered</w:t>
            </w:r>
          </w:p>
        </w:tc>
        <w:tc>
          <w:tcPr>
            <w:tcW w:w="123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598,827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338,577</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supplier expenses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598,827</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338,577</w:t>
            </w:r>
          </w:p>
        </w:tc>
      </w:tr>
    </w:tbl>
    <w:p w:rsidR="003E6989" w:rsidRDefault="003E6989" w:rsidP="003E6989">
      <w:pPr>
        <w:pStyle w:val="GreyShadeTableBreak"/>
      </w:pPr>
      <w:bookmarkStart w:id="227" w:name="RANGE!D7:G21"/>
      <w:bookmarkEnd w:id="227"/>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bookmarkStart w:id="228" w:name="RANGE!D27:G32"/>
            <w:bookmarkStart w:id="229" w:name="Note_ASXTABLE2" w:colFirst="0" w:colLast="0"/>
            <w:r>
              <w:rPr>
                <w:rFonts w:cs="Calibri"/>
                <w:b/>
                <w:bCs/>
                <w:szCs w:val="18"/>
              </w:rPr>
              <w:t>Leasing Commitments</w:t>
            </w:r>
            <w:bookmarkEnd w:id="228"/>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bookmarkEnd w:id="229"/>
      <w:tr w:rsidR="003E6989" w:rsidTr="006A5410">
        <w:trPr>
          <w:trHeight w:val="255"/>
        </w:trPr>
        <w:tc>
          <w:tcPr>
            <w:tcW w:w="8982" w:type="dxa"/>
            <w:gridSpan w:val="4"/>
            <w:tcBorders>
              <w:top w:val="single" w:sz="4" w:space="0" w:color="D9D9D9"/>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Commitments for minimum lease payments in relation to non-cancellable operating leases are payable as follows:</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Within 1 year</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46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Between 1 to 5 years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184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More than 5 years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523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operating lease commitments</w:t>
            </w:r>
          </w:p>
        </w:tc>
        <w:tc>
          <w:tcPr>
            <w:tcW w:w="123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753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230" w:name="Note_ASUTABLE1" w:colFirst="0" w:colLast="0"/>
            <w:r>
              <w:rPr>
                <w:rFonts w:cs="Calibri"/>
                <w:b/>
                <w:bCs/>
                <w:szCs w:val="18"/>
                <w:u w:val="single"/>
              </w:rPr>
              <w:t>2.1B: Subsidies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bookmarkEnd w:id="230"/>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Subsidies in connection with external parties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375"/>
        </w:trPr>
        <w:tc>
          <w:tcPr>
            <w:tcW w:w="6272" w:type="dxa"/>
            <w:tcBorders>
              <w:top w:val="nil"/>
              <w:left w:val="nil"/>
              <w:bottom w:val="nil"/>
              <w:right w:val="nil"/>
            </w:tcBorders>
            <w:shd w:val="clear" w:color="000000" w:fill="D9D9D9"/>
            <w:noWrap/>
            <w:vAlign w:val="center"/>
            <w:hideMark/>
          </w:tcPr>
          <w:p w:rsidR="003E6989" w:rsidRDefault="003E6989" w:rsidP="003E6989">
            <w:pPr>
              <w:ind w:firstLineChars="100" w:firstLine="180"/>
              <w:rPr>
                <w:rFonts w:cs="Calibri"/>
                <w:szCs w:val="18"/>
              </w:rPr>
            </w:pPr>
            <w:r>
              <w:rPr>
                <w:rFonts w:cs="Calibri"/>
                <w:szCs w:val="18"/>
              </w:rPr>
              <w:t>Vocational and industry training</w:t>
            </w:r>
            <w:r>
              <w:rPr>
                <w:rFonts w:cs="Calibri"/>
                <w:szCs w:val="18"/>
                <w:vertAlign w:val="superscript"/>
              </w:rPr>
              <w:t>2</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327,118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144,308 </w:t>
            </w:r>
          </w:p>
        </w:tc>
      </w:tr>
      <w:tr w:rsidR="003E6989" w:rsidTr="006A5410">
        <w:trPr>
          <w:trHeight w:val="375"/>
        </w:trPr>
        <w:tc>
          <w:tcPr>
            <w:tcW w:w="6272" w:type="dxa"/>
            <w:tcBorders>
              <w:top w:val="nil"/>
              <w:left w:val="nil"/>
              <w:bottom w:val="nil"/>
              <w:right w:val="nil"/>
            </w:tcBorders>
            <w:shd w:val="clear" w:color="000000" w:fill="D9D9D9"/>
            <w:noWrap/>
            <w:vAlign w:val="center"/>
            <w:hideMark/>
          </w:tcPr>
          <w:p w:rsidR="003E6989" w:rsidRDefault="003E6989" w:rsidP="003E6989">
            <w:pPr>
              <w:ind w:firstLineChars="100" w:firstLine="180"/>
              <w:rPr>
                <w:rFonts w:cs="Calibri"/>
                <w:szCs w:val="18"/>
              </w:rPr>
            </w:pPr>
            <w:r>
              <w:rPr>
                <w:rFonts w:cs="Calibri"/>
                <w:szCs w:val="18"/>
              </w:rPr>
              <w:t>Assistance to families with children</w:t>
            </w:r>
            <w:r>
              <w:rPr>
                <w:rFonts w:cs="Calibri"/>
                <w:szCs w:val="18"/>
                <w:vertAlign w:val="superscript"/>
              </w:rPr>
              <w:t>1</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692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Higher Education</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 </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subsidies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327,810</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144,309</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231" w:name="Note_APBTABLE1" w:colFirst="0" w:colLast="0"/>
            <w:r>
              <w:rPr>
                <w:rFonts w:cs="Calibri"/>
                <w:b/>
                <w:bCs/>
                <w:szCs w:val="18"/>
                <w:u w:val="single"/>
              </w:rPr>
              <w:t>2.1C: Personal benefits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231"/>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Direct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Student assistance</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39,213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72,298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School Education - Specific Funding</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1,000 </w:t>
            </w:r>
          </w:p>
        </w:tc>
      </w:tr>
      <w:tr w:rsidR="003E6989" w:rsidTr="006A5410">
        <w:trPr>
          <w:trHeight w:val="28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Assistance to families with children</w:t>
            </w:r>
            <w:r>
              <w:rPr>
                <w:rFonts w:cs="Calibri"/>
                <w:szCs w:val="18"/>
                <w:vertAlign w:val="superscript"/>
              </w:rPr>
              <w:t>1</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1,028,980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836,916 </w:t>
            </w:r>
          </w:p>
        </w:tc>
      </w:tr>
      <w:tr w:rsidR="003E6989" w:rsidTr="006A5410">
        <w:trPr>
          <w:trHeight w:val="28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Vocational and industry training</w:t>
            </w:r>
            <w:r>
              <w:rPr>
                <w:rFonts w:cs="Calibri"/>
                <w:szCs w:val="18"/>
                <w:vertAlign w:val="superscript"/>
              </w:rPr>
              <w:t>2</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25,054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18,881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Indirect</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8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Assistance to families with children</w:t>
            </w:r>
            <w:r>
              <w:rPr>
                <w:rFonts w:cs="Calibri"/>
                <w:szCs w:val="18"/>
                <w:vertAlign w:val="superscript"/>
              </w:rPr>
              <w:t>1</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3,999,027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2,606,001 </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personal benefits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5,092,274</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3,535,096</w:t>
            </w:r>
          </w:p>
        </w:tc>
      </w:tr>
    </w:tbl>
    <w:p w:rsidR="003E6989" w:rsidRDefault="003E6989" w:rsidP="003E6989">
      <w:pPr>
        <w:pStyle w:val="GreyShadeTableBreak"/>
        <w:rPr>
          <w:vertAlign w:val="superscript"/>
        </w:rPr>
      </w:pPr>
      <w:bookmarkStart w:id="232" w:name="RANGE!D7:G25"/>
      <w:bookmarkEnd w:id="232"/>
    </w:p>
    <w:p w:rsidR="003E6989" w:rsidRDefault="003E6989" w:rsidP="003E6989">
      <w:pPr>
        <w:pStyle w:val="GreyShadeTableBreak"/>
      </w:pPr>
      <w:r w:rsidRPr="0017638A">
        <w:rPr>
          <w:vertAlign w:val="superscript"/>
        </w:rPr>
        <w:t>1</w:t>
      </w:r>
      <w:r>
        <w:rPr>
          <w:vertAlign w:val="superscript"/>
        </w:rPr>
        <w:t xml:space="preserve"> </w:t>
      </w:r>
      <w:r>
        <w:t>Responsibility for the administration of assistance to families with children transferred from the Department of Social Services on 21 September 2015.</w:t>
      </w:r>
    </w:p>
    <w:p w:rsidR="003E6989" w:rsidRPr="00731E8D" w:rsidRDefault="003E6989" w:rsidP="003E6989">
      <w:pPr>
        <w:pStyle w:val="GreyShadeTableBreak"/>
        <w:rPr>
          <w:vertAlign w:val="superscript"/>
        </w:rPr>
      </w:pPr>
      <w:r w:rsidRPr="00731E8D">
        <w:rPr>
          <w:vertAlign w:val="superscript"/>
        </w:rPr>
        <w:t>2</w:t>
      </w:r>
      <w:r>
        <w:t xml:space="preserve"> Responsibility for the administration of vocational and industry training transferred from the Department of Industry and Science on 23 December 2014. The 2014-15 financial year reflects the pa</w:t>
      </w:r>
      <w:r w:rsidR="001F2C80">
        <w:t>rt year impact of the transfer.</w:t>
      </w:r>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szCs w:val="18"/>
              </w:rPr>
            </w:pPr>
            <w:bookmarkStart w:id="233" w:name="RANGE!D7:D18"/>
            <w:bookmarkStart w:id="234" w:name="Note_AGRTABLE1" w:colFirst="0" w:colLast="0"/>
            <w:r>
              <w:rPr>
                <w:rFonts w:cs="Calibri"/>
                <w:szCs w:val="18"/>
              </w:rPr>
              <w:lastRenderedPageBreak/>
              <w:t> </w:t>
            </w:r>
            <w:bookmarkEnd w:id="233"/>
          </w:p>
        </w:tc>
        <w:tc>
          <w:tcPr>
            <w:tcW w:w="1238"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r>
      <w:bookmarkEnd w:id="234"/>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2.1D: Grants</w:t>
            </w:r>
          </w:p>
        </w:tc>
        <w:tc>
          <w:tcPr>
            <w:tcW w:w="1238"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szCs w:val="18"/>
              </w:rPr>
            </w:pPr>
            <w:r>
              <w:rPr>
                <w:rFonts w:cs="Calibri"/>
                <w:szCs w:val="18"/>
              </w:rPr>
              <w:t> </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Public sector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Australian Government entities (related parties)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37,944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21,863</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State and Territory Governments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15,703,816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14,764,549</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Private sector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Non-profit organisations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81,826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167,674</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Multi-jurisdictional sector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9,570,689</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9,082,051</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331,045</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373,959</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25,725,320</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24,410,096</w:t>
            </w:r>
          </w:p>
        </w:tc>
      </w:tr>
    </w:tbl>
    <w:p w:rsidR="003E6989" w:rsidRDefault="003E6989" w:rsidP="003E6989">
      <w:pPr>
        <w:pStyle w:val="GreyShadeTableBreak"/>
      </w:pPr>
    </w:p>
    <w:p w:rsidR="003E6989" w:rsidRPr="00705FEF" w:rsidRDefault="003E6989" w:rsidP="003E6989">
      <w:pPr>
        <w:pStyle w:val="PolicyTextAdminbold"/>
      </w:pPr>
      <w:r w:rsidRPr="00705FEF">
        <w:t>Accounting Policy</w:t>
      </w:r>
    </w:p>
    <w:p w:rsidR="003E6989" w:rsidRPr="00705FEF" w:rsidRDefault="003E6989" w:rsidP="003E6989">
      <w:pPr>
        <w:pStyle w:val="PlicytextAdminUnderline"/>
      </w:pPr>
      <w:r w:rsidRPr="00705FEF">
        <w:t>Grants and subsidies</w:t>
      </w:r>
    </w:p>
    <w:p w:rsidR="003E6989" w:rsidRDefault="003E6989" w:rsidP="003E6989">
      <w:pPr>
        <w:pStyle w:val="PolicyTextAdmin"/>
      </w:pPr>
      <w:r w:rsidRPr="00E52961">
        <w:t>The department administers a number of grant and subsidy schemes on behalf of the Government.</w:t>
      </w:r>
    </w:p>
    <w:p w:rsidR="003E6989" w:rsidRPr="00E52961" w:rsidRDefault="003E6989" w:rsidP="003E6989">
      <w:pPr>
        <w:pStyle w:val="PolicyTextAdmin"/>
      </w:pPr>
    </w:p>
    <w:p w:rsidR="003E6989" w:rsidRDefault="003E6989" w:rsidP="003E6989">
      <w:pPr>
        <w:pStyle w:val="PolicyTextAdmin"/>
      </w:pPr>
      <w:r w:rsidRPr="00E52961">
        <w:t>Grant and subsidy liabilities are recognised to the extent that (i) the services required to be performed by the grantee have been performed or (ii) the grant eligibility criteria have been satisfied, but payments due have not been made. A commitment is recorded when the Government enters into an agreement to make these grants but services have not been performed or criteria satisfied.</w:t>
      </w:r>
    </w:p>
    <w:p w:rsidR="003E6989" w:rsidRPr="00E52961" w:rsidRDefault="003E6989" w:rsidP="003E6989">
      <w:pPr>
        <w:pStyle w:val="PolicyTextAdmin"/>
      </w:pPr>
    </w:p>
    <w:p w:rsidR="003E6989" w:rsidRDefault="003E6989" w:rsidP="003E6989">
      <w:pPr>
        <w:pStyle w:val="PolicyTextAdmin"/>
      </w:pPr>
      <w:r>
        <w:t>Under the Federal Financial Framework, the</w:t>
      </w:r>
      <w:r w:rsidRPr="00861350">
        <w:t xml:space="preserve"> Department of the Treasury is accountable for the payment of grants under the National Partnership Agreements to the States and Territories. The department reports payments made to and through state and state and territory governments as grants to state and terri</w:t>
      </w:r>
      <w:r>
        <w:t>tory governments (Note 2.1D</w:t>
      </w:r>
      <w:r w:rsidRPr="00861350">
        <w:t xml:space="preserve">). </w:t>
      </w:r>
    </w:p>
    <w:p w:rsidR="003E6989" w:rsidRPr="00861350" w:rsidRDefault="003E6989" w:rsidP="003E6989">
      <w:pPr>
        <w:pStyle w:val="PolicyTextAdmin"/>
      </w:pPr>
    </w:p>
    <w:p w:rsidR="003E6989" w:rsidRPr="00705FEF" w:rsidRDefault="003E6989" w:rsidP="003E6989">
      <w:pPr>
        <w:pStyle w:val="PolicyTextAdmin"/>
      </w:pPr>
      <w:r w:rsidRPr="00705FEF">
        <w:t xml:space="preserve">The Australian Government continues to have regard to developments in case law, including the High Court’s most recent decision on Commonwealth expenditure in </w:t>
      </w:r>
      <w:r w:rsidRPr="000B0704">
        <w:rPr>
          <w:i/>
        </w:rPr>
        <w:t>Williams v Commonwealth [2014] HCA 23</w:t>
      </w:r>
      <w:r w:rsidRPr="00705FEF">
        <w:t>, as they contribute to the larger body of law relevant to the devel</w:t>
      </w:r>
      <w:r>
        <w:t>opment of Commonwealth program</w:t>
      </w:r>
      <w:r w:rsidRPr="00705FEF">
        <w:t>s. In accordance with its general practice, the Government will continue to monitor and assess risk and decide on any appropriate actions to respond to risks of expenditure not being consistent with constitutional or other legal requirements.</w:t>
      </w:r>
    </w:p>
    <w:p w:rsidR="003E6989" w:rsidRPr="00861350"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235" w:name="Note_AFNTABLE1" w:colFirst="0" w:colLast="0"/>
            <w:r>
              <w:rPr>
                <w:rFonts w:cs="Calibri"/>
                <w:b/>
                <w:bCs/>
                <w:szCs w:val="18"/>
                <w:u w:val="single"/>
              </w:rPr>
              <w:t>2.1E: Finance costs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bookmarkEnd w:id="235"/>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Concessional loan discount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636,237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801,980</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finance costs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636,237</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801,980</w:t>
            </w:r>
          </w:p>
        </w:tc>
      </w:tr>
    </w:tbl>
    <w:p w:rsidR="003E6989" w:rsidRDefault="003E6989" w:rsidP="003E6989">
      <w:pPr>
        <w:pStyle w:val="GreyShadeTableBreak"/>
      </w:pPr>
      <w:bookmarkStart w:id="236" w:name="RANGE!D7:D10"/>
      <w:bookmarkStart w:id="237" w:name="RANGE!D7:G11"/>
      <w:bookmarkEnd w:id="236"/>
      <w:bookmarkEnd w:id="237"/>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238" w:name="Note_AWDTABLE1" w:colFirst="0" w:colLast="0"/>
            <w:r>
              <w:rPr>
                <w:rFonts w:cs="Calibri"/>
                <w:b/>
                <w:bCs/>
                <w:szCs w:val="18"/>
                <w:u w:val="single"/>
              </w:rPr>
              <w:t>2.1F: Write-down and impairment of assets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238"/>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Impairment of personal benefits receivable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17,806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19,206</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Impairment of Higher Education Superannuation Program</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Write-down of other receivables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762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477</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Impairment of goods and services and other receivables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6,554</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write-down and impairment of assets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18,595</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26,237</w:t>
            </w:r>
          </w:p>
        </w:tc>
      </w:tr>
    </w:tbl>
    <w:p w:rsidR="003E6989" w:rsidRDefault="003E6989" w:rsidP="003E6989">
      <w:pPr>
        <w:pStyle w:val="GreyShadeTableBreak"/>
      </w:pPr>
      <w:bookmarkStart w:id="239" w:name="RANGE!D7:D12"/>
      <w:bookmarkEnd w:id="23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240" w:name="Note_ACBTABLE1" w:colFirst="0" w:colLast="0"/>
            <w:r>
              <w:rPr>
                <w:rFonts w:cs="Calibri"/>
                <w:b/>
                <w:bCs/>
                <w:szCs w:val="18"/>
                <w:u w:val="single"/>
              </w:rPr>
              <w:t>2.1G: Payments to corporate Commonwealth entities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bookmarkEnd w:id="240"/>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Australian Institute of Aboriginal and Torres Strait Islander Studies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15,009</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13,370</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payments to corporate Commonwealth entities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15,009</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13,370</w:t>
            </w:r>
          </w:p>
        </w:tc>
      </w:tr>
    </w:tbl>
    <w:p w:rsidR="00E011FB" w:rsidRDefault="00E011FB" w:rsidP="003E6989">
      <w:pPr>
        <w:pStyle w:val="GreyShadeTableBreak"/>
      </w:pPr>
    </w:p>
    <w:p w:rsidR="00E011FB" w:rsidRDefault="00E011FB">
      <w:pPr>
        <w:spacing w:line="240" w:lineRule="auto"/>
      </w:pPr>
      <w:r>
        <w:br w:type="page"/>
      </w:r>
    </w:p>
    <w:p w:rsidR="003E6989" w:rsidRPr="00705FEF" w:rsidRDefault="003E6989" w:rsidP="003E6989">
      <w:pPr>
        <w:pStyle w:val="PolicyTextAdminbold"/>
        <w:spacing w:before="100" w:after="100" w:line="240" w:lineRule="auto"/>
      </w:pPr>
      <w:r w:rsidRPr="00705FEF">
        <w:lastRenderedPageBreak/>
        <w:t>Accounting Policy</w:t>
      </w:r>
    </w:p>
    <w:p w:rsidR="003E6989" w:rsidRPr="00705FEF" w:rsidRDefault="003E6989" w:rsidP="003E6989">
      <w:pPr>
        <w:pStyle w:val="PlicytextAdminUnderline"/>
        <w:spacing w:before="100" w:after="100" w:line="240" w:lineRule="auto"/>
      </w:pPr>
      <w:r w:rsidRPr="00705FEF">
        <w:t>Payments to Corporate Commonwealth Entities</w:t>
      </w:r>
    </w:p>
    <w:p w:rsidR="003E6989" w:rsidRDefault="003E6989" w:rsidP="003E6989">
      <w:pPr>
        <w:pStyle w:val="PolicyTextAdmin"/>
        <w:spacing w:before="100" w:after="100" w:line="240" w:lineRule="auto"/>
      </w:pPr>
      <w:r w:rsidRPr="00705FEF">
        <w:t xml:space="preserve">Payments to the Australian Institute of Aboriginal and Torres Strait Islander Studies from amounts appropriated for that purpose are classified as administered expenses of the relevant portfolio department.  The appropriation to the department </w:t>
      </w:r>
      <w:r w:rsidRPr="00661EEC">
        <w:t>is disclosed in tables</w:t>
      </w:r>
      <w:r w:rsidRPr="00705FEF">
        <w:t xml:space="preserve"> </w:t>
      </w:r>
      <w:r>
        <w:t>of the appropriation note (Note 5)</w:t>
      </w:r>
      <w:r w:rsidRPr="00705FEF">
        <w:t>.</w:t>
      </w:r>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rPr>
            </w:pPr>
            <w:bookmarkStart w:id="241" w:name="Note_FVLTABLE1" w:colFirst="0" w:colLast="0"/>
            <w:r>
              <w:rPr>
                <w:rFonts w:cs="Calibri"/>
                <w:b/>
                <w:bCs/>
                <w:szCs w:val="18"/>
              </w:rPr>
              <w:t> </w:t>
            </w:r>
          </w:p>
        </w:tc>
        <w:tc>
          <w:tcPr>
            <w:tcW w:w="1238"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r>
      <w:bookmarkEnd w:id="241"/>
      <w:tr w:rsidR="003E6989" w:rsidTr="006A5410">
        <w:trPr>
          <w:trHeight w:val="255"/>
        </w:trPr>
        <w:tc>
          <w:tcPr>
            <w:tcW w:w="6272" w:type="dxa"/>
            <w:tcBorders>
              <w:top w:val="single" w:sz="4" w:space="0" w:color="D9D9D9"/>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2.1H: Fair value losses</w:t>
            </w:r>
          </w:p>
        </w:tc>
        <w:tc>
          <w:tcPr>
            <w:tcW w:w="1238"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555"/>
        </w:trPr>
        <w:tc>
          <w:tcPr>
            <w:tcW w:w="6272"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Losses from remeasuring financial instruments held at fair value through profit or loss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1,058,199</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1,261,294</w:t>
            </w:r>
          </w:p>
        </w:tc>
      </w:tr>
      <w:tr w:rsidR="003E6989" w:rsidTr="006A5410">
        <w:trPr>
          <w:trHeight w:val="33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fair value losses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1,058,199</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1,261,294</w:t>
            </w:r>
          </w:p>
        </w:tc>
      </w:tr>
    </w:tbl>
    <w:p w:rsidR="003E6989" w:rsidRDefault="003E6989" w:rsidP="003E6989">
      <w:pPr>
        <w:pStyle w:val="GreyShadeTableBreak"/>
      </w:pPr>
      <w:bookmarkStart w:id="242" w:name="RANGE!D9:D13"/>
      <w:bookmarkEnd w:id="242"/>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50"/>
        <w:gridCol w:w="1251"/>
        <w:gridCol w:w="239"/>
        <w:gridCol w:w="1247"/>
      </w:tblGrid>
      <w:tr w:rsidR="003E6989" w:rsidTr="006A5410">
        <w:trPr>
          <w:trHeight w:val="255"/>
        </w:trPr>
        <w:tc>
          <w:tcPr>
            <w:tcW w:w="6276"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243" w:name="Note_AOETABLE1" w:colFirst="0" w:colLast="0"/>
            <w:r>
              <w:rPr>
                <w:rFonts w:cs="Calibri"/>
                <w:b/>
                <w:bCs/>
                <w:szCs w:val="18"/>
                <w:u w:val="single"/>
              </w:rPr>
              <w:t>2.1I: Other expenses</w:t>
            </w:r>
          </w:p>
        </w:tc>
        <w:tc>
          <w:tcPr>
            <w:tcW w:w="123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bookmarkEnd w:id="243"/>
      <w:tr w:rsidR="003E6989" w:rsidTr="006A5410">
        <w:trPr>
          <w:trHeight w:val="255"/>
        </w:trPr>
        <w:tc>
          <w:tcPr>
            <w:tcW w:w="627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Act of Grace payments</w:t>
            </w:r>
          </w:p>
        </w:tc>
        <w:tc>
          <w:tcPr>
            <w:tcW w:w="123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3"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57</w:t>
            </w:r>
          </w:p>
        </w:tc>
      </w:tr>
      <w:tr w:rsidR="003E6989" w:rsidTr="006A5410">
        <w:trPr>
          <w:trHeight w:val="270"/>
        </w:trPr>
        <w:tc>
          <w:tcPr>
            <w:tcW w:w="627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szCs w:val="18"/>
              </w:rPr>
            </w:pPr>
            <w:r>
              <w:rPr>
                <w:rFonts w:cs="Calibri"/>
                <w:b/>
                <w:bCs/>
                <w:szCs w:val="18"/>
              </w:rPr>
              <w:t>Total other expenses</w:t>
            </w:r>
          </w:p>
        </w:tc>
        <w:tc>
          <w:tcPr>
            <w:tcW w:w="1237"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147</w:t>
            </w:r>
          </w:p>
        </w:tc>
        <w:tc>
          <w:tcPr>
            <w:tcW w:w="236" w:type="dxa"/>
            <w:tcBorders>
              <w:top w:val="single" w:sz="4" w:space="0" w:color="D9D9D9"/>
              <w:left w:val="nil"/>
              <w:bottom w:val="single" w:sz="24" w:space="0" w:color="D8D8D8"/>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3"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57</w:t>
            </w:r>
          </w:p>
        </w:tc>
      </w:tr>
    </w:tbl>
    <w:p w:rsidR="003E6989" w:rsidRPr="00705FEF" w:rsidRDefault="003E6989" w:rsidP="003E6989">
      <w:pPr>
        <w:pStyle w:val="GreyShadeTableBreak"/>
      </w:pPr>
      <w:r w:rsidRPr="00705FEF">
        <w:br w:type="page"/>
      </w:r>
    </w:p>
    <w:p w:rsidR="003E6989" w:rsidRDefault="003E6989" w:rsidP="003E6989">
      <w:pPr>
        <w:pStyle w:val="SubHeading"/>
      </w:pPr>
      <w:bookmarkStart w:id="244" w:name="_Toc455416733"/>
      <w:bookmarkStart w:id="245" w:name="_Toc464726624"/>
      <w:r>
        <w:lastRenderedPageBreak/>
        <w:t>Administered Income</w:t>
      </w:r>
      <w:bookmarkEnd w:id="244"/>
      <w:bookmarkEnd w:id="245"/>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246" w:name="Note_AOT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246"/>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Taxation revenue</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2.2A: Other taxes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Levies (other than agricultural)</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10,144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8,576</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taxes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10,144</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8,576</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bookmarkStart w:id="247" w:name="Note_AINTABLE1" w:colFirst="0" w:colLast="0"/>
            <w:r>
              <w:rPr>
                <w:rFonts w:cs="Calibri"/>
                <w:b/>
                <w:bCs/>
                <w:szCs w:val="18"/>
              </w:rPr>
              <w:t>Non-taxation revenue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247"/>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2.2B: Interest</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Other sources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337</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Loans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529,330</w:t>
            </w:r>
          </w:p>
        </w:tc>
        <w:tc>
          <w:tcPr>
            <w:tcW w:w="236" w:type="dxa"/>
            <w:tcBorders>
              <w:top w:val="nil"/>
              <w:left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582,797</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interest</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529,337</w:t>
            </w:r>
          </w:p>
        </w:tc>
        <w:tc>
          <w:tcPr>
            <w:tcW w:w="236" w:type="dxa"/>
            <w:tcBorders>
              <w:top w:val="nil"/>
              <w:left w:val="nil"/>
              <w:bottom w:val="single" w:sz="24" w:space="0" w:color="D8D8D8"/>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583,134</w:t>
            </w:r>
          </w:p>
        </w:tc>
      </w:tr>
    </w:tbl>
    <w:p w:rsidR="003E6989" w:rsidRDefault="003E6989" w:rsidP="003E6989">
      <w:pPr>
        <w:pStyle w:val="GreyShadeTableBreak"/>
      </w:pPr>
      <w:bookmarkStart w:id="248" w:name="RANGE!D7:G13"/>
      <w:bookmarkStart w:id="249" w:name="RANGE!D6:G11"/>
      <w:bookmarkEnd w:id="248"/>
      <w:bookmarkEnd w:id="24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250" w:name="Note_AORTABLE1" w:colFirst="0" w:colLast="0"/>
            <w:r>
              <w:rPr>
                <w:rFonts w:cs="Calibri"/>
                <w:b/>
                <w:bCs/>
                <w:szCs w:val="18"/>
                <w:u w:val="single"/>
              </w:rPr>
              <w:t>2.2C: Other revenue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250"/>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Education investment fund special account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55,754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217,413</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Other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757,423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632,428</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revenue</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813,177</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849,841</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bookmarkStart w:id="251" w:name="Note_AFVTABLE1" w:colFirst="0" w:colLast="0"/>
            <w:r>
              <w:rPr>
                <w:rFonts w:cs="Calibri"/>
                <w:b/>
                <w:bCs/>
                <w:szCs w:val="18"/>
              </w:rPr>
              <w:t>Gains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bookmarkEnd w:id="251"/>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2.2D: Fair value gains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4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HECS/HELP</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4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Higher Education Superannuation Program</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4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fair value gains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252" w:name="Note_ARPTABLE1" w:colFirst="0" w:colLast="0"/>
            <w:r>
              <w:rPr>
                <w:rFonts w:cs="Calibri"/>
                <w:b/>
                <w:bCs/>
                <w:szCs w:val="18"/>
                <w:u w:val="single"/>
              </w:rPr>
              <w:t>2.2E: Reversals of previous asset write-downs and impairment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252"/>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Reversal of impairment losses for the Higher Education Superannuation Program</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1,200,266</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reversals of previous asset write-downs and impairments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1,200,266</w:t>
            </w:r>
          </w:p>
        </w:tc>
      </w:tr>
    </w:tbl>
    <w:p w:rsidR="003E6989" w:rsidRDefault="003E6989" w:rsidP="003E6989">
      <w:pPr>
        <w:pStyle w:val="GreyShadeTableBreak"/>
      </w:pPr>
    </w:p>
    <w:p w:rsidR="003E6989" w:rsidRDefault="003E6989" w:rsidP="003E6989">
      <w:pPr>
        <w:pStyle w:val="PolicyTextAdmin"/>
        <w:spacing w:after="120"/>
        <w:rPr>
          <w:rStyle w:val="PolicyTextAdminboldChar"/>
        </w:rPr>
      </w:pPr>
      <w:r w:rsidRPr="002F28A4">
        <w:rPr>
          <w:rStyle w:val="PolicyTextAdminboldChar"/>
        </w:rPr>
        <w:t>Accounting Policy</w:t>
      </w:r>
    </w:p>
    <w:p w:rsidR="003E6989" w:rsidRPr="002F28A4" w:rsidRDefault="003E6989" w:rsidP="003E6989">
      <w:pPr>
        <w:pStyle w:val="PolicyTextAdmin"/>
        <w:spacing w:after="120"/>
        <w:rPr>
          <w:b/>
          <w:shd w:val="clear" w:color="auto" w:fill="E5F4F3"/>
        </w:rPr>
      </w:pPr>
      <w:r w:rsidRPr="002F28A4">
        <w:rPr>
          <w:rStyle w:val="PlicytextAdminUnderlineChar"/>
        </w:rPr>
        <w:t>Revenue</w:t>
      </w:r>
    </w:p>
    <w:p w:rsidR="003E6989" w:rsidRDefault="003E6989" w:rsidP="003E6989">
      <w:pPr>
        <w:pStyle w:val="PolicyTextAdmin"/>
      </w:pPr>
      <w:r w:rsidRPr="006557EB">
        <w:t xml:space="preserve">All administered revenues are revenues relating to the course of ordinary activities performed by the department on behalf of the Australian Government. </w:t>
      </w:r>
      <w:r>
        <w:t>A</w:t>
      </w:r>
      <w:r w:rsidRPr="006557EB">
        <w:t>dministered appropriations are not revenues of the individual entity that oversees distribution or expenditure of funds as directed.</w:t>
      </w:r>
    </w:p>
    <w:p w:rsidR="003E6989" w:rsidRPr="006557EB" w:rsidRDefault="003E6989" w:rsidP="003E6989">
      <w:pPr>
        <w:pStyle w:val="PolicyTextAdmin"/>
      </w:pPr>
    </w:p>
    <w:p w:rsidR="003E6989" w:rsidRDefault="003E6989" w:rsidP="003E6989">
      <w:pPr>
        <w:pStyle w:val="PolicyTextAdmin"/>
      </w:pPr>
      <w:r w:rsidRPr="006557EB">
        <w:t>Administered fee revenue is recognised when the service is provided.  Collectability of the debt is reviewed at balance date.  Impairment allowances are made when collectability of the debt is judged to be less, rather than more, likely.</w:t>
      </w:r>
    </w:p>
    <w:p w:rsidR="003E6989" w:rsidRPr="00E15572" w:rsidRDefault="003E6989" w:rsidP="003E6989">
      <w:pPr>
        <w:pStyle w:val="PolicyTextAdmin"/>
        <w:spacing w:after="120"/>
      </w:pPr>
      <w:r>
        <w:br/>
      </w:r>
      <w:r w:rsidRPr="002F28A4">
        <w:rPr>
          <w:rStyle w:val="PlicytextAdminUnderlineChar"/>
        </w:rPr>
        <w:t>Gains and losses</w:t>
      </w:r>
    </w:p>
    <w:p w:rsidR="003E6989" w:rsidRPr="002F28A4" w:rsidRDefault="003E6989" w:rsidP="003E6989">
      <w:pPr>
        <w:pStyle w:val="PolicyTextAdmin"/>
      </w:pPr>
      <w:r w:rsidRPr="006557EB">
        <w:t xml:space="preserve">Administered gains or losses under the Higher Education Loan Program (HELP) and </w:t>
      </w:r>
      <w:r>
        <w:t xml:space="preserve">Higher Education Superannuation Program </w:t>
      </w:r>
      <w:r w:rsidRPr="006557EB">
        <w:t>are recognised at 30 June each year based on an actuarial assessment of the fair value</w:t>
      </w:r>
      <w:r>
        <w:t>.</w:t>
      </w:r>
      <w:r>
        <w:br w:type="page"/>
      </w:r>
    </w:p>
    <w:p w:rsidR="003E6989" w:rsidRDefault="003E6989" w:rsidP="003E6989">
      <w:pPr>
        <w:pStyle w:val="SectionHeading"/>
      </w:pPr>
      <w:bookmarkStart w:id="253" w:name="_Toc455416734"/>
      <w:bookmarkStart w:id="254" w:name="_Toc463440700"/>
      <w:bookmarkStart w:id="255" w:name="_Toc464726285"/>
      <w:bookmarkStart w:id="256" w:name="_Toc464726625"/>
      <w:r>
        <w:lastRenderedPageBreak/>
        <w:t>Departmental Financial Position</w:t>
      </w:r>
      <w:bookmarkEnd w:id="253"/>
      <w:bookmarkEnd w:id="254"/>
      <w:bookmarkEnd w:id="255"/>
      <w:bookmarkEnd w:id="256"/>
    </w:p>
    <w:p w:rsidR="003E6989" w:rsidRPr="003055FE" w:rsidRDefault="003E6989" w:rsidP="003E6989">
      <w:pPr>
        <w:pStyle w:val="SubHeading"/>
      </w:pPr>
      <w:bookmarkStart w:id="257" w:name="_Toc443992546"/>
      <w:bookmarkStart w:id="258" w:name="_Toc444001419"/>
      <w:bookmarkStart w:id="259" w:name="_Toc444260015"/>
      <w:bookmarkStart w:id="260" w:name="_Toc445116322"/>
      <w:bookmarkStart w:id="261" w:name="_Toc447095778"/>
      <w:bookmarkStart w:id="262" w:name="_Toc447095825"/>
      <w:bookmarkStart w:id="263" w:name="_Toc447095868"/>
      <w:bookmarkStart w:id="264" w:name="_Toc447096064"/>
      <w:bookmarkStart w:id="265" w:name="_Toc447796058"/>
      <w:bookmarkStart w:id="266" w:name="_Toc455416735"/>
      <w:bookmarkStart w:id="267" w:name="_Toc464726626"/>
      <w:bookmarkEnd w:id="257"/>
      <w:bookmarkEnd w:id="258"/>
      <w:bookmarkEnd w:id="259"/>
      <w:bookmarkEnd w:id="260"/>
      <w:bookmarkEnd w:id="261"/>
      <w:bookmarkEnd w:id="262"/>
      <w:bookmarkEnd w:id="263"/>
      <w:bookmarkEnd w:id="264"/>
      <w:bookmarkEnd w:id="265"/>
      <w:r>
        <w:t>Financial Assets</w:t>
      </w:r>
      <w:bookmarkEnd w:id="266"/>
      <w:bookmarkEnd w:id="267"/>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268" w:name="Note_CSH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268"/>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3.1A: Cash and cash equivalents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on hand or on deposit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7,531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Special Account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3,536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2,286</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cash and cash equivalents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6,132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9,817</w:t>
            </w:r>
          </w:p>
        </w:tc>
      </w:tr>
    </w:tbl>
    <w:p w:rsidR="003E6989" w:rsidRDefault="003E6989" w:rsidP="003E6989"/>
    <w:p w:rsidR="003E6989" w:rsidRDefault="003E6989" w:rsidP="003E6989"/>
    <w:p w:rsidR="003E6989" w:rsidRDefault="003E6989" w:rsidP="003E6989">
      <w:pPr>
        <w:pStyle w:val="PolicyTextboxbold"/>
      </w:pPr>
      <w:r w:rsidRPr="004F6738">
        <w:t>Accounting Policy</w:t>
      </w:r>
    </w:p>
    <w:p w:rsidR="003E6989" w:rsidRPr="004F6738" w:rsidRDefault="003E6989" w:rsidP="003E6989">
      <w:pPr>
        <w:pStyle w:val="PolicyTextdeptunderline"/>
      </w:pPr>
      <w:r>
        <w:t>Cash</w:t>
      </w:r>
    </w:p>
    <w:p w:rsidR="003E6989" w:rsidRPr="00F03BBC" w:rsidRDefault="003E6989" w:rsidP="003E6989">
      <w:pPr>
        <w:pStyle w:val="PolicytextDept"/>
      </w:pPr>
      <w:r w:rsidRPr="00F03BBC">
        <w:t>Cash is recognised at its nominal amount.  Cash and cash equivalents include:</w:t>
      </w:r>
    </w:p>
    <w:p w:rsidR="003E6989" w:rsidRPr="00F03BBC" w:rsidRDefault="003E6989" w:rsidP="003E6989">
      <w:pPr>
        <w:pStyle w:val="Policytextdeptbulletpoint"/>
        <w:spacing w:after="0" w:line="240" w:lineRule="auto"/>
      </w:pPr>
      <w:r w:rsidRPr="00F03BBC">
        <w:t>cash on hand</w:t>
      </w:r>
    </w:p>
    <w:p w:rsidR="003E6989" w:rsidRPr="00F03BBC" w:rsidRDefault="003E6989" w:rsidP="003E6989">
      <w:pPr>
        <w:pStyle w:val="Policytextdeptbulletpoint"/>
        <w:spacing w:after="0" w:line="240" w:lineRule="auto"/>
      </w:pPr>
      <w:r w:rsidRPr="00F03BBC">
        <w:t>cash held by outsiders</w:t>
      </w:r>
    </w:p>
    <w:p w:rsidR="003E6989" w:rsidRDefault="003E6989" w:rsidP="003E6989">
      <w:pPr>
        <w:pStyle w:val="Policytextdeptbulletpoint"/>
        <w:spacing w:after="0" w:line="240" w:lineRule="auto"/>
      </w:pPr>
      <w:r w:rsidRPr="00F03BBC">
        <w:t>cash in special accounts</w:t>
      </w:r>
    </w:p>
    <w:p w:rsidR="003E6989" w:rsidRDefault="003E6989" w:rsidP="003E6989">
      <w:pPr>
        <w:rPr>
          <w:sz w:val="12"/>
          <w:szCs w:val="12"/>
        </w:rPr>
      </w:pPr>
    </w:p>
    <w:p w:rsidR="003E6989" w:rsidRPr="002F28A4" w:rsidRDefault="003E6989" w:rsidP="003E6989">
      <w:pPr>
        <w:rPr>
          <w:sz w:val="12"/>
          <w:szCs w:val="12"/>
        </w:rPr>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269" w:name="RANGE!D7:D48"/>
            <w:bookmarkStart w:id="270" w:name="Note_RECTABLE1" w:colFirst="0" w:colLast="0"/>
            <w:r>
              <w:rPr>
                <w:rFonts w:cs="Calibri"/>
                <w:b/>
                <w:bCs/>
                <w:szCs w:val="18"/>
                <w:u w:val="single"/>
              </w:rPr>
              <w:t>3.1B: Trade and other receivables</w:t>
            </w:r>
            <w:bookmarkEnd w:id="269"/>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270"/>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Good and Services receivables in connection with</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7,697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4,111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goods and services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7,697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4,111</w:t>
            </w:r>
          </w:p>
        </w:tc>
      </w:tr>
      <w:tr w:rsidR="003E6989" w:rsidTr="006A5410">
        <w:trPr>
          <w:trHeight w:val="132"/>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Appropriations receivable</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Existing programmes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73,999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45,176</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appropriations receivable</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73,999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45,176</w:t>
            </w:r>
          </w:p>
        </w:tc>
      </w:tr>
      <w:tr w:rsidR="003E6989" w:rsidTr="006A5410">
        <w:trPr>
          <w:trHeight w:val="132"/>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receivables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GST receivable from the Australian Taxation Office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3,647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2,542</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other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3,647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2,542</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trade and other receivables (gross)</w:t>
            </w:r>
          </w:p>
        </w:tc>
        <w:tc>
          <w:tcPr>
            <w:tcW w:w="1238"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85,343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51,829</w:t>
            </w:r>
          </w:p>
        </w:tc>
      </w:tr>
      <w:tr w:rsidR="003E6989" w:rsidTr="006A5410">
        <w:trPr>
          <w:trHeight w:val="270"/>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Less impairment allowance</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impairment allowance</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trade and other receivables (net)</w:t>
            </w:r>
          </w:p>
        </w:tc>
        <w:tc>
          <w:tcPr>
            <w:tcW w:w="1238"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85,245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51,829</w:t>
            </w:r>
          </w:p>
        </w:tc>
      </w:tr>
      <w:tr w:rsidR="003E6989" w:rsidTr="006A5410">
        <w:trPr>
          <w:trHeight w:val="158"/>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Trade and other receivables (net) expected to be recovered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85,245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51,829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trade and other receivables (net)</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85,245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51,829</w:t>
            </w:r>
          </w:p>
        </w:tc>
      </w:tr>
      <w:tr w:rsidR="003E6989" w:rsidTr="006A5410">
        <w:trPr>
          <w:trHeight w:val="158"/>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Trade and other receivables (gross) aged as follows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82,900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50,467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Overdue by</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200" w:firstLine="360"/>
              <w:rPr>
                <w:rFonts w:cs="Calibri"/>
                <w:szCs w:val="18"/>
              </w:rPr>
            </w:pPr>
            <w:r>
              <w:rPr>
                <w:rFonts w:cs="Calibri"/>
                <w:szCs w:val="18"/>
              </w:rPr>
              <w:t>0 to 30 days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518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598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200" w:firstLine="360"/>
              <w:rPr>
                <w:rFonts w:cs="Calibri"/>
                <w:szCs w:val="18"/>
              </w:rPr>
            </w:pPr>
            <w:r>
              <w:rPr>
                <w:rFonts w:cs="Calibri"/>
                <w:szCs w:val="18"/>
              </w:rPr>
              <w:t>31 to 60 days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1,192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193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200" w:firstLine="360"/>
              <w:rPr>
                <w:rFonts w:cs="Calibri"/>
                <w:szCs w:val="18"/>
              </w:rPr>
            </w:pPr>
            <w:r>
              <w:rPr>
                <w:rFonts w:cs="Calibri"/>
                <w:szCs w:val="18"/>
              </w:rPr>
              <w:t>61 to 90 days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278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89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455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482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trade and other receivables (gross)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85,343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51,829</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lastRenderedPageBreak/>
              <w:t>The impairment allowance aged as follows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 xml:space="preserve">Total impairment allowance </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spacing w:after="120"/>
      </w:pPr>
      <w:bookmarkStart w:id="271" w:name="RANGE!D7:G48"/>
      <w:bookmarkStart w:id="272" w:name="RANGE!D7:G47"/>
      <w:bookmarkStart w:id="273" w:name="RANGE!D7:G49"/>
      <w:bookmarkEnd w:id="271"/>
      <w:bookmarkEnd w:id="272"/>
      <w:bookmarkEnd w:id="273"/>
      <w:r>
        <w:t xml:space="preserve">Credit terms for goods and services receivable are net 30 days (2015: 30 days). </w:t>
      </w:r>
    </w:p>
    <w:tbl>
      <w:tblPr>
        <w:tblW w:w="9087" w:type="dxa"/>
        <w:tblInd w:w="80" w:type="dxa"/>
        <w:tblLayout w:type="fixed"/>
        <w:tblLook w:val="04A0" w:firstRow="1" w:lastRow="0" w:firstColumn="1" w:lastColumn="0" w:noHBand="0" w:noVBand="1"/>
      </w:tblPr>
      <w:tblGrid>
        <w:gridCol w:w="5737"/>
        <w:gridCol w:w="1854"/>
        <w:gridCol w:w="1496"/>
      </w:tblGrid>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bookmarkStart w:id="274" w:name="RANGE!D7:F9"/>
            <w:bookmarkStart w:id="275" w:name="Note_RIATABLE1" w:colFirst="0" w:colLast="0"/>
            <w:r>
              <w:rPr>
                <w:rFonts w:cs="Calibri"/>
                <w:b/>
                <w:bCs/>
                <w:szCs w:val="18"/>
              </w:rPr>
              <w:t>Reconciliation of the Impairment Allowance</w:t>
            </w:r>
            <w:bookmarkEnd w:id="274"/>
          </w:p>
        </w:tc>
        <w:tc>
          <w:tcPr>
            <w:tcW w:w="15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275"/>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Movements in relation to 2016</w:t>
            </w:r>
          </w:p>
        </w:tc>
        <w:tc>
          <w:tcPr>
            <w:tcW w:w="15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4816" w:type="dxa"/>
            <w:tcBorders>
              <w:top w:val="single" w:sz="4" w:space="0" w:color="auto"/>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Goods and services</w:t>
            </w:r>
          </w:p>
        </w:tc>
        <w:tc>
          <w:tcPr>
            <w:tcW w:w="1256"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4816"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40"/>
        </w:trPr>
        <w:tc>
          <w:tcPr>
            <w:tcW w:w="481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Opening balance as at 1 July 2015</w:t>
            </w:r>
          </w:p>
        </w:tc>
        <w:tc>
          <w:tcPr>
            <w:tcW w:w="155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25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r>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Increase/(decrease) recognised in net surplus</w:t>
            </w:r>
          </w:p>
        </w:tc>
        <w:tc>
          <w:tcPr>
            <w:tcW w:w="155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125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r>
      <w:tr w:rsidR="003E6989" w:rsidTr="006A5410">
        <w:trPr>
          <w:trHeight w:val="240"/>
        </w:trPr>
        <w:tc>
          <w:tcPr>
            <w:tcW w:w="481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Closing balance as at 30 June 2016</w:t>
            </w:r>
          </w:p>
        </w:tc>
        <w:tc>
          <w:tcPr>
            <w:tcW w:w="15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12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r>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40"/>
        </w:trPr>
        <w:tc>
          <w:tcPr>
            <w:tcW w:w="481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Movements in relation to 2015</w:t>
            </w:r>
          </w:p>
        </w:tc>
        <w:tc>
          <w:tcPr>
            <w:tcW w:w="15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480"/>
        </w:trPr>
        <w:tc>
          <w:tcPr>
            <w:tcW w:w="4816" w:type="dxa"/>
            <w:tcBorders>
              <w:top w:val="single" w:sz="4" w:space="0" w:color="auto"/>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Goods and services</w:t>
            </w:r>
          </w:p>
        </w:tc>
        <w:tc>
          <w:tcPr>
            <w:tcW w:w="1256"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Total</w:t>
            </w:r>
          </w:p>
        </w:tc>
      </w:tr>
      <w:tr w:rsidR="003E6989" w:rsidTr="006A5410">
        <w:trPr>
          <w:trHeight w:val="240"/>
        </w:trPr>
        <w:tc>
          <w:tcPr>
            <w:tcW w:w="4816"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55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5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481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Opening balance as at 1 July 2014</w:t>
            </w:r>
          </w:p>
        </w:tc>
        <w:tc>
          <w:tcPr>
            <w:tcW w:w="155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c>
          <w:tcPr>
            <w:tcW w:w="125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r>
      <w:tr w:rsidR="003E6989" w:rsidTr="006A5410">
        <w:trPr>
          <w:trHeight w:val="240"/>
        </w:trPr>
        <w:tc>
          <w:tcPr>
            <w:tcW w:w="481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Amounts recovered and reversed</w:t>
            </w:r>
          </w:p>
        </w:tc>
        <w:tc>
          <w:tcPr>
            <w:tcW w:w="155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64 </w:t>
            </w:r>
          </w:p>
        </w:tc>
        <w:tc>
          <w:tcPr>
            <w:tcW w:w="125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64</w:t>
            </w:r>
          </w:p>
        </w:tc>
      </w:tr>
      <w:tr w:rsidR="003E6989" w:rsidTr="006A5410">
        <w:trPr>
          <w:trHeight w:val="240"/>
        </w:trPr>
        <w:tc>
          <w:tcPr>
            <w:tcW w:w="481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Closing balance as at 30 June 2015</w:t>
            </w:r>
          </w:p>
        </w:tc>
        <w:tc>
          <w:tcPr>
            <w:tcW w:w="15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12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bookmarkStart w:id="276" w:name="RANGE!D7:D27"/>
      <w:bookmarkStart w:id="277" w:name="RANGE!D7:F27"/>
      <w:bookmarkStart w:id="278" w:name="RANGE!D7:D25"/>
      <w:bookmarkStart w:id="279" w:name="RANGE!D7:F25"/>
      <w:bookmarkStart w:id="280" w:name="RANGE!D8:D26"/>
      <w:bookmarkStart w:id="281" w:name="RANGE!D8:F26"/>
      <w:bookmarkEnd w:id="276"/>
      <w:bookmarkEnd w:id="277"/>
      <w:bookmarkEnd w:id="278"/>
      <w:bookmarkEnd w:id="279"/>
      <w:bookmarkEnd w:id="280"/>
      <w:bookmarkEnd w:id="281"/>
    </w:p>
    <w:p w:rsidR="003E6989" w:rsidRDefault="003E6989" w:rsidP="003E6989">
      <w:pPr>
        <w:pStyle w:val="PolicyTextboxbold"/>
        <w:spacing w:before="100" w:after="100" w:line="240" w:lineRule="auto"/>
      </w:pPr>
      <w:r>
        <w:t>Accounting Policy</w:t>
      </w:r>
    </w:p>
    <w:p w:rsidR="003E6989" w:rsidRPr="0059156C" w:rsidRDefault="003E6989" w:rsidP="003E6989">
      <w:pPr>
        <w:pStyle w:val="PolicyTextdeptunderline"/>
        <w:spacing w:before="100" w:after="100" w:line="240" w:lineRule="auto"/>
      </w:pPr>
      <w:r>
        <w:t>Financial assets</w:t>
      </w:r>
    </w:p>
    <w:p w:rsidR="003E6989" w:rsidRPr="00E858EA" w:rsidRDefault="003E6989" w:rsidP="003E6989">
      <w:pPr>
        <w:pStyle w:val="PolicytextDept"/>
        <w:spacing w:before="100" w:after="100" w:line="240" w:lineRule="auto"/>
      </w:pPr>
      <w:r w:rsidRPr="00E858EA">
        <w:t>The department classifies its financial assets in the following categories:</w:t>
      </w:r>
    </w:p>
    <w:p w:rsidR="003E6989" w:rsidRPr="00E858EA" w:rsidRDefault="003E6989" w:rsidP="003E6989">
      <w:pPr>
        <w:pStyle w:val="Policytextdeptbulletpoint"/>
        <w:spacing w:before="100" w:after="100" w:line="240" w:lineRule="auto"/>
      </w:pPr>
      <w:r>
        <w:t>L</w:t>
      </w:r>
      <w:r w:rsidRPr="00E858EA">
        <w:t>oans and receivables</w:t>
      </w:r>
    </w:p>
    <w:p w:rsidR="003E6989" w:rsidRPr="00E858EA" w:rsidRDefault="003E6989" w:rsidP="003E6989">
      <w:pPr>
        <w:pStyle w:val="Policytextdeptbulletpoint"/>
        <w:spacing w:before="100" w:after="100" w:line="240" w:lineRule="auto"/>
      </w:pPr>
      <w:r w:rsidRPr="00E858EA">
        <w:t>Accrued revenue.</w:t>
      </w:r>
    </w:p>
    <w:p w:rsidR="003E6989" w:rsidRPr="00E858EA" w:rsidRDefault="003E6989" w:rsidP="003E6989">
      <w:pPr>
        <w:pStyle w:val="PolicytextDept"/>
        <w:spacing w:before="100" w:after="100" w:line="240" w:lineRule="auto"/>
      </w:pPr>
      <w:r w:rsidRPr="00E858EA">
        <w:t>Trade receivables are classified as ‘loans and receivables’ and recorded at face value less any impairment.  Trade receivables are recognised where the department becomes party to a contract and has a legal right to receive cash.  Trade receivables are derecognised on payment.</w:t>
      </w:r>
    </w:p>
    <w:p w:rsidR="003E6989" w:rsidRPr="00F22F6D" w:rsidRDefault="003E6989" w:rsidP="003E6989">
      <w:pPr>
        <w:pStyle w:val="PolicyTextdeptunderline"/>
        <w:spacing w:before="100" w:after="100" w:line="240" w:lineRule="auto"/>
      </w:pPr>
      <w:r w:rsidRPr="00F22F6D">
        <w:t>Impairment of financial assets</w:t>
      </w:r>
    </w:p>
    <w:p w:rsidR="003E6989" w:rsidRPr="00E858EA" w:rsidRDefault="003E6989" w:rsidP="003E6989">
      <w:pPr>
        <w:pStyle w:val="PolicytextDept"/>
        <w:spacing w:before="100" w:after="100" w:line="240" w:lineRule="auto"/>
      </w:pPr>
      <w:r w:rsidRPr="00E858EA">
        <w:t xml:space="preserve">Financial assets are assessed for impairment at the end of the reporting period. </w:t>
      </w:r>
    </w:p>
    <w:p w:rsidR="003E6989" w:rsidRDefault="003E6989" w:rsidP="003E6989"/>
    <w:tbl>
      <w:tblPr>
        <w:tblW w:w="9087" w:type="dxa"/>
        <w:tblInd w:w="80" w:type="dxa"/>
        <w:tblLayout w:type="fixed"/>
        <w:tblLook w:val="04A0" w:firstRow="1" w:lastRow="0" w:firstColumn="1" w:lastColumn="0" w:noHBand="0" w:noVBand="1"/>
      </w:tblPr>
      <w:tblGrid>
        <w:gridCol w:w="6391"/>
        <w:gridCol w:w="1232"/>
        <w:gridCol w:w="239"/>
        <w:gridCol w:w="1225"/>
      </w:tblGrid>
      <w:tr w:rsidR="003E6989" w:rsidTr="006A5410">
        <w:trPr>
          <w:trHeight w:val="255"/>
        </w:trPr>
        <w:tc>
          <w:tcPr>
            <w:tcW w:w="6319"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282" w:name="Note_OFATABLE1" w:colFirst="0" w:colLast="0"/>
            <w:r>
              <w:rPr>
                <w:rFonts w:cs="Calibri"/>
                <w:b/>
                <w:bCs/>
                <w:szCs w:val="18"/>
                <w:u w:val="single"/>
              </w:rPr>
              <w:t>3.1C: Other financial assets</w:t>
            </w:r>
          </w:p>
        </w:tc>
        <w:tc>
          <w:tcPr>
            <w:tcW w:w="121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282"/>
      <w:tr w:rsidR="003E6989" w:rsidTr="006A5410">
        <w:trPr>
          <w:trHeight w:val="255"/>
        </w:trPr>
        <w:tc>
          <w:tcPr>
            <w:tcW w:w="6319"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1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319"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Accrued revenue</w:t>
            </w:r>
          </w:p>
        </w:tc>
        <w:tc>
          <w:tcPr>
            <w:tcW w:w="121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r>
      <w:tr w:rsidR="003E6989" w:rsidTr="006A5410">
        <w:trPr>
          <w:trHeight w:val="255"/>
        </w:trPr>
        <w:tc>
          <w:tcPr>
            <w:tcW w:w="6319"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financial assets</w:t>
            </w:r>
          </w:p>
        </w:tc>
        <w:tc>
          <w:tcPr>
            <w:tcW w:w="121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r>
      <w:tr w:rsidR="003E6989" w:rsidTr="006A5410">
        <w:trPr>
          <w:trHeight w:val="255"/>
        </w:trPr>
        <w:tc>
          <w:tcPr>
            <w:tcW w:w="631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1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319"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financial assets expected to be recovered</w:t>
            </w:r>
          </w:p>
        </w:tc>
        <w:tc>
          <w:tcPr>
            <w:tcW w:w="121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319"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1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1,996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3,276 </w:t>
            </w:r>
          </w:p>
        </w:tc>
      </w:tr>
      <w:tr w:rsidR="003E6989" w:rsidTr="006A5410">
        <w:trPr>
          <w:trHeight w:val="270"/>
        </w:trPr>
        <w:tc>
          <w:tcPr>
            <w:tcW w:w="6319"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financial assets</w:t>
            </w:r>
          </w:p>
        </w:tc>
        <w:tc>
          <w:tcPr>
            <w:tcW w:w="121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1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r>
    </w:tbl>
    <w:p w:rsidR="003E6989" w:rsidRDefault="003E6989" w:rsidP="003E6989">
      <w:pPr>
        <w:spacing w:line="240" w:lineRule="auto"/>
        <w:sectPr w:rsidR="003E6989" w:rsidSect="006A5410">
          <w:pgSz w:w="11906" w:h="16838"/>
          <w:pgMar w:top="1134" w:right="1134" w:bottom="1134" w:left="1134" w:header="958" w:footer="737" w:gutter="0"/>
          <w:cols w:space="720"/>
        </w:sectPr>
      </w:pPr>
      <w:bookmarkStart w:id="283" w:name="RANGE!D7:G51"/>
      <w:bookmarkStart w:id="284" w:name="RANGE!D43:G74"/>
      <w:bookmarkStart w:id="285" w:name="RANGE!D44:G75"/>
      <w:bookmarkStart w:id="286" w:name="RANGE!D44:G74"/>
      <w:bookmarkStart w:id="287" w:name="RANGE!D44:G73"/>
      <w:bookmarkStart w:id="288" w:name="RANGE!D44:G72"/>
      <w:bookmarkStart w:id="289" w:name="RANGE!D53:H70"/>
      <w:bookmarkStart w:id="290" w:name="RANGE!D52:H69"/>
      <w:bookmarkStart w:id="291" w:name="RANGE!D59:H76"/>
      <w:bookmarkStart w:id="292" w:name="RANGE!D62:H80"/>
      <w:bookmarkStart w:id="293" w:name="RANGE!D7:G15"/>
      <w:bookmarkStart w:id="294" w:name="RANGE!D6:D63"/>
      <w:bookmarkStart w:id="295" w:name="RANGE!D6:H63"/>
      <w:bookmarkStart w:id="296" w:name="RANGE!D6:D28"/>
      <w:bookmarkStart w:id="297" w:name="RANGE!D6:H28"/>
      <w:bookmarkStart w:id="298" w:name="RANGE!D6:H13"/>
      <w:bookmarkStart w:id="299" w:name="RANGE!D6:H14"/>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3E6989" w:rsidRDefault="003E6989" w:rsidP="003E6989">
      <w:pPr>
        <w:pStyle w:val="SubHeading"/>
      </w:pPr>
      <w:r>
        <w:lastRenderedPageBreak/>
        <w:t xml:space="preserve"> </w:t>
      </w:r>
      <w:bookmarkStart w:id="300" w:name="_Toc455416736"/>
      <w:bookmarkStart w:id="301" w:name="_Toc464726627"/>
      <w:r>
        <w:t>Non-Financial Assets</w:t>
      </w:r>
      <w:bookmarkEnd w:id="300"/>
      <w:bookmarkEnd w:id="301"/>
    </w:p>
    <w:tbl>
      <w:tblPr>
        <w:tblW w:w="13991" w:type="dxa"/>
        <w:tblInd w:w="80" w:type="dxa"/>
        <w:tblLayout w:type="fixed"/>
        <w:tblCellMar>
          <w:left w:w="6" w:type="dxa"/>
          <w:right w:w="6" w:type="dxa"/>
        </w:tblCellMar>
        <w:tblLook w:val="04A0" w:firstRow="1" w:lastRow="0" w:firstColumn="1" w:lastColumn="0" w:noHBand="0" w:noVBand="1"/>
      </w:tblPr>
      <w:tblGrid>
        <w:gridCol w:w="5649"/>
        <w:gridCol w:w="1191"/>
        <w:gridCol w:w="1191"/>
        <w:gridCol w:w="1192"/>
        <w:gridCol w:w="1192"/>
        <w:gridCol w:w="1192"/>
        <w:gridCol w:w="1192"/>
        <w:gridCol w:w="1192"/>
      </w:tblGrid>
      <w:tr w:rsidR="003E6989" w:rsidTr="006A5410">
        <w:trPr>
          <w:trHeight w:val="227"/>
        </w:trPr>
        <w:tc>
          <w:tcPr>
            <w:tcW w:w="11603" w:type="dxa"/>
            <w:gridSpan w:val="6"/>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b/>
                <w:bCs/>
                <w:szCs w:val="18"/>
                <w:u w:val="single"/>
              </w:rPr>
            </w:pPr>
            <w:bookmarkStart w:id="302" w:name="RANGE!E7:E56"/>
            <w:bookmarkStart w:id="303" w:name="Note_MTATABLE1" w:colFirst="0" w:colLast="0"/>
            <w:r>
              <w:rPr>
                <w:rFonts w:cs="Calibri"/>
                <w:b/>
                <w:bCs/>
                <w:szCs w:val="18"/>
                <w:u w:val="single"/>
              </w:rPr>
              <w:t>3.2A: Reconciliation of the opening and closing balances of property, plant and equipment (2015-16)</w:t>
            </w:r>
            <w:bookmarkEnd w:id="302"/>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r>
      <w:bookmarkEnd w:id="303"/>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5648" w:type="dxa"/>
            <w:tcBorders>
              <w:top w:val="single" w:sz="4" w:space="0" w:color="auto"/>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bookmarkStart w:id="304" w:name="RANGE!F9:J9"/>
            <w:r>
              <w:rPr>
                <w:rFonts w:cs="Calibri"/>
                <w:b/>
                <w:bCs/>
                <w:szCs w:val="18"/>
              </w:rPr>
              <w:t>Land</w:t>
            </w:r>
            <w:bookmarkEnd w:id="304"/>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Buildings</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Leasehold improvements</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Infrastructure, plant and equipment</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Computer software internally developed</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Computer  software purchased</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Total</w:t>
            </w:r>
          </w:p>
        </w:tc>
      </w:tr>
      <w:tr w:rsidR="003E6989" w:rsidTr="006A5410">
        <w:trPr>
          <w:trHeight w:val="227"/>
        </w:trPr>
        <w:tc>
          <w:tcPr>
            <w:tcW w:w="5648"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$’000</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As at 1 July 2015</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Gross book value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200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250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47,824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18,216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93,784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570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160,844</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Accumulated depreciation and impairment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(6,148)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(6,889)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(23,702)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(249)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(36,996)</w:t>
            </w:r>
          </w:p>
        </w:tc>
      </w:tr>
      <w:tr w:rsidR="003E6989" w:rsidTr="006A5410">
        <w:trPr>
          <w:trHeight w:val="227"/>
        </w:trPr>
        <w:tc>
          <w:tcPr>
            <w:tcW w:w="564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Total as at 1 July 2015</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200</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242</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41,676</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11,327</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70,082</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321</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123,848</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Additions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By purchase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1,360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3,427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23,294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104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28,185</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By restructuring</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646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40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949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1,635</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First time recognition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50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50</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Reclassification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(1,073)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1,042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Revaluations and impairments recognised in other comprehensive income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(1,242)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897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(379)</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Impairments recognised in net cost of services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(2,502)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(2,582)</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Depreciation and amortisation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(4,608)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(3,862)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(16,605)</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(85)</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(25,168)</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Other movements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150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147</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Other</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(257)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(257)</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Write-offs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(92)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(94)</w:t>
            </w:r>
          </w:p>
        </w:tc>
      </w:tr>
      <w:tr w:rsidR="003E6989" w:rsidTr="006A5410">
        <w:trPr>
          <w:trHeight w:val="227"/>
        </w:trPr>
        <w:tc>
          <w:tcPr>
            <w:tcW w:w="564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Total as at 30 June 2016</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170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230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36,737</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12,659</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75,215</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374</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125,385</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Total as at 30 June 2016 represented by</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Gross book value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170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230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36,749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12,743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112,132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708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162,732</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Accumulated depreciation, impairment and amortisation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(84)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(36,917)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(334)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(37,347)</w:t>
            </w:r>
          </w:p>
        </w:tc>
      </w:tr>
      <w:tr w:rsidR="003E6989" w:rsidTr="006A5410">
        <w:trPr>
          <w:trHeight w:val="227"/>
        </w:trPr>
        <w:tc>
          <w:tcPr>
            <w:tcW w:w="564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Total as at 30 June 2016</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170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230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36,737</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12,659</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75,215</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374</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125,385</w:t>
            </w:r>
          </w:p>
        </w:tc>
      </w:tr>
    </w:tbl>
    <w:p w:rsidR="003E6989" w:rsidRDefault="003E6989" w:rsidP="003E6989">
      <w:pPr>
        <w:pStyle w:val="NotesText0"/>
      </w:pPr>
      <w:bookmarkStart w:id="305" w:name="RANGE!E7:L57"/>
      <w:bookmarkStart w:id="306" w:name="RANGE!E65:K93"/>
      <w:bookmarkEnd w:id="305"/>
      <w:bookmarkEnd w:id="306"/>
    </w:p>
    <w:p w:rsidR="003E6989" w:rsidRDefault="003E6989" w:rsidP="003E6989">
      <w:pPr>
        <w:spacing w:line="240" w:lineRule="auto"/>
      </w:pPr>
      <w:r>
        <w:br w:type="page"/>
      </w:r>
    </w:p>
    <w:tbl>
      <w:tblPr>
        <w:tblW w:w="13991" w:type="dxa"/>
        <w:tblInd w:w="80" w:type="dxa"/>
        <w:tblLayout w:type="fixed"/>
        <w:tblCellMar>
          <w:left w:w="6" w:type="dxa"/>
          <w:right w:w="6" w:type="dxa"/>
        </w:tblCellMar>
        <w:tblLook w:val="04A0" w:firstRow="1" w:lastRow="0" w:firstColumn="1" w:lastColumn="0" w:noHBand="0" w:noVBand="1"/>
      </w:tblPr>
      <w:tblGrid>
        <w:gridCol w:w="5649"/>
        <w:gridCol w:w="1191"/>
        <w:gridCol w:w="1191"/>
        <w:gridCol w:w="1192"/>
        <w:gridCol w:w="1192"/>
        <w:gridCol w:w="1192"/>
        <w:gridCol w:w="1192"/>
        <w:gridCol w:w="1192"/>
      </w:tblGrid>
      <w:tr w:rsidR="003E6989" w:rsidTr="006A5410">
        <w:trPr>
          <w:trHeight w:val="227"/>
        </w:trPr>
        <w:tc>
          <w:tcPr>
            <w:tcW w:w="13985" w:type="dxa"/>
            <w:gridSpan w:val="8"/>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b/>
                <w:bCs/>
                <w:szCs w:val="18"/>
                <w:u w:val="single"/>
              </w:rPr>
            </w:pPr>
            <w:bookmarkStart w:id="307" w:name="Note_MTATABLE2" w:colFirst="0" w:colLast="0"/>
            <w:r>
              <w:rPr>
                <w:rFonts w:cs="Calibri"/>
                <w:b/>
                <w:bCs/>
                <w:szCs w:val="18"/>
                <w:u w:val="single"/>
              </w:rPr>
              <w:lastRenderedPageBreak/>
              <w:t>3.2A: Reconciliation of the opening and closing balances of property, plant and equipment (2014-15)</w:t>
            </w:r>
          </w:p>
        </w:tc>
      </w:tr>
      <w:bookmarkEnd w:id="307"/>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5648" w:type="dxa"/>
            <w:tcBorders>
              <w:top w:val="single" w:sz="4" w:space="0" w:color="auto"/>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Land</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Buildings</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Leasehold improvements</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Infrastructure, plant and equipment</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Computer software internally developed</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Computer  software purchased</w:t>
            </w:r>
          </w:p>
        </w:tc>
        <w:tc>
          <w:tcPr>
            <w:tcW w:w="1191" w:type="dxa"/>
            <w:tcBorders>
              <w:top w:val="single" w:sz="4" w:space="0" w:color="auto"/>
              <w:left w:val="nil"/>
              <w:bottom w:val="nil"/>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Total</w:t>
            </w:r>
          </w:p>
        </w:tc>
      </w:tr>
      <w:tr w:rsidR="003E6989" w:rsidTr="006A5410">
        <w:trPr>
          <w:trHeight w:val="227"/>
        </w:trPr>
        <w:tc>
          <w:tcPr>
            <w:tcW w:w="5648"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c>
          <w:tcPr>
            <w:tcW w:w="1191"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$’000</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As at 1 July 2014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Gross book value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200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890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49,796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14,591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74,619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570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140,666</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Accumulated depreciation and impairment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(3,139)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(11,580)</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(14,795)</w:t>
            </w:r>
          </w:p>
        </w:tc>
      </w:tr>
      <w:tr w:rsidR="003E6989" w:rsidTr="006A5410">
        <w:trPr>
          <w:trHeight w:val="227"/>
        </w:trPr>
        <w:tc>
          <w:tcPr>
            <w:tcW w:w="564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Total as at 1 July 2014</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200</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890</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49,777</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11,452</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63,039</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513</w:t>
            </w:r>
          </w:p>
        </w:tc>
        <w:tc>
          <w:tcPr>
            <w:tcW w:w="119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125,871</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Additions: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By purchase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1,884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3,824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18,548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24,256</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By restructuring</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14,712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14,713</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First time recognition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111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770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881</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Impairments recognised in net cost of services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(264)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(2,532)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(2,796)</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Depreciation and amortisation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(6,984)</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(3,928)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(15,791)</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(192)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(26,918)</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Other movements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(153)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(107)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(323)</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Restructuring</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(8,557)</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(8,557)</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Disposals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From disposal of entities or operations (including restructuring)</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(2,583)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(25)</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(2,608)</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Other</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(625)</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(648)</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Write-offs</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w:t>
            </w:r>
          </w:p>
        </w:tc>
      </w:tr>
      <w:tr w:rsidR="003E6989" w:rsidTr="006A5410">
        <w:trPr>
          <w:trHeight w:val="227"/>
        </w:trPr>
        <w:tc>
          <w:tcPr>
            <w:tcW w:w="564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Net book value 30 June 2015</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200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242</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41,676</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11,327</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70,082</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321</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123,848</w:t>
            </w:r>
          </w:p>
        </w:tc>
      </w:tr>
      <w:tr w:rsidR="003E6989" w:rsidTr="006A5410">
        <w:trPr>
          <w:trHeight w:val="227"/>
        </w:trPr>
        <w:tc>
          <w:tcPr>
            <w:tcW w:w="564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b/>
                <w:bCs/>
                <w:szCs w:val="18"/>
              </w:rPr>
            </w:pPr>
            <w:r>
              <w:rPr>
                <w:rFonts w:ascii="Arial" w:hAnsi="Arial" w:cs="Arial"/>
                <w:b/>
                <w:bCs/>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Net book value as of 30 June 2015 represented by:</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Gross book value</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200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250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47,824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18,216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93,784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570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160,844</w:t>
            </w:r>
          </w:p>
        </w:tc>
      </w:tr>
      <w:tr w:rsidR="003E6989" w:rsidTr="006A5410">
        <w:trPr>
          <w:trHeight w:val="227"/>
        </w:trPr>
        <w:tc>
          <w:tcPr>
            <w:tcW w:w="5648"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Accumulated depreciation, impairment and amortisation</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(6,148)</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(6,889)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(23,702)</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(249)</w:t>
            </w:r>
          </w:p>
        </w:tc>
        <w:tc>
          <w:tcPr>
            <w:tcW w:w="119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(36,996)</w:t>
            </w:r>
          </w:p>
        </w:tc>
      </w:tr>
      <w:tr w:rsidR="003E6989" w:rsidTr="006A5410">
        <w:trPr>
          <w:trHeight w:val="227"/>
        </w:trPr>
        <w:tc>
          <w:tcPr>
            <w:tcW w:w="564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Net book value 30 June 2015</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200</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242</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41,676</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11,327</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70,082</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321</w:t>
            </w:r>
          </w:p>
        </w:tc>
        <w:tc>
          <w:tcPr>
            <w:tcW w:w="1191"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123,848</w:t>
            </w:r>
          </w:p>
        </w:tc>
      </w:tr>
    </w:tbl>
    <w:p w:rsidR="003E6989" w:rsidRDefault="003E6989" w:rsidP="003E6989">
      <w:pPr>
        <w:rPr>
          <w:lang w:eastAsia="en-AU"/>
        </w:rPr>
      </w:pPr>
      <w:bookmarkStart w:id="308" w:name="RANGE!E65:L90"/>
      <w:bookmarkStart w:id="309" w:name="RANGE!E65:K89"/>
      <w:bookmarkEnd w:id="308"/>
      <w:bookmarkEnd w:id="309"/>
    </w:p>
    <w:p w:rsidR="003E6989" w:rsidRPr="005B41FB" w:rsidRDefault="003E6989" w:rsidP="003E6989">
      <w:pPr>
        <w:pStyle w:val="NotesText0"/>
        <w:sectPr w:rsidR="003E6989" w:rsidRPr="005B41FB" w:rsidSect="006A5410">
          <w:pgSz w:w="16838" w:h="11906" w:orient="landscape"/>
          <w:pgMar w:top="1134" w:right="1134" w:bottom="1134" w:left="1134" w:header="958" w:footer="737" w:gutter="0"/>
          <w:cols w:space="720"/>
          <w:docGrid w:linePitch="245"/>
        </w:sectPr>
      </w:pPr>
      <w:bookmarkStart w:id="310" w:name="RANGE!E7:K57"/>
      <w:bookmarkStart w:id="311" w:name="RANGE!E7:K56"/>
      <w:bookmarkStart w:id="312" w:name="RANGE!E7:K52"/>
      <w:bookmarkStart w:id="313" w:name="RANGE!E7:K53"/>
      <w:bookmarkStart w:id="314" w:name="RANGE!E7:K49"/>
      <w:bookmarkStart w:id="315" w:name="RANGE!E6:K48"/>
      <w:bookmarkStart w:id="316" w:name="RANGE!E6:K47"/>
      <w:bookmarkStart w:id="317" w:name="RANGE!E6:K49"/>
      <w:bookmarkStart w:id="318" w:name="RANGE!E6:E50"/>
      <w:bookmarkStart w:id="319" w:name="RANGE!E6:K50"/>
      <w:bookmarkStart w:id="320" w:name="RANGE!E64:K90"/>
      <w:bookmarkStart w:id="321" w:name="RANGE!E61:K87"/>
      <w:bookmarkStart w:id="322" w:name="RANGE!E60:K85"/>
      <w:bookmarkStart w:id="323" w:name="RANGE!E61:K86"/>
      <w:bookmarkStart w:id="324" w:name="RANGE!E57:K82"/>
      <w:bookmarkStart w:id="325" w:name="RANGE!E58:K83"/>
      <w:bookmarkStart w:id="326" w:name="RANGE!E57:K81"/>
      <w:bookmarkStart w:id="327" w:name="RANGE!E56:K79"/>
      <w:bookmarkStart w:id="328" w:name="RANGE!E58:K81"/>
      <w:bookmarkStart w:id="329" w:name="RANGE!E59:K82"/>
      <w:bookmarkStart w:id="330" w:name="RANGE!E59:K83"/>
      <w:bookmarkStart w:id="331" w:name="RANGE!D6:G22"/>
      <w:bookmarkStart w:id="332" w:name="RANGE!D6:D23"/>
      <w:bookmarkStart w:id="333" w:name="RANGE!D6:G23"/>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3E6989" w:rsidRDefault="003E6989" w:rsidP="003E6989">
      <w:pPr>
        <w:pStyle w:val="DeptRowTextTotal"/>
      </w:pPr>
      <w:r>
        <w:lastRenderedPageBreak/>
        <w:t>Land and Buildings</w:t>
      </w:r>
    </w:p>
    <w:p w:rsidR="003E6989" w:rsidRPr="00640583" w:rsidRDefault="003E6989" w:rsidP="003E6989">
      <w:pPr>
        <w:pStyle w:val="NotesText0"/>
      </w:pPr>
      <w:r w:rsidRPr="00640583">
        <w:t xml:space="preserve">There </w:t>
      </w:r>
      <w:r>
        <w:t>is one (2015: one)</w:t>
      </w:r>
      <w:r w:rsidRPr="00640583">
        <w:t xml:space="preserve"> residential propert</w:t>
      </w:r>
      <w:r>
        <w:t>y</w:t>
      </w:r>
      <w:r w:rsidRPr="00640583">
        <w:t xml:space="preserve"> to be s</w:t>
      </w:r>
      <w:r>
        <w:t xml:space="preserve">old within the next 12 months. It has </w:t>
      </w:r>
      <w:r w:rsidRPr="00640583">
        <w:t>a net book value of</w:t>
      </w:r>
      <w:r>
        <w:t xml:space="preserve"> $400,000</w:t>
      </w:r>
      <w:r>
        <w:br/>
        <w:t>(2015:</w:t>
      </w:r>
      <w:r w:rsidRPr="00640583">
        <w:t xml:space="preserve"> $</w:t>
      </w:r>
      <w:r>
        <w:t>442,424)</w:t>
      </w:r>
      <w:r w:rsidRPr="00640583">
        <w:t xml:space="preserve"> as at 30 June </w:t>
      </w:r>
      <w:r w:rsidR="00403CAE">
        <w:t>2016</w:t>
      </w:r>
      <w:r w:rsidRPr="00640583">
        <w:t xml:space="preserve">.  </w:t>
      </w:r>
    </w:p>
    <w:p w:rsidR="003E6989" w:rsidRPr="00640583" w:rsidRDefault="003E6989" w:rsidP="003E6989">
      <w:pPr>
        <w:pStyle w:val="NotesText0"/>
      </w:pPr>
      <w:r w:rsidRPr="00640583">
        <w:t>There are</w:t>
      </w:r>
      <w:r>
        <w:t xml:space="preserve"> three (2015: four)</w:t>
      </w:r>
      <w:r w:rsidRPr="00640583">
        <w:t xml:space="preserve"> leased properties that the department manages which are due to </w:t>
      </w:r>
      <w:r>
        <w:t>expire</w:t>
      </w:r>
      <w:r w:rsidRPr="00640583">
        <w:t xml:space="preserve"> within the next 12 months that have leasehold improvement assets.  The total net book value of the leasehold improvements including rest</w:t>
      </w:r>
      <w:r>
        <w:t>oration for these properties is $940,700</w:t>
      </w:r>
      <w:r w:rsidRPr="00640583">
        <w:t xml:space="preserve"> </w:t>
      </w:r>
      <w:r>
        <w:t xml:space="preserve">(2015: </w:t>
      </w:r>
      <w:r w:rsidRPr="00640583">
        <w:t>$</w:t>
      </w:r>
      <w:r>
        <w:t>582,849)</w:t>
      </w:r>
      <w:r w:rsidRPr="00640583">
        <w:t xml:space="preserve"> as at 30 June </w:t>
      </w:r>
      <w:r w:rsidR="00403CAE">
        <w:t>2016</w:t>
      </w:r>
      <w:r w:rsidRPr="00640583">
        <w:t>.</w:t>
      </w:r>
    </w:p>
    <w:p w:rsidR="003E6989" w:rsidRDefault="003E6989" w:rsidP="003E6989">
      <w:pPr>
        <w:pStyle w:val="NotesText0"/>
      </w:pPr>
      <w:r w:rsidRPr="00640583">
        <w:t xml:space="preserve">An impairment loss of </w:t>
      </w:r>
      <w:r>
        <w:t>$80,000 (2015: $264,000)</w:t>
      </w:r>
      <w:r w:rsidRPr="00640583">
        <w:t xml:space="preserve"> was recognised for </w:t>
      </w:r>
      <w:r>
        <w:t>one</w:t>
      </w:r>
      <w:r w:rsidRPr="00640583">
        <w:t xml:space="preserve"> propert</w:t>
      </w:r>
      <w:r>
        <w:t xml:space="preserve">y </w:t>
      </w:r>
      <w:r w:rsidRPr="00640583">
        <w:t>associ</w:t>
      </w:r>
      <w:r>
        <w:t xml:space="preserve">ated with surplus lease space. </w:t>
      </w:r>
    </w:p>
    <w:p w:rsidR="003E6989" w:rsidRDefault="003E6989" w:rsidP="003E6989">
      <w:pPr>
        <w:pStyle w:val="DeptRowTextTotal"/>
      </w:pPr>
      <w:r>
        <w:t>Infrastructure, plant and equipment</w:t>
      </w:r>
    </w:p>
    <w:p w:rsidR="003E6989" w:rsidRPr="00640583" w:rsidRDefault="003E6989" w:rsidP="003E6989">
      <w:pPr>
        <w:pStyle w:val="NotesText0"/>
      </w:pPr>
      <w:r w:rsidRPr="00640583">
        <w:t xml:space="preserve">No material amounts of infrastructure, plant and equipment are expected to be sold or disposed of within the next 12 months. </w:t>
      </w:r>
    </w:p>
    <w:p w:rsidR="003E6989" w:rsidRDefault="003E6989" w:rsidP="003E6989">
      <w:pPr>
        <w:pStyle w:val="NotesText0"/>
      </w:pPr>
      <w:r w:rsidRPr="00640583">
        <w:t>No indicators of impairment were found for infrastructure, plant and equipment assets.</w:t>
      </w:r>
    </w:p>
    <w:p w:rsidR="003E6989" w:rsidRDefault="003E6989" w:rsidP="003E6989">
      <w:pPr>
        <w:pStyle w:val="DeptRowTextTotal"/>
      </w:pPr>
      <w:r>
        <w:t>Intangibles</w:t>
      </w:r>
    </w:p>
    <w:p w:rsidR="003E6989" w:rsidRDefault="003E6989" w:rsidP="003E6989">
      <w:pPr>
        <w:pStyle w:val="NotesText0"/>
      </w:pPr>
      <w:r>
        <w:t xml:space="preserve">No material amounts of intangibles are expected to be sold or disposed of within the next 12 months. </w:t>
      </w:r>
    </w:p>
    <w:p w:rsidR="003E6989" w:rsidRDefault="003E6989" w:rsidP="003E6989">
      <w:pPr>
        <w:pStyle w:val="NotesText0"/>
      </w:pPr>
      <w:r>
        <w:t>An impairment loss of $2.502 million was recognised for internally developed intangibles in the 2015-16 year (2015: $2.532 million).</w:t>
      </w:r>
    </w:p>
    <w:p w:rsidR="003E6989" w:rsidRDefault="003E6989" w:rsidP="003E6989">
      <w:pPr>
        <w:rPr>
          <w:b/>
        </w:rPr>
      </w:pPr>
      <w:r>
        <w:rPr>
          <w:b/>
        </w:rPr>
        <w:t>Revaluations of non-financial assets</w:t>
      </w:r>
    </w:p>
    <w:p w:rsidR="003E6989" w:rsidRPr="00640583" w:rsidRDefault="003E6989" w:rsidP="003E6989">
      <w:pPr>
        <w:pStyle w:val="NotesText0"/>
      </w:pPr>
      <w:r w:rsidRPr="00640583">
        <w:t xml:space="preserve">All revaluations were conducted in accordance with the revaluation policy stated </w:t>
      </w:r>
      <w:r>
        <w:t>below.</w:t>
      </w:r>
    </w:p>
    <w:p w:rsidR="003E6989" w:rsidRDefault="003E6989" w:rsidP="003E6989">
      <w:pPr>
        <w:rPr>
          <w:rFonts w:asciiTheme="minorHAnsi" w:hAnsiTheme="minorHAnsi" w:cs="Arial"/>
          <w:szCs w:val="18"/>
          <w:lang w:eastAsia="en-AU"/>
        </w:rPr>
      </w:pPr>
      <w:r>
        <w:rPr>
          <w:rFonts w:asciiTheme="minorHAnsi" w:hAnsiTheme="minorHAnsi" w:cs="Arial"/>
          <w:szCs w:val="18"/>
          <w:lang w:eastAsia="en-AU"/>
        </w:rPr>
        <w:t>Revaluation</w:t>
      </w:r>
      <w:r w:rsidRPr="008E6A94">
        <w:rPr>
          <w:rFonts w:asciiTheme="minorHAnsi" w:hAnsiTheme="minorHAnsi" w:cs="Arial"/>
          <w:szCs w:val="18"/>
          <w:lang w:eastAsia="en-AU"/>
        </w:rPr>
        <w:t xml:space="preserve"> decrement</w:t>
      </w:r>
      <w:r>
        <w:rPr>
          <w:rFonts w:asciiTheme="minorHAnsi" w:hAnsiTheme="minorHAnsi" w:cs="Arial"/>
          <w:szCs w:val="18"/>
          <w:lang w:eastAsia="en-AU"/>
        </w:rPr>
        <w:t>s</w:t>
      </w:r>
      <w:r w:rsidRPr="008E6A94">
        <w:rPr>
          <w:rFonts w:asciiTheme="minorHAnsi" w:hAnsiTheme="minorHAnsi" w:cs="Arial"/>
          <w:szCs w:val="18"/>
          <w:lang w:eastAsia="en-AU"/>
        </w:rPr>
        <w:t xml:space="preserve"> of </w:t>
      </w:r>
      <w:r>
        <w:rPr>
          <w:rFonts w:asciiTheme="minorHAnsi" w:hAnsiTheme="minorHAnsi" w:cs="Arial"/>
          <w:szCs w:val="18"/>
          <w:lang w:eastAsia="en-AU"/>
        </w:rPr>
        <w:t>$30,000 (2015: nil)</w:t>
      </w:r>
      <w:r w:rsidRPr="008E6A94">
        <w:rPr>
          <w:rFonts w:asciiTheme="minorHAnsi" w:hAnsiTheme="minorHAnsi" w:cs="Arial"/>
          <w:szCs w:val="18"/>
          <w:lang w:eastAsia="en-AU"/>
        </w:rPr>
        <w:t xml:space="preserve"> for la</w:t>
      </w:r>
      <w:r>
        <w:rPr>
          <w:rFonts w:asciiTheme="minorHAnsi" w:hAnsiTheme="minorHAnsi" w:cs="Arial"/>
          <w:szCs w:val="18"/>
          <w:lang w:eastAsia="en-AU"/>
        </w:rPr>
        <w:t>nd, $4,848 (2015: nil)</w:t>
      </w:r>
      <w:r w:rsidRPr="008E6A94">
        <w:rPr>
          <w:rFonts w:asciiTheme="minorHAnsi" w:hAnsiTheme="minorHAnsi" w:cs="Arial"/>
          <w:szCs w:val="18"/>
          <w:lang w:eastAsia="en-AU"/>
        </w:rPr>
        <w:t xml:space="preserve"> for buildings on freehold land </w:t>
      </w:r>
      <w:r>
        <w:rPr>
          <w:rFonts w:asciiTheme="minorHAnsi" w:hAnsiTheme="minorHAnsi" w:cs="Arial"/>
          <w:szCs w:val="18"/>
          <w:lang w:eastAsia="en-AU"/>
        </w:rPr>
        <w:t>and $1.242 million (2015: $5,148) for leasehold improvements and a</w:t>
      </w:r>
      <w:r w:rsidRPr="008E6A94">
        <w:rPr>
          <w:rFonts w:asciiTheme="minorHAnsi" w:hAnsiTheme="minorHAnsi" w:cs="Arial"/>
          <w:szCs w:val="18"/>
          <w:lang w:eastAsia="en-AU"/>
        </w:rPr>
        <w:t xml:space="preserve"> revaluation</w:t>
      </w:r>
      <w:r>
        <w:rPr>
          <w:rFonts w:asciiTheme="minorHAnsi" w:hAnsiTheme="minorHAnsi" w:cs="Arial"/>
          <w:szCs w:val="18"/>
          <w:lang w:eastAsia="en-AU"/>
        </w:rPr>
        <w:t xml:space="preserve"> increment</w:t>
      </w:r>
      <w:r w:rsidRPr="008E6A94">
        <w:rPr>
          <w:rFonts w:asciiTheme="minorHAnsi" w:hAnsiTheme="minorHAnsi" w:cs="Arial"/>
          <w:szCs w:val="18"/>
          <w:lang w:eastAsia="en-AU"/>
        </w:rPr>
        <w:t xml:space="preserve"> of </w:t>
      </w:r>
      <w:r>
        <w:rPr>
          <w:rFonts w:asciiTheme="minorHAnsi" w:hAnsiTheme="minorHAnsi" w:cs="Arial"/>
          <w:szCs w:val="18"/>
          <w:lang w:eastAsia="en-AU"/>
        </w:rPr>
        <w:t xml:space="preserve">$897,000 (2015: </w:t>
      </w:r>
      <w:r w:rsidRPr="008E6A94">
        <w:rPr>
          <w:rFonts w:asciiTheme="minorHAnsi" w:hAnsiTheme="minorHAnsi" w:cs="Arial"/>
          <w:szCs w:val="18"/>
          <w:lang w:eastAsia="en-AU"/>
        </w:rPr>
        <w:t>$</w:t>
      </w:r>
      <w:r>
        <w:rPr>
          <w:rFonts w:asciiTheme="minorHAnsi" w:hAnsiTheme="minorHAnsi" w:cs="Arial"/>
          <w:szCs w:val="18"/>
          <w:lang w:eastAsia="en-AU"/>
        </w:rPr>
        <w:t>5,148)</w:t>
      </w:r>
      <w:r w:rsidRPr="008E6A94">
        <w:rPr>
          <w:rFonts w:asciiTheme="minorHAnsi" w:hAnsiTheme="minorHAnsi" w:cs="Arial"/>
          <w:szCs w:val="18"/>
          <w:lang w:eastAsia="en-AU"/>
        </w:rPr>
        <w:t xml:space="preserve"> for </w:t>
      </w:r>
      <w:r>
        <w:rPr>
          <w:rFonts w:asciiTheme="minorHAnsi" w:hAnsiTheme="minorHAnsi" w:cs="Arial"/>
          <w:szCs w:val="18"/>
          <w:lang w:eastAsia="en-AU"/>
        </w:rPr>
        <w:t>infrastructure, plant and equipment were</w:t>
      </w:r>
      <w:r w:rsidRPr="008E6A94">
        <w:rPr>
          <w:rFonts w:asciiTheme="minorHAnsi" w:hAnsiTheme="minorHAnsi" w:cs="Arial"/>
          <w:szCs w:val="18"/>
          <w:lang w:eastAsia="en-AU"/>
        </w:rPr>
        <w:t xml:space="preserve"> </w:t>
      </w:r>
      <w:r>
        <w:rPr>
          <w:rFonts w:asciiTheme="minorHAnsi" w:hAnsiTheme="minorHAnsi" w:cs="Arial"/>
          <w:szCs w:val="18"/>
          <w:lang w:eastAsia="en-AU"/>
        </w:rPr>
        <w:t>recorded against</w:t>
      </w:r>
      <w:r w:rsidRPr="008E6A94">
        <w:rPr>
          <w:rFonts w:asciiTheme="minorHAnsi" w:hAnsiTheme="minorHAnsi" w:cs="Arial"/>
          <w:szCs w:val="18"/>
          <w:lang w:eastAsia="en-AU"/>
        </w:rPr>
        <w:t xml:space="preserve"> the asset revaluation surplus by asset class and included in the equity section of the </w:t>
      </w:r>
      <w:r>
        <w:rPr>
          <w:rFonts w:asciiTheme="minorHAnsi" w:hAnsiTheme="minorHAnsi" w:cs="Arial"/>
          <w:szCs w:val="18"/>
          <w:lang w:eastAsia="en-AU"/>
        </w:rPr>
        <w:t>statement of financial position</w:t>
      </w:r>
      <w:r w:rsidRPr="008E6A94">
        <w:rPr>
          <w:rFonts w:asciiTheme="minorHAnsi" w:hAnsiTheme="minorHAnsi" w:cs="Arial"/>
          <w:szCs w:val="18"/>
          <w:lang w:eastAsia="en-AU"/>
        </w:rPr>
        <w:t xml:space="preserve">. </w:t>
      </w:r>
      <w:r>
        <w:rPr>
          <w:rFonts w:asciiTheme="minorHAnsi" w:hAnsiTheme="minorHAnsi" w:cs="Arial"/>
          <w:szCs w:val="18"/>
          <w:lang w:eastAsia="en-AU"/>
        </w:rPr>
        <w:t>The department completed an revaluation in the 2015-16 financial year for all assets excluding intangibles.</w:t>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48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bookmarkStart w:id="334" w:name="Note_CCATABLE1" w:colFirst="0" w:colLast="0"/>
            <w:r>
              <w:rPr>
                <w:rFonts w:cs="Calibri"/>
                <w:b/>
                <w:bCs/>
                <w:szCs w:val="18"/>
              </w:rPr>
              <w:t>Contractual commitments for the acquisition of property, plant, equipment and intangible 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bookmarkEnd w:id="334"/>
      <w:tr w:rsidR="003E6989" w:rsidTr="006A5410">
        <w:trPr>
          <w:trHeight w:val="255"/>
        </w:trPr>
        <w:tc>
          <w:tcPr>
            <w:tcW w:w="8982"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40"/>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323"/>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Commitments are payable as follows: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Within 1 year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6,910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6,345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Between 1 to 5 years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411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contractual commitments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6,910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6,756</w:t>
            </w:r>
          </w:p>
        </w:tc>
      </w:tr>
    </w:tbl>
    <w:p w:rsidR="003E6989" w:rsidRPr="00023CEA" w:rsidRDefault="003E6989" w:rsidP="003E6989">
      <w:pPr>
        <w:pStyle w:val="PolicyTextboxbold"/>
        <w:pBdr>
          <w:bottom w:val="none" w:sz="0" w:space="0" w:color="auto"/>
        </w:pBdr>
        <w:spacing w:before="100" w:after="100" w:line="240" w:lineRule="auto"/>
      </w:pPr>
      <w:r>
        <w:t>A</w:t>
      </w:r>
      <w:r w:rsidRPr="00F43C3B">
        <w:t>ccounting Policy</w:t>
      </w:r>
    </w:p>
    <w:p w:rsidR="003E6989" w:rsidRPr="00023CEA" w:rsidRDefault="003E6989" w:rsidP="003E6989">
      <w:pPr>
        <w:pStyle w:val="PolicyTextdeptunderline"/>
        <w:pBdr>
          <w:bottom w:val="none" w:sz="0" w:space="0" w:color="auto"/>
        </w:pBdr>
        <w:spacing w:before="100" w:after="100" w:line="240" w:lineRule="auto"/>
      </w:pPr>
      <w:r w:rsidRPr="00F43C3B">
        <w:t xml:space="preserve">Acquisition of Assets </w:t>
      </w:r>
    </w:p>
    <w:p w:rsidR="003E6989" w:rsidRPr="00023CEA" w:rsidRDefault="003E6989" w:rsidP="003E6989">
      <w:pPr>
        <w:pStyle w:val="PolicytextDept"/>
        <w:pBdr>
          <w:bottom w:val="none" w:sz="0" w:space="0" w:color="auto"/>
        </w:pBdr>
        <w:spacing w:before="100" w:after="100" w:line="240" w:lineRule="auto"/>
      </w:pPr>
      <w:r w:rsidRPr="00F43C3B">
        <w:t xml:space="preserve">The cost of acquisition includes the fair value of assets transferred in exchange and liabilities undertaken. Financial assets are initially </w:t>
      </w:r>
      <w:r w:rsidRPr="00023CEA">
        <w:t>measured at their fair value plus transaction costs where appropriate.</w:t>
      </w:r>
    </w:p>
    <w:p w:rsidR="003E6989" w:rsidRPr="00F43C3B" w:rsidRDefault="003E6989" w:rsidP="003E6989">
      <w:pPr>
        <w:pStyle w:val="PolicytextDept"/>
        <w:pBdr>
          <w:bottom w:val="none" w:sz="0" w:space="0" w:color="auto"/>
        </w:pBdr>
        <w:spacing w:before="100" w:after="100" w:line="240" w:lineRule="auto"/>
      </w:pPr>
      <w:r w:rsidRPr="00023CEA">
        <w:t>Assets acquired at no cost, or for nominal consideration, are initially recognised as assets and income at their fair value at the date of acquisition, unless acquired as a consequence of restructuring of administrative arrangements. In the latter case, assets are initially</w:t>
      </w:r>
      <w:r w:rsidRPr="00F43C3B">
        <w:t xml:space="preserve"> recognised as contributions by owners at the amounts at which they were recognised in the transferor’s accounts immediat</w:t>
      </w:r>
      <w:r>
        <w:t>ely prior to the restructuring.</w:t>
      </w:r>
    </w:p>
    <w:p w:rsidR="003E6989" w:rsidRPr="00023CEA" w:rsidRDefault="003E6989" w:rsidP="003E6989">
      <w:pPr>
        <w:pStyle w:val="PolicyTextdeptunderline"/>
        <w:pBdr>
          <w:bottom w:val="none" w:sz="0" w:space="0" w:color="auto"/>
        </w:pBdr>
        <w:spacing w:before="100" w:after="100" w:line="240" w:lineRule="auto"/>
      </w:pPr>
      <w:r w:rsidRPr="00F43C3B">
        <w:t>Asset recognition threshold</w:t>
      </w:r>
    </w:p>
    <w:p w:rsidR="003E6989" w:rsidRPr="00023CEA" w:rsidRDefault="003E6989" w:rsidP="003E6989">
      <w:pPr>
        <w:pStyle w:val="PolicytextDept"/>
        <w:pBdr>
          <w:bottom w:val="none" w:sz="0" w:space="0" w:color="auto"/>
        </w:pBdr>
        <w:spacing w:before="100" w:after="100" w:line="240" w:lineRule="auto"/>
      </w:pPr>
      <w:r w:rsidRPr="00F43C3B">
        <w:t xml:space="preserve">Purchases of non-financial assets are recognised initially at cost in the statement of financial position, except for purchases costing less than $2,000, (or $50,000 </w:t>
      </w:r>
      <w:r w:rsidRPr="00023CEA">
        <w:t>for leasehold improvements) which are expensed in the year of acquisition (other than where they form part of a group of similar items which are significant in total).</w:t>
      </w:r>
    </w:p>
    <w:p w:rsidR="003E6989" w:rsidRPr="00F43C3B" w:rsidRDefault="003E6989" w:rsidP="003E6989">
      <w:pPr>
        <w:pStyle w:val="PolicytextDept"/>
        <w:pBdr>
          <w:bottom w:val="none" w:sz="0" w:space="0" w:color="auto"/>
        </w:pBdr>
        <w:spacing w:before="100" w:after="100" w:line="240" w:lineRule="auto"/>
      </w:pPr>
      <w:r w:rsidRPr="00023CEA">
        <w:t>The initial cost of an asset includes an estimate</w:t>
      </w:r>
      <w:r w:rsidRPr="00F43C3B">
        <w:t xml:space="preserve"> of the cost of dismantling and removing the item and restoring the site on which it is located. This is particularly relevant to the restoration obligation provisions in property leases taken up by the department where there exists an obligation to restore the property to its original condition. These costs are included in the value of the department's leasehold improvements with a corresponding provision for the ‘restoration obligations’ recognised.</w:t>
      </w:r>
    </w:p>
    <w:p w:rsidR="003E6989" w:rsidRDefault="003E6989" w:rsidP="003E6989">
      <w:pPr>
        <w:pStyle w:val="PolicyTextdeptunderline"/>
        <w:pBdr>
          <w:bottom w:val="none" w:sz="0" w:space="0" w:color="auto"/>
        </w:pBdr>
        <w:spacing w:before="100" w:after="100" w:line="240" w:lineRule="auto"/>
      </w:pPr>
      <w:r>
        <w:br w:type="page"/>
      </w:r>
    </w:p>
    <w:p w:rsidR="003E6989" w:rsidRPr="00023CEA" w:rsidRDefault="003E6989" w:rsidP="003E6989">
      <w:pPr>
        <w:pStyle w:val="PolicyTextdeptunderline"/>
        <w:pBdr>
          <w:bottom w:val="none" w:sz="0" w:space="0" w:color="auto"/>
        </w:pBdr>
        <w:spacing w:before="100" w:after="100" w:line="240" w:lineRule="auto"/>
      </w:pPr>
      <w:r w:rsidRPr="00F43C3B">
        <w:lastRenderedPageBreak/>
        <w:t>Revaluations</w:t>
      </w:r>
    </w:p>
    <w:p w:rsidR="003E6989" w:rsidRDefault="003E6989" w:rsidP="003E6989">
      <w:pPr>
        <w:pStyle w:val="PolicytextDept"/>
        <w:pBdr>
          <w:bottom w:val="none" w:sz="0" w:space="0" w:color="auto"/>
        </w:pBdr>
        <w:spacing w:before="60" w:after="20" w:line="240" w:lineRule="auto"/>
      </w:pPr>
      <w:r w:rsidRPr="00F43C3B">
        <w:t xml:space="preserve">Fair values for each class of </w:t>
      </w:r>
      <w:r w:rsidRPr="00023CEA">
        <w:t>asset</w:t>
      </w:r>
      <w:r w:rsidRPr="00F43C3B">
        <w:t xml:space="preserve"> are determined as shown below:</w:t>
      </w:r>
    </w:p>
    <w:tbl>
      <w:tblPr>
        <w:tblW w:w="9092" w:type="dxa"/>
        <w:tblInd w:w="80" w:type="dxa"/>
        <w:tblLayout w:type="fixed"/>
        <w:tblLook w:val="04A0" w:firstRow="1" w:lastRow="0" w:firstColumn="1" w:lastColumn="0" w:noHBand="0" w:noVBand="1"/>
      </w:tblPr>
      <w:tblGrid>
        <w:gridCol w:w="737"/>
        <w:gridCol w:w="3402"/>
        <w:gridCol w:w="4253"/>
        <w:gridCol w:w="700"/>
      </w:tblGrid>
      <w:tr w:rsidR="003E6989" w:rsidTr="006A5410">
        <w:trPr>
          <w:trHeight w:val="279"/>
        </w:trPr>
        <w:tc>
          <w:tcPr>
            <w:tcW w:w="737" w:type="dxa"/>
            <w:tcBorders>
              <w:top w:val="single" w:sz="4" w:space="0" w:color="009560"/>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pPr>
          </w:p>
        </w:tc>
        <w:tc>
          <w:tcPr>
            <w:tcW w:w="3402" w:type="dxa"/>
            <w:tcBorders>
              <w:top w:val="single" w:sz="4" w:space="0" w:color="009560"/>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b/>
              </w:rPr>
            </w:pPr>
            <w:r w:rsidRPr="008D65EB">
              <w:rPr>
                <w:rFonts w:asciiTheme="minorHAnsi" w:hAnsiTheme="minorHAnsi"/>
                <w:b/>
              </w:rPr>
              <w:t>Asset Class</w:t>
            </w:r>
          </w:p>
        </w:tc>
        <w:tc>
          <w:tcPr>
            <w:tcW w:w="4253" w:type="dxa"/>
            <w:tcBorders>
              <w:top w:val="single" w:sz="4" w:space="0" w:color="009560"/>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b/>
              </w:rPr>
            </w:pPr>
            <w:r w:rsidRPr="008D65EB">
              <w:rPr>
                <w:rFonts w:asciiTheme="minorHAnsi" w:hAnsiTheme="minorHAnsi"/>
                <w:b/>
              </w:rPr>
              <w:t>Fair value measurement</w:t>
            </w:r>
          </w:p>
        </w:tc>
        <w:tc>
          <w:tcPr>
            <w:tcW w:w="700" w:type="dxa"/>
            <w:tcBorders>
              <w:top w:val="single" w:sz="4" w:space="0" w:color="009560"/>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rPr>
                <w:b/>
                <w:bCs/>
                <w:u w:val="single"/>
              </w:rPr>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Land</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Market selling price</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Buildings excluding leasehold improvements</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Market selling price</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Buildings – Leasehold improvements</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Depreciated replacement cost</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right w:val="single" w:sz="4" w:space="0" w:color="auto"/>
            </w:tcBorders>
            <w:shd w:val="clear" w:color="FFFFFF" w:fill="FFFFFF"/>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Infrastructure, plant and equipment</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rPr>
            </w:pPr>
            <w:r w:rsidRPr="008D65EB">
              <w:rPr>
                <w:rFonts w:asciiTheme="minorHAnsi" w:hAnsiTheme="minorHAnsi"/>
              </w:rPr>
              <w:t>Market selling price</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bl>
    <w:p w:rsidR="003E6989" w:rsidRPr="00571BFD" w:rsidRDefault="003E6989" w:rsidP="003E6989">
      <w:pPr>
        <w:pStyle w:val="PolicytextDept"/>
        <w:pBdr>
          <w:top w:val="none" w:sz="0" w:space="0" w:color="auto"/>
          <w:bottom w:val="none" w:sz="0" w:space="0" w:color="auto"/>
        </w:pBdr>
        <w:spacing w:before="60" w:after="20" w:line="240" w:lineRule="auto"/>
      </w:pPr>
      <w:r w:rsidRPr="005040A4">
        <w:t xml:space="preserve">Following initial recognition at cost, infrastructure, plant and equipment are carried at fair value less accumulated </w:t>
      </w:r>
      <w:r w:rsidRPr="00F43C3B">
        <w:t xml:space="preserve">depreciation and accumulated impairment losses. Valuations are conducted to ensure that the carrying </w:t>
      </w:r>
      <w:r w:rsidRPr="00571BFD">
        <w:t xml:space="preserve">amounts of assets do not differ materially from the assets’ fair values as at the reporting date. The regularity of independent valuations depends upon the volatility of movements in market values for the relevant assets. </w:t>
      </w:r>
    </w:p>
    <w:p w:rsidR="003E6989" w:rsidRPr="00571BFD" w:rsidRDefault="003E6989" w:rsidP="003E6989">
      <w:pPr>
        <w:pStyle w:val="PolicytextDept"/>
        <w:pBdr>
          <w:top w:val="none" w:sz="0" w:space="0" w:color="auto"/>
          <w:bottom w:val="none" w:sz="0" w:space="0" w:color="auto"/>
        </w:pBdr>
        <w:spacing w:before="100" w:after="100" w:line="240" w:lineRule="auto"/>
      </w:pPr>
      <w:r w:rsidRPr="00571BFD">
        <w:t>Revaluation adjustments are made on a class basis.  Any revaluation increment is credited to equity under the heading of asset revaluation reserve except to the extent that it reverses a previous revaluation decrement previously recognised in the surplus/deficit.  Revaluation decrements for a class of assets are recognised directly in the surplus/deficit except to the extent that they reverse a previous revaluation increment for that class.</w:t>
      </w:r>
    </w:p>
    <w:p w:rsidR="003E6989" w:rsidRPr="00F43C3B" w:rsidRDefault="003E6989" w:rsidP="003E6989">
      <w:pPr>
        <w:pStyle w:val="PolicytextDept"/>
        <w:pBdr>
          <w:top w:val="none" w:sz="0" w:space="0" w:color="auto"/>
          <w:bottom w:val="none" w:sz="0" w:space="0" w:color="auto"/>
        </w:pBdr>
        <w:spacing w:before="100" w:after="100" w:line="240" w:lineRule="auto"/>
      </w:pPr>
      <w:r w:rsidRPr="00571BFD">
        <w:t>Any accumulated</w:t>
      </w:r>
      <w:r w:rsidRPr="00F43C3B">
        <w:t xml:space="preserve"> depreciation as at the revaluation date is eliminated against the gross carrying amount of the asset and the asset restated to the revalued amount.</w:t>
      </w:r>
    </w:p>
    <w:p w:rsidR="003E6989" w:rsidRPr="00571BFD" w:rsidRDefault="003E6989" w:rsidP="003E6989">
      <w:pPr>
        <w:pStyle w:val="PolicyTextdeptunderline"/>
        <w:pBdr>
          <w:top w:val="none" w:sz="0" w:space="0" w:color="auto"/>
          <w:bottom w:val="none" w:sz="0" w:space="0" w:color="auto"/>
        </w:pBdr>
        <w:spacing w:before="100" w:after="100" w:line="240" w:lineRule="auto"/>
      </w:pPr>
      <w:r w:rsidRPr="00F43C3B">
        <w:t>Depreciation</w:t>
      </w:r>
    </w:p>
    <w:p w:rsidR="003E6989" w:rsidRPr="00392121" w:rsidRDefault="003E6989" w:rsidP="003E6989">
      <w:pPr>
        <w:pStyle w:val="PolicytextDept"/>
        <w:pBdr>
          <w:top w:val="none" w:sz="0" w:space="0" w:color="auto"/>
          <w:bottom w:val="none" w:sz="0" w:space="0" w:color="auto"/>
        </w:pBdr>
        <w:spacing w:before="100" w:after="100" w:line="240" w:lineRule="auto"/>
      </w:pPr>
      <w:r w:rsidRPr="00392121">
        <w:t xml:space="preserve">Depreciable infrastructure, plant and equipment assets are written-off to their estimated residual values over their estimated useful lives to the department using, in all cases, the straight-line method of depreciation. </w:t>
      </w:r>
      <w:r w:rsidRPr="00392121">
        <w:tab/>
      </w:r>
    </w:p>
    <w:p w:rsidR="003E6989" w:rsidRPr="00392121" w:rsidRDefault="003E6989" w:rsidP="003E6989">
      <w:pPr>
        <w:pStyle w:val="PolicytextDept"/>
        <w:pBdr>
          <w:top w:val="none" w:sz="0" w:space="0" w:color="auto"/>
          <w:bottom w:val="none" w:sz="0" w:space="0" w:color="auto"/>
        </w:pBdr>
        <w:spacing w:before="100" w:after="100" w:line="240" w:lineRule="auto"/>
      </w:pPr>
      <w:r w:rsidRPr="00392121">
        <w:t xml:space="preserve">Depreciation rates (useful lives), residual values and methods are reviewed at each reporting date </w:t>
      </w:r>
      <w:r>
        <w:t>with</w:t>
      </w:r>
      <w:r w:rsidRPr="00392121">
        <w:t xml:space="preserve"> necessary adjustments recognised in the current, or current and future reporting periods, as appropriate.</w:t>
      </w:r>
    </w:p>
    <w:p w:rsidR="003E6989" w:rsidRDefault="003E6989" w:rsidP="003E6989">
      <w:pPr>
        <w:pStyle w:val="PolicytextDept"/>
        <w:pBdr>
          <w:top w:val="none" w:sz="0" w:space="0" w:color="auto"/>
          <w:bottom w:val="none" w:sz="0" w:space="0" w:color="auto"/>
        </w:pBdr>
        <w:spacing w:before="100" w:after="100" w:line="240" w:lineRule="auto"/>
      </w:pPr>
      <w:r w:rsidRPr="00571BFD">
        <w:t>Depreciation rates applying to</w:t>
      </w:r>
      <w:r w:rsidRPr="00F43C3B">
        <w:t xml:space="preserve"> each class of depreciable asset are based on the following useful lives:</w:t>
      </w:r>
    </w:p>
    <w:tbl>
      <w:tblPr>
        <w:tblW w:w="9092" w:type="dxa"/>
        <w:tblInd w:w="80" w:type="dxa"/>
        <w:tblLayout w:type="fixed"/>
        <w:tblLook w:val="04A0" w:firstRow="1" w:lastRow="0" w:firstColumn="1" w:lastColumn="0" w:noHBand="0" w:noVBand="1"/>
      </w:tblPr>
      <w:tblGrid>
        <w:gridCol w:w="737"/>
        <w:gridCol w:w="3402"/>
        <w:gridCol w:w="4253"/>
        <w:gridCol w:w="700"/>
      </w:tblGrid>
      <w:tr w:rsidR="003E6989" w:rsidTr="006A5410">
        <w:trPr>
          <w:trHeight w:val="279"/>
        </w:trPr>
        <w:tc>
          <w:tcPr>
            <w:tcW w:w="737" w:type="dxa"/>
            <w:tcBorders>
              <w:top w:val="nil"/>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b/>
              </w:rPr>
            </w:pPr>
            <w:r w:rsidRPr="008D65EB">
              <w:rPr>
                <w:rFonts w:asciiTheme="minorHAnsi" w:hAnsiTheme="minorHAnsi"/>
                <w:b/>
              </w:rPr>
              <w:t>Asset Class</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pStyle w:val="Policytextboxtable"/>
              <w:spacing w:before="60" w:after="20" w:line="240" w:lineRule="auto"/>
              <w:rPr>
                <w:rFonts w:asciiTheme="minorHAnsi" w:hAnsiTheme="minorHAnsi"/>
                <w:b/>
              </w:rPr>
            </w:pPr>
            <w:r w:rsidRPr="008D65EB">
              <w:rPr>
                <w:rFonts w:asciiTheme="minorHAnsi" w:hAnsiTheme="minorHAnsi"/>
                <w:b/>
              </w:rPr>
              <w:t>2016</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rPr>
                <w:b/>
                <w:bCs/>
                <w:u w:val="single"/>
              </w:rPr>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Buildings on freehold land</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37-51 years</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noWrap/>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Buildings – leasehold improvements</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Lease term</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r w:rsidR="003E6989" w:rsidTr="006A5410">
        <w:trPr>
          <w:trHeight w:val="279"/>
        </w:trPr>
        <w:tc>
          <w:tcPr>
            <w:tcW w:w="737" w:type="dxa"/>
            <w:tcBorders>
              <w:top w:val="nil"/>
              <w:left w:val="single" w:sz="4" w:space="0" w:color="009560"/>
              <w:bottom w:val="nil"/>
              <w:right w:val="single" w:sz="4" w:space="0" w:color="auto"/>
            </w:tcBorders>
            <w:shd w:val="clear" w:color="FFFFFF" w:fill="FFFFFF"/>
            <w:vAlign w:val="bottom"/>
          </w:tcPr>
          <w:p w:rsidR="003E6989" w:rsidRDefault="003E6989" w:rsidP="006A5410">
            <w:pPr>
              <w:pStyle w:val="Policytextboxtable"/>
              <w:spacing w:before="60" w:after="20" w:line="240" w:lineRule="auto"/>
            </w:pPr>
          </w:p>
        </w:tc>
        <w:tc>
          <w:tcPr>
            <w:tcW w:w="3402"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Infrastructure, plant and equipment</w:t>
            </w:r>
          </w:p>
        </w:tc>
        <w:tc>
          <w:tcPr>
            <w:tcW w:w="4253" w:type="dxa"/>
            <w:tcBorders>
              <w:top w:val="single" w:sz="4" w:space="0" w:color="auto"/>
              <w:left w:val="single" w:sz="4" w:space="0" w:color="auto"/>
              <w:bottom w:val="single" w:sz="4" w:space="0" w:color="auto"/>
              <w:right w:val="single" w:sz="4" w:space="0" w:color="auto"/>
            </w:tcBorders>
            <w:shd w:val="clear" w:color="FFFFFF" w:fill="FFFFFF"/>
            <w:noWrap/>
          </w:tcPr>
          <w:p w:rsidR="003E6989" w:rsidRPr="008D65EB" w:rsidRDefault="003E6989" w:rsidP="006A5410">
            <w:pPr>
              <w:spacing w:before="60" w:after="20" w:line="240" w:lineRule="auto"/>
              <w:rPr>
                <w:rFonts w:asciiTheme="minorHAnsi" w:hAnsiTheme="minorHAnsi"/>
              </w:rPr>
            </w:pPr>
            <w:r w:rsidRPr="008D65EB">
              <w:rPr>
                <w:rFonts w:asciiTheme="minorHAnsi" w:hAnsiTheme="minorHAnsi"/>
              </w:rPr>
              <w:t>3-25 years</w:t>
            </w:r>
          </w:p>
        </w:tc>
        <w:tc>
          <w:tcPr>
            <w:tcW w:w="700" w:type="dxa"/>
            <w:tcBorders>
              <w:top w:val="nil"/>
              <w:left w:val="single" w:sz="4" w:space="0" w:color="auto"/>
              <w:bottom w:val="nil"/>
              <w:right w:val="single" w:sz="4" w:space="0" w:color="009560"/>
            </w:tcBorders>
            <w:shd w:val="clear" w:color="FFFFFF" w:fill="FFFFFF"/>
            <w:noWrap/>
            <w:vAlign w:val="bottom"/>
          </w:tcPr>
          <w:p w:rsidR="003E6989" w:rsidRDefault="003E6989" w:rsidP="006A5410">
            <w:pPr>
              <w:pStyle w:val="Policytextboxtable"/>
              <w:spacing w:before="60" w:after="20" w:line="240" w:lineRule="auto"/>
            </w:pPr>
          </w:p>
        </w:tc>
      </w:tr>
    </w:tbl>
    <w:p w:rsidR="003E6989" w:rsidRPr="00571BFD" w:rsidRDefault="003E6989" w:rsidP="003E6989">
      <w:pPr>
        <w:pStyle w:val="PolicyTextdeptunderline"/>
        <w:pBdr>
          <w:top w:val="none" w:sz="0" w:space="0" w:color="auto"/>
        </w:pBdr>
        <w:spacing w:before="100" w:after="100" w:line="240" w:lineRule="auto"/>
      </w:pPr>
      <w:r w:rsidRPr="00F43C3B">
        <w:t>Impairment</w:t>
      </w:r>
    </w:p>
    <w:p w:rsidR="003E6989" w:rsidRPr="00571BFD" w:rsidRDefault="003E6989" w:rsidP="003E6989">
      <w:pPr>
        <w:pStyle w:val="PolicytextDept"/>
        <w:pBdr>
          <w:top w:val="none" w:sz="0" w:space="0" w:color="auto"/>
        </w:pBdr>
        <w:spacing w:before="100" w:after="100" w:line="240" w:lineRule="auto"/>
      </w:pPr>
      <w:r w:rsidRPr="00F43C3B">
        <w:t xml:space="preserve">All assets were assessed for impairment at 30 June </w:t>
      </w:r>
      <w:r w:rsidR="00403CAE">
        <w:t>2016</w:t>
      </w:r>
      <w:r w:rsidRPr="00F43C3B">
        <w:t>.  Where indications of impairment exist, the asset’s recoverable amount is estimated and an impairment adjustment made if the asset’s recoverable amount is less than its carrying amount.</w:t>
      </w:r>
    </w:p>
    <w:p w:rsidR="003E6989" w:rsidRPr="00571BFD" w:rsidRDefault="003E6989" w:rsidP="003E6989">
      <w:pPr>
        <w:pStyle w:val="PolicyTextdeptunderline"/>
        <w:pBdr>
          <w:top w:val="none" w:sz="0" w:space="0" w:color="auto"/>
        </w:pBdr>
        <w:spacing w:before="100" w:after="100" w:line="240" w:lineRule="auto"/>
      </w:pPr>
      <w:r w:rsidRPr="00F43C3B">
        <w:t>Derecognition</w:t>
      </w:r>
    </w:p>
    <w:p w:rsidR="003E6989" w:rsidRPr="00571BFD" w:rsidRDefault="003E6989" w:rsidP="003E6989">
      <w:pPr>
        <w:pStyle w:val="PolicytextDept"/>
        <w:pBdr>
          <w:top w:val="none" w:sz="0" w:space="0" w:color="auto"/>
        </w:pBdr>
        <w:spacing w:before="100" w:after="100" w:line="240" w:lineRule="auto"/>
      </w:pPr>
      <w:r w:rsidRPr="00F43C3B">
        <w:t>An item of infrastructure, plant and equipment is derecognised upon disposal or when no further future economic benefits are expected from its use or disposal</w:t>
      </w:r>
      <w:r>
        <w:t>.</w:t>
      </w:r>
    </w:p>
    <w:p w:rsidR="003E6989" w:rsidRPr="00571BFD" w:rsidRDefault="003E6989" w:rsidP="003E6989">
      <w:pPr>
        <w:pStyle w:val="PolicyTextdeptunderline"/>
        <w:pBdr>
          <w:top w:val="none" w:sz="0" w:space="0" w:color="auto"/>
        </w:pBdr>
        <w:spacing w:before="100" w:after="100" w:line="240" w:lineRule="auto"/>
        <w:rPr>
          <w:lang w:eastAsia="en-AU"/>
        </w:rPr>
      </w:pPr>
      <w:r w:rsidRPr="00571BFD">
        <w:rPr>
          <w:lang w:eastAsia="en-AU"/>
        </w:rPr>
        <w:t xml:space="preserve">Assets not previously recognised </w:t>
      </w:r>
    </w:p>
    <w:p w:rsidR="003E6989" w:rsidRDefault="003E6989" w:rsidP="003E6989">
      <w:pPr>
        <w:pStyle w:val="PolicytextDept"/>
        <w:pBdr>
          <w:top w:val="none" w:sz="0" w:space="0" w:color="auto"/>
        </w:pBdr>
        <w:spacing w:before="100" w:after="100" w:line="240" w:lineRule="auto"/>
      </w:pPr>
      <w:r w:rsidRPr="00571BFD">
        <w:rPr>
          <w:lang w:eastAsia="en-AU"/>
        </w:rPr>
        <w:t xml:space="preserve">Assets </w:t>
      </w:r>
      <w:r w:rsidRPr="00571BFD">
        <w:t>were</w:t>
      </w:r>
      <w:r w:rsidRPr="00571BFD">
        <w:rPr>
          <w:lang w:eastAsia="en-AU"/>
        </w:rPr>
        <w:t xml:space="preserve"> brought to account as </w:t>
      </w:r>
      <w:r w:rsidRPr="00571BFD">
        <w:t>part</w:t>
      </w:r>
      <w:r w:rsidRPr="00571BFD">
        <w:rPr>
          <w:lang w:eastAsia="en-AU"/>
        </w:rPr>
        <w:t xml:space="preserve"> of infrastructure, plant &amp; equipment and intangibles for the first time as at </w:t>
      </w:r>
      <w:r>
        <w:rPr>
          <w:lang w:eastAsia="en-AU"/>
        </w:rPr>
        <w:br/>
      </w:r>
      <w:r w:rsidRPr="00571BFD">
        <w:rPr>
          <w:lang w:eastAsia="en-AU"/>
        </w:rPr>
        <w:t>30 June 2015.</w:t>
      </w:r>
    </w:p>
    <w:p w:rsidR="003E6989" w:rsidRPr="006F5FD7" w:rsidRDefault="003E6989" w:rsidP="003E6989">
      <w:pPr>
        <w:pStyle w:val="PolicyTextdeptunderline"/>
        <w:pBdr>
          <w:top w:val="none" w:sz="0" w:space="0" w:color="auto"/>
        </w:pBdr>
        <w:spacing w:before="100" w:after="100" w:line="240" w:lineRule="auto"/>
      </w:pPr>
      <w:r w:rsidRPr="006F5FD7">
        <w:t>Intangibles</w:t>
      </w:r>
    </w:p>
    <w:p w:rsidR="003E6989" w:rsidRPr="00571BFD" w:rsidRDefault="003E6989" w:rsidP="003E6989">
      <w:pPr>
        <w:pStyle w:val="PolicytextDept"/>
        <w:pBdr>
          <w:top w:val="none" w:sz="0" w:space="0" w:color="auto"/>
        </w:pBdr>
        <w:spacing w:before="100" w:after="100" w:line="240" w:lineRule="auto"/>
      </w:pPr>
      <w:r w:rsidRPr="00075D25">
        <w:t xml:space="preserve">The department’s intangibles comprise purchased and internally developed software for internal use. These assets are carried at cost less </w:t>
      </w:r>
      <w:r w:rsidRPr="00571BFD">
        <w:t>accumulated amortisation and accumulated impairment losses. Purchases costing less than $200,000 are expensed in the year of acquisition (other than where they form part of a group of similar items which are significant in total).</w:t>
      </w:r>
    </w:p>
    <w:p w:rsidR="003E6989" w:rsidRPr="00571BFD" w:rsidRDefault="003E6989" w:rsidP="003E6989">
      <w:pPr>
        <w:pStyle w:val="PolicytextDept"/>
        <w:pBdr>
          <w:top w:val="none" w:sz="0" w:space="0" w:color="auto"/>
        </w:pBdr>
        <w:spacing w:before="100" w:after="100" w:line="240" w:lineRule="auto"/>
      </w:pPr>
      <w:r w:rsidRPr="00571BFD">
        <w:t>Software is amortised on a straight-line basis over its anticipated useful life.  The useful lives of the department’s software are 2–15 years.</w:t>
      </w:r>
      <w:r w:rsidRPr="00571BFD">
        <w:tab/>
      </w:r>
    </w:p>
    <w:p w:rsidR="003E6989" w:rsidRPr="00571BFD" w:rsidRDefault="003E6989" w:rsidP="003E6989">
      <w:pPr>
        <w:pStyle w:val="PolicytextDept"/>
        <w:pBdr>
          <w:top w:val="none" w:sz="0" w:space="0" w:color="auto"/>
        </w:pBdr>
        <w:spacing w:before="100" w:after="100" w:line="240" w:lineRule="auto"/>
      </w:pPr>
      <w:r w:rsidRPr="00571BFD">
        <w:t xml:space="preserve">All software assets were assessed for indications of impairment as at 30 June </w:t>
      </w:r>
      <w:r w:rsidR="00403CAE">
        <w:t>2016</w:t>
      </w:r>
      <w:r w:rsidRPr="00571BFD">
        <w:t>.</w:t>
      </w:r>
    </w:p>
    <w:p w:rsidR="003E6989" w:rsidRDefault="003E6989" w:rsidP="003E6989"/>
    <w:p w:rsidR="003E6989" w:rsidRDefault="003E6989" w:rsidP="003E6989">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bookmarkStart w:id="335" w:name="Note_ONATABLE1" w:colFirst="0" w:colLast="0"/>
            <w:r>
              <w:rPr>
                <w:rFonts w:cs="Calibri"/>
                <w:b/>
                <w:bCs/>
                <w:szCs w:val="18"/>
              </w:rPr>
              <w:lastRenderedPageBreak/>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335"/>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3.2B: Other non-financial assets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Prepayments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10,126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10,728</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10,126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10,728</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xml:space="preserve">Total other non-financial assets expected to be recovered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8,005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9,104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2,121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1,624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10,126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10,728</w:t>
            </w:r>
          </w:p>
        </w:tc>
      </w:tr>
    </w:tbl>
    <w:p w:rsidR="003E6989" w:rsidRDefault="003E6989" w:rsidP="003E6989">
      <w:pPr>
        <w:spacing w:line="240" w:lineRule="auto"/>
      </w:pPr>
      <w:bookmarkStart w:id="336" w:name="RANGE!E7:H54"/>
      <w:bookmarkStart w:id="337" w:name="RANGE!E7:H50"/>
      <w:bookmarkStart w:id="338" w:name="RANGE!E7:H48"/>
      <w:bookmarkStart w:id="339" w:name="RANGE!E7:H47"/>
      <w:bookmarkStart w:id="340" w:name="RANGE!E7:H46"/>
      <w:bookmarkStart w:id="341" w:name="RANGE!E7:H43"/>
      <w:bookmarkStart w:id="342" w:name="RANGE!E6:H41"/>
      <w:bookmarkStart w:id="343" w:name="RANGE!E6:H47"/>
      <w:bookmarkStart w:id="344" w:name="RANGE!E6:H46"/>
      <w:bookmarkStart w:id="345" w:name="RANGE!E6:J46"/>
      <w:bookmarkStart w:id="346" w:name="RANGE!E6:E47"/>
      <w:bookmarkStart w:id="347" w:name="RANGE!E6:J47"/>
      <w:bookmarkStart w:id="348" w:name="RANGE!E55:H77"/>
      <w:bookmarkStart w:id="349" w:name="RANGE!E52:H74"/>
      <w:bookmarkStart w:id="350" w:name="RANGE!E50:H68"/>
      <w:bookmarkStart w:id="351" w:name="RANGE!E56:H74"/>
      <w:bookmarkStart w:id="352" w:name="RANGE!E55:H73"/>
      <w:bookmarkStart w:id="353" w:name="RANGE!E55:J79"/>
      <w:bookmarkStart w:id="354" w:name="RANGE!E56:J80"/>
      <w:bookmarkStart w:id="355" w:name="RANGE!E63:H89"/>
      <w:bookmarkStart w:id="356" w:name="RANGE!E63:H8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3E6989" w:rsidRDefault="003E6989" w:rsidP="003E6989">
      <w:pPr>
        <w:spacing w:line="240" w:lineRule="auto"/>
      </w:pPr>
      <w:bookmarkStart w:id="357" w:name="_Toc419266949"/>
      <w:r>
        <w:t>No indicators of impairment were found for other non-financial assets.</w:t>
      </w:r>
      <w:bookmarkEnd w:id="357"/>
    </w:p>
    <w:p w:rsidR="003E6989" w:rsidRDefault="003E6989" w:rsidP="003E6989">
      <w:pPr>
        <w:spacing w:line="240" w:lineRule="auto"/>
      </w:pPr>
      <w:r>
        <w:br w:type="page"/>
      </w:r>
    </w:p>
    <w:p w:rsidR="003E6989" w:rsidRPr="00F77629" w:rsidRDefault="003E6989" w:rsidP="003E6989">
      <w:pPr>
        <w:pStyle w:val="SubHeading"/>
      </w:pPr>
      <w:r>
        <w:lastRenderedPageBreak/>
        <w:t xml:space="preserve"> </w:t>
      </w:r>
      <w:bookmarkStart w:id="358" w:name="_Toc455416737"/>
      <w:bookmarkStart w:id="359" w:name="_Toc464726628"/>
      <w:r>
        <w:t>Payables</w:t>
      </w:r>
      <w:bookmarkEnd w:id="358"/>
      <w:bookmarkEnd w:id="35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360" w:name="Note_SPA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360"/>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3.3A: Suppliers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Trade creditors and accruals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27,100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Operating lease rentals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4,563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5,453</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suppliers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31,663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23,495</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Suppliers expected to be settled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28,659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23,438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3,004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57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suppliers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31,663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23,495</w:t>
            </w:r>
          </w:p>
        </w:tc>
      </w:tr>
    </w:tbl>
    <w:p w:rsidR="003E6989" w:rsidRDefault="003E6989" w:rsidP="003E6989">
      <w:bookmarkStart w:id="361" w:name="RANGE!D6:D24"/>
      <w:bookmarkStart w:id="362" w:name="RANGE!D6:G24"/>
      <w:bookmarkEnd w:id="361"/>
      <w:bookmarkEnd w:id="362"/>
    </w:p>
    <w:p w:rsidR="003E6989" w:rsidRDefault="003E6989" w:rsidP="003E6989">
      <w:bookmarkStart w:id="363" w:name="_Toc419266951"/>
      <w:r>
        <w:t>Settlement was usually made within 30 days.</w:t>
      </w:r>
      <w:bookmarkEnd w:id="363"/>
    </w:p>
    <w:p w:rsidR="003E6989" w:rsidRDefault="003E6989" w:rsidP="003E6989"/>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364" w:name="Note_OPBTABLE1" w:colFirst="0" w:colLast="0"/>
            <w:r>
              <w:rPr>
                <w:rFonts w:cs="Calibri"/>
                <w:b/>
                <w:bCs/>
                <w:szCs w:val="18"/>
                <w:u w:val="single"/>
              </w:rPr>
              <w:t>3.3B: Other payables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bookmarkEnd w:id="364"/>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Wages and salaries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1,340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5,833</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922</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Separations and redundancies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385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2,246</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employee benefits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542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Lease incentives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12,565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13,994</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Unearned income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5,366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5,189</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Payable to the Official Public Account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668</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payables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20,329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28,963</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payables expected to be settled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9,236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17,434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11,093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11,529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20,329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28,963</w:t>
            </w:r>
          </w:p>
        </w:tc>
      </w:tr>
    </w:tbl>
    <w:p w:rsidR="003E6989" w:rsidRDefault="003E6989" w:rsidP="003E6989"/>
    <w:p w:rsidR="003E6989" w:rsidRDefault="003E6989" w:rsidP="003E6989">
      <w:pPr>
        <w:pStyle w:val="PolicyTextboxbold"/>
        <w:rPr>
          <w:lang w:eastAsia="en-AU"/>
        </w:rPr>
      </w:pPr>
      <w:r>
        <w:rPr>
          <w:lang w:eastAsia="en-AU"/>
        </w:rPr>
        <w:t>Accounting Policy</w:t>
      </w:r>
    </w:p>
    <w:p w:rsidR="003E6989" w:rsidRDefault="003E6989" w:rsidP="003E6989">
      <w:pPr>
        <w:pStyle w:val="PolicyTextdeptunderline"/>
        <w:rPr>
          <w:lang w:eastAsia="en-AU"/>
        </w:rPr>
      </w:pPr>
      <w:r>
        <w:rPr>
          <w:lang w:eastAsia="en-AU"/>
        </w:rPr>
        <w:t>Financial Liabilities</w:t>
      </w:r>
    </w:p>
    <w:p w:rsidR="003E6989" w:rsidRDefault="003E6989" w:rsidP="003E6989">
      <w:pPr>
        <w:pStyle w:val="PolicytextDept"/>
        <w:rPr>
          <w:lang w:eastAsia="en-AU"/>
        </w:rPr>
      </w:pPr>
      <w:r>
        <w:t>Supplier and other payables are recognised at amortised cost. Liabilities are recognised to the extent that the goods or services have been received (and irrespective of having been invoiced). Supplier and other payables are derecognised on payment.</w:t>
      </w:r>
    </w:p>
    <w:p w:rsidR="003E6989" w:rsidRPr="00023CEA" w:rsidRDefault="003E6989" w:rsidP="003E6989">
      <w:pPr>
        <w:pStyle w:val="PolicyTextdeptunderline"/>
        <w:rPr>
          <w:lang w:eastAsia="en-AU"/>
        </w:rPr>
      </w:pPr>
      <w:r w:rsidRPr="00023CEA">
        <w:rPr>
          <w:lang w:eastAsia="en-AU"/>
        </w:rPr>
        <w:t xml:space="preserve">Lease incentives </w:t>
      </w:r>
    </w:p>
    <w:p w:rsidR="003E6989" w:rsidRDefault="003E6989" w:rsidP="003E6989">
      <w:pPr>
        <w:pStyle w:val="PolicytextDept"/>
      </w:pPr>
      <w:r w:rsidRPr="00023CEA">
        <w:rPr>
          <w:rFonts w:cs="Calibri"/>
          <w:color w:val="000000"/>
          <w:szCs w:val="18"/>
          <w:lang w:eastAsia="en-AU"/>
        </w:rPr>
        <w:t>Lease incentives taking the form of ‘free’ leasehold improvements and rent free holidays are recognised as liabilities. These liabilities are reduced by allocating lease payments between rental expense and reduction of the liability.</w:t>
      </w:r>
    </w:p>
    <w:p w:rsidR="003E6989" w:rsidRDefault="003E6989" w:rsidP="003E6989">
      <w:r>
        <w:br w:type="page"/>
      </w:r>
      <w:bookmarkStart w:id="365" w:name="RANGE!D7:G23"/>
      <w:bookmarkEnd w:id="365"/>
    </w:p>
    <w:p w:rsidR="003E6989" w:rsidRDefault="003E6989" w:rsidP="003E6989">
      <w:pPr>
        <w:pStyle w:val="SubHeading"/>
      </w:pPr>
      <w:bookmarkStart w:id="366" w:name="_Toc443991914"/>
      <w:bookmarkStart w:id="367" w:name="_Toc443991958"/>
      <w:bookmarkStart w:id="368" w:name="_Toc443992020"/>
      <w:bookmarkStart w:id="369" w:name="_Toc443992065"/>
      <w:bookmarkStart w:id="370" w:name="_Toc455416738"/>
      <w:bookmarkStart w:id="371" w:name="_Toc464726629"/>
      <w:bookmarkEnd w:id="366"/>
      <w:bookmarkEnd w:id="367"/>
      <w:bookmarkEnd w:id="368"/>
      <w:bookmarkEnd w:id="369"/>
      <w:r>
        <w:lastRenderedPageBreak/>
        <w:t>Other Provisions</w:t>
      </w:r>
      <w:bookmarkEnd w:id="370"/>
      <w:bookmarkEnd w:id="371"/>
    </w:p>
    <w:p w:rsidR="003E6989" w:rsidRDefault="003E6989" w:rsidP="003E6989">
      <w:pPr>
        <w:pStyle w:val="12line"/>
        <w:rPr>
          <w:lang w:eastAsia="en-AU"/>
        </w:rPr>
      </w:pPr>
      <w:bookmarkStart w:id="372" w:name="RANGE!D7:H17"/>
      <w:bookmarkEnd w:id="372"/>
    </w:p>
    <w:tbl>
      <w:tblPr>
        <w:tblW w:w="9087" w:type="dxa"/>
        <w:tblInd w:w="80" w:type="dxa"/>
        <w:tblLayout w:type="fixed"/>
        <w:tblLook w:val="04A0" w:firstRow="1" w:lastRow="0" w:firstColumn="1" w:lastColumn="0" w:noHBand="0" w:noVBand="1"/>
      </w:tblPr>
      <w:tblGrid>
        <w:gridCol w:w="3301"/>
        <w:gridCol w:w="1183"/>
        <w:gridCol w:w="1223"/>
        <w:gridCol w:w="1203"/>
        <w:gridCol w:w="1180"/>
        <w:gridCol w:w="997"/>
      </w:tblGrid>
      <w:tr w:rsidR="003E6989" w:rsidTr="006A5410">
        <w:trPr>
          <w:trHeight w:val="255"/>
        </w:trPr>
        <w:tc>
          <w:tcPr>
            <w:tcW w:w="9005" w:type="dxa"/>
            <w:gridSpan w:val="6"/>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373" w:name="RANGE!D8:D20"/>
            <w:bookmarkStart w:id="374" w:name="Note_ROPTABLE1" w:colFirst="0" w:colLast="0"/>
            <w:r>
              <w:rPr>
                <w:rFonts w:cs="Calibri"/>
                <w:b/>
                <w:bCs/>
                <w:szCs w:val="18"/>
                <w:u w:val="single"/>
              </w:rPr>
              <w:t>3.4A: Other provisions</w:t>
            </w:r>
            <w:bookmarkEnd w:id="373"/>
          </w:p>
        </w:tc>
      </w:tr>
      <w:bookmarkEnd w:id="374"/>
      <w:tr w:rsidR="003E6989" w:rsidTr="006A5410">
        <w:trPr>
          <w:trHeight w:val="255"/>
        </w:trPr>
        <w:tc>
          <w:tcPr>
            <w:tcW w:w="3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21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9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169"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98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720"/>
        </w:trPr>
        <w:tc>
          <w:tcPr>
            <w:tcW w:w="3272" w:type="dxa"/>
            <w:tcBorders>
              <w:top w:val="single" w:sz="4" w:space="0" w:color="auto"/>
              <w:left w:val="nil"/>
              <w:bottom w:val="nil"/>
              <w:right w:val="nil"/>
            </w:tcBorders>
            <w:shd w:val="clear" w:color="FFFFFF" w:fill="FFFFFF"/>
            <w:vAlign w:val="bottom"/>
            <w:hideMark/>
          </w:tcPr>
          <w:p w:rsidR="003E6989" w:rsidRDefault="003E6989" w:rsidP="006A5410">
            <w:pPr>
              <w:rPr>
                <w:rFonts w:ascii="Arial" w:hAnsi="Arial" w:cs="Arial"/>
                <w:szCs w:val="18"/>
              </w:rPr>
            </w:pPr>
            <w:r>
              <w:rPr>
                <w:rFonts w:ascii="Arial" w:hAnsi="Arial" w:cs="Arial"/>
                <w:szCs w:val="18"/>
              </w:rPr>
              <w:t> </w:t>
            </w:r>
          </w:p>
        </w:tc>
        <w:tc>
          <w:tcPr>
            <w:tcW w:w="1172"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Provision for legal obligations</w:t>
            </w:r>
          </w:p>
        </w:tc>
        <w:tc>
          <w:tcPr>
            <w:tcW w:w="1212"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Provision for restoration obligations</w:t>
            </w:r>
          </w:p>
        </w:tc>
        <w:tc>
          <w:tcPr>
            <w:tcW w:w="1192"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Provision for surplus lease space</w:t>
            </w:r>
          </w:p>
        </w:tc>
        <w:tc>
          <w:tcPr>
            <w:tcW w:w="1169"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Provision for onerous contract</w:t>
            </w:r>
          </w:p>
        </w:tc>
        <w:tc>
          <w:tcPr>
            <w:tcW w:w="988"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3272" w:type="dxa"/>
            <w:tcBorders>
              <w:top w:val="nil"/>
              <w:left w:val="nil"/>
              <w:bottom w:val="single" w:sz="4" w:space="0" w:color="auto"/>
              <w:right w:val="nil"/>
            </w:tcBorders>
            <w:shd w:val="clear" w:color="FFFFFF" w:fill="FFFFFF"/>
            <w:vAlign w:val="bottom"/>
            <w:hideMark/>
          </w:tcPr>
          <w:p w:rsidR="003E6989" w:rsidRDefault="003E6989" w:rsidP="006A5410">
            <w:pPr>
              <w:rPr>
                <w:rFonts w:ascii="Arial" w:hAnsi="Arial" w:cs="Arial"/>
                <w:szCs w:val="18"/>
              </w:rPr>
            </w:pPr>
            <w:r>
              <w:rPr>
                <w:rFonts w:ascii="Arial" w:hAnsi="Arial" w:cs="Arial"/>
                <w:szCs w:val="18"/>
              </w:rPr>
              <w:t> </w:t>
            </w:r>
          </w:p>
        </w:tc>
        <w:tc>
          <w:tcPr>
            <w:tcW w:w="1172"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12"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92"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69"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988"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3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 at 1 July 2015</w:t>
            </w:r>
          </w:p>
        </w:tc>
        <w:tc>
          <w:tcPr>
            <w:tcW w:w="117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620</w:t>
            </w:r>
          </w:p>
        </w:tc>
        <w:tc>
          <w:tcPr>
            <w:tcW w:w="121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320</w:t>
            </w:r>
          </w:p>
        </w:tc>
        <w:tc>
          <w:tcPr>
            <w:tcW w:w="119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2,166</w:t>
            </w:r>
          </w:p>
        </w:tc>
        <w:tc>
          <w:tcPr>
            <w:tcW w:w="116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98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3,106</w:t>
            </w:r>
          </w:p>
        </w:tc>
      </w:tr>
      <w:tr w:rsidR="003E6989" w:rsidTr="006A5410">
        <w:trPr>
          <w:trHeight w:val="255"/>
        </w:trPr>
        <w:tc>
          <w:tcPr>
            <w:tcW w:w="3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Additional provisions made</w:t>
            </w:r>
          </w:p>
        </w:tc>
        <w:tc>
          <w:tcPr>
            <w:tcW w:w="117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21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255 </w:t>
            </w:r>
          </w:p>
        </w:tc>
        <w:tc>
          <w:tcPr>
            <w:tcW w:w="119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6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496 </w:t>
            </w:r>
          </w:p>
        </w:tc>
        <w:tc>
          <w:tcPr>
            <w:tcW w:w="98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751</w:t>
            </w:r>
          </w:p>
        </w:tc>
      </w:tr>
      <w:tr w:rsidR="003E6989" w:rsidTr="006A5410">
        <w:trPr>
          <w:trHeight w:val="255"/>
        </w:trPr>
        <w:tc>
          <w:tcPr>
            <w:tcW w:w="3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Amounts reversed</w:t>
            </w:r>
          </w:p>
        </w:tc>
        <w:tc>
          <w:tcPr>
            <w:tcW w:w="117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(79)</w:t>
            </w:r>
          </w:p>
        </w:tc>
        <w:tc>
          <w:tcPr>
            <w:tcW w:w="121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(75)</w:t>
            </w:r>
          </w:p>
        </w:tc>
        <w:tc>
          <w:tcPr>
            <w:tcW w:w="119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(1,238)</w:t>
            </w:r>
          </w:p>
        </w:tc>
        <w:tc>
          <w:tcPr>
            <w:tcW w:w="116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8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(1,392)</w:t>
            </w:r>
          </w:p>
        </w:tc>
      </w:tr>
      <w:tr w:rsidR="003E6989" w:rsidTr="006A5410">
        <w:trPr>
          <w:trHeight w:val="255"/>
        </w:trPr>
        <w:tc>
          <w:tcPr>
            <w:tcW w:w="3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Amounts used</w:t>
            </w:r>
          </w:p>
        </w:tc>
        <w:tc>
          <w:tcPr>
            <w:tcW w:w="117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21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9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(1,127)</w:t>
            </w:r>
          </w:p>
        </w:tc>
        <w:tc>
          <w:tcPr>
            <w:tcW w:w="116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8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(1,127)</w:t>
            </w:r>
          </w:p>
        </w:tc>
      </w:tr>
      <w:tr w:rsidR="003E6989" w:rsidTr="006A5410">
        <w:trPr>
          <w:trHeight w:val="480"/>
        </w:trPr>
        <w:tc>
          <w:tcPr>
            <w:tcW w:w="3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Net adjustment due to allocation change in Departments</w:t>
            </w:r>
          </w:p>
        </w:tc>
        <w:tc>
          <w:tcPr>
            <w:tcW w:w="117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21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92"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401 </w:t>
            </w:r>
          </w:p>
        </w:tc>
        <w:tc>
          <w:tcPr>
            <w:tcW w:w="116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8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401</w:t>
            </w:r>
          </w:p>
        </w:tc>
      </w:tr>
      <w:tr w:rsidR="003E6989" w:rsidTr="006A5410">
        <w:trPr>
          <w:trHeight w:val="255"/>
        </w:trPr>
        <w:tc>
          <w:tcPr>
            <w:tcW w:w="3272"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as at 30 June 2016</w:t>
            </w:r>
          </w:p>
        </w:tc>
        <w:tc>
          <w:tcPr>
            <w:tcW w:w="117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541</w:t>
            </w:r>
          </w:p>
        </w:tc>
        <w:tc>
          <w:tcPr>
            <w:tcW w:w="121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500</w:t>
            </w:r>
          </w:p>
        </w:tc>
        <w:tc>
          <w:tcPr>
            <w:tcW w:w="119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202</w:t>
            </w:r>
          </w:p>
        </w:tc>
        <w:tc>
          <w:tcPr>
            <w:tcW w:w="116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496</w:t>
            </w:r>
          </w:p>
        </w:tc>
        <w:tc>
          <w:tcPr>
            <w:tcW w:w="98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1,739</w:t>
            </w:r>
          </w:p>
        </w:tc>
      </w:tr>
    </w:tbl>
    <w:p w:rsidR="003E6989" w:rsidRDefault="003E6989" w:rsidP="003E6989">
      <w:pPr>
        <w:pStyle w:val="12line"/>
        <w:rPr>
          <w:lang w:eastAsia="en-AU"/>
        </w:rPr>
      </w:pPr>
      <w:bookmarkStart w:id="375" w:name="RANGE!D8:I20"/>
      <w:bookmarkStart w:id="376" w:name="RANGE!D8:H20"/>
      <w:bookmarkStart w:id="377" w:name="RANGE!D8:H18"/>
      <w:bookmarkEnd w:id="375"/>
      <w:bookmarkEnd w:id="376"/>
      <w:bookmarkEnd w:id="377"/>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378" w:name="Note_OPRTABLE1" w:colFirst="0" w:colLast="0"/>
            <w:r>
              <w:rPr>
                <w:rFonts w:cs="Calibri"/>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378"/>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Provision for legal obligations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541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620</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Provision for restoration obligations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320</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Provision for surplus lease space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2,166</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Provision for onerous contract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496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provisions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1,739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3,106</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provisions expected to be settled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1,521</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2,591</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218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515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1,739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3,106</w:t>
            </w:r>
          </w:p>
        </w:tc>
      </w:tr>
    </w:tbl>
    <w:p w:rsidR="003E6989" w:rsidRPr="007531DA" w:rsidRDefault="003E6989" w:rsidP="003E6989">
      <w:pPr>
        <w:pStyle w:val="12line"/>
        <w:rPr>
          <w:lang w:eastAsia="en-AU"/>
        </w:rPr>
      </w:pPr>
      <w:bookmarkStart w:id="379" w:name="RANGE!D7:H19"/>
      <w:bookmarkStart w:id="380" w:name="RANGE!D7:H18"/>
      <w:bookmarkEnd w:id="379"/>
      <w:bookmarkEnd w:id="380"/>
    </w:p>
    <w:p w:rsidR="003E6989" w:rsidRDefault="003E6989" w:rsidP="003E6989">
      <w:pPr>
        <w:pStyle w:val="AdminBlankGreyShade"/>
      </w:pPr>
      <w:r>
        <w:t xml:space="preserve">The department currently has two (2015: two) agreements for the leasing of premises which have provisions requiring the department to restore the premises to their original condition at the conclusion of the lease. The department </w:t>
      </w:r>
      <w:r w:rsidRPr="00DC68A9">
        <w:t>has</w:t>
      </w:r>
      <w:r>
        <w:t xml:space="preserve"> made a provision to reflect the present value of this obligation.</w:t>
      </w:r>
    </w:p>
    <w:p w:rsidR="003E6989" w:rsidRDefault="003E6989" w:rsidP="003E6989">
      <w:pPr>
        <w:pStyle w:val="12line"/>
        <w:rPr>
          <w:lang w:eastAsia="en-AU"/>
        </w:rPr>
      </w:pPr>
    </w:p>
    <w:p w:rsidR="003E6989" w:rsidRPr="00551BF9" w:rsidRDefault="003E6989" w:rsidP="003E6989">
      <w:pPr>
        <w:spacing w:line="240" w:lineRule="auto"/>
        <w:rPr>
          <w:sz w:val="20"/>
          <w:lang w:eastAsia="en-AU"/>
        </w:rPr>
        <w:sectPr w:rsidR="003E6989" w:rsidRPr="00551BF9" w:rsidSect="006A5410">
          <w:pgSz w:w="11906" w:h="16838"/>
          <w:pgMar w:top="1134" w:right="1134" w:bottom="1134" w:left="1134" w:header="958" w:footer="737" w:gutter="0"/>
          <w:cols w:space="720"/>
        </w:sectPr>
      </w:pPr>
      <w:r>
        <w:rPr>
          <w:lang w:eastAsia="en-AU"/>
        </w:rPr>
        <w:br w:type="page"/>
      </w:r>
    </w:p>
    <w:p w:rsidR="003E6989" w:rsidRDefault="003E6989" w:rsidP="003E6989">
      <w:pPr>
        <w:pStyle w:val="SectionHeading"/>
      </w:pPr>
      <w:bookmarkStart w:id="381" w:name="RANGE!D7:D23"/>
      <w:bookmarkStart w:id="382" w:name="_Toc455416739"/>
      <w:bookmarkStart w:id="383" w:name="_Toc463440701"/>
      <w:bookmarkStart w:id="384" w:name="_Toc464726286"/>
      <w:bookmarkStart w:id="385" w:name="_Toc464726630"/>
      <w:bookmarkEnd w:id="381"/>
      <w:r>
        <w:lastRenderedPageBreak/>
        <w:t>Assets and Liabilities Administered on Behalf of Government</w:t>
      </w:r>
      <w:bookmarkEnd w:id="382"/>
      <w:bookmarkEnd w:id="383"/>
      <w:bookmarkEnd w:id="384"/>
      <w:bookmarkEnd w:id="385"/>
    </w:p>
    <w:p w:rsidR="003E6989" w:rsidRPr="00B34BA0" w:rsidRDefault="003E6989" w:rsidP="003E6989">
      <w:bookmarkStart w:id="386" w:name="_Toc443991921"/>
      <w:bookmarkStart w:id="387" w:name="_Toc443991965"/>
      <w:bookmarkStart w:id="388" w:name="_Toc443992027"/>
      <w:bookmarkStart w:id="389" w:name="_Toc443992072"/>
      <w:bookmarkStart w:id="390" w:name="_Toc443992552"/>
      <w:bookmarkStart w:id="391" w:name="_Toc444001425"/>
      <w:bookmarkStart w:id="392" w:name="_Toc444260021"/>
      <w:bookmarkStart w:id="393" w:name="_Toc445116328"/>
      <w:bookmarkStart w:id="394" w:name="_Toc447095784"/>
      <w:bookmarkStart w:id="395" w:name="_Toc447095831"/>
      <w:bookmarkStart w:id="396" w:name="_Toc447095874"/>
      <w:bookmarkStart w:id="397" w:name="_Toc447096070"/>
      <w:bookmarkStart w:id="398" w:name="_Toc447796064"/>
      <w:bookmarkEnd w:id="386"/>
      <w:bookmarkEnd w:id="387"/>
      <w:bookmarkEnd w:id="388"/>
      <w:bookmarkEnd w:id="389"/>
      <w:bookmarkEnd w:id="390"/>
      <w:bookmarkEnd w:id="391"/>
      <w:bookmarkEnd w:id="392"/>
      <w:bookmarkEnd w:id="393"/>
      <w:bookmarkEnd w:id="394"/>
      <w:bookmarkEnd w:id="395"/>
      <w:bookmarkEnd w:id="396"/>
      <w:bookmarkEnd w:id="397"/>
      <w:bookmarkEnd w:id="398"/>
    </w:p>
    <w:p w:rsidR="003E6989" w:rsidRDefault="003E6989" w:rsidP="003E6989">
      <w:pPr>
        <w:pStyle w:val="SubHeading"/>
      </w:pPr>
      <w:bookmarkStart w:id="399" w:name="_Toc455416740"/>
      <w:bookmarkStart w:id="400" w:name="_Toc464726631"/>
      <w:r>
        <w:t>Administered – Financial Assets</w:t>
      </w:r>
      <w:bookmarkEnd w:id="399"/>
      <w:bookmarkEnd w:id="400"/>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401" w:name="Note_ACS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01"/>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4.1A: Cash and cash equivalents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Special accounts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72,092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26,528</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cash and cash equivalents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72,092</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26,528</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402" w:name="Note_ARETABLE1" w:colFirst="0" w:colLast="0"/>
            <w:r>
              <w:rPr>
                <w:rFonts w:cs="Calibri"/>
                <w:b/>
                <w:bCs/>
                <w:szCs w:val="18"/>
                <w:u w:val="single"/>
              </w:rPr>
              <w:t>4.1B: Receivables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402"/>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Good and services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48,482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39,143</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receivables for goods and services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48,482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39,143</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Advances and loans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HECS\HELP</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36,807,652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30,444,858</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Trade Support Loans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145,680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52,960</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 loans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advances and loans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36,953,923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30,497,818</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Other receivables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GST receivable from  Australian Taxation Office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39,821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16,536</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Higher Education Superannuation Program</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392,000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382,000</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Personal benefits receivable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465,440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other receivables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897,261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398,536</w:t>
            </w:r>
          </w:p>
        </w:tc>
      </w:tr>
      <w:tr w:rsidR="003E6989" w:rsidTr="006A5410">
        <w:trPr>
          <w:trHeight w:val="27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receivables (gross)</w:t>
            </w:r>
          </w:p>
        </w:tc>
        <w:tc>
          <w:tcPr>
            <w:tcW w:w="1238"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37,899,666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30,935,497</w:t>
            </w:r>
          </w:p>
        </w:tc>
      </w:tr>
      <w:tr w:rsidR="003E6989" w:rsidTr="006A5410">
        <w:trPr>
          <w:trHeight w:val="27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Less impairment allowance </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(11,557)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(7,523)</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Personal benefits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(17,709)</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Total impairment allowance </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(29,266)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(7,523)</w:t>
            </w:r>
          </w:p>
        </w:tc>
      </w:tr>
      <w:tr w:rsidR="003E6989" w:rsidTr="006A5410">
        <w:trPr>
          <w:trHeight w:val="27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receivables (net)</w:t>
            </w:r>
          </w:p>
        </w:tc>
        <w:tc>
          <w:tcPr>
            <w:tcW w:w="1238"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37,870,400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30,927,974</w:t>
            </w:r>
          </w:p>
        </w:tc>
      </w:tr>
      <w:tr w:rsidR="003E6989" w:rsidTr="006A5410">
        <w:trPr>
          <w:trHeight w:val="27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Receivables (net) expected to be recovered</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486,514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48,156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37,383,886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30,879,818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receivables (net)</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37,870,400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30,927,974</w:t>
            </w:r>
          </w:p>
        </w:tc>
      </w:tr>
    </w:tbl>
    <w:p w:rsidR="003E6989" w:rsidRDefault="003E6989" w:rsidP="003E6989">
      <w:pPr>
        <w:pStyle w:val="GreyShadeTableBreak"/>
      </w:pPr>
      <w:bookmarkStart w:id="403" w:name="RANGE!D7:G53"/>
      <w:bookmarkStart w:id="404" w:name="RANGE!D6:G52"/>
      <w:bookmarkEnd w:id="403"/>
      <w:bookmarkEnd w:id="404"/>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405" w:name="RANGE!D40:D84"/>
            <w:bookmarkStart w:id="406" w:name="Note_ARETABLE2" w:colFirst="0" w:colLast="0"/>
            <w:r>
              <w:rPr>
                <w:rFonts w:ascii="Arial" w:hAnsi="Arial" w:cs="Arial"/>
                <w:sz w:val="16"/>
                <w:szCs w:val="16"/>
              </w:rPr>
              <w:lastRenderedPageBreak/>
              <w:t> </w:t>
            </w:r>
            <w:bookmarkEnd w:id="405"/>
          </w:p>
        </w:tc>
        <w:tc>
          <w:tcPr>
            <w:tcW w:w="1238"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06"/>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Receivables (gross) aged as follows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37,829,587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30,926,104 </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Overdue by</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0 to 30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299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549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31 to 60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170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910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61 to 90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77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33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69,533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7,901 </w:t>
            </w:r>
          </w:p>
        </w:tc>
      </w:tr>
      <w:tr w:rsidR="003E6989" w:rsidTr="006A5410">
        <w:trPr>
          <w:trHeight w:val="240"/>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receivables (gross)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37,899,666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30,935,497</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The impairment allowance aged as follows</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Not overdue</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(4,348)</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Overdue by</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0 to 30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(77)</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31 to 60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61 to 90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200" w:firstLine="360"/>
              <w:rPr>
                <w:rFonts w:cs="Calibri"/>
                <w:szCs w:val="18"/>
              </w:rPr>
            </w:pPr>
            <w:r>
              <w:rPr>
                <w:rFonts w:cs="Calibri"/>
                <w:szCs w:val="18"/>
              </w:rPr>
              <w:t>More than 90 days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(24,884)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(7,446)</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xml:space="preserve">Total impairment allowance </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(29,266)</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(7,523)</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r>
      <w:tr w:rsidR="003E6989" w:rsidTr="006A5410">
        <w:trPr>
          <w:trHeight w:val="480"/>
        </w:trPr>
        <w:tc>
          <w:tcPr>
            <w:tcW w:w="8982" w:type="dxa"/>
            <w:gridSpan w:val="4"/>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Goods and services receivables are with entities external to the Australian Government.  Credit terms are payment within 30 days (2015: 30 days).</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Reconciliation of the Impairment Allowance Account:</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Movements in relation to 2016</w:t>
            </w:r>
          </w:p>
        </w:tc>
        <w:tc>
          <w:tcPr>
            <w:tcW w:w="1238"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6272" w:type="dxa"/>
            <w:tcBorders>
              <w:top w:val="single" w:sz="4" w:space="0" w:color="auto"/>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single" w:sz="4" w:space="0" w:color="auto"/>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Receivables</w:t>
            </w:r>
          </w:p>
        </w:tc>
        <w:tc>
          <w:tcPr>
            <w:tcW w:w="236" w:type="dxa"/>
            <w:tcBorders>
              <w:top w:val="single" w:sz="4" w:space="0" w:color="auto"/>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auto"/>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6272" w:type="dxa"/>
            <w:tcBorders>
              <w:top w:val="single" w:sz="4" w:space="0" w:color="D9D9D9"/>
              <w:left w:val="nil"/>
              <w:bottom w:val="single" w:sz="4" w:space="0" w:color="auto"/>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Opening balance at 1 July 2015</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(7,523)</w:t>
            </w:r>
          </w:p>
        </w:tc>
        <w:tc>
          <w:tcPr>
            <w:tcW w:w="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(7,523)</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Amounts transferred through restructuring</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(19,790)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(19,790)</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Increase (decrease) recognised in net cost of services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(1,953)</w:t>
            </w:r>
          </w:p>
        </w:tc>
        <w:tc>
          <w:tcPr>
            <w:tcW w:w="2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(1,953)</w:t>
            </w:r>
          </w:p>
        </w:tc>
      </w:tr>
      <w:tr w:rsidR="003E6989" w:rsidTr="006A5410">
        <w:trPr>
          <w:trHeight w:val="255"/>
        </w:trPr>
        <w:tc>
          <w:tcPr>
            <w:tcW w:w="6272"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Closing balance at 30 June 2016</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(29,266)</w:t>
            </w:r>
          </w:p>
        </w:tc>
        <w:tc>
          <w:tcPr>
            <w:tcW w:w="236"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(29,266)</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Movements in relation to 2015</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single" w:sz="4" w:space="0" w:color="auto"/>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single" w:sz="4" w:space="0" w:color="auto"/>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Receivables</w:t>
            </w:r>
          </w:p>
        </w:tc>
        <w:tc>
          <w:tcPr>
            <w:tcW w:w="236" w:type="dxa"/>
            <w:tcBorders>
              <w:top w:val="single" w:sz="4" w:space="0" w:color="auto"/>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c>
          <w:tcPr>
            <w:tcW w:w="1236" w:type="dxa"/>
            <w:tcBorders>
              <w:top w:val="single" w:sz="4" w:space="0" w:color="auto"/>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Total</w:t>
            </w:r>
          </w:p>
        </w:tc>
      </w:tr>
      <w:tr w:rsidR="003E6989" w:rsidTr="006A5410">
        <w:trPr>
          <w:trHeight w:val="255"/>
        </w:trPr>
        <w:tc>
          <w:tcPr>
            <w:tcW w:w="6272" w:type="dxa"/>
            <w:tcBorders>
              <w:top w:val="single" w:sz="4" w:space="0" w:color="D9D9D9"/>
              <w:left w:val="nil"/>
              <w:bottom w:val="single" w:sz="4" w:space="0" w:color="auto"/>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c>
          <w:tcPr>
            <w:tcW w:w="236"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c>
          <w:tcPr>
            <w:tcW w:w="1236" w:type="dxa"/>
            <w:tcBorders>
              <w:top w:val="single" w:sz="4" w:space="0" w:color="D9D9D9"/>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Opening balance at 1 July 2014</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(1,225,966)</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(1,225,966)</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Amounts written off</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(142)</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(142)</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Amounts recovered and reversed</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142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142</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Reversal of previous impairment</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1,200,266 </w:t>
            </w:r>
          </w:p>
        </w:tc>
        <w:tc>
          <w:tcPr>
            <w:tcW w:w="2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1,200,266</w:t>
            </w:r>
          </w:p>
        </w:tc>
      </w:tr>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Amounts transferred through restructuring</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36,559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36,559</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Increase/decrease recognised in net surplus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(18,382)</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(18,382)</w:t>
            </w:r>
          </w:p>
        </w:tc>
      </w:tr>
      <w:tr w:rsidR="003E6989" w:rsidTr="006A5410">
        <w:trPr>
          <w:trHeight w:val="255"/>
        </w:trPr>
        <w:tc>
          <w:tcPr>
            <w:tcW w:w="6272"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Closing balance at 30 June 2015</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(7,523)</w:t>
            </w:r>
          </w:p>
        </w:tc>
        <w:tc>
          <w:tcPr>
            <w:tcW w:w="236"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(7,523)</w:t>
            </w:r>
          </w:p>
        </w:tc>
      </w:tr>
    </w:tbl>
    <w:p w:rsidR="003E6989" w:rsidRDefault="003E6989" w:rsidP="003E6989">
      <w:pPr>
        <w:pStyle w:val="GreyShadeTableBreak"/>
      </w:pPr>
      <w:bookmarkStart w:id="407" w:name="RANGE!D40:G84"/>
      <w:bookmarkStart w:id="408" w:name="RANGE!D41:G85"/>
      <w:bookmarkStart w:id="409" w:name="RANGE!D41:G84"/>
      <w:bookmarkStart w:id="410" w:name="RANGE!D41:G83"/>
      <w:bookmarkStart w:id="411" w:name="RANGE!D41:H83"/>
      <w:bookmarkStart w:id="412" w:name="RANGE!D41:H82"/>
      <w:bookmarkStart w:id="413" w:name="RANGE!D41:H81"/>
      <w:bookmarkStart w:id="414" w:name="RANGE!D43:G83"/>
      <w:bookmarkEnd w:id="407"/>
      <w:bookmarkEnd w:id="408"/>
      <w:bookmarkEnd w:id="409"/>
      <w:bookmarkEnd w:id="410"/>
      <w:bookmarkEnd w:id="411"/>
      <w:bookmarkEnd w:id="412"/>
      <w:bookmarkEnd w:id="413"/>
      <w:bookmarkEnd w:id="414"/>
    </w:p>
    <w:p w:rsidR="003E6989" w:rsidRDefault="003E6989" w:rsidP="003E6989">
      <w:pPr>
        <w:spacing w:line="240" w:lineRule="auto"/>
      </w:pPr>
      <w:r>
        <w:br w:type="page"/>
      </w:r>
    </w:p>
    <w:p w:rsidR="003E6989" w:rsidRDefault="003E6989" w:rsidP="003E6989">
      <w:pPr>
        <w:pStyle w:val="PolicyTextAdminbold"/>
      </w:pPr>
      <w:r>
        <w:lastRenderedPageBreak/>
        <w:t>Accounting Policy</w:t>
      </w:r>
    </w:p>
    <w:p w:rsidR="003E6989" w:rsidRPr="0044472C" w:rsidRDefault="003E6989" w:rsidP="003E6989">
      <w:pPr>
        <w:pStyle w:val="PlicytextAdminUnderline"/>
      </w:pPr>
      <w:bookmarkStart w:id="415" w:name="RANGE!D42:G82"/>
      <w:bookmarkStart w:id="416" w:name="RANGE!D45:G85"/>
      <w:bookmarkStart w:id="417" w:name="RANGE!D44:G84"/>
      <w:bookmarkEnd w:id="415"/>
      <w:bookmarkEnd w:id="416"/>
      <w:bookmarkEnd w:id="417"/>
      <w:r w:rsidRPr="0044472C">
        <w:t>Loans and receivables</w:t>
      </w:r>
    </w:p>
    <w:p w:rsidR="003E6989" w:rsidRPr="004F2332" w:rsidRDefault="003E6989" w:rsidP="003E6989">
      <w:pPr>
        <w:pStyle w:val="PolicyTextAdmin"/>
        <w:spacing w:after="120"/>
      </w:pPr>
      <w:r w:rsidRPr="004F2332">
        <w:t>Where loans and receivables are not subject to concessional treatment, they are carried at amortised cost using the effective interest method.  Gains and losses due to impairment</w:t>
      </w:r>
      <w:r>
        <w:t>,</w:t>
      </w:r>
      <w:r w:rsidRPr="004F2332">
        <w:t xml:space="preserve"> derecognition and amortisation are recognised through profit or loss.  </w:t>
      </w:r>
    </w:p>
    <w:p w:rsidR="003E6989" w:rsidRPr="004F2332" w:rsidRDefault="003E6989" w:rsidP="003E6989">
      <w:pPr>
        <w:pStyle w:val="PolicyTextAdmin"/>
        <w:spacing w:after="120"/>
      </w:pPr>
      <w:r w:rsidRPr="004F2332">
        <w:t xml:space="preserve">The HELP scheme is administered under the </w:t>
      </w:r>
      <w:r w:rsidRPr="000B0704">
        <w:rPr>
          <w:i/>
        </w:rPr>
        <w:t>Higher Education Support Act 2003</w:t>
      </w:r>
      <w:r w:rsidRPr="004F2332">
        <w:t>. HELP consists of HECS-HELP, FEE-HELP, OS-HELP and VET FEE-HELP, and any resulting debts are called a HELP debt.</w:t>
      </w:r>
    </w:p>
    <w:p w:rsidR="003E6989" w:rsidRPr="004F2332" w:rsidRDefault="003E6989" w:rsidP="003E6989">
      <w:pPr>
        <w:pStyle w:val="PolicyTextAdmin"/>
        <w:spacing w:after="120"/>
      </w:pPr>
      <w:r w:rsidRPr="004F2332">
        <w:t>The HELP debts are reflected as a receivable in the Schedule of Administered Items.  The Australian Taxation Office (ATO) collects repayments of debts through the PAYG income tax system and voluntary repayments.</w:t>
      </w:r>
    </w:p>
    <w:p w:rsidR="003E6989" w:rsidRDefault="003E6989" w:rsidP="003E6989">
      <w:pPr>
        <w:pStyle w:val="PolicyTextAdmin"/>
        <w:spacing w:after="120"/>
      </w:pPr>
      <w:r w:rsidRPr="004F2332">
        <w:t xml:space="preserve">The department has recorded the total accumulated HECS and / or HELP debt in its financial statements at fair value in accordance with </w:t>
      </w:r>
      <w:r w:rsidRPr="000B0704">
        <w:rPr>
          <w:i/>
        </w:rPr>
        <w:t>AASB 139 Financial Instruments: Recognition and Measurement</w:t>
      </w:r>
      <w:r w:rsidRPr="004F2332">
        <w:t>. This varies from the debt level shown in the ATO certificate.</w:t>
      </w:r>
    </w:p>
    <w:p w:rsidR="003E6989" w:rsidRPr="00510ED1" w:rsidRDefault="003E6989" w:rsidP="003E6989">
      <w:pPr>
        <w:pStyle w:val="PolicyTextAdmin"/>
        <w:spacing w:after="120"/>
      </w:pPr>
      <w:r w:rsidRPr="00510ED1">
        <w:t>In the actuarial report for 2015-16 attention was drawn to an adjustment to the opening balance of the fair value of the HELP receivable. A number of VET FEE-HELP (VFH) providers are subject to litigation matters surrounding malpractice. Based on the evidence, the actuary deemed the outstanding debt</w:t>
      </w:r>
      <w:r>
        <w:t xml:space="preserve"> for 20 per</w:t>
      </w:r>
      <w:r w:rsidRPr="00510ED1">
        <w:t xml:space="preserve">cent </w:t>
      </w:r>
      <w:r>
        <w:t>of those</w:t>
      </w:r>
      <w:r w:rsidRPr="00510ED1">
        <w:t xml:space="preserve"> who incurred a VFH debt in 2014 and 2015 as effectively irrecoverable, thus removing around $1.2 billion of the debt. This has not led to any restatement of comparatives, however the implications of this irrecoverable amount have been incorporated into the total movement (reflected through profit and loss) of the total HELP receivable.</w:t>
      </w:r>
    </w:p>
    <w:p w:rsidR="003E6989" w:rsidRPr="004F2332" w:rsidRDefault="003E6989" w:rsidP="003E6989">
      <w:pPr>
        <w:pStyle w:val="PolicyTextAdmin"/>
        <w:spacing w:after="120"/>
      </w:pPr>
      <w:r w:rsidRPr="004F2332">
        <w:t>Administered receivables, including those relating to personal benefit overpayments, represent debts owed to the department by past and present customers. All debts known to be irrecoverable are excluded from the value of administered receivables.</w:t>
      </w:r>
    </w:p>
    <w:p w:rsidR="003E6989" w:rsidRPr="004F2332" w:rsidRDefault="003E6989" w:rsidP="003E6989">
      <w:pPr>
        <w:pStyle w:val="PolicyTextAdmin"/>
        <w:spacing w:after="120"/>
      </w:pPr>
      <w:r w:rsidRPr="004F2332">
        <w:t>Independent valuations are conducted with sufficient frequency to ensure that the carrying amounts of impairment allowances for doubtful debts does not differ materially from the fair value as at the reporting date. The regularity of independent valuations depends upon the volatility of movements in the programs.</w:t>
      </w:r>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418" w:name="Note_AOVTABLE1" w:colFirst="0" w:colLast="0"/>
            <w:r>
              <w:rPr>
                <w:rFonts w:ascii="Arial" w:hAnsi="Arial" w:cs="Arial"/>
                <w:sz w:val="16"/>
                <w:szCs w:val="16"/>
              </w:rPr>
              <w:lastRenderedPageBreak/>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18"/>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4.1C: Other investments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Other Investments: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8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Australian Institute for Teaching and School Leadership</w:t>
            </w:r>
            <w:r>
              <w:rPr>
                <w:rFonts w:cs="Calibri"/>
                <w:szCs w:val="18"/>
                <w:vertAlign w:val="superscript"/>
              </w:rPr>
              <w:t>1</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4,693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4,687</w:t>
            </w:r>
          </w:p>
        </w:tc>
      </w:tr>
      <w:tr w:rsidR="003E6989" w:rsidTr="006A5410">
        <w:trPr>
          <w:trHeight w:val="28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Australian Curriculum, Assessment and Reporting Authority</w:t>
            </w:r>
            <w:r>
              <w:rPr>
                <w:rFonts w:cs="Calibri"/>
                <w:szCs w:val="18"/>
                <w:vertAlign w:val="superscript"/>
              </w:rPr>
              <w:t>2</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643</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2,108</w:t>
            </w:r>
          </w:p>
        </w:tc>
      </w:tr>
      <w:tr w:rsidR="003E6989" w:rsidTr="006A5410">
        <w:trPr>
          <w:trHeight w:val="28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Australian National University</w:t>
            </w:r>
            <w:r>
              <w:rPr>
                <w:rFonts w:cs="Calibri"/>
                <w:szCs w:val="18"/>
                <w:vertAlign w:val="superscript"/>
              </w:rPr>
              <w:t>3</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2,076,100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2,104,675</w:t>
            </w:r>
          </w:p>
        </w:tc>
      </w:tr>
      <w:tr w:rsidR="003E6989" w:rsidTr="006A5410">
        <w:trPr>
          <w:trHeight w:val="285"/>
        </w:trPr>
        <w:tc>
          <w:tcPr>
            <w:tcW w:w="6272"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Australian Institute of Aboriginal and Torres Strait Islander Studies</w:t>
            </w:r>
            <w:r>
              <w:rPr>
                <w:rFonts w:cs="Calibri"/>
                <w:szCs w:val="18"/>
                <w:vertAlign w:val="superscript"/>
              </w:rPr>
              <w:t>4</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36,901</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38,460</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investments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single" w:sz="4" w:space="0" w:color="D9D9D9"/>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Other investments expected to be recovered </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investments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r>
    </w:tbl>
    <w:p w:rsidR="003E6989" w:rsidRDefault="003E6989" w:rsidP="003E6989">
      <w:pPr>
        <w:pStyle w:val="GreyShadeTableBreak"/>
      </w:pPr>
      <w:bookmarkStart w:id="419" w:name="RANGE!D7:D21"/>
      <w:bookmarkStart w:id="420" w:name="RANGE!D7:G19"/>
      <w:bookmarkStart w:id="421" w:name="RANGE!D7:H25"/>
      <w:bookmarkStart w:id="422" w:name="RANGE!D6:G48"/>
      <w:bookmarkStart w:id="423" w:name="RANGE!D6:H54"/>
      <w:bookmarkEnd w:id="419"/>
      <w:bookmarkEnd w:id="420"/>
      <w:bookmarkEnd w:id="421"/>
      <w:bookmarkEnd w:id="422"/>
      <w:bookmarkEnd w:id="423"/>
    </w:p>
    <w:tbl>
      <w:tblPr>
        <w:tblW w:w="9090" w:type="dxa"/>
        <w:tblInd w:w="28" w:type="dxa"/>
        <w:shd w:val="clear" w:color="auto" w:fill="D9D9D9" w:themeFill="background1" w:themeFillShade="D9"/>
        <w:tblLayout w:type="fixed"/>
        <w:tblCellMar>
          <w:left w:w="57" w:type="dxa"/>
          <w:right w:w="57" w:type="dxa"/>
        </w:tblCellMar>
        <w:tblLook w:val="01E0" w:firstRow="1" w:lastRow="1" w:firstColumn="1" w:lastColumn="1" w:noHBand="0" w:noVBand="0"/>
      </w:tblPr>
      <w:tblGrid>
        <w:gridCol w:w="9090"/>
      </w:tblGrid>
      <w:tr w:rsidR="003E6989" w:rsidTr="006A5410">
        <w:trPr>
          <w:trHeight w:val="255"/>
        </w:trPr>
        <w:tc>
          <w:tcPr>
            <w:tcW w:w="9088" w:type="dxa"/>
            <w:shd w:val="clear" w:color="auto" w:fill="D9D9D9" w:themeFill="background1" w:themeFillShade="D9"/>
            <w:vAlign w:val="bottom"/>
            <w:hideMark/>
          </w:tcPr>
          <w:p w:rsidR="003E6989" w:rsidRDefault="003E6989" w:rsidP="006A5410">
            <w:pPr>
              <w:pStyle w:val="AdminBlankGreyShade"/>
            </w:pPr>
            <w:r>
              <w:rPr>
                <w:sz w:val="22"/>
              </w:rPr>
              <w:br w:type="page"/>
            </w:r>
            <w:r>
              <w:t>The department retains 100 per cent ownership of each of the listed investments.  The principle activity of the department’s administered investments is as follows:</w:t>
            </w:r>
          </w:p>
          <w:p w:rsidR="003E6989" w:rsidRDefault="003E6989" w:rsidP="006A5410">
            <w:pPr>
              <w:pStyle w:val="AdminBlankGreyShade"/>
            </w:pPr>
            <w:r>
              <w:rPr>
                <w:vertAlign w:val="superscript"/>
              </w:rPr>
              <w:t>1</w:t>
            </w:r>
            <w:r>
              <w:rPr>
                <w:i/>
              </w:rPr>
              <w:t xml:space="preserve"> Australian Institute for Teaching and School Leadership Ltd</w:t>
            </w:r>
            <w:r>
              <w:t xml:space="preserve"> – supports and enhances the teaching profession for the benefit of all Australians.</w:t>
            </w:r>
          </w:p>
          <w:p w:rsidR="003E6989" w:rsidRDefault="003E6989" w:rsidP="006A5410">
            <w:pPr>
              <w:pStyle w:val="AdminBlankGreyShade"/>
            </w:pPr>
            <w:r>
              <w:rPr>
                <w:vertAlign w:val="superscript"/>
              </w:rPr>
              <w:t>2</w:t>
            </w:r>
            <w:r>
              <w:t xml:space="preserve"> </w:t>
            </w:r>
            <w:r>
              <w:rPr>
                <w:i/>
              </w:rPr>
              <w:t>Australian Curriculum, Assessment and Reporting Authority</w:t>
            </w:r>
            <w:r>
              <w:t xml:space="preserve"> – executes the policy directions that are determined by the Ministerial Council for Education, Early Childhood Development and Youth Affairs regarding curriculum, assessment, data collection and reporting at a national level.</w:t>
            </w:r>
          </w:p>
          <w:p w:rsidR="003E6989" w:rsidRDefault="003E6989" w:rsidP="006A5410">
            <w:pPr>
              <w:pStyle w:val="AdminBlankGreyShade"/>
            </w:pPr>
            <w:r w:rsidRPr="00980EE1">
              <w:rPr>
                <w:vertAlign w:val="superscript"/>
              </w:rPr>
              <w:t>3</w:t>
            </w:r>
            <w:r>
              <w:t xml:space="preserve"> </w:t>
            </w:r>
            <w:r w:rsidRPr="00980EE1">
              <w:rPr>
                <w:i/>
              </w:rPr>
              <w:t>Australian National University</w:t>
            </w:r>
            <w:r>
              <w:t xml:space="preserve"> – provision of research and teaching services.</w:t>
            </w:r>
          </w:p>
          <w:p w:rsidR="003E6989" w:rsidRDefault="003E6989" w:rsidP="006A5410">
            <w:pPr>
              <w:pStyle w:val="AdminBlankGreyShade"/>
            </w:pPr>
            <w:r>
              <w:rPr>
                <w:vertAlign w:val="superscript"/>
              </w:rPr>
              <w:t xml:space="preserve">4 </w:t>
            </w:r>
            <w:r>
              <w:rPr>
                <w:i/>
              </w:rPr>
              <w:t>Australian Institute of Aboriginal and Torres Strait Islander Studies</w:t>
            </w:r>
            <w:r>
              <w:t xml:space="preserve"> – building pathways for the knowledge of Aboriginal and Torres Strait Islander peoples to grow and share.</w:t>
            </w:r>
          </w:p>
          <w:p w:rsidR="003E6989" w:rsidRDefault="003E6989" w:rsidP="006A5410">
            <w:pPr>
              <w:pStyle w:val="AdminBlankGreyShade"/>
            </w:pPr>
          </w:p>
        </w:tc>
      </w:tr>
    </w:tbl>
    <w:p w:rsidR="003E6989" w:rsidRDefault="003E6989" w:rsidP="003E6989">
      <w:pPr>
        <w:pStyle w:val="GreyShadeTableBreak"/>
      </w:pPr>
    </w:p>
    <w:p w:rsidR="003E6989" w:rsidRPr="00E84097" w:rsidRDefault="003E6989" w:rsidP="003E6989">
      <w:pPr>
        <w:pStyle w:val="PolicyTextAdminbold"/>
        <w:spacing w:before="100" w:after="100" w:line="240" w:lineRule="auto"/>
      </w:pPr>
      <w:r w:rsidRPr="00E84097">
        <w:t>Accounting Policy</w:t>
      </w:r>
    </w:p>
    <w:p w:rsidR="003E6989" w:rsidRPr="00E84097" w:rsidRDefault="003E6989" w:rsidP="003E6989">
      <w:pPr>
        <w:pStyle w:val="PlicytextAdminUnderline"/>
        <w:spacing w:before="100" w:after="100" w:line="240" w:lineRule="auto"/>
      </w:pPr>
      <w:r w:rsidRPr="00E84097">
        <w:t>Administered investments</w:t>
      </w:r>
    </w:p>
    <w:p w:rsidR="003E6989" w:rsidRDefault="003E6989" w:rsidP="003E6989">
      <w:pPr>
        <w:pStyle w:val="PolicyTextAdmin"/>
        <w:spacing w:before="100" w:after="100" w:line="240" w:lineRule="auto"/>
      </w:pPr>
      <w:r w:rsidRPr="006557EB">
        <w:t>Administered investments in subsidiaries, joint ventures and associates are not consolidated because their consolidation is relevant only at the Whole of Government level.</w:t>
      </w:r>
    </w:p>
    <w:p w:rsidR="003E6989" w:rsidRPr="006557EB" w:rsidRDefault="003E6989" w:rsidP="003E6989">
      <w:pPr>
        <w:pStyle w:val="PolicyTextAdmin"/>
        <w:spacing w:before="100" w:after="100" w:line="240" w:lineRule="auto"/>
      </w:pPr>
      <w:r w:rsidRPr="006557EB">
        <w:t xml:space="preserve">Administered investments other than those held for sale are classified as available–for–sale and are measured at their fair value as at 30 June </w:t>
      </w:r>
      <w:r w:rsidR="00403CAE">
        <w:t>2016</w:t>
      </w:r>
      <w:r w:rsidRPr="006557EB">
        <w:t>.  Fair value has been taken to be the Australian Government's proportional interest in the net assets of the entities as at the end of the reporting period.</w:t>
      </w:r>
    </w:p>
    <w:p w:rsidR="003E6989" w:rsidRDefault="003E6989" w:rsidP="003E6989">
      <w:pPr>
        <w:spacing w:line="240" w:lineRule="auto"/>
      </w:pPr>
    </w:p>
    <w:p w:rsidR="003E6989" w:rsidRDefault="003E6989" w:rsidP="003E6989">
      <w:pPr>
        <w:spacing w:line="240" w:lineRule="auto"/>
      </w:pPr>
      <w:r>
        <w:br w:type="page"/>
      </w:r>
    </w:p>
    <w:p w:rsidR="003E6989" w:rsidRDefault="003E6989" w:rsidP="003E6989">
      <w:pPr>
        <w:pStyle w:val="SubHeading"/>
      </w:pPr>
      <w:bookmarkStart w:id="424" w:name="_Toc455416741"/>
      <w:bookmarkStart w:id="425" w:name="_Toc464726632"/>
      <w:r>
        <w:lastRenderedPageBreak/>
        <w:t>Administered – Non-Financial Asset</w:t>
      </w:r>
      <w:bookmarkEnd w:id="424"/>
      <w:bookmarkEnd w:id="425"/>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40"/>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426" w:name="Note_ANFTABLE1" w:colFirst="0" w:colLast="0"/>
            <w:r>
              <w:rPr>
                <w:rFonts w:ascii="Arial" w:hAnsi="Arial" w:cs="Arial"/>
                <w:sz w:val="16"/>
                <w:szCs w:val="16"/>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26"/>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4.2A: Other non-financial assets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Prepayments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Other non-financial assets expected to be recovered</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240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70"/>
        </w:trPr>
        <w:tc>
          <w:tcPr>
            <w:tcW w:w="6272"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non-financial assets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pStyle w:val="GreyShadeTableBreak"/>
      </w:pPr>
    </w:p>
    <w:p w:rsidR="003E6989" w:rsidRDefault="003E6989" w:rsidP="003E6989">
      <w:pPr>
        <w:pStyle w:val="GreyShadeTableBreak"/>
      </w:pPr>
      <w:r>
        <w:t xml:space="preserve">No indicators of impairment were found for other non-financial assets. </w:t>
      </w:r>
    </w:p>
    <w:p w:rsidR="003E6989" w:rsidRDefault="003E6989" w:rsidP="003E6989">
      <w:pPr>
        <w:pStyle w:val="GreyShadeTableBreak"/>
      </w:pPr>
    </w:p>
    <w:p w:rsidR="003E6989" w:rsidRDefault="003E6989" w:rsidP="003E6989">
      <w:pPr>
        <w:spacing w:line="240" w:lineRule="auto"/>
      </w:pPr>
      <w:r>
        <w:br w:type="page"/>
      </w:r>
    </w:p>
    <w:p w:rsidR="003E6989" w:rsidRDefault="003E6989" w:rsidP="003E6989">
      <w:pPr>
        <w:pStyle w:val="SubHeading"/>
      </w:pPr>
      <w:bookmarkStart w:id="427" w:name="_Toc455416742"/>
      <w:bookmarkStart w:id="428" w:name="_Toc464726633"/>
      <w:r>
        <w:t>Administered - Payables</w:t>
      </w:r>
      <w:bookmarkEnd w:id="427"/>
      <w:bookmarkEnd w:id="428"/>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bookmarkStart w:id="429" w:name="Note_ASPTABLE1" w:colFirst="0" w:colLast="0"/>
            <w:r>
              <w:rPr>
                <w:rFonts w:cs="Calibri"/>
                <w:b/>
                <w:bCs/>
                <w:szCs w:val="18"/>
              </w:rPr>
              <w:t> </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29"/>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4.3A: Suppliers</w:t>
            </w:r>
          </w:p>
        </w:tc>
        <w:tc>
          <w:tcPr>
            <w:tcW w:w="1238"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right w:val="nil"/>
            </w:tcBorders>
            <w:shd w:val="clear" w:color="000000" w:fill="D9D9D9"/>
            <w:noWrap/>
            <w:vAlign w:val="bottom"/>
            <w:hideMark/>
          </w:tcPr>
          <w:p w:rsidR="003E6989" w:rsidRDefault="003E6989" w:rsidP="006A5410">
            <w:pPr>
              <w:rPr>
                <w:rFonts w:cs="Calibri"/>
                <w:szCs w:val="18"/>
              </w:rPr>
            </w:pPr>
            <w:r>
              <w:rPr>
                <w:rFonts w:cs="Calibri"/>
                <w:szCs w:val="18"/>
              </w:rPr>
              <w:t>Trade creditors and accruals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57,624</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54,235</w:t>
            </w:r>
          </w:p>
        </w:tc>
      </w:tr>
      <w:tr w:rsidR="003E6989" w:rsidTr="006A5410">
        <w:trPr>
          <w:trHeight w:val="270"/>
        </w:trPr>
        <w:tc>
          <w:tcPr>
            <w:tcW w:w="6272"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suppliers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57,624</w:t>
            </w:r>
          </w:p>
        </w:tc>
        <w:tc>
          <w:tcPr>
            <w:tcW w:w="236" w:type="dxa"/>
            <w:tcBorders>
              <w:top w:val="single" w:sz="4" w:space="0" w:color="D9D9D9"/>
              <w:left w:val="nil"/>
              <w:bottom w:val="single" w:sz="24" w:space="0" w:color="D8D8D8"/>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54,235</w:t>
            </w:r>
          </w:p>
        </w:tc>
      </w:tr>
    </w:tbl>
    <w:p w:rsidR="003E6989" w:rsidRDefault="003E6989" w:rsidP="003E6989">
      <w:pPr>
        <w:pStyle w:val="GreyShadeTableBreak"/>
        <w:tabs>
          <w:tab w:val="clear" w:pos="9214"/>
          <w:tab w:val="right" w:pos="9031"/>
        </w:tabs>
      </w:pPr>
      <w:r>
        <w:t xml:space="preserve">Settlement was usually made within 30 days. All suppliers were expected to be settled no more than 12 months. </w:t>
      </w:r>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430" w:name="Note_APPTABLE1" w:colFirst="0" w:colLast="0"/>
            <w:r>
              <w:rPr>
                <w:rFonts w:cs="Calibri"/>
                <w:b/>
                <w:bCs/>
                <w:szCs w:val="18"/>
                <w:u w:val="single"/>
              </w:rPr>
              <w:t>4.3B: Personal benefits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bookmarkEnd w:id="430"/>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Direct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13,899</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Indirect</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135,372</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personal benefits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149,271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Personal benefits expected to be settled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272"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149,271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70"/>
        </w:trPr>
        <w:tc>
          <w:tcPr>
            <w:tcW w:w="6272"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personal benefits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149,271</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single" w:sz="4" w:space="0" w:color="D9D9D9"/>
              <w:right w:val="nil"/>
            </w:tcBorders>
            <w:shd w:val="clear" w:color="000000" w:fill="D9D9D9"/>
            <w:noWrap/>
            <w:hideMark/>
          </w:tcPr>
          <w:p w:rsidR="003E6989" w:rsidRDefault="003E6989" w:rsidP="006A5410">
            <w:pPr>
              <w:rPr>
                <w:rFonts w:cs="Calibri"/>
                <w:b/>
                <w:bCs/>
                <w:szCs w:val="18"/>
                <w:u w:val="single"/>
              </w:rPr>
            </w:pPr>
            <w:bookmarkStart w:id="431" w:name="Note_AGPTABLE1" w:colFirst="0" w:colLast="0"/>
            <w:r>
              <w:rPr>
                <w:rFonts w:cs="Calibri"/>
                <w:b/>
                <w:bCs/>
                <w:szCs w:val="18"/>
                <w:u w:val="single"/>
              </w:rPr>
              <w:t>4.3C: Grants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431"/>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Public sector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State and Territory Governments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4,435</w:t>
            </w:r>
          </w:p>
        </w:tc>
      </w:tr>
      <w:tr w:rsidR="003E6989" w:rsidTr="006A5410">
        <w:trPr>
          <w:trHeight w:val="255"/>
        </w:trPr>
        <w:tc>
          <w:tcPr>
            <w:tcW w:w="6272"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Private sector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Non-profit organisations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481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196</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1F2C80">
            <w:pPr>
              <w:ind w:left="204"/>
              <w:rPr>
                <w:rFonts w:cs="Calibri"/>
                <w:szCs w:val="18"/>
              </w:rPr>
            </w:pPr>
            <w:r>
              <w:rPr>
                <w:rFonts w:cs="Calibri"/>
                <w:szCs w:val="18"/>
              </w:rPr>
              <w:t>Other</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2,837</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31,615</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grants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3,318</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36,246</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Grants expected to be settled</w:t>
            </w:r>
          </w:p>
        </w:tc>
        <w:tc>
          <w:tcPr>
            <w:tcW w:w="1238"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3,318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36,246 </w:t>
            </w:r>
          </w:p>
        </w:tc>
      </w:tr>
      <w:tr w:rsidR="003E6989" w:rsidTr="006A5410">
        <w:trPr>
          <w:trHeight w:val="270"/>
        </w:trPr>
        <w:tc>
          <w:tcPr>
            <w:tcW w:w="6272"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grants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3,318</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36,246</w:t>
            </w:r>
          </w:p>
        </w:tc>
      </w:tr>
    </w:tbl>
    <w:p w:rsidR="003E6989" w:rsidRPr="00E535A5" w:rsidRDefault="003E6989" w:rsidP="003E6989">
      <w:pPr>
        <w:pStyle w:val="GreyShadeTableBreak"/>
      </w:pPr>
    </w:p>
    <w:p w:rsidR="003E6989" w:rsidRPr="00E535A5" w:rsidRDefault="003E6989" w:rsidP="003E6989">
      <w:pPr>
        <w:pStyle w:val="GreyShadeTableBreak"/>
      </w:pPr>
      <w:r w:rsidRPr="00E535A5">
        <w:t>Settlement is usually made according to the terms and conditions of each grant.  This is usually within 30 days of performance or eligibility.</w:t>
      </w:r>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432" w:name="Note_AOPTABLE1" w:colFirst="0" w:colLast="0"/>
            <w:r>
              <w:rPr>
                <w:rFonts w:cs="Calibri"/>
                <w:b/>
                <w:bCs/>
                <w:szCs w:val="18"/>
                <w:u w:val="single"/>
              </w:rPr>
              <w:t>4.3D: Other payables</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432"/>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Statutory payable</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37,081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17,701</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payables</w:t>
            </w:r>
          </w:p>
        </w:tc>
        <w:tc>
          <w:tcPr>
            <w:tcW w:w="123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37,081</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17,701</w:t>
            </w:r>
          </w:p>
        </w:tc>
      </w:tr>
      <w:tr w:rsidR="003E6989" w:rsidTr="006A5410">
        <w:trPr>
          <w:trHeight w:val="255"/>
        </w:trPr>
        <w:tc>
          <w:tcPr>
            <w:tcW w:w="62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Other payables expected to be settled</w:t>
            </w:r>
          </w:p>
        </w:tc>
        <w:tc>
          <w:tcPr>
            <w:tcW w:w="1238"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6272"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37,081 </w:t>
            </w:r>
          </w:p>
        </w:tc>
        <w:tc>
          <w:tcPr>
            <w:tcW w:w="2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3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17,701 </w:t>
            </w:r>
          </w:p>
        </w:tc>
      </w:tr>
      <w:tr w:rsidR="003E6989" w:rsidTr="006A5410">
        <w:trPr>
          <w:trHeight w:val="270"/>
        </w:trPr>
        <w:tc>
          <w:tcPr>
            <w:tcW w:w="6272"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payables</w:t>
            </w:r>
          </w:p>
        </w:tc>
        <w:tc>
          <w:tcPr>
            <w:tcW w:w="123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37,081</w:t>
            </w:r>
          </w:p>
        </w:tc>
        <w:tc>
          <w:tcPr>
            <w:tcW w:w="2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17,701</w:t>
            </w:r>
          </w:p>
        </w:tc>
      </w:tr>
    </w:tbl>
    <w:p w:rsidR="003E6989" w:rsidRDefault="003E6989" w:rsidP="003E6989">
      <w:pPr>
        <w:spacing w:line="240" w:lineRule="auto"/>
      </w:pPr>
      <w:bookmarkStart w:id="433" w:name="RANGE!D7:D15"/>
      <w:bookmarkEnd w:id="433"/>
      <w:r>
        <w:br w:type="page"/>
      </w:r>
    </w:p>
    <w:p w:rsidR="003E6989" w:rsidRDefault="003E6989" w:rsidP="003E6989">
      <w:pPr>
        <w:pStyle w:val="SubHeading"/>
      </w:pPr>
      <w:bookmarkStart w:id="434" w:name="_Toc455416743"/>
      <w:bookmarkStart w:id="435" w:name="_Toc464726634"/>
      <w:r>
        <w:t>Administered – Other Provisions</w:t>
      </w:r>
      <w:bookmarkEnd w:id="434"/>
      <w:bookmarkEnd w:id="435"/>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4997"/>
        <w:gridCol w:w="1194"/>
        <w:gridCol w:w="1448"/>
        <w:gridCol w:w="1448"/>
      </w:tblGrid>
      <w:tr w:rsidR="003E6989" w:rsidTr="006A5410">
        <w:trPr>
          <w:trHeight w:val="255"/>
        </w:trPr>
        <w:tc>
          <w:tcPr>
            <w:tcW w:w="6628" w:type="dxa"/>
            <w:gridSpan w:val="3"/>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436" w:name="Note_APTTABLE1" w:colFirst="0" w:colLast="0"/>
            <w:r>
              <w:rPr>
                <w:rFonts w:cs="Calibri"/>
                <w:b/>
                <w:bCs/>
                <w:szCs w:val="18"/>
                <w:u w:val="single"/>
              </w:rPr>
              <w:t>4.4A: Reconciliation of movements in provisions for grants and personal benefits</w:t>
            </w:r>
          </w:p>
        </w:tc>
        <w:tc>
          <w:tcPr>
            <w:tcW w:w="125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r>
      <w:bookmarkEnd w:id="436"/>
      <w:tr w:rsidR="003E6989" w:rsidTr="006A5410">
        <w:trPr>
          <w:trHeight w:val="255"/>
        </w:trPr>
        <w:tc>
          <w:tcPr>
            <w:tcW w:w="433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03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720"/>
        </w:trPr>
        <w:tc>
          <w:tcPr>
            <w:tcW w:w="4336" w:type="dxa"/>
            <w:tcBorders>
              <w:top w:val="single" w:sz="4" w:space="0" w:color="auto"/>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36" w:type="dxa"/>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Provisions for grants</w:t>
            </w:r>
          </w:p>
        </w:tc>
        <w:tc>
          <w:tcPr>
            <w:tcW w:w="1256" w:type="dxa"/>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Provisions for personal benefits</w:t>
            </w:r>
          </w:p>
        </w:tc>
        <w:tc>
          <w:tcPr>
            <w:tcW w:w="1256" w:type="dxa"/>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4336" w:type="dxa"/>
            <w:tcBorders>
              <w:top w:val="nil"/>
              <w:left w:val="nil"/>
              <w:bottom w:val="single" w:sz="4" w:space="0" w:color="auto"/>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36"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256"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43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Opening balance</w:t>
            </w:r>
          </w:p>
        </w:tc>
        <w:tc>
          <w:tcPr>
            <w:tcW w:w="10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6,068,013</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6,068,013</w:t>
            </w:r>
          </w:p>
        </w:tc>
      </w:tr>
      <w:tr w:rsidR="003E6989" w:rsidTr="006A5410">
        <w:trPr>
          <w:trHeight w:val="255"/>
        </w:trPr>
        <w:tc>
          <w:tcPr>
            <w:tcW w:w="43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Additional provisions made</w:t>
            </w:r>
          </w:p>
        </w:tc>
        <w:tc>
          <w:tcPr>
            <w:tcW w:w="10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126,042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126,042</w:t>
            </w:r>
          </w:p>
        </w:tc>
      </w:tr>
      <w:tr w:rsidR="003E6989" w:rsidTr="006A5410">
        <w:trPr>
          <w:trHeight w:val="255"/>
        </w:trPr>
        <w:tc>
          <w:tcPr>
            <w:tcW w:w="43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Amounts used</w:t>
            </w:r>
          </w:p>
        </w:tc>
        <w:tc>
          <w:tcPr>
            <w:tcW w:w="10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(211,363)</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(211,363)</w:t>
            </w:r>
          </w:p>
        </w:tc>
      </w:tr>
      <w:tr w:rsidR="003E6989" w:rsidTr="006A5410">
        <w:trPr>
          <w:trHeight w:val="255"/>
        </w:trPr>
        <w:tc>
          <w:tcPr>
            <w:tcW w:w="43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Increase (decrease) in net cost of services</w:t>
            </w:r>
          </w:p>
        </w:tc>
        <w:tc>
          <w:tcPr>
            <w:tcW w:w="10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1,102,361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1,102,361</w:t>
            </w:r>
          </w:p>
        </w:tc>
      </w:tr>
      <w:tr w:rsidR="003E6989" w:rsidTr="006A5410">
        <w:trPr>
          <w:trHeight w:val="255"/>
        </w:trPr>
        <w:tc>
          <w:tcPr>
            <w:tcW w:w="43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Restructuring</w:t>
            </w:r>
          </w:p>
        </w:tc>
        <w:tc>
          <w:tcPr>
            <w:tcW w:w="103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746,777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746,777</w:t>
            </w:r>
          </w:p>
        </w:tc>
      </w:tr>
      <w:tr w:rsidR="003E6989" w:rsidTr="006A5410">
        <w:trPr>
          <w:trHeight w:val="255"/>
        </w:trPr>
        <w:tc>
          <w:tcPr>
            <w:tcW w:w="4336"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Total as at 30 June 2016</w:t>
            </w:r>
          </w:p>
        </w:tc>
        <w:tc>
          <w:tcPr>
            <w:tcW w:w="103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6,959,011</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872,819</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7,831,830</w:t>
            </w:r>
          </w:p>
        </w:tc>
      </w:tr>
    </w:tbl>
    <w:p w:rsidR="003E6989" w:rsidRPr="00BC53DC" w:rsidRDefault="003E6989" w:rsidP="003E6989">
      <w:pPr>
        <w:pStyle w:val="GreyShadeTableBreak"/>
      </w:pPr>
    </w:p>
    <w:tbl>
      <w:tblPr>
        <w:tblW w:w="9087" w:type="dxa"/>
        <w:tblInd w:w="80" w:type="dxa"/>
        <w:tblLayout w:type="fixed"/>
        <w:tblLook w:val="04A0" w:firstRow="1" w:lastRow="0" w:firstColumn="1" w:lastColumn="0" w:noHBand="0" w:noVBand="1"/>
      </w:tblPr>
      <w:tblGrid>
        <w:gridCol w:w="6473"/>
        <w:gridCol w:w="1161"/>
        <w:gridCol w:w="292"/>
        <w:gridCol w:w="1161"/>
      </w:tblGrid>
      <w:tr w:rsidR="003E6989" w:rsidTr="006A5410">
        <w:trPr>
          <w:trHeight w:val="240"/>
        </w:trPr>
        <w:tc>
          <w:tcPr>
            <w:tcW w:w="577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bookmarkStart w:id="437" w:name="Note_APRTABLE1" w:colFirst="0" w:colLast="0"/>
            <w:r>
              <w:rPr>
                <w:rFonts w:cs="Calibri"/>
                <w:sz w:val="16"/>
                <w:szCs w:val="16"/>
              </w:rPr>
              <w:t> </w:t>
            </w:r>
          </w:p>
        </w:tc>
        <w:tc>
          <w:tcPr>
            <w:tcW w:w="103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437"/>
      <w:tr w:rsidR="003E6989" w:rsidTr="006A5410">
        <w:trPr>
          <w:trHeight w:val="240"/>
        </w:trPr>
        <w:tc>
          <w:tcPr>
            <w:tcW w:w="5776" w:type="dxa"/>
            <w:tcBorders>
              <w:top w:val="nil"/>
              <w:left w:val="nil"/>
              <w:bottom w:val="nil"/>
              <w:right w:val="nil"/>
            </w:tcBorders>
            <w:shd w:val="clear" w:color="000000" w:fill="D9D9D9"/>
            <w:noWrap/>
            <w:hideMark/>
          </w:tcPr>
          <w:p w:rsidR="003E6989" w:rsidRDefault="003E6989" w:rsidP="006A5410">
            <w:pPr>
              <w:rPr>
                <w:rFonts w:cs="Calibri"/>
                <w:b/>
                <w:bCs/>
                <w:szCs w:val="18"/>
              </w:rPr>
            </w:pPr>
            <w:r>
              <w:rPr>
                <w:rFonts w:cs="Calibri"/>
                <w:b/>
                <w:bCs/>
                <w:szCs w:val="18"/>
              </w:rPr>
              <w:t> </w:t>
            </w:r>
          </w:p>
        </w:tc>
        <w:tc>
          <w:tcPr>
            <w:tcW w:w="103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57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Provisions for personal benefits expected to be settled</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776"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872,819</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70"/>
        </w:trPr>
        <w:tc>
          <w:tcPr>
            <w:tcW w:w="577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other provisions</w:t>
            </w:r>
          </w:p>
        </w:tc>
        <w:tc>
          <w:tcPr>
            <w:tcW w:w="10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872,819</w:t>
            </w:r>
          </w:p>
        </w:tc>
        <w:tc>
          <w:tcPr>
            <w:tcW w:w="261"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0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bl>
    <w:p w:rsidR="003E6989" w:rsidRDefault="003E6989" w:rsidP="003E6989">
      <w:pPr>
        <w:pStyle w:val="GreyShadeTableBreak"/>
      </w:pPr>
      <w:bookmarkStart w:id="438" w:name="RANGE!D7:D17"/>
      <w:bookmarkEnd w:id="438"/>
    </w:p>
    <w:tbl>
      <w:tblPr>
        <w:tblW w:w="9087" w:type="dxa"/>
        <w:tblInd w:w="80" w:type="dxa"/>
        <w:tblLayout w:type="fixed"/>
        <w:tblLook w:val="04A0" w:firstRow="1" w:lastRow="0" w:firstColumn="1" w:lastColumn="0" w:noHBand="0" w:noVBand="1"/>
      </w:tblPr>
      <w:tblGrid>
        <w:gridCol w:w="6279"/>
        <w:gridCol w:w="1247"/>
        <w:gridCol w:w="314"/>
        <w:gridCol w:w="1247"/>
      </w:tblGrid>
      <w:tr w:rsidR="003E6989" w:rsidTr="006A5410">
        <w:trPr>
          <w:trHeight w:val="240"/>
        </w:trPr>
        <w:tc>
          <w:tcPr>
            <w:tcW w:w="521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bookmarkStart w:id="439" w:name="Note_APGTABLE1" w:colFirst="0" w:colLast="0"/>
            <w:r>
              <w:rPr>
                <w:rFonts w:cs="Calibri"/>
                <w:b/>
                <w:bCs/>
                <w:szCs w:val="18"/>
              </w:rPr>
              <w:t>Provision for grants expected to be settled</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439"/>
      <w:tr w:rsidR="003E6989" w:rsidTr="006A5410">
        <w:trPr>
          <w:trHeight w:val="240"/>
        </w:trPr>
        <w:tc>
          <w:tcPr>
            <w:tcW w:w="5216" w:type="dxa"/>
            <w:tcBorders>
              <w:top w:val="nil"/>
              <w:left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6,959,011</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6,068,013</w:t>
            </w:r>
          </w:p>
        </w:tc>
      </w:tr>
      <w:tr w:rsidR="003E6989" w:rsidTr="006A5410">
        <w:trPr>
          <w:trHeight w:val="240"/>
        </w:trPr>
        <w:tc>
          <w:tcPr>
            <w:tcW w:w="521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provisions for grants</w:t>
            </w:r>
          </w:p>
        </w:tc>
        <w:tc>
          <w:tcPr>
            <w:tcW w:w="10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6,959,011</w:t>
            </w:r>
          </w:p>
        </w:tc>
        <w:tc>
          <w:tcPr>
            <w:tcW w:w="261"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03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6,068,013</w:t>
            </w:r>
          </w:p>
        </w:tc>
      </w:tr>
    </w:tbl>
    <w:p w:rsidR="003E6989" w:rsidRDefault="003E6989" w:rsidP="003E6989">
      <w:pPr>
        <w:pStyle w:val="GreyShadeTableBreak"/>
      </w:pPr>
    </w:p>
    <w:p w:rsidR="003E6989" w:rsidRPr="008B0346" w:rsidRDefault="003E6989" w:rsidP="003E6989">
      <w:pPr>
        <w:pStyle w:val="PolicyTextAdminbold"/>
        <w:spacing w:before="100" w:after="100" w:line="240" w:lineRule="auto"/>
      </w:pPr>
      <w:r w:rsidRPr="008B0346">
        <w:t>Accounting Policy</w:t>
      </w:r>
    </w:p>
    <w:p w:rsidR="003E6989" w:rsidRPr="008B0346" w:rsidRDefault="003E6989" w:rsidP="003E6989">
      <w:pPr>
        <w:pStyle w:val="PlicytextAdminUnderline"/>
        <w:spacing w:before="100" w:after="100" w:line="240" w:lineRule="auto"/>
      </w:pPr>
      <w:r>
        <w:t>Higher Education</w:t>
      </w:r>
      <w:r w:rsidRPr="008B0346">
        <w:t xml:space="preserve"> Superannuation Provision for Australian Universities</w:t>
      </w:r>
    </w:p>
    <w:p w:rsidR="003E6989" w:rsidRPr="00151260" w:rsidRDefault="003E6989" w:rsidP="003E6989">
      <w:pPr>
        <w:pStyle w:val="PolicyTextAdmin"/>
        <w:spacing w:before="100" w:after="100" w:line="240" w:lineRule="auto"/>
      </w:pPr>
      <w:r w:rsidRPr="00E90245">
        <w:t>H</w:t>
      </w:r>
      <w:r w:rsidRPr="00151260">
        <w:t>istorically, funding responsibility for universities has varied from time to time between the Commonwealth and the States.</w:t>
      </w:r>
    </w:p>
    <w:p w:rsidR="003E6989" w:rsidRPr="00151260" w:rsidRDefault="003E6989" w:rsidP="003E6989">
      <w:pPr>
        <w:pStyle w:val="PolicyTextAdmin"/>
        <w:spacing w:before="100" w:after="100" w:line="240" w:lineRule="auto"/>
      </w:pPr>
      <w:r w:rsidRPr="00151260">
        <w:t>A number of universities have employees or former employees who are members of old State-based superannuation schemes which are unfunded or partly funded. Accordingly, there are cost sharing arrangements for these schemes in place between the Commonwealth and the States.</w:t>
      </w:r>
    </w:p>
    <w:p w:rsidR="003E6989" w:rsidRPr="00151260" w:rsidRDefault="003E6989" w:rsidP="003E6989">
      <w:pPr>
        <w:pStyle w:val="PolicyTextAdmin"/>
        <w:spacing w:before="100" w:after="100" w:line="240" w:lineRule="auto"/>
      </w:pPr>
      <w:r w:rsidRPr="00151260">
        <w:t>The Commonwealth recognises the amount payable to eligible universities in Victoria, South Australia, Western Australia, Tasmania, Northern Territory and the Australian Capital Territory for these entitlements in full. The Commonwealth is then reimbursed by the States for their share of the costs.</w:t>
      </w:r>
    </w:p>
    <w:p w:rsidR="003E6989" w:rsidRPr="00151260" w:rsidRDefault="003E6989" w:rsidP="003E6989">
      <w:pPr>
        <w:pStyle w:val="PolicyTextAdmin"/>
        <w:spacing w:before="100" w:after="100" w:line="240" w:lineRule="auto"/>
      </w:pPr>
      <w:r w:rsidRPr="00151260">
        <w:t>For universities in NSW, different cost share arrange</w:t>
      </w:r>
      <w:r>
        <w:t xml:space="preserve">ments were introduced in 2014. </w:t>
      </w:r>
      <w:r w:rsidRPr="00151260">
        <w:t>The Commonwealth recognises a liability for 78 per cent of the amount payable to NSW universities and the NSW State government recognises a liability for 22 per cent of the amount payable to NSW un</w:t>
      </w:r>
      <w:r>
        <w:t xml:space="preserve">iversities. </w:t>
      </w:r>
      <w:r w:rsidRPr="00151260">
        <w:t>Consequently</w:t>
      </w:r>
      <w:r>
        <w:t>,</w:t>
      </w:r>
      <w:r w:rsidRPr="00151260">
        <w:t xml:space="preserve"> there is no reimbursement from NSW.</w:t>
      </w:r>
    </w:p>
    <w:p w:rsidR="003E6989" w:rsidRPr="00151260" w:rsidRDefault="003E6989" w:rsidP="003E6989">
      <w:pPr>
        <w:pStyle w:val="PolicyTextAdmin"/>
        <w:spacing w:before="100" w:after="100" w:line="240" w:lineRule="auto"/>
      </w:pPr>
      <w:r>
        <w:t>The d</w:t>
      </w:r>
      <w:r w:rsidRPr="00151260">
        <w:t xml:space="preserve">epartment recognises two items in its Financial Statements that relate to </w:t>
      </w:r>
      <w:r w:rsidRPr="00EE21FB">
        <w:t>the Higher Education Superannuation</w:t>
      </w:r>
      <w:r w:rsidRPr="00151260">
        <w:t xml:space="preserve"> for Australian Universities – a liability and a receivable.</w:t>
      </w:r>
    </w:p>
    <w:p w:rsidR="003E6989" w:rsidRPr="00151260" w:rsidRDefault="003E6989" w:rsidP="003E6989">
      <w:pPr>
        <w:pStyle w:val="PolicyTextAdmin"/>
        <w:spacing w:before="100" w:after="100" w:line="240" w:lineRule="auto"/>
      </w:pPr>
      <w:r w:rsidRPr="00151260">
        <w:t>The liability comprises a provision for:</w:t>
      </w:r>
    </w:p>
    <w:p w:rsidR="003E6989" w:rsidRPr="00151260" w:rsidRDefault="003E6989" w:rsidP="003E6989">
      <w:pPr>
        <w:pStyle w:val="PolicyTextadminbullets"/>
        <w:spacing w:before="100" w:after="100" w:line="240" w:lineRule="auto"/>
      </w:pPr>
      <w:r w:rsidRPr="00151260">
        <w:t xml:space="preserve">the total amount of funding expected to </w:t>
      </w:r>
      <w:r>
        <w:t xml:space="preserve">be paid by the Commonwealth to </w:t>
      </w:r>
      <w:r w:rsidRPr="00151260">
        <w:t>universities in Victoria, South Australia, Western Australia, Tasmania, Northern Territory and the Australian Capital Territory; and</w:t>
      </w:r>
    </w:p>
    <w:p w:rsidR="003E6989" w:rsidRPr="00151260" w:rsidRDefault="003E6989" w:rsidP="003E6989">
      <w:pPr>
        <w:pStyle w:val="PolicyTextadminbullets"/>
        <w:spacing w:before="100" w:after="100" w:line="240" w:lineRule="auto"/>
      </w:pPr>
      <w:r w:rsidRPr="00151260">
        <w:t>78 per cent of the funding expected to be paid to universities in NSW.</w:t>
      </w:r>
    </w:p>
    <w:p w:rsidR="003E6989" w:rsidRPr="00151260" w:rsidRDefault="003E6989" w:rsidP="003E6989">
      <w:pPr>
        <w:pStyle w:val="PolicyTextAdmin"/>
        <w:spacing w:before="100" w:after="100" w:line="240" w:lineRule="auto"/>
      </w:pPr>
      <w:r w:rsidRPr="00151260">
        <w:t>The provision is an estimate of the outstanding employer contribution obligations to the various old State based superannuation schemes to which some of their former employees belong.</w:t>
      </w:r>
    </w:p>
    <w:p w:rsidR="003E6989" w:rsidRPr="00151260" w:rsidRDefault="003E6989" w:rsidP="003E6989">
      <w:pPr>
        <w:pStyle w:val="PolicyTextAdmin"/>
        <w:spacing w:before="100" w:after="100" w:line="240" w:lineRule="auto"/>
      </w:pPr>
      <w:r w:rsidRPr="00151260">
        <w:t xml:space="preserve">The provision is recognised in accordance with AASB 137 </w:t>
      </w:r>
      <w:r w:rsidRPr="0002493D">
        <w:rPr>
          <w:i/>
        </w:rPr>
        <w:t>Provisions, Contingent Liabilities and Contingent Assets</w:t>
      </w:r>
      <w:r w:rsidRPr="00151260">
        <w:t>, which requires the recognition of a provision where it is probable that a future sacrifice of economic benefit will be required and where the provision can be measured reliably, as a best estimate of the expenditure required to settle the present obligation at reporting date.</w:t>
      </w:r>
    </w:p>
    <w:p w:rsidR="003E6989" w:rsidRPr="00151260" w:rsidRDefault="003E6989" w:rsidP="003E6989">
      <w:pPr>
        <w:pStyle w:val="PolicyTextAdmin"/>
        <w:spacing w:before="100" w:after="100" w:line="240" w:lineRule="auto"/>
      </w:pPr>
      <w:r w:rsidRPr="00151260">
        <w:t>The receivable comprises the contributions due and payable by the States Governments of Victoria, South Australia, Western Australia and Tasmania to the Commonwealth under the cost sharing arrangement – representing each State’s share of the outstanding superannuation entitlement as at reporting date.</w:t>
      </w:r>
    </w:p>
    <w:p w:rsidR="003E6989" w:rsidRPr="00151260" w:rsidRDefault="003E6989" w:rsidP="003E6989">
      <w:pPr>
        <w:pStyle w:val="PolicyTextAdmin"/>
        <w:spacing w:before="100" w:after="100" w:line="240" w:lineRule="auto"/>
      </w:pPr>
      <w:r w:rsidRPr="00151260">
        <w:t xml:space="preserve">The Australian Government Actuary (AGA) provides an estimate of both the liability and receivable, based on data and calculations provided by each university’s respective actuary. Both the AGA and the Department apply the provisions of AASB 119 </w:t>
      </w:r>
      <w:r w:rsidRPr="0002493D">
        <w:rPr>
          <w:i/>
        </w:rPr>
        <w:t>Employee Benefits</w:t>
      </w:r>
      <w:r w:rsidRPr="00151260">
        <w:t xml:space="preserve"> in measuring the liability at reporting date. </w:t>
      </w:r>
    </w:p>
    <w:p w:rsidR="003E6989" w:rsidRPr="00151260" w:rsidRDefault="003E6989" w:rsidP="003E6989">
      <w:pPr>
        <w:pStyle w:val="PlicytextAdminUnderline"/>
        <w:spacing w:before="100" w:after="100" w:line="240" w:lineRule="auto"/>
      </w:pPr>
      <w:r w:rsidRPr="00151260">
        <w:t>Personal Benefits</w:t>
      </w:r>
    </w:p>
    <w:p w:rsidR="003E6989" w:rsidRPr="00151260" w:rsidRDefault="003E6989" w:rsidP="003E6989">
      <w:pPr>
        <w:pStyle w:val="PolicyTextAdmin"/>
        <w:spacing w:before="100" w:after="100" w:line="240" w:lineRule="auto"/>
      </w:pPr>
      <w:r w:rsidRPr="00151260">
        <w:t xml:space="preserve">The department administers a number of personal benefit programmes on behalf of the government that provide entitlements to individuals. Payments are determined in accordance with provisions under social security law and other legislation. </w:t>
      </w:r>
    </w:p>
    <w:p w:rsidR="003E6989" w:rsidRPr="00151260" w:rsidRDefault="003E6989" w:rsidP="003E6989">
      <w:pPr>
        <w:pStyle w:val="PolicyTextAdmin"/>
        <w:spacing w:before="100" w:after="100" w:line="240" w:lineRule="auto"/>
      </w:pPr>
      <w:r w:rsidRPr="00151260">
        <w:t xml:space="preserve">The department made payments in accordance with family assistance law (comprising the </w:t>
      </w:r>
      <w:r w:rsidRPr="000B0704">
        <w:rPr>
          <w:i/>
        </w:rPr>
        <w:t>A New Tax System (Family Assistance) Act 1999</w:t>
      </w:r>
      <w:r w:rsidRPr="00151260">
        <w:t xml:space="preserve"> and </w:t>
      </w:r>
      <w:r w:rsidRPr="000B0704">
        <w:rPr>
          <w:i/>
        </w:rPr>
        <w:t>A New Tax System (Family Assistance) (Administration) Act 1999</w:t>
      </w:r>
      <w:r w:rsidRPr="00151260">
        <w:t xml:space="preserve"> as well as associated legislation and other legislative Disallowable Instruments for the period </w:t>
      </w:r>
      <w:r>
        <w:t>30 September 2015 to 30 June 2016</w:t>
      </w:r>
      <w:r w:rsidRPr="00151260">
        <w:t>. Responsibility for th</w:t>
      </w:r>
      <w:r>
        <w:t>ese payments then transferred from</w:t>
      </w:r>
      <w:r w:rsidRPr="00151260">
        <w:t xml:space="preserve"> the Department of Social Services following the change to the Administrative Arrangement Orders. These payments are assessed and determined by officers of the Department of Human Services (DHS) under delegation from the department.</w:t>
      </w:r>
    </w:p>
    <w:p w:rsidR="003E6989" w:rsidRPr="00151260" w:rsidRDefault="003E6989" w:rsidP="003E6989">
      <w:pPr>
        <w:pStyle w:val="PolicyTextAdmin"/>
        <w:spacing w:before="100" w:after="100" w:line="240" w:lineRule="auto"/>
      </w:pPr>
      <w:r w:rsidRPr="00151260">
        <w:t xml:space="preserve">The </w:t>
      </w:r>
      <w:r w:rsidRPr="000B0704">
        <w:rPr>
          <w:i/>
        </w:rPr>
        <w:t>A New Tax System (Family Assistance) (Administration) Act 1999</w:t>
      </w:r>
      <w:r w:rsidRPr="00151260">
        <w:t xml:space="preserve"> imposes an obligation on recipients and customers to disclose to DHS information about financial and personal circumstances that affect entitlement to payment. This is a necessary part of DHS's administration, which acknowledges that, at the time certain information is required, only the recipient or customer is in a position to provide that information.</w:t>
      </w:r>
    </w:p>
    <w:p w:rsidR="003E6989" w:rsidRPr="00151260" w:rsidRDefault="003E6989" w:rsidP="003E6989">
      <w:pPr>
        <w:pStyle w:val="PolicyTextAdmin"/>
        <w:spacing w:before="100" w:after="100" w:line="240" w:lineRule="auto"/>
      </w:pPr>
      <w:r w:rsidRPr="00151260">
        <w:t>Unreported changes in circumstances can lead to incorrect payment, even if no deliberate fraud is intended. However, risks associated with relying on voluntary disclosure by recipients and customers are mitigated by a comprehensive portfolio risk management plan, underpinned by compliance strategies, which have been built up over many years. The compliance framework has been designed to meet the requirements of social security legislation.</w:t>
      </w:r>
    </w:p>
    <w:p w:rsidR="003E6989" w:rsidRPr="00151260" w:rsidRDefault="003E6989" w:rsidP="003E6989">
      <w:pPr>
        <w:pStyle w:val="PolicyTextAdmin"/>
        <w:spacing w:before="100" w:after="100" w:line="240" w:lineRule="auto"/>
      </w:pPr>
      <w:r w:rsidRPr="00151260">
        <w:t>The compliance framework does not rely solely on information provided by recipients and customers to determine their entitlement. A comprehensive risk management strategy minimises the potential for incorrect payment by subjecting recipients and customers to a variety of review processes. If debts are identified, DHS seeks recovery in a lump sum or by instalments. While the risk management strategy is principally directed at minimising debts, the detection of underpayments will also result in an adjustment to their level of entitlement.</w:t>
      </w:r>
    </w:p>
    <w:p w:rsidR="003E6989" w:rsidRPr="00151260" w:rsidRDefault="003E6989" w:rsidP="003E6989">
      <w:pPr>
        <w:pStyle w:val="PolicyTextAdmin"/>
        <w:spacing w:before="100" w:after="100" w:line="240" w:lineRule="auto"/>
      </w:pPr>
      <w:r w:rsidRPr="00151260">
        <w:t>The department implemented a more sophisticated results-oriented approach to compliance in 2013–14. Compliance operations were strengthened, including data interrogation and analysis capacity, to assist in targeting, leveraging resources available in our state network to create a virtual task force and prioritising the department’s compliance effort to high value compliance work based on risk categories. This had led to increasing imposition of penalties and sanctions</w:t>
      </w:r>
      <w:r>
        <w:t xml:space="preserve"> upon non-compliant child care services, detection of incorrect payments to parents and adjustment to fee assistance payments</w:t>
      </w:r>
      <w:r w:rsidRPr="00151260">
        <w:t>, where justified.</w:t>
      </w:r>
    </w:p>
    <w:p w:rsidR="003E6989" w:rsidRDefault="003E6989" w:rsidP="003E6989">
      <w:pPr>
        <w:spacing w:line="240" w:lineRule="auto"/>
      </w:pPr>
    </w:p>
    <w:p w:rsidR="003E6989" w:rsidRDefault="003E6989" w:rsidP="003E6989">
      <w:pPr>
        <w:spacing w:line="240" w:lineRule="auto"/>
        <w:sectPr w:rsidR="003E6989" w:rsidSect="006A5410">
          <w:pgSz w:w="11906" w:h="16838"/>
          <w:pgMar w:top="1134" w:right="1134" w:bottom="1134" w:left="1134" w:header="958" w:footer="737" w:gutter="0"/>
          <w:cols w:space="720"/>
          <w:docGrid w:linePitch="245"/>
        </w:sectPr>
      </w:pPr>
    </w:p>
    <w:p w:rsidR="003E6989" w:rsidRPr="00570D91" w:rsidRDefault="003E6989" w:rsidP="003E6989">
      <w:pPr>
        <w:pStyle w:val="SectionHeading"/>
      </w:pPr>
      <w:bookmarkStart w:id="440" w:name="_Toc455416744"/>
      <w:bookmarkStart w:id="441" w:name="_Toc463440702"/>
      <w:bookmarkStart w:id="442" w:name="_Toc464726287"/>
      <w:bookmarkStart w:id="443" w:name="_Toc464726635"/>
      <w:r>
        <w:t>Funding</w:t>
      </w:r>
      <w:bookmarkEnd w:id="440"/>
      <w:bookmarkEnd w:id="441"/>
      <w:bookmarkEnd w:id="442"/>
      <w:bookmarkEnd w:id="443"/>
    </w:p>
    <w:p w:rsidR="003E6989" w:rsidRDefault="003E6989" w:rsidP="003E6989">
      <w:pPr>
        <w:pStyle w:val="SubHeading"/>
      </w:pPr>
      <w:bookmarkStart w:id="444" w:name="_Toc443991927"/>
      <w:bookmarkStart w:id="445" w:name="_Toc443991971"/>
      <w:bookmarkStart w:id="446" w:name="_Toc443992033"/>
      <w:bookmarkStart w:id="447" w:name="_Toc443992078"/>
      <w:bookmarkStart w:id="448" w:name="_Toc443992558"/>
      <w:bookmarkStart w:id="449" w:name="_Toc444001431"/>
      <w:bookmarkStart w:id="450" w:name="_Toc444260027"/>
      <w:bookmarkStart w:id="451" w:name="_Toc445116334"/>
      <w:bookmarkStart w:id="452" w:name="_Toc447095790"/>
      <w:bookmarkStart w:id="453" w:name="_Toc447095837"/>
      <w:bookmarkStart w:id="454" w:name="_Toc447095880"/>
      <w:bookmarkStart w:id="455" w:name="_Toc447096076"/>
      <w:bookmarkStart w:id="456" w:name="_Toc447796070"/>
      <w:bookmarkStart w:id="457" w:name="_Toc455416745"/>
      <w:bookmarkStart w:id="458" w:name="_Toc464726636"/>
      <w:bookmarkEnd w:id="444"/>
      <w:bookmarkEnd w:id="445"/>
      <w:bookmarkEnd w:id="446"/>
      <w:bookmarkEnd w:id="447"/>
      <w:bookmarkEnd w:id="448"/>
      <w:bookmarkEnd w:id="449"/>
      <w:bookmarkEnd w:id="450"/>
      <w:bookmarkEnd w:id="451"/>
      <w:bookmarkEnd w:id="452"/>
      <w:bookmarkEnd w:id="453"/>
      <w:bookmarkEnd w:id="454"/>
      <w:bookmarkEnd w:id="455"/>
      <w:bookmarkEnd w:id="456"/>
      <w:r>
        <w:t>Appropriations</w:t>
      </w:r>
      <w:bookmarkEnd w:id="457"/>
      <w:bookmarkEnd w:id="458"/>
    </w:p>
    <w:tbl>
      <w:tblPr>
        <w:tblW w:w="13991" w:type="dxa"/>
        <w:tblInd w:w="80" w:type="dxa"/>
        <w:tblLayout w:type="fixed"/>
        <w:tblLook w:val="04A0" w:firstRow="1" w:lastRow="0" w:firstColumn="1" w:lastColumn="0" w:noHBand="0" w:noVBand="1"/>
      </w:tblPr>
      <w:tblGrid>
        <w:gridCol w:w="4136"/>
        <w:gridCol w:w="1697"/>
        <w:gridCol w:w="1375"/>
        <w:gridCol w:w="1145"/>
        <w:gridCol w:w="1053"/>
        <w:gridCol w:w="1467"/>
        <w:gridCol w:w="1513"/>
        <w:gridCol w:w="1605"/>
      </w:tblGrid>
      <w:tr w:rsidR="003E6989" w:rsidTr="006A5410">
        <w:trPr>
          <w:trHeight w:val="255"/>
        </w:trPr>
        <w:tc>
          <w:tcPr>
            <w:tcW w:w="12168" w:type="dxa"/>
            <w:gridSpan w:val="8"/>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459" w:name="Note_DAPTABLE1" w:colFirst="0" w:colLast="0"/>
            <w:r>
              <w:rPr>
                <w:rFonts w:cs="Calibri"/>
                <w:b/>
                <w:bCs/>
                <w:szCs w:val="18"/>
                <w:u w:val="single"/>
              </w:rPr>
              <w:t>5.1A: Annual appropriations ('recoverable GST exclusive')</w:t>
            </w:r>
          </w:p>
        </w:tc>
      </w:tr>
      <w:bookmarkEnd w:id="459"/>
      <w:tr w:rsidR="003E6989" w:rsidTr="006A5410">
        <w:trPr>
          <w:trHeight w:val="255"/>
        </w:trPr>
        <w:tc>
          <w:tcPr>
            <w:tcW w:w="35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47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1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1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7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31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3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596" w:type="dxa"/>
            <w:tcBorders>
              <w:top w:val="single" w:sz="4" w:space="0" w:color="auto"/>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5860" w:type="dxa"/>
            <w:gridSpan w:val="5"/>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sz w:val="16"/>
                <w:szCs w:val="16"/>
              </w:rPr>
            </w:pPr>
            <w:r>
              <w:rPr>
                <w:rFonts w:cs="Calibri"/>
                <w:b/>
                <w:bCs/>
                <w:sz w:val="16"/>
                <w:szCs w:val="16"/>
              </w:rPr>
              <w:t>2016 Appropriations</w:t>
            </w:r>
          </w:p>
        </w:tc>
        <w:tc>
          <w:tcPr>
            <w:tcW w:w="1316" w:type="dxa"/>
            <w:vMerge w:val="restart"/>
            <w:tcBorders>
              <w:top w:val="single" w:sz="4" w:space="0" w:color="auto"/>
              <w:left w:val="single" w:sz="4" w:space="0" w:color="auto"/>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Appropriation applied in 2016 (current and prior years)</w:t>
            </w:r>
          </w:p>
        </w:tc>
        <w:tc>
          <w:tcPr>
            <w:tcW w:w="1396" w:type="dxa"/>
            <w:tcBorders>
              <w:top w:val="single" w:sz="4" w:space="0" w:color="auto"/>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2672" w:type="dxa"/>
            <w:gridSpan w:val="2"/>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i/>
                <w:iCs/>
                <w:color w:val="000000"/>
                <w:sz w:val="16"/>
                <w:szCs w:val="16"/>
              </w:rPr>
            </w:pPr>
            <w:r>
              <w:rPr>
                <w:rFonts w:cs="Calibri"/>
                <w:b/>
                <w:bCs/>
                <w:i/>
                <w:iCs/>
                <w:color w:val="000000"/>
                <w:sz w:val="16"/>
                <w:szCs w:val="16"/>
              </w:rPr>
              <w:t>Appropriation Act</w:t>
            </w:r>
          </w:p>
        </w:tc>
        <w:tc>
          <w:tcPr>
            <w:tcW w:w="1912" w:type="dxa"/>
            <w:gridSpan w:val="2"/>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i/>
                <w:iCs/>
                <w:color w:val="000000"/>
                <w:sz w:val="16"/>
                <w:szCs w:val="16"/>
              </w:rPr>
            </w:pPr>
            <w:r>
              <w:rPr>
                <w:rFonts w:cs="Calibri"/>
                <w:b/>
                <w:bCs/>
                <w:i/>
                <w:iCs/>
                <w:color w:val="000000"/>
                <w:sz w:val="16"/>
                <w:szCs w:val="16"/>
              </w:rPr>
              <w:t>PGPA Act</w:t>
            </w:r>
          </w:p>
        </w:tc>
        <w:tc>
          <w:tcPr>
            <w:tcW w:w="1276" w:type="dxa"/>
            <w:vMerge w:val="restart"/>
            <w:tcBorders>
              <w:top w:val="nil"/>
              <w:left w:val="single" w:sz="4" w:space="0" w:color="auto"/>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Total appropriation</w:t>
            </w:r>
          </w:p>
        </w:tc>
        <w:tc>
          <w:tcPr>
            <w:tcW w:w="1316" w:type="dxa"/>
            <w:vMerge/>
            <w:tcBorders>
              <w:top w:val="single" w:sz="4" w:space="0" w:color="auto"/>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 </w:t>
            </w:r>
          </w:p>
        </w:tc>
      </w:tr>
      <w:tr w:rsidR="003E6989" w:rsidTr="006A5410">
        <w:trPr>
          <w:trHeight w:val="480"/>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476" w:type="dxa"/>
            <w:tcBorders>
              <w:top w:val="nil"/>
              <w:left w:val="nil"/>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Annual Appropriation</w:t>
            </w:r>
            <w:r>
              <w:rPr>
                <w:rFonts w:cs="Calibri"/>
                <w:b/>
                <w:bCs/>
                <w:sz w:val="16"/>
                <w:szCs w:val="16"/>
                <w:vertAlign w:val="superscript"/>
              </w:rPr>
              <w:t>1</w:t>
            </w:r>
          </w:p>
        </w:tc>
        <w:tc>
          <w:tcPr>
            <w:tcW w:w="1196" w:type="dxa"/>
            <w:tcBorders>
              <w:top w:val="nil"/>
              <w:left w:val="nil"/>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AFM</w:t>
            </w:r>
          </w:p>
        </w:tc>
        <w:tc>
          <w:tcPr>
            <w:tcW w:w="996" w:type="dxa"/>
            <w:tcBorders>
              <w:top w:val="nil"/>
              <w:left w:val="single" w:sz="4" w:space="0" w:color="auto"/>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Section 74</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Section 75</w:t>
            </w:r>
          </w:p>
        </w:tc>
        <w:tc>
          <w:tcPr>
            <w:tcW w:w="1276" w:type="dxa"/>
            <w:vMerge/>
            <w:tcBorders>
              <w:top w:val="nil"/>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16" w:type="dxa"/>
            <w:vMerge/>
            <w:tcBorders>
              <w:top w:val="single" w:sz="4" w:space="0" w:color="auto"/>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Variance</w:t>
            </w:r>
            <w:r>
              <w:rPr>
                <w:rFonts w:cs="Calibri"/>
                <w:b/>
                <w:bCs/>
                <w:sz w:val="16"/>
                <w:szCs w:val="16"/>
                <w:vertAlign w:val="superscript"/>
              </w:rPr>
              <w:t>2</w:t>
            </w:r>
          </w:p>
        </w:tc>
      </w:tr>
      <w:tr w:rsidR="003E6989" w:rsidTr="006A5410">
        <w:trPr>
          <w:trHeight w:val="255"/>
        </w:trPr>
        <w:tc>
          <w:tcPr>
            <w:tcW w:w="359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47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1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9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91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2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31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3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DEPARTMENTAL</w:t>
            </w:r>
          </w:p>
        </w:tc>
        <w:tc>
          <w:tcPr>
            <w:tcW w:w="1476" w:type="dxa"/>
            <w:tcBorders>
              <w:top w:val="nil"/>
              <w:left w:val="nil"/>
              <w:bottom w:val="nil"/>
              <w:right w:val="nil"/>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Ordinary annual services</w:t>
            </w:r>
          </w:p>
        </w:tc>
        <w:tc>
          <w:tcPr>
            <w:tcW w:w="147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254,837 </w:t>
            </w:r>
          </w:p>
        </w:tc>
        <w:tc>
          <w:tcPr>
            <w:tcW w:w="11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30,665 </w:t>
            </w:r>
          </w:p>
        </w:tc>
        <w:tc>
          <w:tcPr>
            <w:tcW w:w="9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44,904 </w:t>
            </w:r>
          </w:p>
        </w:tc>
        <w:tc>
          <w:tcPr>
            <w:tcW w:w="127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330,406 </w:t>
            </w:r>
          </w:p>
        </w:tc>
        <w:tc>
          <w:tcPr>
            <w:tcW w:w="13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348,816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(18,410)</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Capital Budgets</w:t>
            </w:r>
            <w:r>
              <w:rPr>
                <w:rFonts w:cs="Calibri"/>
                <w:b/>
                <w:bCs/>
                <w:color w:val="000000"/>
                <w:sz w:val="16"/>
                <w:szCs w:val="16"/>
                <w:vertAlign w:val="superscript"/>
              </w:rPr>
              <w:t>3</w:t>
            </w:r>
          </w:p>
        </w:tc>
        <w:tc>
          <w:tcPr>
            <w:tcW w:w="147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22,177 </w:t>
            </w:r>
          </w:p>
        </w:tc>
        <w:tc>
          <w:tcPr>
            <w:tcW w:w="11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22,177 </w:t>
            </w:r>
          </w:p>
        </w:tc>
        <w:tc>
          <w:tcPr>
            <w:tcW w:w="13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19,447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2,730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Other services</w:t>
            </w:r>
          </w:p>
        </w:tc>
        <w:tc>
          <w:tcPr>
            <w:tcW w:w="1476" w:type="dxa"/>
            <w:tcBorders>
              <w:top w:val="nil"/>
              <w:left w:val="nil"/>
              <w:bottom w:val="nil"/>
              <w:right w:val="nil"/>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996" w:type="dxa"/>
            <w:tcBorders>
              <w:top w:val="nil"/>
              <w:left w:val="nil"/>
              <w:bottom w:val="nil"/>
              <w:right w:val="nil"/>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27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3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Equity</w:t>
            </w:r>
          </w:p>
        </w:tc>
        <w:tc>
          <w:tcPr>
            <w:tcW w:w="147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10,438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3,248 </w:t>
            </w:r>
          </w:p>
        </w:tc>
        <w:tc>
          <w:tcPr>
            <w:tcW w:w="12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13,686 </w:t>
            </w:r>
          </w:p>
        </w:tc>
        <w:tc>
          <w:tcPr>
            <w:tcW w:w="13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8,023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5,663 </w:t>
            </w:r>
          </w:p>
        </w:tc>
      </w:tr>
      <w:tr w:rsidR="003E6989" w:rsidTr="006A5410">
        <w:trPr>
          <w:trHeight w:val="255"/>
        </w:trPr>
        <w:tc>
          <w:tcPr>
            <w:tcW w:w="3596"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Total departmental</w:t>
            </w:r>
          </w:p>
        </w:tc>
        <w:tc>
          <w:tcPr>
            <w:tcW w:w="147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287,452</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30,665</w:t>
            </w:r>
          </w:p>
        </w:tc>
        <w:tc>
          <w:tcPr>
            <w:tcW w:w="9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48,152</w:t>
            </w:r>
          </w:p>
        </w:tc>
        <w:tc>
          <w:tcPr>
            <w:tcW w:w="12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366,269</w:t>
            </w:r>
          </w:p>
        </w:tc>
        <w:tc>
          <w:tcPr>
            <w:tcW w:w="13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376,286</w:t>
            </w:r>
          </w:p>
        </w:tc>
        <w:tc>
          <w:tcPr>
            <w:tcW w:w="1396" w:type="dxa"/>
            <w:tcBorders>
              <w:top w:val="single" w:sz="4" w:space="0" w:color="auto"/>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(10,017)</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rPr>
                <w:rFonts w:cs="Calibri"/>
                <w:b/>
                <w:bCs/>
                <w:sz w:val="16"/>
                <w:szCs w:val="16"/>
              </w:rPr>
            </w:pPr>
            <w:r>
              <w:rPr>
                <w:rFonts w:cs="Calibri"/>
                <w:b/>
                <w:bCs/>
                <w:sz w:val="16"/>
                <w:szCs w:val="16"/>
              </w:rPr>
              <w:t>ADMINISTERED</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100" w:firstLine="161"/>
              <w:rPr>
                <w:rFonts w:cs="Calibri"/>
                <w:b/>
                <w:bCs/>
                <w:sz w:val="16"/>
                <w:szCs w:val="16"/>
              </w:rPr>
            </w:pPr>
            <w:r>
              <w:rPr>
                <w:rFonts w:cs="Calibri"/>
                <w:b/>
                <w:bCs/>
                <w:sz w:val="16"/>
                <w:szCs w:val="16"/>
              </w:rPr>
              <w:t>Ordinary annual services</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Administered items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1,548,526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303,735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1,852,261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1,407,325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444,936 </w:t>
            </w:r>
          </w:p>
        </w:tc>
      </w:tr>
      <w:tr w:rsidR="003E6989" w:rsidTr="006A5410">
        <w:trPr>
          <w:trHeight w:val="450"/>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Payments to Corporate Commonwealth Entities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14,935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14,935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14,935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100" w:firstLine="161"/>
              <w:rPr>
                <w:rFonts w:cs="Calibri"/>
                <w:b/>
                <w:bCs/>
                <w:sz w:val="16"/>
                <w:szCs w:val="16"/>
              </w:rPr>
            </w:pPr>
            <w:r>
              <w:rPr>
                <w:rFonts w:cs="Calibri"/>
                <w:b/>
                <w:bCs/>
                <w:sz w:val="16"/>
                <w:szCs w:val="16"/>
              </w:rPr>
              <w:t>Other services</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States, ACT, NT and local government</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43,645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43,645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44,437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(792)</w:t>
            </w:r>
          </w:p>
        </w:tc>
      </w:tr>
      <w:tr w:rsidR="003E6989" w:rsidTr="006A5410">
        <w:trPr>
          <w:trHeight w:val="450"/>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Payments to Corporate Commonwealth Entities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74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74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74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r>
      <w:tr w:rsidR="003E6989" w:rsidTr="006A5410">
        <w:trPr>
          <w:trHeight w:val="255"/>
        </w:trPr>
        <w:tc>
          <w:tcPr>
            <w:tcW w:w="3596"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6989" w:rsidRDefault="003E6989" w:rsidP="006A5410">
            <w:pPr>
              <w:rPr>
                <w:rFonts w:cs="Calibri"/>
                <w:b/>
                <w:bCs/>
                <w:sz w:val="16"/>
                <w:szCs w:val="16"/>
              </w:rPr>
            </w:pPr>
            <w:r>
              <w:rPr>
                <w:rFonts w:cs="Calibri"/>
                <w:b/>
                <w:bCs/>
                <w:sz w:val="16"/>
                <w:szCs w:val="16"/>
              </w:rPr>
              <w:t>Total administered</w:t>
            </w:r>
          </w:p>
        </w:tc>
        <w:tc>
          <w:tcPr>
            <w:tcW w:w="14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1,607,180</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9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1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303,735</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1,910,915</w:t>
            </w:r>
          </w:p>
        </w:tc>
        <w:tc>
          <w:tcPr>
            <w:tcW w:w="131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1,466,771</w:t>
            </w:r>
          </w:p>
        </w:tc>
        <w:tc>
          <w:tcPr>
            <w:tcW w:w="139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444,144</w:t>
            </w:r>
          </w:p>
        </w:tc>
      </w:tr>
    </w:tbl>
    <w:p w:rsidR="003E6989" w:rsidRPr="00807405" w:rsidRDefault="003E6989" w:rsidP="003E6989">
      <w:pPr>
        <w:pStyle w:val="AdminBlankGreyShade"/>
      </w:pPr>
      <w:bookmarkStart w:id="460" w:name="RANGE!D7:L27"/>
      <w:bookmarkStart w:id="461" w:name="RANGE!D7:L26"/>
      <w:bookmarkStart w:id="462" w:name="RANGE!D7:M26"/>
      <w:bookmarkStart w:id="463" w:name="RANGE!D7:L28"/>
      <w:bookmarkStart w:id="464" w:name="RANGE!D7:M27"/>
      <w:bookmarkStart w:id="465" w:name="RANGE!D7:M28"/>
      <w:bookmarkStart w:id="466" w:name="RANGE!D7:M29"/>
      <w:bookmarkEnd w:id="460"/>
      <w:bookmarkEnd w:id="461"/>
      <w:bookmarkEnd w:id="462"/>
      <w:bookmarkEnd w:id="463"/>
      <w:bookmarkEnd w:id="464"/>
      <w:bookmarkEnd w:id="465"/>
      <w:bookmarkEnd w:id="466"/>
      <w:r>
        <w:t>Notes:</w:t>
      </w:r>
      <w:r>
        <w:br/>
      </w:r>
      <w:r w:rsidRPr="004C7426">
        <w:rPr>
          <w:vertAlign w:val="superscript"/>
        </w:rPr>
        <w:t xml:space="preserve">1. </w:t>
      </w:r>
      <w:r>
        <w:t>In 201</w:t>
      </w:r>
      <w:r w:rsidRPr="00807405">
        <w:t>5</w:t>
      </w:r>
      <w:r>
        <w:t>-16</w:t>
      </w:r>
      <w:r w:rsidRPr="00807405">
        <w:t xml:space="preserve">, </w:t>
      </w:r>
      <w:r>
        <w:t xml:space="preserve">there were $368.459 million reductions to appropriation made under a section 51 determination of the </w:t>
      </w:r>
      <w:r>
        <w:rPr>
          <w:i/>
        </w:rPr>
        <w:t>PGPA Act 2013.</w:t>
      </w:r>
      <w:r>
        <w:t xml:space="preserve"> These reductions were due to various government measures, particularly delays in program implementation, and included 2015-16 departmental appropriations of $4.712 million, previously quarantined 2014-15 departmental Appropriation Act (No.5) of $3.690 million, and the remainder relating to administered appropriations of $360.057 million. </w:t>
      </w:r>
    </w:p>
    <w:p w:rsidR="003E6989" w:rsidRDefault="003E6989" w:rsidP="003E6989">
      <w:pPr>
        <w:pStyle w:val="12line"/>
        <w:rPr>
          <w:sz w:val="18"/>
          <w:szCs w:val="18"/>
          <w:lang w:eastAsia="en-AU"/>
        </w:rPr>
      </w:pPr>
      <w:r w:rsidRPr="004C7426">
        <w:rPr>
          <w:sz w:val="18"/>
          <w:szCs w:val="18"/>
          <w:vertAlign w:val="superscript"/>
          <w:lang w:eastAsia="en-AU"/>
        </w:rPr>
        <w:t>2.</w:t>
      </w:r>
      <w:r w:rsidRPr="00807405">
        <w:rPr>
          <w:sz w:val="18"/>
          <w:szCs w:val="18"/>
          <w:lang w:eastAsia="en-AU"/>
        </w:rPr>
        <w:t xml:space="preserve"> </w:t>
      </w:r>
      <w:r>
        <w:rPr>
          <w:sz w:val="18"/>
          <w:szCs w:val="18"/>
          <w:lang w:eastAsia="en-AU"/>
        </w:rPr>
        <w:t xml:space="preserve">Administered and departmental variances are primarily due to amounts subject to quarantine and available to be reduced. Administered programs with significant underspends in 2015-16 included the Building skills and capability and Support for the child care system. Further explanations can be found in Budgetary Reporting sections of these financial statements. </w:t>
      </w:r>
    </w:p>
    <w:p w:rsidR="003E6989" w:rsidRDefault="003E6989" w:rsidP="003E6989">
      <w:pPr>
        <w:pStyle w:val="12line"/>
        <w:rPr>
          <w:sz w:val="18"/>
          <w:szCs w:val="18"/>
          <w:lang w:eastAsia="en-AU"/>
        </w:rPr>
      </w:pPr>
      <w:r w:rsidRPr="00CE5FEA">
        <w:rPr>
          <w:sz w:val="18"/>
          <w:szCs w:val="18"/>
          <w:vertAlign w:val="superscript"/>
          <w:lang w:eastAsia="en-AU"/>
        </w:rPr>
        <w:t>3</w:t>
      </w:r>
      <w:r>
        <w:rPr>
          <w:sz w:val="18"/>
          <w:szCs w:val="18"/>
          <w:vertAlign w:val="superscript"/>
          <w:lang w:eastAsia="en-AU"/>
        </w:rPr>
        <w:t xml:space="preserve"> </w:t>
      </w:r>
      <w:r>
        <w:rPr>
          <w:sz w:val="18"/>
          <w:szCs w:val="18"/>
          <w:lang w:eastAsia="en-AU"/>
        </w:rPr>
        <w:t>Departmental and administered capital budgets are appropriated through Appropriation Acts (No. 1,3,5). They form part of ordinary annual services, and are not separately identified in the Appropriation Acts.</w:t>
      </w:r>
    </w:p>
    <w:p w:rsidR="001F2C80" w:rsidRDefault="001F2C80">
      <w:pPr>
        <w:spacing w:line="240" w:lineRule="auto"/>
        <w:rPr>
          <w:szCs w:val="18"/>
          <w:vertAlign w:val="superscript"/>
          <w:lang w:eastAsia="en-AU"/>
        </w:rPr>
      </w:pPr>
      <w:r>
        <w:rPr>
          <w:szCs w:val="18"/>
          <w:vertAlign w:val="superscript"/>
          <w:lang w:eastAsia="en-AU"/>
        </w:rPr>
        <w:br w:type="page"/>
      </w:r>
    </w:p>
    <w:p w:rsidR="003E6989" w:rsidRDefault="003E6989" w:rsidP="003E6989">
      <w:pPr>
        <w:pStyle w:val="PolicyTextAdminbold"/>
        <w:rPr>
          <w:lang w:eastAsia="en-AU"/>
        </w:rPr>
      </w:pPr>
      <w:r>
        <w:rPr>
          <w:lang w:eastAsia="en-AU"/>
        </w:rPr>
        <w:t>Accounting Policy</w:t>
      </w:r>
    </w:p>
    <w:p w:rsidR="003E6989" w:rsidRPr="00327BAD" w:rsidRDefault="003E6989" w:rsidP="003E6989">
      <w:pPr>
        <w:pStyle w:val="PlicytextAdminUnderline"/>
        <w:rPr>
          <w:lang w:eastAsia="en-AU"/>
        </w:rPr>
      </w:pPr>
      <w:r w:rsidRPr="00327BAD">
        <w:rPr>
          <w:lang w:eastAsia="en-AU"/>
        </w:rPr>
        <w:t xml:space="preserve">Payments to Corporate Commonwealth Entities </w:t>
      </w:r>
    </w:p>
    <w:p w:rsidR="003E6989" w:rsidRPr="00BD4856" w:rsidRDefault="003E6989" w:rsidP="003E6989">
      <w:pPr>
        <w:pStyle w:val="PolicyTextAdmin"/>
      </w:pPr>
      <w:r w:rsidRPr="00327BAD">
        <w:rPr>
          <w:lang w:eastAsia="en-AU"/>
        </w:rPr>
        <w:t xml:space="preserve">Payments to the Australian Institute of Aboriginal and Torres Strait Islander Studies from amounts appropriated for that purpose are classified as administered expenses of the relevant portfolio department. </w:t>
      </w:r>
      <w:r>
        <w:rPr>
          <w:lang w:eastAsia="en-AU"/>
        </w:rPr>
        <w:br w:type="page"/>
      </w:r>
    </w:p>
    <w:tbl>
      <w:tblPr>
        <w:tblW w:w="13991" w:type="dxa"/>
        <w:tblInd w:w="80" w:type="dxa"/>
        <w:tblLayout w:type="fixed"/>
        <w:tblLook w:val="04A0" w:firstRow="1" w:lastRow="0" w:firstColumn="1" w:lastColumn="0" w:noHBand="0" w:noVBand="1"/>
      </w:tblPr>
      <w:tblGrid>
        <w:gridCol w:w="4136"/>
        <w:gridCol w:w="1697"/>
        <w:gridCol w:w="1375"/>
        <w:gridCol w:w="1145"/>
        <w:gridCol w:w="1053"/>
        <w:gridCol w:w="1467"/>
        <w:gridCol w:w="1513"/>
        <w:gridCol w:w="1605"/>
      </w:tblGrid>
      <w:tr w:rsidR="003E6989" w:rsidTr="006A5410">
        <w:trPr>
          <w:trHeight w:val="255"/>
        </w:trPr>
        <w:tc>
          <w:tcPr>
            <w:tcW w:w="3596" w:type="dxa"/>
            <w:tcBorders>
              <w:top w:val="single" w:sz="4" w:space="0" w:color="auto"/>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bookmarkStart w:id="467" w:name="RANGE!D35:D52"/>
            <w:bookmarkStart w:id="468" w:name="Note_DAPTABLE2" w:colFirst="0" w:colLast="0"/>
            <w:r>
              <w:rPr>
                <w:rFonts w:cs="Calibri"/>
                <w:b/>
                <w:bCs/>
                <w:color w:val="000000"/>
                <w:sz w:val="16"/>
                <w:szCs w:val="16"/>
              </w:rPr>
              <w:t> </w:t>
            </w:r>
            <w:bookmarkEnd w:id="467"/>
          </w:p>
        </w:tc>
        <w:tc>
          <w:tcPr>
            <w:tcW w:w="5860" w:type="dxa"/>
            <w:gridSpan w:val="5"/>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sz w:val="16"/>
                <w:szCs w:val="16"/>
              </w:rPr>
            </w:pPr>
            <w:r>
              <w:rPr>
                <w:rFonts w:cs="Calibri"/>
                <w:b/>
                <w:bCs/>
                <w:sz w:val="16"/>
                <w:szCs w:val="16"/>
              </w:rPr>
              <w:t>2015 Appropriations</w:t>
            </w:r>
          </w:p>
        </w:tc>
        <w:tc>
          <w:tcPr>
            <w:tcW w:w="1316" w:type="dxa"/>
            <w:vMerge w:val="restart"/>
            <w:tcBorders>
              <w:top w:val="single" w:sz="4" w:space="0" w:color="auto"/>
              <w:left w:val="single" w:sz="4" w:space="0" w:color="auto"/>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Appropriation applied in 2015 (current and prior years)</w:t>
            </w:r>
          </w:p>
        </w:tc>
        <w:tc>
          <w:tcPr>
            <w:tcW w:w="1396" w:type="dxa"/>
            <w:tcBorders>
              <w:top w:val="single" w:sz="4" w:space="0" w:color="auto"/>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 </w:t>
            </w:r>
          </w:p>
        </w:tc>
      </w:tr>
      <w:bookmarkEnd w:id="468"/>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2672" w:type="dxa"/>
            <w:gridSpan w:val="2"/>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i/>
                <w:iCs/>
                <w:color w:val="000000"/>
                <w:sz w:val="16"/>
                <w:szCs w:val="16"/>
              </w:rPr>
            </w:pPr>
            <w:r>
              <w:rPr>
                <w:rFonts w:cs="Calibri"/>
                <w:b/>
                <w:bCs/>
                <w:i/>
                <w:iCs/>
                <w:color w:val="000000"/>
                <w:sz w:val="16"/>
                <w:szCs w:val="16"/>
              </w:rPr>
              <w:t>Appropriation Act</w:t>
            </w:r>
          </w:p>
        </w:tc>
        <w:tc>
          <w:tcPr>
            <w:tcW w:w="1912" w:type="dxa"/>
            <w:gridSpan w:val="2"/>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i/>
                <w:iCs/>
                <w:color w:val="000000"/>
                <w:sz w:val="16"/>
                <w:szCs w:val="16"/>
              </w:rPr>
            </w:pPr>
            <w:r>
              <w:rPr>
                <w:rFonts w:cs="Calibri"/>
                <w:b/>
                <w:bCs/>
                <w:i/>
                <w:iCs/>
                <w:color w:val="000000"/>
                <w:sz w:val="16"/>
                <w:szCs w:val="16"/>
              </w:rPr>
              <w:t>PGPA Act</w:t>
            </w:r>
          </w:p>
        </w:tc>
        <w:tc>
          <w:tcPr>
            <w:tcW w:w="1276" w:type="dxa"/>
            <w:vMerge w:val="restart"/>
            <w:tcBorders>
              <w:top w:val="nil"/>
              <w:left w:val="single" w:sz="4" w:space="0" w:color="auto"/>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Total appropriation</w:t>
            </w:r>
          </w:p>
        </w:tc>
        <w:tc>
          <w:tcPr>
            <w:tcW w:w="1316" w:type="dxa"/>
            <w:vMerge/>
            <w:tcBorders>
              <w:top w:val="single" w:sz="4" w:space="0" w:color="auto"/>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 </w:t>
            </w:r>
          </w:p>
        </w:tc>
      </w:tr>
      <w:tr w:rsidR="003E6989" w:rsidTr="006A5410">
        <w:trPr>
          <w:trHeight w:val="480"/>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476" w:type="dxa"/>
            <w:tcBorders>
              <w:top w:val="nil"/>
              <w:left w:val="nil"/>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Annual Appropriation</w:t>
            </w:r>
            <w:r>
              <w:rPr>
                <w:rFonts w:cs="Calibri"/>
                <w:b/>
                <w:bCs/>
                <w:sz w:val="16"/>
                <w:szCs w:val="16"/>
                <w:vertAlign w:val="superscript"/>
              </w:rPr>
              <w:t>1</w:t>
            </w:r>
          </w:p>
        </w:tc>
        <w:tc>
          <w:tcPr>
            <w:tcW w:w="1196" w:type="dxa"/>
            <w:tcBorders>
              <w:top w:val="nil"/>
              <w:left w:val="nil"/>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AFM</w:t>
            </w:r>
          </w:p>
        </w:tc>
        <w:tc>
          <w:tcPr>
            <w:tcW w:w="996" w:type="dxa"/>
            <w:tcBorders>
              <w:top w:val="nil"/>
              <w:left w:val="single" w:sz="4" w:space="0" w:color="auto"/>
              <w:bottom w:val="nil"/>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Section 74</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Section 75</w:t>
            </w:r>
          </w:p>
        </w:tc>
        <w:tc>
          <w:tcPr>
            <w:tcW w:w="1276" w:type="dxa"/>
            <w:vMerge/>
            <w:tcBorders>
              <w:top w:val="nil"/>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16" w:type="dxa"/>
            <w:vMerge/>
            <w:tcBorders>
              <w:top w:val="single" w:sz="4" w:space="0" w:color="auto"/>
              <w:left w:val="single" w:sz="4" w:space="0" w:color="auto"/>
              <w:bottom w:val="nil"/>
              <w:right w:val="single" w:sz="4" w:space="0" w:color="auto"/>
            </w:tcBorders>
            <w:vAlign w:val="center"/>
            <w:hideMark/>
          </w:tcPr>
          <w:p w:rsidR="003E6989" w:rsidRDefault="003E6989" w:rsidP="006A5410">
            <w:pPr>
              <w:rPr>
                <w:rFonts w:cs="Calibri"/>
                <w:b/>
                <w:bCs/>
                <w:sz w:val="16"/>
                <w:szCs w:val="16"/>
              </w:rPr>
            </w:pP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Variance</w:t>
            </w:r>
            <w:r>
              <w:rPr>
                <w:rFonts w:cs="Calibri"/>
                <w:b/>
                <w:bCs/>
                <w:sz w:val="16"/>
                <w:szCs w:val="16"/>
                <w:vertAlign w:val="superscript"/>
              </w:rPr>
              <w:t>2</w:t>
            </w:r>
          </w:p>
        </w:tc>
      </w:tr>
      <w:tr w:rsidR="003E6989" w:rsidTr="006A5410">
        <w:trPr>
          <w:trHeight w:val="255"/>
        </w:trPr>
        <w:tc>
          <w:tcPr>
            <w:tcW w:w="359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47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1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9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91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2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31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c>
          <w:tcPr>
            <w:tcW w:w="13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 w:val="16"/>
                <w:szCs w:val="16"/>
              </w:rPr>
            </w:pPr>
            <w:r>
              <w:rPr>
                <w:rFonts w:cs="Calibri"/>
                <w:b/>
                <w:bCs/>
                <w:sz w:val="16"/>
                <w:szCs w:val="16"/>
              </w:rPr>
              <w:t>$'000</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DEPARTMENTAL</w:t>
            </w:r>
          </w:p>
        </w:tc>
        <w:tc>
          <w:tcPr>
            <w:tcW w:w="1476" w:type="dxa"/>
            <w:tcBorders>
              <w:top w:val="nil"/>
              <w:left w:val="nil"/>
              <w:bottom w:val="nil"/>
              <w:right w:val="nil"/>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 </w:t>
            </w: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Ordinary annual services</w:t>
            </w:r>
          </w:p>
        </w:tc>
        <w:tc>
          <w:tcPr>
            <w:tcW w:w="147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273,050 </w:t>
            </w:r>
          </w:p>
        </w:tc>
        <w:tc>
          <w:tcPr>
            <w:tcW w:w="11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47,837 </w:t>
            </w:r>
          </w:p>
        </w:tc>
        <w:tc>
          <w:tcPr>
            <w:tcW w:w="9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9,695 </w:t>
            </w:r>
          </w:p>
        </w:tc>
        <w:tc>
          <w:tcPr>
            <w:tcW w:w="127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330,582 </w:t>
            </w:r>
          </w:p>
        </w:tc>
        <w:tc>
          <w:tcPr>
            <w:tcW w:w="13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326,500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4,082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Capital Budgets</w:t>
            </w:r>
          </w:p>
        </w:tc>
        <w:tc>
          <w:tcPr>
            <w:tcW w:w="147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22,536 </w:t>
            </w:r>
          </w:p>
        </w:tc>
        <w:tc>
          <w:tcPr>
            <w:tcW w:w="11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505 </w:t>
            </w:r>
          </w:p>
        </w:tc>
        <w:tc>
          <w:tcPr>
            <w:tcW w:w="127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23,041 </w:t>
            </w:r>
          </w:p>
        </w:tc>
        <w:tc>
          <w:tcPr>
            <w:tcW w:w="131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18,299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4,742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100" w:firstLine="161"/>
              <w:rPr>
                <w:rFonts w:cs="Calibri"/>
                <w:b/>
                <w:bCs/>
                <w:color w:val="000000"/>
                <w:sz w:val="16"/>
                <w:szCs w:val="16"/>
              </w:rPr>
            </w:pPr>
            <w:r>
              <w:rPr>
                <w:rFonts w:cs="Calibri"/>
                <w:b/>
                <w:bCs/>
                <w:color w:val="000000"/>
                <w:sz w:val="16"/>
                <w:szCs w:val="16"/>
              </w:rPr>
              <w:t>Other services</w:t>
            </w:r>
          </w:p>
        </w:tc>
        <w:tc>
          <w:tcPr>
            <w:tcW w:w="1476" w:type="dxa"/>
            <w:tcBorders>
              <w:top w:val="nil"/>
              <w:left w:val="nil"/>
              <w:bottom w:val="nil"/>
              <w:right w:val="nil"/>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996" w:type="dxa"/>
            <w:tcBorders>
              <w:top w:val="nil"/>
              <w:left w:val="nil"/>
              <w:bottom w:val="nil"/>
              <w:right w:val="nil"/>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9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27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31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c>
          <w:tcPr>
            <w:tcW w:w="1396" w:type="dxa"/>
            <w:tcBorders>
              <w:top w:val="nil"/>
              <w:left w:val="nil"/>
              <w:bottom w:val="nil"/>
              <w:right w:val="single" w:sz="4" w:space="0" w:color="auto"/>
            </w:tcBorders>
            <w:shd w:val="clear" w:color="FFFFFF" w:fill="FFFFFF"/>
            <w:vAlign w:val="bottom"/>
            <w:hideMark/>
          </w:tcPr>
          <w:p w:rsidR="003E6989" w:rsidRDefault="003E6989" w:rsidP="006A5410">
            <w:pPr>
              <w:rPr>
                <w:rFonts w:cs="Calibri"/>
                <w:b/>
                <w:bCs/>
                <w:sz w:val="16"/>
                <w:szCs w:val="16"/>
              </w:rPr>
            </w:pPr>
            <w:r>
              <w:rPr>
                <w:rFonts w:cs="Calibri"/>
                <w:b/>
                <w:bCs/>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FFFFFF" w:fill="FFFFFF"/>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Equity</w:t>
            </w:r>
          </w:p>
        </w:tc>
        <w:tc>
          <w:tcPr>
            <w:tcW w:w="147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3,489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3,489 </w:t>
            </w:r>
          </w:p>
        </w:tc>
        <w:tc>
          <w:tcPr>
            <w:tcW w:w="13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3,836 </w:t>
            </w:r>
          </w:p>
        </w:tc>
        <w:tc>
          <w:tcPr>
            <w:tcW w:w="1396" w:type="dxa"/>
            <w:tcBorders>
              <w:top w:val="nil"/>
              <w:left w:val="nil"/>
              <w:bottom w:val="nil"/>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(347)</w:t>
            </w:r>
          </w:p>
        </w:tc>
      </w:tr>
      <w:tr w:rsidR="003E6989" w:rsidTr="006A5410">
        <w:trPr>
          <w:trHeight w:val="278"/>
        </w:trPr>
        <w:tc>
          <w:tcPr>
            <w:tcW w:w="3596"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color w:val="000000"/>
                <w:sz w:val="16"/>
                <w:szCs w:val="16"/>
              </w:rPr>
            </w:pPr>
            <w:r>
              <w:rPr>
                <w:rFonts w:cs="Calibri"/>
                <w:b/>
                <w:bCs/>
                <w:color w:val="000000"/>
                <w:sz w:val="16"/>
                <w:szCs w:val="16"/>
              </w:rPr>
              <w:t>Total departmental</w:t>
            </w:r>
          </w:p>
        </w:tc>
        <w:tc>
          <w:tcPr>
            <w:tcW w:w="147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299,075</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47,837</w:t>
            </w:r>
          </w:p>
        </w:tc>
        <w:tc>
          <w:tcPr>
            <w:tcW w:w="9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10,200</w:t>
            </w:r>
          </w:p>
        </w:tc>
        <w:tc>
          <w:tcPr>
            <w:tcW w:w="12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357,112</w:t>
            </w:r>
          </w:p>
        </w:tc>
        <w:tc>
          <w:tcPr>
            <w:tcW w:w="131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348,635</w:t>
            </w:r>
          </w:p>
        </w:tc>
        <w:tc>
          <w:tcPr>
            <w:tcW w:w="1396" w:type="dxa"/>
            <w:tcBorders>
              <w:top w:val="single" w:sz="4" w:space="0" w:color="auto"/>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8,477</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rPr>
                <w:rFonts w:cs="Calibri"/>
                <w:b/>
                <w:bCs/>
                <w:sz w:val="16"/>
                <w:szCs w:val="16"/>
              </w:rPr>
            </w:pPr>
            <w:r>
              <w:rPr>
                <w:rFonts w:cs="Calibri"/>
                <w:b/>
                <w:bCs/>
                <w:sz w:val="16"/>
                <w:szCs w:val="16"/>
              </w:rPr>
              <w:t>ADMINISTERED</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100" w:firstLine="161"/>
              <w:rPr>
                <w:rFonts w:cs="Calibri"/>
                <w:b/>
                <w:bCs/>
                <w:sz w:val="16"/>
                <w:szCs w:val="16"/>
              </w:rPr>
            </w:pPr>
            <w:r>
              <w:rPr>
                <w:rFonts w:cs="Calibri"/>
                <w:b/>
                <w:bCs/>
                <w:sz w:val="16"/>
                <w:szCs w:val="16"/>
              </w:rPr>
              <w:t>Ordinary annual services</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Administered items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996,201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316,252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1,312,453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1,082,706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229,747 </w:t>
            </w:r>
          </w:p>
        </w:tc>
      </w:tr>
      <w:tr w:rsidR="003E6989" w:rsidTr="006A5410">
        <w:trPr>
          <w:trHeight w:val="450"/>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Payments to Corporate Commonwealth Entities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13,295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13,295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13,295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100" w:firstLine="161"/>
              <w:rPr>
                <w:rFonts w:cs="Calibri"/>
                <w:b/>
                <w:bCs/>
                <w:sz w:val="16"/>
                <w:szCs w:val="16"/>
              </w:rPr>
            </w:pPr>
            <w:r>
              <w:rPr>
                <w:rFonts w:cs="Calibri"/>
                <w:b/>
                <w:bCs/>
                <w:sz w:val="16"/>
                <w:szCs w:val="16"/>
              </w:rPr>
              <w:t>Other services</w:t>
            </w:r>
          </w:p>
        </w:tc>
        <w:tc>
          <w:tcPr>
            <w:tcW w:w="147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9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16" w:type="dxa"/>
            <w:tcBorders>
              <w:top w:val="nil"/>
              <w:left w:val="nil"/>
              <w:bottom w:val="nil"/>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359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States, ACT, NT and local government</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100,431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100,431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96,677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3,754 </w:t>
            </w:r>
          </w:p>
        </w:tc>
      </w:tr>
      <w:tr w:rsidR="003E6989" w:rsidTr="006A5410">
        <w:trPr>
          <w:trHeight w:val="450"/>
        </w:trPr>
        <w:tc>
          <w:tcPr>
            <w:tcW w:w="3596" w:type="dxa"/>
            <w:tcBorders>
              <w:top w:val="nil"/>
              <w:left w:val="single" w:sz="4" w:space="0" w:color="auto"/>
              <w:bottom w:val="nil"/>
              <w:right w:val="single" w:sz="4" w:space="0" w:color="auto"/>
            </w:tcBorders>
            <w:shd w:val="clear" w:color="000000" w:fill="D9D9D9"/>
            <w:vAlign w:val="bottom"/>
            <w:hideMark/>
          </w:tcPr>
          <w:p w:rsidR="003E6989" w:rsidRDefault="003E6989" w:rsidP="006A5410">
            <w:pPr>
              <w:ind w:firstLineChars="200" w:firstLine="320"/>
              <w:rPr>
                <w:rFonts w:cs="Calibri"/>
                <w:color w:val="000000"/>
                <w:sz w:val="16"/>
                <w:szCs w:val="16"/>
              </w:rPr>
            </w:pPr>
            <w:r>
              <w:rPr>
                <w:rFonts w:cs="Calibri"/>
                <w:color w:val="000000"/>
                <w:sz w:val="16"/>
                <w:szCs w:val="16"/>
              </w:rPr>
              <w:t>Payments to Corporate Commonwealth Entities</w:t>
            </w:r>
          </w:p>
        </w:tc>
        <w:tc>
          <w:tcPr>
            <w:tcW w:w="147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75 </w:t>
            </w:r>
          </w:p>
        </w:tc>
        <w:tc>
          <w:tcPr>
            <w:tcW w:w="11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9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91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76" w:type="dxa"/>
            <w:tcBorders>
              <w:top w:val="nil"/>
              <w:left w:val="single" w:sz="4" w:space="0" w:color="auto"/>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75 </w:t>
            </w:r>
          </w:p>
        </w:tc>
        <w:tc>
          <w:tcPr>
            <w:tcW w:w="131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75 </w:t>
            </w:r>
          </w:p>
        </w:tc>
        <w:tc>
          <w:tcPr>
            <w:tcW w:w="1396" w:type="dxa"/>
            <w:tcBorders>
              <w:top w:val="nil"/>
              <w:left w:val="nil"/>
              <w:bottom w:val="nil"/>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r>
      <w:tr w:rsidR="003E6989" w:rsidTr="006A5410">
        <w:trPr>
          <w:trHeight w:val="278"/>
        </w:trPr>
        <w:tc>
          <w:tcPr>
            <w:tcW w:w="3596"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6989" w:rsidRDefault="003E6989" w:rsidP="006A5410">
            <w:pPr>
              <w:rPr>
                <w:rFonts w:cs="Calibri"/>
                <w:b/>
                <w:bCs/>
                <w:sz w:val="16"/>
                <w:szCs w:val="16"/>
              </w:rPr>
            </w:pPr>
            <w:r>
              <w:rPr>
                <w:rFonts w:cs="Calibri"/>
                <w:b/>
                <w:bCs/>
                <w:sz w:val="16"/>
                <w:szCs w:val="16"/>
              </w:rPr>
              <w:t>Total administered</w:t>
            </w:r>
          </w:p>
        </w:tc>
        <w:tc>
          <w:tcPr>
            <w:tcW w:w="14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1,110,002</w:t>
            </w:r>
          </w:p>
        </w:tc>
        <w:tc>
          <w:tcPr>
            <w:tcW w:w="119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9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w:t>
            </w:r>
          </w:p>
        </w:tc>
        <w:tc>
          <w:tcPr>
            <w:tcW w:w="91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316,252</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1,426,254</w:t>
            </w:r>
          </w:p>
        </w:tc>
        <w:tc>
          <w:tcPr>
            <w:tcW w:w="131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1,192,753</w:t>
            </w:r>
          </w:p>
        </w:tc>
        <w:tc>
          <w:tcPr>
            <w:tcW w:w="1396" w:type="dxa"/>
            <w:tcBorders>
              <w:top w:val="single" w:sz="4" w:space="0" w:color="auto"/>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233,501</w:t>
            </w:r>
          </w:p>
        </w:tc>
      </w:tr>
    </w:tbl>
    <w:p w:rsidR="003E6989" w:rsidRDefault="003E6989" w:rsidP="003E6989">
      <w:pPr>
        <w:pStyle w:val="AdminBlankGreyShade"/>
      </w:pPr>
      <w:bookmarkStart w:id="469" w:name="RANGE!D35:L52"/>
      <w:bookmarkStart w:id="470" w:name="RANGE!D34:L50"/>
      <w:bookmarkStart w:id="471" w:name="RANGE!D34:L51"/>
      <w:bookmarkStart w:id="472" w:name="RANGE!D34:M53"/>
      <w:bookmarkStart w:id="473" w:name="RANGE!D35:M54"/>
      <w:bookmarkStart w:id="474" w:name="RANGE!D36:L55"/>
      <w:bookmarkEnd w:id="469"/>
      <w:bookmarkEnd w:id="470"/>
      <w:bookmarkEnd w:id="471"/>
      <w:bookmarkEnd w:id="472"/>
      <w:bookmarkEnd w:id="473"/>
      <w:bookmarkEnd w:id="474"/>
      <w:r>
        <w:t>Notes:</w:t>
      </w:r>
    </w:p>
    <w:p w:rsidR="003E6989" w:rsidRPr="00807405" w:rsidRDefault="003E6989" w:rsidP="003E6989">
      <w:pPr>
        <w:pStyle w:val="AdminBlankGreyShade"/>
      </w:pPr>
      <w:r w:rsidRPr="00807405">
        <w:t xml:space="preserve">1. In </w:t>
      </w:r>
      <w:r>
        <w:t>2014–15</w:t>
      </w:r>
      <w:r w:rsidRPr="00807405">
        <w:t xml:space="preserve">, </w:t>
      </w:r>
      <w:r>
        <w:t xml:space="preserve">there were $12.473 million reductions to appropriation made under a section 51 determination and a further $3.690 million quarantined. </w:t>
      </w:r>
      <w:r w:rsidRPr="00807405">
        <w:t xml:space="preserve">In </w:t>
      </w:r>
      <w:r>
        <w:t>2014–15</w:t>
      </w:r>
      <w:r w:rsidRPr="00807405">
        <w:t xml:space="preserve">, there was </w:t>
      </w:r>
      <w:r>
        <w:t>$3.690 million</w:t>
      </w:r>
      <w:r w:rsidRPr="00807405">
        <w:t xml:space="preserve"> that met the recognition criteria of a formal addition or reduction in revenue (in accordance with FRR Part 6 Div 3) but at law the appropriation has not been amended before the end of the reporting period.</w:t>
      </w:r>
    </w:p>
    <w:p w:rsidR="003E6989" w:rsidRDefault="003E6989" w:rsidP="003E6989">
      <w:pPr>
        <w:pStyle w:val="AdminBlankGreyShade"/>
      </w:pPr>
      <w:r>
        <w:t>2</w:t>
      </w:r>
      <w:r w:rsidRPr="00807405">
        <w:t xml:space="preserve">. </w:t>
      </w:r>
      <w:r>
        <w:t>Administered and departmental variances are primarily due to the movements in liability balances between 2013–14 and 2014–15, and amounts subject to quarantine and available to be reduced.</w:t>
      </w:r>
    </w:p>
    <w:p w:rsidR="003E6989" w:rsidRDefault="003E6989" w:rsidP="003E6989">
      <w:pPr>
        <w:pStyle w:val="AdminBlankGreyShade"/>
      </w:pPr>
      <w:bookmarkStart w:id="475" w:name="RANGE!D36:M55"/>
      <w:bookmarkStart w:id="476" w:name="RANGE!D37:M56"/>
      <w:bookmarkStart w:id="477" w:name="RANGE!D34:M54"/>
      <w:bookmarkStart w:id="478" w:name="RANGE!D35:M55"/>
      <w:bookmarkStart w:id="479" w:name="RANGE!D39:M59"/>
      <w:bookmarkStart w:id="480" w:name="RANGE!D33:M53"/>
      <w:bookmarkEnd w:id="475"/>
      <w:bookmarkEnd w:id="476"/>
      <w:bookmarkEnd w:id="477"/>
      <w:bookmarkEnd w:id="478"/>
      <w:bookmarkEnd w:id="479"/>
      <w:bookmarkEnd w:id="480"/>
    </w:p>
    <w:p w:rsidR="003E6989" w:rsidRDefault="003E6989" w:rsidP="003E6989">
      <w:pPr>
        <w:spacing w:line="240" w:lineRule="auto"/>
        <w:sectPr w:rsidR="003E6989" w:rsidSect="006A5410">
          <w:pgSz w:w="16838" w:h="11906" w:orient="landscape"/>
          <w:pgMar w:top="1134" w:right="1134" w:bottom="1134" w:left="1134" w:header="958" w:footer="737" w:gutter="0"/>
          <w:cols w:space="720"/>
          <w:docGrid w:linePitch="245"/>
        </w:sectPr>
      </w:pPr>
    </w:p>
    <w:tbl>
      <w:tblPr>
        <w:tblW w:w="9087" w:type="dxa"/>
        <w:tblInd w:w="80" w:type="dxa"/>
        <w:tblLayout w:type="fixed"/>
        <w:tblLook w:val="04A0" w:firstRow="1" w:lastRow="0" w:firstColumn="1" w:lastColumn="0" w:noHBand="0" w:noVBand="1"/>
      </w:tblPr>
      <w:tblGrid>
        <w:gridCol w:w="6577"/>
        <w:gridCol w:w="1255"/>
        <w:gridCol w:w="1255"/>
      </w:tblGrid>
      <w:tr w:rsidR="003E6989" w:rsidTr="006A5410">
        <w:trPr>
          <w:trHeight w:val="255"/>
        </w:trPr>
        <w:tc>
          <w:tcPr>
            <w:tcW w:w="8980" w:type="dxa"/>
            <w:gridSpan w:val="3"/>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481" w:name="RANGE!D7:D44"/>
            <w:bookmarkStart w:id="482" w:name="Note_DUATABLE1" w:colFirst="0" w:colLast="0"/>
            <w:r>
              <w:rPr>
                <w:rFonts w:cs="Calibri"/>
                <w:b/>
                <w:bCs/>
                <w:szCs w:val="18"/>
                <w:u w:val="single"/>
              </w:rPr>
              <w:t>5.1B: Unspent annual appropriations ('recoverable GST exclusive')</w:t>
            </w:r>
            <w:bookmarkEnd w:id="481"/>
          </w:p>
        </w:tc>
      </w:tr>
      <w:bookmarkEnd w:id="482"/>
      <w:tr w:rsidR="003E6989" w:rsidTr="006A5410">
        <w:trPr>
          <w:trHeight w:val="255"/>
        </w:trPr>
        <w:tc>
          <w:tcPr>
            <w:tcW w:w="650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500" w:type="dxa"/>
            <w:vMerge w:val="restart"/>
            <w:tcBorders>
              <w:top w:val="single" w:sz="4" w:space="0" w:color="auto"/>
              <w:left w:val="nil"/>
              <w:bottom w:val="single" w:sz="4" w:space="0" w:color="000000"/>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240"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240"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6500" w:type="dxa"/>
            <w:vMerge/>
            <w:tcBorders>
              <w:top w:val="single" w:sz="4" w:space="0" w:color="auto"/>
              <w:left w:val="nil"/>
              <w:bottom w:val="single" w:sz="4" w:space="0" w:color="000000"/>
              <w:right w:val="nil"/>
            </w:tcBorders>
            <w:vAlign w:val="center"/>
            <w:hideMark/>
          </w:tcPr>
          <w:p w:rsidR="003E6989" w:rsidRDefault="003E6989" w:rsidP="006A5410">
            <w:pPr>
              <w:rPr>
                <w:rFonts w:cs="Calibri"/>
                <w:b/>
                <w:bCs/>
                <w:szCs w:val="18"/>
              </w:rPr>
            </w:pPr>
          </w:p>
        </w:tc>
        <w:tc>
          <w:tcPr>
            <w:tcW w:w="1240"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40"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500" w:type="dxa"/>
            <w:vMerge w:val="restart"/>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Departmental</w:t>
            </w:r>
          </w:p>
        </w:tc>
        <w:tc>
          <w:tcPr>
            <w:tcW w:w="124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24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500" w:type="dxa"/>
            <w:vMerge/>
            <w:tcBorders>
              <w:top w:val="nil"/>
              <w:left w:val="nil"/>
              <w:bottom w:val="nil"/>
              <w:right w:val="nil"/>
            </w:tcBorders>
            <w:vAlign w:val="center"/>
            <w:hideMark/>
          </w:tcPr>
          <w:p w:rsidR="003E6989" w:rsidRDefault="003E6989" w:rsidP="006A5410">
            <w:pPr>
              <w:rPr>
                <w:rFonts w:cs="Calibri"/>
                <w:b/>
                <w:bCs/>
                <w:szCs w:val="18"/>
              </w:rPr>
            </w:pPr>
          </w:p>
        </w:tc>
        <w:tc>
          <w:tcPr>
            <w:tcW w:w="124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124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(No.1) 2015-16</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35,506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(No.2) 2015-16</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7,109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(No.3) 2015-16</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4,567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(No.4) 2015-16</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1,973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(No.1) 2014-15</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22,827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42,874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(No.1) 2013-14</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1,468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(No.2) 2013-14</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784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3,860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(No.4) 2013-14</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14,255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Appropriation Act (No.4) 2012-13</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2,508 </w:t>
            </w:r>
          </w:p>
        </w:tc>
      </w:tr>
      <w:tr w:rsidR="003E6989" w:rsidTr="006A5410">
        <w:trPr>
          <w:trHeight w:val="255"/>
        </w:trPr>
        <w:tc>
          <w:tcPr>
            <w:tcW w:w="6500"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at Bank</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2,596 </w:t>
            </w:r>
          </w:p>
        </w:tc>
        <w:tc>
          <w:tcPr>
            <w:tcW w:w="1240" w:type="dxa"/>
            <w:tcBorders>
              <w:top w:val="nil"/>
              <w:left w:val="nil"/>
              <w:bottom w:val="nil"/>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7,531 </w:t>
            </w:r>
          </w:p>
        </w:tc>
      </w:tr>
      <w:tr w:rsidR="003E6989" w:rsidTr="006A5410">
        <w:trPr>
          <w:trHeight w:val="270"/>
        </w:trPr>
        <w:tc>
          <w:tcPr>
            <w:tcW w:w="6500"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departmental</w:t>
            </w:r>
          </w:p>
        </w:tc>
        <w:tc>
          <w:tcPr>
            <w:tcW w:w="1240"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75,362</w:t>
            </w:r>
          </w:p>
        </w:tc>
        <w:tc>
          <w:tcPr>
            <w:tcW w:w="1240"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72,496</w:t>
            </w:r>
          </w:p>
        </w:tc>
      </w:tr>
      <w:tr w:rsidR="003E6989" w:rsidTr="006A5410">
        <w:trPr>
          <w:trHeight w:val="270"/>
        </w:trPr>
        <w:tc>
          <w:tcPr>
            <w:tcW w:w="6500" w:type="dxa"/>
            <w:vMerge w:val="restart"/>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Administered</w:t>
            </w:r>
          </w:p>
        </w:tc>
        <w:tc>
          <w:tcPr>
            <w:tcW w:w="124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24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500" w:type="dxa"/>
            <w:vMerge/>
            <w:tcBorders>
              <w:top w:val="nil"/>
              <w:left w:val="nil"/>
              <w:bottom w:val="nil"/>
              <w:right w:val="nil"/>
            </w:tcBorders>
            <w:vAlign w:val="center"/>
            <w:hideMark/>
          </w:tcPr>
          <w:p w:rsidR="003E6989" w:rsidRDefault="003E6989" w:rsidP="006A5410">
            <w:pPr>
              <w:rPr>
                <w:rFonts w:cs="Calibri"/>
                <w:b/>
                <w:bCs/>
                <w:szCs w:val="18"/>
              </w:rPr>
            </w:pPr>
          </w:p>
        </w:tc>
        <w:tc>
          <w:tcPr>
            <w:tcW w:w="124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24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(No.1) 2015-16</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262,431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(No.3) 2015-16</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3,243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(No.1) 2014-15</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259,203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227,511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(No.3) 2014-15</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14,836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14,836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(No.2) 2014-15</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1,447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6,292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(No.1) 2013-14</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110 </w:t>
            </w:r>
          </w:p>
        </w:tc>
      </w:tr>
      <w:tr w:rsidR="003E6989" w:rsidTr="006A5410">
        <w:trPr>
          <w:trHeight w:val="255"/>
        </w:trPr>
        <w:tc>
          <w:tcPr>
            <w:tcW w:w="650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Appropriation Act (No.3) 2013-14</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240" w:type="dxa"/>
            <w:tcBorders>
              <w:top w:val="nil"/>
              <w:left w:val="nil"/>
              <w:bottom w:val="nil"/>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 xml:space="preserve">8,144 </w:t>
            </w:r>
          </w:p>
        </w:tc>
      </w:tr>
      <w:tr w:rsidR="003E6989" w:rsidTr="006A5410">
        <w:trPr>
          <w:trHeight w:val="270"/>
        </w:trPr>
        <w:tc>
          <w:tcPr>
            <w:tcW w:w="6500" w:type="dxa"/>
            <w:tcBorders>
              <w:top w:val="nil"/>
              <w:left w:val="nil"/>
              <w:bottom w:val="single" w:sz="12" w:space="0" w:color="D9D9D9"/>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administered</w:t>
            </w:r>
          </w:p>
        </w:tc>
        <w:tc>
          <w:tcPr>
            <w:tcW w:w="1240"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 w:val="16"/>
                <w:szCs w:val="16"/>
              </w:rPr>
            </w:pPr>
            <w:r>
              <w:rPr>
                <w:rFonts w:cs="Calibri"/>
                <w:b/>
                <w:bCs/>
                <w:sz w:val="16"/>
                <w:szCs w:val="16"/>
              </w:rPr>
              <w:t>541,160</w:t>
            </w:r>
          </w:p>
        </w:tc>
        <w:tc>
          <w:tcPr>
            <w:tcW w:w="1240"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 w:val="16"/>
                <w:szCs w:val="16"/>
              </w:rPr>
            </w:pPr>
            <w:r>
              <w:rPr>
                <w:rFonts w:cs="Calibri"/>
                <w:sz w:val="16"/>
                <w:szCs w:val="16"/>
              </w:rPr>
              <w:t>256,893</w:t>
            </w:r>
          </w:p>
        </w:tc>
      </w:tr>
    </w:tbl>
    <w:p w:rsidR="003E6989" w:rsidRDefault="003E6989" w:rsidP="003E6989">
      <w:bookmarkStart w:id="483" w:name="RANGE!D7:F44"/>
      <w:bookmarkStart w:id="484" w:name="RANGE!D7:F41"/>
      <w:bookmarkStart w:id="485" w:name="RANGE!D7:F39"/>
      <w:bookmarkStart w:id="486" w:name="RANGE!D7:F32"/>
      <w:bookmarkStart w:id="487" w:name="RANGE!D7:F31"/>
      <w:bookmarkStart w:id="488" w:name="RANGE!D7:F29"/>
      <w:bookmarkStart w:id="489" w:name="RANGE!D7:F34"/>
      <w:bookmarkStart w:id="490" w:name="RANGE!D7:F30"/>
      <w:bookmarkStart w:id="491" w:name="RANGE!D6:F15"/>
      <w:bookmarkStart w:id="492" w:name="RANGE!D6:F16"/>
      <w:bookmarkStart w:id="493" w:name="RANGE!D6:I16"/>
      <w:bookmarkStart w:id="494" w:name="RANGE!D20:F31"/>
      <w:bookmarkStart w:id="495" w:name="RANGE!D20:F27"/>
      <w:bookmarkEnd w:id="483"/>
      <w:bookmarkEnd w:id="484"/>
      <w:bookmarkEnd w:id="485"/>
      <w:bookmarkEnd w:id="486"/>
      <w:bookmarkEnd w:id="487"/>
      <w:bookmarkEnd w:id="488"/>
      <w:bookmarkEnd w:id="489"/>
      <w:bookmarkEnd w:id="490"/>
      <w:bookmarkEnd w:id="491"/>
      <w:bookmarkEnd w:id="492"/>
      <w:bookmarkEnd w:id="493"/>
      <w:bookmarkEnd w:id="494"/>
      <w:bookmarkEnd w:id="495"/>
    </w:p>
    <w:p w:rsidR="003E6989" w:rsidRDefault="003E6989" w:rsidP="003E6989"/>
    <w:p w:rsidR="003E6989" w:rsidRDefault="003E6989" w:rsidP="003E6989">
      <w:pPr>
        <w:sectPr w:rsidR="003E6989" w:rsidSect="006A5410">
          <w:pgSz w:w="11906" w:h="16838"/>
          <w:pgMar w:top="1134" w:right="1134" w:bottom="1134" w:left="1134" w:header="958" w:footer="737" w:gutter="0"/>
          <w:cols w:space="720"/>
        </w:sectPr>
      </w:pPr>
    </w:p>
    <w:tbl>
      <w:tblPr>
        <w:tblW w:w="13991" w:type="dxa"/>
        <w:tblInd w:w="80" w:type="dxa"/>
        <w:tblLayout w:type="fixed"/>
        <w:tblLook w:val="04A0" w:firstRow="1" w:lastRow="0" w:firstColumn="1" w:lastColumn="0" w:noHBand="0" w:noVBand="1"/>
      </w:tblPr>
      <w:tblGrid>
        <w:gridCol w:w="9437"/>
        <w:gridCol w:w="2277"/>
        <w:gridCol w:w="2277"/>
      </w:tblGrid>
      <w:tr w:rsidR="003E6989" w:rsidTr="006A5410">
        <w:trPr>
          <w:trHeight w:val="255"/>
        </w:trPr>
        <w:tc>
          <w:tcPr>
            <w:tcW w:w="7348" w:type="dxa"/>
            <w:gridSpan w:val="3"/>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496" w:name="Note_DSATABLE1" w:colFirst="0" w:colLast="0"/>
            <w:r>
              <w:rPr>
                <w:rFonts w:cs="Calibri"/>
                <w:b/>
                <w:bCs/>
                <w:szCs w:val="18"/>
                <w:u w:val="single"/>
              </w:rPr>
              <w:t>5.1C: Special appropriations ('recoverable GST exclusive')</w:t>
            </w:r>
          </w:p>
        </w:tc>
      </w:tr>
      <w:bookmarkEnd w:id="496"/>
      <w:tr w:rsidR="003E6989" w:rsidTr="006A5410">
        <w:trPr>
          <w:trHeight w:val="255"/>
        </w:trPr>
        <w:tc>
          <w:tcPr>
            <w:tcW w:w="495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9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4956"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Authority</w:t>
            </w:r>
          </w:p>
        </w:tc>
        <w:tc>
          <w:tcPr>
            <w:tcW w:w="2392" w:type="dxa"/>
            <w:gridSpan w:val="2"/>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jc w:val="center"/>
              <w:rPr>
                <w:rFonts w:cs="Calibri"/>
                <w:b/>
                <w:bCs/>
                <w:szCs w:val="18"/>
              </w:rPr>
            </w:pPr>
            <w:r>
              <w:rPr>
                <w:rFonts w:cs="Calibri"/>
                <w:b/>
                <w:bCs/>
                <w:szCs w:val="18"/>
              </w:rPr>
              <w:t>Appropriation applied</w:t>
            </w:r>
          </w:p>
        </w:tc>
      </w:tr>
      <w:tr w:rsidR="003E6989" w:rsidTr="006A5410">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3E6989" w:rsidRDefault="003E6989" w:rsidP="006A5410">
            <w:pPr>
              <w:rPr>
                <w:rFonts w:cs="Calibri"/>
                <w:b/>
                <w:bCs/>
                <w:szCs w:val="18"/>
              </w:rPr>
            </w:pP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96" w:type="dxa"/>
            <w:tcBorders>
              <w:top w:val="nil"/>
              <w:left w:val="nil"/>
              <w:bottom w:val="nil"/>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4956" w:type="dxa"/>
            <w:vMerge/>
            <w:tcBorders>
              <w:top w:val="single" w:sz="4" w:space="0" w:color="auto"/>
              <w:left w:val="single" w:sz="4" w:space="0" w:color="auto"/>
              <w:bottom w:val="single" w:sz="4" w:space="0" w:color="auto"/>
              <w:right w:val="single" w:sz="4" w:space="0" w:color="auto"/>
            </w:tcBorders>
            <w:vAlign w:val="center"/>
            <w:hideMark/>
          </w:tcPr>
          <w:p w:rsidR="003E6989" w:rsidRDefault="003E6989" w:rsidP="006A5410">
            <w:pPr>
              <w:rPr>
                <w:rFonts w:cs="Calibri"/>
                <w:b/>
                <w:bCs/>
                <w:szCs w:val="18"/>
              </w:rPr>
            </w:pPr>
          </w:p>
        </w:tc>
        <w:tc>
          <w:tcPr>
            <w:tcW w:w="11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9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480"/>
        </w:trPr>
        <w:tc>
          <w:tcPr>
            <w:tcW w:w="4956" w:type="dxa"/>
            <w:tcBorders>
              <w:top w:val="nil"/>
              <w:left w:val="single" w:sz="4" w:space="0" w:color="auto"/>
              <w:bottom w:val="single" w:sz="4" w:space="0" w:color="auto"/>
              <w:right w:val="single" w:sz="4" w:space="0" w:color="auto"/>
            </w:tcBorders>
            <w:shd w:val="clear" w:color="FFFFFF" w:fill="FFFFFF"/>
            <w:hideMark/>
          </w:tcPr>
          <w:p w:rsidR="003E6989" w:rsidRDefault="003E6989" w:rsidP="006A5410">
            <w:pPr>
              <w:rPr>
                <w:rFonts w:cs="Calibri"/>
                <w:szCs w:val="18"/>
              </w:rPr>
            </w:pPr>
            <w:r>
              <w:rPr>
                <w:rFonts w:cs="Calibri"/>
                <w:szCs w:val="18"/>
              </w:rPr>
              <w:t>A New Tax System (Family Assistance) (Administration) Act 1999 (Administered)</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5,023,245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3,448,822 </w:t>
            </w:r>
          </w:p>
        </w:tc>
      </w:tr>
      <w:tr w:rsidR="003E6989" w:rsidTr="006A5410">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3E6989" w:rsidRDefault="003E6989" w:rsidP="006A5410">
            <w:pPr>
              <w:rPr>
                <w:rFonts w:cs="Calibri"/>
                <w:szCs w:val="18"/>
              </w:rPr>
            </w:pPr>
            <w:r>
              <w:rPr>
                <w:rFonts w:cs="Calibri"/>
                <w:szCs w:val="18"/>
              </w:rPr>
              <w:t>Australian Education Act 2013 - (Administered)</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15,669,315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14,632,883 </w:t>
            </w:r>
          </w:p>
        </w:tc>
      </w:tr>
      <w:tr w:rsidR="003E6989" w:rsidTr="006A5410">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3E6989" w:rsidRDefault="003E6989" w:rsidP="006A5410">
            <w:pPr>
              <w:rPr>
                <w:rFonts w:cs="Calibri"/>
                <w:szCs w:val="18"/>
              </w:rPr>
            </w:pPr>
            <w:r>
              <w:rPr>
                <w:rFonts w:cs="Calibri"/>
                <w:szCs w:val="18"/>
              </w:rPr>
              <w:t>Schools Assistance Act 2008 - Section 167 (Administered)</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 -</w:t>
            </w:r>
          </w:p>
        </w:tc>
      </w:tr>
      <w:tr w:rsidR="003E6989" w:rsidTr="006A5410">
        <w:trPr>
          <w:trHeight w:val="720"/>
        </w:trPr>
        <w:tc>
          <w:tcPr>
            <w:tcW w:w="4956" w:type="dxa"/>
            <w:tcBorders>
              <w:top w:val="nil"/>
              <w:left w:val="single" w:sz="4" w:space="0" w:color="auto"/>
              <w:bottom w:val="single" w:sz="4" w:space="0" w:color="auto"/>
              <w:right w:val="single" w:sz="4" w:space="0" w:color="auto"/>
            </w:tcBorders>
            <w:shd w:val="clear" w:color="FFFFFF" w:fill="FFFFFF"/>
            <w:hideMark/>
          </w:tcPr>
          <w:p w:rsidR="003E6989" w:rsidRDefault="003E6989" w:rsidP="006A5410">
            <w:pPr>
              <w:rPr>
                <w:rFonts w:cs="Calibri"/>
                <w:szCs w:val="18"/>
              </w:rPr>
            </w:pPr>
            <w:r>
              <w:rPr>
                <w:rFonts w:cs="Calibri"/>
                <w:szCs w:val="18"/>
              </w:rPr>
              <w:t>Higher Education Support Act 2003 - Section 238-12 (Administered)</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17,629,196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16,616,684 </w:t>
            </w:r>
          </w:p>
        </w:tc>
      </w:tr>
      <w:tr w:rsidR="003E6989" w:rsidTr="006A5410">
        <w:trPr>
          <w:trHeight w:val="480"/>
        </w:trPr>
        <w:tc>
          <w:tcPr>
            <w:tcW w:w="4956" w:type="dxa"/>
            <w:tcBorders>
              <w:top w:val="nil"/>
              <w:left w:val="single" w:sz="4" w:space="0" w:color="auto"/>
              <w:bottom w:val="single" w:sz="4" w:space="0" w:color="auto"/>
              <w:right w:val="single" w:sz="4" w:space="0" w:color="auto"/>
            </w:tcBorders>
            <w:shd w:val="clear" w:color="FFFFFF" w:fill="FFFFFF"/>
            <w:hideMark/>
          </w:tcPr>
          <w:p w:rsidR="003E6989" w:rsidRDefault="003E6989" w:rsidP="006A5410">
            <w:pPr>
              <w:rPr>
                <w:rFonts w:cs="Calibri"/>
                <w:szCs w:val="18"/>
              </w:rPr>
            </w:pPr>
            <w:r>
              <w:rPr>
                <w:rFonts w:cs="Calibri"/>
                <w:szCs w:val="18"/>
              </w:rPr>
              <w:t>Trade Support Loans Act 2014 - Section 104</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 xml:space="preserve">144,676 </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 xml:space="preserve">57,113 </w:t>
            </w:r>
          </w:p>
        </w:tc>
      </w:tr>
      <w:tr w:rsidR="003E6989" w:rsidTr="006A5410">
        <w:trPr>
          <w:trHeight w:val="255"/>
        </w:trPr>
        <w:tc>
          <w:tcPr>
            <w:tcW w:w="495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Total special appropriations applied</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 w:val="16"/>
                <w:szCs w:val="16"/>
              </w:rPr>
            </w:pPr>
            <w:r>
              <w:rPr>
                <w:rFonts w:cs="Calibri"/>
                <w:b/>
                <w:bCs/>
                <w:sz w:val="16"/>
                <w:szCs w:val="16"/>
              </w:rPr>
              <w:t>38,466,432</w:t>
            </w:r>
          </w:p>
        </w:tc>
        <w:tc>
          <w:tcPr>
            <w:tcW w:w="119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 w:val="16"/>
                <w:szCs w:val="16"/>
              </w:rPr>
            </w:pPr>
            <w:r>
              <w:rPr>
                <w:rFonts w:cs="Calibri"/>
                <w:sz w:val="16"/>
                <w:szCs w:val="16"/>
              </w:rPr>
              <w:t>34,755,502</w:t>
            </w:r>
          </w:p>
        </w:tc>
      </w:tr>
    </w:tbl>
    <w:p w:rsidR="003E6989" w:rsidRDefault="003E6989" w:rsidP="003E6989">
      <w:pPr>
        <w:pStyle w:val="12line"/>
        <w:rPr>
          <w:lang w:eastAsia="en-AU"/>
        </w:rPr>
      </w:pPr>
    </w:p>
    <w:p w:rsidR="003E6989" w:rsidRDefault="003E6989" w:rsidP="003E6989">
      <w:pPr>
        <w:pStyle w:val="12line"/>
        <w:rPr>
          <w:lang w:eastAsia="en-AU"/>
        </w:rPr>
      </w:pPr>
    </w:p>
    <w:p w:rsidR="003E6989" w:rsidRPr="00A778E6" w:rsidRDefault="003E6989" w:rsidP="003E6989">
      <w:pPr>
        <w:pStyle w:val="12line"/>
        <w:rPr>
          <w:lang w:eastAsia="en-AU"/>
        </w:rPr>
        <w:sectPr w:rsidR="003E6989" w:rsidRPr="00A778E6" w:rsidSect="006A5410">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2565"/>
        <w:gridCol w:w="1032"/>
        <w:gridCol w:w="915"/>
        <w:gridCol w:w="915"/>
        <w:gridCol w:w="915"/>
        <w:gridCol w:w="915"/>
        <w:gridCol w:w="915"/>
        <w:gridCol w:w="915"/>
      </w:tblGrid>
      <w:tr w:rsidR="003E6989" w:rsidTr="006A5410">
        <w:trPr>
          <w:trHeight w:val="255"/>
        </w:trPr>
        <w:tc>
          <w:tcPr>
            <w:tcW w:w="8981" w:type="dxa"/>
            <w:gridSpan w:val="8"/>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497" w:name="RANGE!D8:D19"/>
            <w:bookmarkStart w:id="498" w:name="Note_DACTABLE1" w:colFirst="0" w:colLast="0"/>
            <w:r>
              <w:rPr>
                <w:rFonts w:cs="Calibri"/>
                <w:b/>
                <w:bCs/>
                <w:szCs w:val="18"/>
                <w:u w:val="single"/>
              </w:rPr>
              <w:t>5.1D: Disclosure by agent in relation to annual and special appropriations ('recoverable GST exclusive')</w:t>
            </w:r>
            <w:bookmarkEnd w:id="497"/>
          </w:p>
        </w:tc>
      </w:tr>
      <w:bookmarkEnd w:id="498"/>
      <w:tr w:rsidR="003E6989" w:rsidTr="006A5410">
        <w:trPr>
          <w:trHeight w:val="255"/>
        </w:trPr>
        <w:tc>
          <w:tcPr>
            <w:tcW w:w="25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930"/>
        </w:trPr>
        <w:tc>
          <w:tcPr>
            <w:tcW w:w="2536" w:type="dxa"/>
            <w:tcBorders>
              <w:top w:val="single" w:sz="4" w:space="0" w:color="auto"/>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021" w:type="dxa"/>
            <w:tcBorders>
              <w:top w:val="single" w:sz="4" w:space="0" w:color="auto"/>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Prime Minister and Cabinet</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Foreign Affairs and Trade</w:t>
            </w:r>
            <w:r>
              <w:rPr>
                <w:rFonts w:cs="Calibri"/>
                <w:b/>
                <w:bCs/>
                <w:szCs w:val="18"/>
                <w:vertAlign w:val="superscript"/>
              </w:rPr>
              <w:t>2</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Social Services</w:t>
            </w:r>
          </w:p>
        </w:tc>
      </w:tr>
      <w:tr w:rsidR="003E6989" w:rsidTr="006A5410">
        <w:trPr>
          <w:trHeight w:val="255"/>
        </w:trPr>
        <w:tc>
          <w:tcPr>
            <w:tcW w:w="253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2016</w:t>
            </w:r>
          </w:p>
        </w:tc>
        <w:tc>
          <w:tcPr>
            <w:tcW w:w="1021"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253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Total receipts</w:t>
            </w:r>
          </w:p>
        </w:tc>
        <w:tc>
          <w:tcPr>
            <w:tcW w:w="102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808" w:type="dxa"/>
            <w:gridSpan w:val="2"/>
            <w:tcBorders>
              <w:top w:val="single" w:sz="4" w:space="0" w:color="auto"/>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808" w:type="dxa"/>
            <w:gridSpan w:val="2"/>
            <w:tcBorders>
              <w:top w:val="single" w:sz="4" w:space="0" w:color="auto"/>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24,988 </w:t>
            </w:r>
          </w:p>
        </w:tc>
        <w:tc>
          <w:tcPr>
            <w:tcW w:w="1808" w:type="dxa"/>
            <w:gridSpan w:val="2"/>
            <w:tcBorders>
              <w:top w:val="single" w:sz="4" w:space="0" w:color="auto"/>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r>
      <w:tr w:rsidR="003E6989" w:rsidTr="006A5410">
        <w:trPr>
          <w:trHeight w:val="255"/>
        </w:trPr>
        <w:tc>
          <w:tcPr>
            <w:tcW w:w="2536" w:type="dxa"/>
            <w:tcBorders>
              <w:top w:val="nil"/>
              <w:left w:val="nil"/>
              <w:bottom w:val="single" w:sz="4" w:space="0" w:color="auto"/>
              <w:right w:val="nil"/>
            </w:tcBorders>
            <w:shd w:val="clear" w:color="FFFFFF" w:fill="FFFFFF"/>
            <w:vAlign w:val="bottom"/>
            <w:hideMark/>
          </w:tcPr>
          <w:p w:rsidR="003E6989" w:rsidRDefault="003E6989" w:rsidP="006A5410">
            <w:pPr>
              <w:rPr>
                <w:rFonts w:cs="Calibri"/>
                <w:szCs w:val="18"/>
              </w:rPr>
            </w:pPr>
            <w:r>
              <w:rPr>
                <w:rFonts w:cs="Calibri"/>
                <w:szCs w:val="18"/>
              </w:rPr>
              <w:t>Total payments</w:t>
            </w:r>
          </w:p>
        </w:tc>
        <w:tc>
          <w:tcPr>
            <w:tcW w:w="1021"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24,988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r>
      <w:tr w:rsidR="003E6989" w:rsidTr="006A5410">
        <w:trPr>
          <w:trHeight w:val="255"/>
        </w:trPr>
        <w:tc>
          <w:tcPr>
            <w:tcW w:w="25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25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904"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945"/>
        </w:trPr>
        <w:tc>
          <w:tcPr>
            <w:tcW w:w="2536" w:type="dxa"/>
            <w:tcBorders>
              <w:top w:val="single" w:sz="4" w:space="0" w:color="auto"/>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021" w:type="dxa"/>
            <w:tcBorders>
              <w:top w:val="single" w:sz="4" w:space="0" w:color="auto"/>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Prime Minister and Cabinet</w:t>
            </w:r>
            <w:r>
              <w:rPr>
                <w:rFonts w:cs="Calibri"/>
                <w:b/>
                <w:bCs/>
                <w:szCs w:val="18"/>
                <w:vertAlign w:val="superscript"/>
              </w:rPr>
              <w:t>1</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Foreign Affairs and Trade</w:t>
            </w:r>
            <w:r>
              <w:rPr>
                <w:rFonts w:cs="Calibri"/>
                <w:b/>
                <w:bCs/>
                <w:szCs w:val="18"/>
                <w:vertAlign w:val="superscript"/>
              </w:rPr>
              <w:t>2</w:t>
            </w:r>
          </w:p>
        </w:tc>
        <w:tc>
          <w:tcPr>
            <w:tcW w:w="1808" w:type="dxa"/>
            <w:gridSpan w:val="2"/>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Department of Social Services</w:t>
            </w:r>
            <w:r>
              <w:rPr>
                <w:rFonts w:cs="Calibri"/>
                <w:b/>
                <w:bCs/>
                <w:szCs w:val="18"/>
                <w:vertAlign w:val="superscript"/>
              </w:rPr>
              <w:t>3</w:t>
            </w:r>
          </w:p>
        </w:tc>
      </w:tr>
      <w:tr w:rsidR="003E6989" w:rsidTr="006A5410">
        <w:trPr>
          <w:trHeight w:val="255"/>
        </w:trPr>
        <w:tc>
          <w:tcPr>
            <w:tcW w:w="253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2015</w:t>
            </w:r>
          </w:p>
        </w:tc>
        <w:tc>
          <w:tcPr>
            <w:tcW w:w="1021"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808" w:type="dxa"/>
            <w:gridSpan w:val="2"/>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253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Total receipts</w:t>
            </w:r>
          </w:p>
        </w:tc>
        <w:tc>
          <w:tcPr>
            <w:tcW w:w="1021"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808" w:type="dxa"/>
            <w:gridSpan w:val="2"/>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250 </w:t>
            </w:r>
          </w:p>
        </w:tc>
        <w:tc>
          <w:tcPr>
            <w:tcW w:w="1808" w:type="dxa"/>
            <w:gridSpan w:val="2"/>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9,978 </w:t>
            </w:r>
          </w:p>
        </w:tc>
        <w:tc>
          <w:tcPr>
            <w:tcW w:w="1808" w:type="dxa"/>
            <w:gridSpan w:val="2"/>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605,050 </w:t>
            </w:r>
          </w:p>
        </w:tc>
      </w:tr>
      <w:tr w:rsidR="003E6989" w:rsidTr="006A5410">
        <w:trPr>
          <w:trHeight w:val="255"/>
        </w:trPr>
        <w:tc>
          <w:tcPr>
            <w:tcW w:w="2536" w:type="dxa"/>
            <w:tcBorders>
              <w:top w:val="nil"/>
              <w:left w:val="nil"/>
              <w:bottom w:val="single" w:sz="4" w:space="0" w:color="auto"/>
              <w:right w:val="nil"/>
            </w:tcBorders>
            <w:shd w:val="clear" w:color="FFFFFF" w:fill="FFFFFF"/>
            <w:vAlign w:val="bottom"/>
            <w:hideMark/>
          </w:tcPr>
          <w:p w:rsidR="003E6989" w:rsidRDefault="003E6989" w:rsidP="006A5410">
            <w:pPr>
              <w:rPr>
                <w:rFonts w:cs="Calibri"/>
                <w:szCs w:val="18"/>
              </w:rPr>
            </w:pPr>
            <w:r>
              <w:rPr>
                <w:rFonts w:cs="Calibri"/>
                <w:szCs w:val="18"/>
              </w:rPr>
              <w:t>Total payments</w:t>
            </w:r>
          </w:p>
        </w:tc>
        <w:tc>
          <w:tcPr>
            <w:tcW w:w="1021" w:type="dxa"/>
            <w:tcBorders>
              <w:top w:val="nil"/>
              <w:left w:val="nil"/>
              <w:bottom w:val="single" w:sz="4" w:space="0" w:color="auto"/>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250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9,978 </w:t>
            </w:r>
          </w:p>
        </w:tc>
        <w:tc>
          <w:tcPr>
            <w:tcW w:w="1808" w:type="dxa"/>
            <w:gridSpan w:val="2"/>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605,050 </w:t>
            </w:r>
          </w:p>
        </w:tc>
      </w:tr>
    </w:tbl>
    <w:p w:rsidR="003E6989" w:rsidRDefault="003E6989" w:rsidP="003E6989">
      <w:pPr>
        <w:spacing w:line="240" w:lineRule="auto"/>
      </w:pPr>
      <w:bookmarkStart w:id="499" w:name="RANGE!D8:K19"/>
      <w:bookmarkStart w:id="500" w:name="RANGE!D7:K18"/>
      <w:bookmarkStart w:id="501" w:name="RANGE!D25:H32"/>
      <w:bookmarkEnd w:id="499"/>
      <w:bookmarkEnd w:id="500"/>
      <w:bookmarkEnd w:id="501"/>
    </w:p>
    <w:p w:rsidR="003E6989" w:rsidRDefault="003E6989" w:rsidP="003E6989">
      <w:pPr>
        <w:pStyle w:val="ListParagraph"/>
        <w:numPr>
          <w:ilvl w:val="0"/>
          <w:numId w:val="19"/>
        </w:numPr>
        <w:spacing w:after="0" w:line="260" w:lineRule="atLeast"/>
        <w:ind w:left="142" w:right="566" w:hanging="142"/>
      </w:pPr>
      <w:r>
        <w:t xml:space="preserve">The department made a payment for the Office of Women programme for the Department of Prime Minister and </w:t>
      </w:r>
      <w:r w:rsidRPr="00DC68A9">
        <w:t>Cabinet</w:t>
      </w:r>
      <w:r>
        <w:t xml:space="preserve">. </w:t>
      </w:r>
    </w:p>
    <w:p w:rsidR="003E6989" w:rsidRDefault="003E6989" w:rsidP="003E6989">
      <w:pPr>
        <w:pStyle w:val="ListParagraph"/>
        <w:numPr>
          <w:ilvl w:val="0"/>
          <w:numId w:val="19"/>
        </w:numPr>
        <w:spacing w:after="0" w:line="260" w:lineRule="atLeast"/>
        <w:ind w:left="142" w:right="566" w:hanging="142"/>
      </w:pPr>
      <w:r>
        <w:t>The department had drawing rights for the Department of Foreign Affairs and Trade annual appropriation for the New Colombo Plan programme.</w:t>
      </w:r>
    </w:p>
    <w:p w:rsidR="003E6989" w:rsidRPr="00455C0D" w:rsidRDefault="003E6989" w:rsidP="003E6989">
      <w:pPr>
        <w:pStyle w:val="ListParagraph"/>
        <w:numPr>
          <w:ilvl w:val="0"/>
          <w:numId w:val="19"/>
        </w:numPr>
        <w:spacing w:after="0" w:line="260" w:lineRule="atLeast"/>
        <w:ind w:left="142" w:right="566" w:hanging="142"/>
      </w:pPr>
      <w:r>
        <w:t>In 2014-15 the department had drawing rights for the Department of Social Services special appropriations for the payment of Child Care Benefit,</w:t>
      </w:r>
      <w:r w:rsidRPr="00455C0D">
        <w:t xml:space="preserve"> Child Care Rebate</w:t>
      </w:r>
      <w:r>
        <w:t xml:space="preserve"> and the Early Years Quality Fund Special Account</w:t>
      </w:r>
      <w:r w:rsidRPr="00455C0D">
        <w:t xml:space="preserve">. </w:t>
      </w:r>
    </w:p>
    <w:p w:rsidR="003E6989" w:rsidRDefault="003E6989" w:rsidP="003E6989"/>
    <w:p w:rsidR="003E6989" w:rsidRDefault="003E6989" w:rsidP="003E6989">
      <w:pPr>
        <w:sectPr w:rsidR="003E6989" w:rsidSect="006A5410">
          <w:pgSz w:w="11906" w:h="16838"/>
          <w:pgMar w:top="1134" w:right="1134" w:bottom="1134" w:left="1134" w:header="958" w:footer="737" w:gutter="0"/>
          <w:cols w:space="720"/>
        </w:sectPr>
      </w:pPr>
    </w:p>
    <w:p w:rsidR="003E6989" w:rsidRDefault="003E6989" w:rsidP="003E6989">
      <w:pPr>
        <w:pStyle w:val="SubHeading"/>
      </w:pPr>
      <w:bookmarkStart w:id="502" w:name="_Toc455416746"/>
      <w:bookmarkStart w:id="503" w:name="_Toc464726637"/>
      <w:r>
        <w:t>Special Accounts</w:t>
      </w:r>
      <w:bookmarkEnd w:id="502"/>
      <w:bookmarkEnd w:id="503"/>
    </w:p>
    <w:tbl>
      <w:tblPr>
        <w:tblW w:w="13991" w:type="dxa"/>
        <w:tblInd w:w="80" w:type="dxa"/>
        <w:tblLayout w:type="fixed"/>
        <w:tblLook w:val="04A0" w:firstRow="1" w:lastRow="0" w:firstColumn="1" w:lastColumn="0" w:noHBand="0" w:noVBand="1"/>
      </w:tblPr>
      <w:tblGrid>
        <w:gridCol w:w="4053"/>
        <w:gridCol w:w="1243"/>
        <w:gridCol w:w="1243"/>
        <w:gridCol w:w="1242"/>
        <w:gridCol w:w="1242"/>
        <w:gridCol w:w="1242"/>
        <w:gridCol w:w="1242"/>
        <w:gridCol w:w="1242"/>
        <w:gridCol w:w="1242"/>
      </w:tblGrid>
      <w:tr w:rsidR="003E6989" w:rsidTr="006A5410">
        <w:trPr>
          <w:trHeight w:val="255"/>
        </w:trPr>
        <w:tc>
          <w:tcPr>
            <w:tcW w:w="13244" w:type="dxa"/>
            <w:gridSpan w:val="9"/>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504" w:name="Note_SACTABLE1" w:colFirst="0" w:colLast="0"/>
            <w:r>
              <w:rPr>
                <w:rFonts w:cs="Calibri"/>
                <w:b/>
                <w:bCs/>
                <w:szCs w:val="18"/>
                <w:u w:val="single"/>
              </w:rPr>
              <w:t>5.2A: Special accounts ('recoverable GST exclusive')</w:t>
            </w:r>
          </w:p>
        </w:tc>
      </w:tr>
      <w:bookmarkEnd w:id="504"/>
      <w:tr w:rsidR="003E6989" w:rsidTr="006A5410">
        <w:trPr>
          <w:trHeight w:val="255"/>
        </w:trPr>
        <w:tc>
          <w:tcPr>
            <w:tcW w:w="383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c>
          <w:tcPr>
            <w:tcW w:w="1176" w:type="dxa"/>
            <w:tcBorders>
              <w:top w:val="nil"/>
              <w:left w:val="nil"/>
              <w:bottom w:val="nil"/>
              <w:right w:val="nil"/>
            </w:tcBorders>
            <w:shd w:val="clear" w:color="FFFFFF" w:fill="FFFFFF"/>
            <w:noWrap/>
            <w:vAlign w:val="bottom"/>
            <w:hideMark/>
          </w:tcPr>
          <w:p w:rsidR="003E6989" w:rsidRDefault="003E6989" w:rsidP="006A5410">
            <w:pPr>
              <w:rPr>
                <w:rFonts w:cs="Calibri"/>
                <w:sz w:val="20"/>
              </w:rPr>
            </w:pPr>
            <w:r>
              <w:rPr>
                <w:rFonts w:cs="Calibri"/>
                <w:sz w:val="20"/>
              </w:rPr>
              <w:t> </w:t>
            </w:r>
          </w:p>
        </w:tc>
      </w:tr>
      <w:tr w:rsidR="003E6989" w:rsidTr="006A5410">
        <w:trPr>
          <w:trHeight w:val="518"/>
        </w:trPr>
        <w:tc>
          <w:tcPr>
            <w:tcW w:w="383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rPr>
                <w:rFonts w:cs="Calibri"/>
                <w:b/>
                <w:bCs/>
                <w:szCs w:val="18"/>
              </w:rPr>
            </w:pPr>
            <w:bookmarkStart w:id="505" w:name="RANGE!D10:D29"/>
            <w:r>
              <w:rPr>
                <w:rFonts w:cs="Calibri"/>
                <w:b/>
                <w:bCs/>
                <w:szCs w:val="18"/>
              </w:rPr>
              <w:t> </w:t>
            </w:r>
            <w:bookmarkEnd w:id="505"/>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Education Investment Fund - Research Portfolio Special Account</w:t>
            </w:r>
            <w:r>
              <w:rPr>
                <w:rFonts w:cs="Calibri"/>
                <w:b/>
                <w:bCs/>
                <w:szCs w:val="18"/>
                <w:vertAlign w:val="superscript"/>
              </w:rPr>
              <w:t>1</w:t>
            </w:r>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Education Investment Fund - Education Portfolio Special Account</w:t>
            </w:r>
            <w:r>
              <w:rPr>
                <w:rFonts w:cs="Calibri"/>
                <w:b/>
                <w:bCs/>
                <w:szCs w:val="18"/>
                <w:vertAlign w:val="superscript"/>
              </w:rPr>
              <w:t>2</w:t>
            </w:r>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National Youth Affairs Research Scheme</w:t>
            </w:r>
            <w:r>
              <w:rPr>
                <w:rFonts w:cs="Calibri"/>
                <w:b/>
                <w:bCs/>
                <w:szCs w:val="18"/>
                <w:vertAlign w:val="superscript"/>
              </w:rPr>
              <w:t>3</w:t>
            </w:r>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Growth Fund Skills and Training Special Account</w:t>
            </w:r>
            <w:r>
              <w:rPr>
                <w:rFonts w:cs="Calibri"/>
                <w:b/>
                <w:bCs/>
                <w:szCs w:val="18"/>
                <w:vertAlign w:val="superscript"/>
              </w:rPr>
              <w:t>4</w:t>
            </w:r>
          </w:p>
        </w:tc>
      </w:tr>
      <w:tr w:rsidR="003E6989" w:rsidTr="006A5410">
        <w:trPr>
          <w:trHeight w:val="255"/>
        </w:trPr>
        <w:tc>
          <w:tcPr>
            <w:tcW w:w="3836" w:type="dxa"/>
            <w:vMerge w:val="restart"/>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3836" w:type="dxa"/>
            <w:vMerge/>
            <w:tcBorders>
              <w:top w:val="nil"/>
              <w:left w:val="single" w:sz="4" w:space="0" w:color="auto"/>
              <w:bottom w:val="single" w:sz="4" w:space="0" w:color="auto"/>
              <w:right w:val="single" w:sz="4" w:space="0" w:color="auto"/>
            </w:tcBorders>
            <w:vAlign w:val="center"/>
            <w:hideMark/>
          </w:tcPr>
          <w:p w:rsidR="003E6989" w:rsidRDefault="003E6989" w:rsidP="006A5410">
            <w:pPr>
              <w:rPr>
                <w:rFonts w:cs="Calibri"/>
                <w:b/>
                <w:bCs/>
                <w:szCs w:val="18"/>
              </w:rPr>
            </w:pP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Balance brought forward from previous period</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251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Increases</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Appropriation credited to special account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70,950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55,754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146,463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4,757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Transfer through restructuring</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i/>
                <w:iCs/>
                <w:szCs w:val="18"/>
              </w:rPr>
            </w:pPr>
            <w:r>
              <w:rPr>
                <w:rFonts w:cs="Calibri"/>
                <w:b/>
                <w:bCs/>
                <w:i/>
                <w:iCs/>
                <w:szCs w:val="18"/>
              </w:rPr>
              <w:t>Total increases</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70,950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55,754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146,463</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4,757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Available for payments</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70,950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55,754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146,463</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251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4,757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szCs w:val="18"/>
              </w:rPr>
            </w:pPr>
            <w:r>
              <w:rPr>
                <w:rFonts w:cs="Calibri"/>
                <w:b/>
                <w:bCs/>
                <w:szCs w:val="18"/>
              </w:rPr>
              <w:t>Decreases</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Administered</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Payments made</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(70,950)</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(55,754)</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(146,463)</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(171)</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(80)</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Transfer through restructuring</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 xml:space="preserve">Total Administered </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(70,950)</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(55,754)</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(146,463)</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(171)</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(80)</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i/>
                <w:iCs/>
                <w:szCs w:val="18"/>
              </w:rPr>
            </w:pPr>
            <w:r>
              <w:rPr>
                <w:rFonts w:cs="Calibri"/>
                <w:b/>
                <w:bCs/>
                <w:i/>
                <w:iCs/>
                <w:szCs w:val="18"/>
              </w:rPr>
              <w:t>Total decreases</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(70,950)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(55,754)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(146,463)</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(80)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r>
      <w:tr w:rsidR="003E6989" w:rsidTr="006A5410">
        <w:trPr>
          <w:trHeight w:val="255"/>
        </w:trPr>
        <w:tc>
          <w:tcPr>
            <w:tcW w:w="383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rPr>
                <w:rFonts w:cs="Calibri"/>
                <w:b/>
                <w:bCs/>
                <w:i/>
                <w:iCs/>
                <w:szCs w:val="18"/>
              </w:rPr>
            </w:pPr>
            <w:r>
              <w:rPr>
                <w:rFonts w:cs="Calibri"/>
                <w:b/>
                <w:bCs/>
                <w:i/>
                <w:iCs/>
                <w:szCs w:val="18"/>
              </w:rPr>
              <w:t>Total balance carried to the next period</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171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4,757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r>
    </w:tbl>
    <w:p w:rsidR="003E6989" w:rsidRDefault="003E6989" w:rsidP="003E6989">
      <w:pPr>
        <w:spacing w:line="240" w:lineRule="atLeast"/>
        <w:rPr>
          <w:b/>
        </w:rPr>
      </w:pPr>
      <w:bookmarkStart w:id="506" w:name="RANGE!D9:J30"/>
      <w:bookmarkEnd w:id="506"/>
      <w:r>
        <w:rPr>
          <w:b/>
        </w:rPr>
        <w:br w:type="page"/>
      </w:r>
    </w:p>
    <w:tbl>
      <w:tblPr>
        <w:tblW w:w="13991" w:type="dxa"/>
        <w:tblInd w:w="80" w:type="dxa"/>
        <w:tblLayout w:type="fixed"/>
        <w:tblLook w:val="04A0" w:firstRow="1" w:lastRow="0" w:firstColumn="1" w:lastColumn="0" w:noHBand="0" w:noVBand="1"/>
      </w:tblPr>
      <w:tblGrid>
        <w:gridCol w:w="4053"/>
        <w:gridCol w:w="1243"/>
        <w:gridCol w:w="1243"/>
        <w:gridCol w:w="1242"/>
        <w:gridCol w:w="1242"/>
        <w:gridCol w:w="1242"/>
        <w:gridCol w:w="1242"/>
        <w:gridCol w:w="1242"/>
        <w:gridCol w:w="1242"/>
      </w:tblGrid>
      <w:tr w:rsidR="003E6989" w:rsidTr="006A5410">
        <w:trPr>
          <w:trHeight w:val="578"/>
        </w:trPr>
        <w:tc>
          <w:tcPr>
            <w:tcW w:w="3836" w:type="dxa"/>
            <w:tcBorders>
              <w:top w:val="single" w:sz="4" w:space="0" w:color="auto"/>
              <w:left w:val="single" w:sz="4" w:space="0" w:color="auto"/>
              <w:bottom w:val="single" w:sz="4" w:space="0" w:color="auto"/>
              <w:right w:val="nil"/>
            </w:tcBorders>
            <w:shd w:val="clear" w:color="FFFFFF" w:fill="FFFFFF"/>
            <w:noWrap/>
            <w:vAlign w:val="bottom"/>
            <w:hideMark/>
          </w:tcPr>
          <w:p w:rsidR="003E6989" w:rsidRDefault="003E6989" w:rsidP="006A5410">
            <w:pPr>
              <w:rPr>
                <w:rFonts w:cs="Calibri"/>
                <w:b/>
                <w:bCs/>
                <w:szCs w:val="18"/>
              </w:rPr>
            </w:pPr>
            <w:bookmarkStart w:id="507" w:name="Note_SACTABLE2" w:colFirst="0" w:colLast="0"/>
            <w:r>
              <w:rPr>
                <w:rFonts w:cs="Calibri"/>
                <w:b/>
                <w:bCs/>
                <w:szCs w:val="18"/>
              </w:rPr>
              <w:t> </w:t>
            </w:r>
          </w:p>
        </w:tc>
        <w:tc>
          <w:tcPr>
            <w:tcW w:w="2352" w:type="dxa"/>
            <w:gridSpan w:val="2"/>
            <w:tcBorders>
              <w:top w:val="single" w:sz="4" w:space="0" w:color="auto"/>
              <w:left w:val="single" w:sz="4" w:space="0" w:color="auto"/>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Early Years Quality Fund</w:t>
            </w:r>
            <w:r>
              <w:rPr>
                <w:rFonts w:cs="Calibri"/>
                <w:b/>
                <w:bCs/>
                <w:szCs w:val="18"/>
                <w:vertAlign w:val="superscript"/>
              </w:rPr>
              <w:t>5</w:t>
            </w:r>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Overseas Student Tuition Fund</w:t>
            </w:r>
            <w:r>
              <w:rPr>
                <w:rFonts w:cs="Calibri"/>
                <w:b/>
                <w:bCs/>
                <w:szCs w:val="18"/>
                <w:vertAlign w:val="superscript"/>
              </w:rPr>
              <w:t>6</w:t>
            </w:r>
          </w:p>
        </w:tc>
        <w:tc>
          <w:tcPr>
            <w:tcW w:w="2352" w:type="dxa"/>
            <w:gridSpan w:val="2"/>
            <w:tcBorders>
              <w:top w:val="single" w:sz="4" w:space="0" w:color="auto"/>
              <w:left w:val="nil"/>
              <w:bottom w:val="single" w:sz="4" w:space="0" w:color="auto"/>
              <w:right w:val="single" w:sz="4" w:space="0" w:color="000000"/>
            </w:tcBorders>
            <w:shd w:val="clear" w:color="FFFFFF" w:fill="FFFFFF"/>
            <w:hideMark/>
          </w:tcPr>
          <w:p w:rsidR="003E6989" w:rsidRDefault="003E6989" w:rsidP="006A5410">
            <w:pPr>
              <w:jc w:val="center"/>
              <w:rPr>
                <w:rFonts w:cs="Calibri"/>
                <w:b/>
                <w:bCs/>
                <w:szCs w:val="18"/>
              </w:rPr>
            </w:pPr>
            <w:r>
              <w:rPr>
                <w:rFonts w:cs="Calibri"/>
                <w:b/>
                <w:bCs/>
                <w:szCs w:val="18"/>
              </w:rPr>
              <w:t>Unique Student Identifier</w:t>
            </w:r>
            <w:r>
              <w:rPr>
                <w:rFonts w:cs="Calibri"/>
                <w:b/>
                <w:bCs/>
                <w:szCs w:val="18"/>
                <w:vertAlign w:val="superscript"/>
              </w:rPr>
              <w:t>7</w:t>
            </w:r>
          </w:p>
        </w:tc>
        <w:tc>
          <w:tcPr>
            <w:tcW w:w="2352" w:type="dxa"/>
            <w:gridSpan w:val="2"/>
            <w:tcBorders>
              <w:top w:val="single" w:sz="4" w:space="0" w:color="auto"/>
              <w:left w:val="nil"/>
              <w:bottom w:val="single" w:sz="4" w:space="0" w:color="auto"/>
              <w:right w:val="single" w:sz="4" w:space="0" w:color="000000"/>
            </w:tcBorders>
            <w:shd w:val="clear" w:color="000000" w:fill="FFFFFF"/>
            <w:hideMark/>
          </w:tcPr>
          <w:p w:rsidR="003E6989" w:rsidRDefault="003E6989" w:rsidP="006A5410">
            <w:pPr>
              <w:jc w:val="center"/>
              <w:rPr>
                <w:rFonts w:cs="Calibri"/>
                <w:b/>
                <w:bCs/>
                <w:szCs w:val="18"/>
              </w:rPr>
            </w:pPr>
            <w:r>
              <w:rPr>
                <w:rFonts w:cs="Calibri"/>
                <w:b/>
                <w:bCs/>
                <w:szCs w:val="18"/>
              </w:rPr>
              <w:t>Services for Other Entities and Trust Money</w:t>
            </w:r>
            <w:r>
              <w:rPr>
                <w:rFonts w:cs="Calibri"/>
                <w:b/>
                <w:bCs/>
                <w:szCs w:val="18"/>
                <w:vertAlign w:val="superscript"/>
              </w:rPr>
              <w:t>8</w:t>
            </w:r>
          </w:p>
        </w:tc>
      </w:tr>
      <w:bookmarkEnd w:id="507"/>
      <w:tr w:rsidR="003E6989" w:rsidTr="006A5410">
        <w:trPr>
          <w:trHeight w:val="255"/>
        </w:trPr>
        <w:tc>
          <w:tcPr>
            <w:tcW w:w="3836" w:type="dxa"/>
            <w:vMerge w:val="restart"/>
            <w:tcBorders>
              <w:top w:val="nil"/>
              <w:left w:val="single" w:sz="4" w:space="0" w:color="auto"/>
              <w:bottom w:val="single" w:sz="4" w:space="0" w:color="auto"/>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176" w:type="dxa"/>
            <w:tcBorders>
              <w:top w:val="nil"/>
              <w:left w:val="nil"/>
              <w:bottom w:val="single" w:sz="4" w:space="0" w:color="auto"/>
              <w:right w:val="single" w:sz="4" w:space="0" w:color="auto"/>
            </w:tcBorders>
            <w:shd w:val="clear" w:color="000000" w:fill="FFFFFF"/>
            <w:vAlign w:val="bottom"/>
            <w:hideMark/>
          </w:tcPr>
          <w:p w:rsidR="003E6989" w:rsidRDefault="003E6989" w:rsidP="006A5410">
            <w:pPr>
              <w:jc w:val="right"/>
              <w:rPr>
                <w:rFonts w:cs="Calibri"/>
                <w:b/>
                <w:bCs/>
                <w:szCs w:val="18"/>
              </w:rPr>
            </w:pPr>
            <w:r>
              <w:rPr>
                <w:rFonts w:cs="Calibri"/>
                <w:b/>
                <w:bCs/>
                <w:szCs w:val="18"/>
              </w:rPr>
              <w:t>2016</w:t>
            </w:r>
          </w:p>
        </w:tc>
        <w:tc>
          <w:tcPr>
            <w:tcW w:w="1176" w:type="dxa"/>
            <w:tcBorders>
              <w:top w:val="nil"/>
              <w:left w:val="nil"/>
              <w:bottom w:val="single" w:sz="4" w:space="0" w:color="auto"/>
              <w:right w:val="single" w:sz="4" w:space="0" w:color="auto"/>
            </w:tcBorders>
            <w:shd w:val="clear" w:color="000000"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3836" w:type="dxa"/>
            <w:vMerge/>
            <w:tcBorders>
              <w:top w:val="nil"/>
              <w:left w:val="single" w:sz="4" w:space="0" w:color="auto"/>
              <w:bottom w:val="single" w:sz="4" w:space="0" w:color="auto"/>
              <w:right w:val="nil"/>
            </w:tcBorders>
            <w:vAlign w:val="center"/>
            <w:hideMark/>
          </w:tcPr>
          <w:p w:rsidR="003E6989" w:rsidRDefault="003E6989" w:rsidP="006A5410">
            <w:pPr>
              <w:rPr>
                <w:rFonts w:cs="Calibri"/>
                <w:b/>
                <w:bCs/>
                <w:szCs w:val="18"/>
              </w:rPr>
            </w:pPr>
          </w:p>
        </w:tc>
        <w:tc>
          <w:tcPr>
            <w:tcW w:w="1176"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176"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Balance brought forward from previous period</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72,297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19,869</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12,157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2,286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6,476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6,588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Increases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Appropriations credited to special account</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single" w:sz="4" w:space="0" w:color="auto"/>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single" w:sz="4" w:space="0" w:color="auto"/>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1,250 </w:t>
            </w:r>
          </w:p>
        </w:tc>
        <w:tc>
          <w:tcPr>
            <w:tcW w:w="1176" w:type="dxa"/>
            <w:tcBorders>
              <w:top w:val="single" w:sz="4" w:space="0" w:color="auto"/>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3,508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Receipts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598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10,126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8,591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1,154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886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Transfer through restructuring</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2,186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424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increases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598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10,126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8,591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1,250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5,694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1,154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1,310</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Available for payments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598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72,297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29,995</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20,748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3,536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5,694</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7,630</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7,898</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Decreases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Departmental</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Other Payments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(3,408)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Departmental</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(3,408)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Administered</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Payments made</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(68,607)</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(47,588)</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(1,828)</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(879)</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(2,527)</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(1,422)</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Transfer through restructuring</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102,048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(24,709)</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22 </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836" w:type="dxa"/>
            <w:tcBorders>
              <w:top w:val="nil"/>
              <w:left w:val="single" w:sz="4" w:space="0" w:color="auto"/>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Total Administered</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33,441</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(72,297)</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(1,828)</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(879)</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(2,505)</w:t>
            </w:r>
          </w:p>
        </w:tc>
        <w:tc>
          <w:tcPr>
            <w:tcW w:w="1176"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jc w:val="right"/>
              <w:rPr>
                <w:rFonts w:cs="Calibri"/>
                <w:szCs w:val="18"/>
              </w:rPr>
            </w:pPr>
            <w:r>
              <w:rPr>
                <w:rFonts w:cs="Calibri"/>
                <w:szCs w:val="18"/>
              </w:rPr>
              <w:t>(1,422)</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decreases</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33,441</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(72,297)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(1,828)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(879)</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(3,408)</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(2,505)</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(1,422)</w:t>
            </w:r>
          </w:p>
        </w:tc>
      </w:tr>
      <w:tr w:rsidR="003E6989" w:rsidTr="006A5410">
        <w:trPr>
          <w:trHeight w:val="255"/>
        </w:trPr>
        <w:tc>
          <w:tcPr>
            <w:tcW w:w="3836"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balance carried to the next period</w:t>
            </w:r>
          </w:p>
        </w:tc>
        <w:tc>
          <w:tcPr>
            <w:tcW w:w="1176"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34,039</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28,167</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19,869</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3,536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2,286</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5,125</w:t>
            </w:r>
          </w:p>
        </w:tc>
        <w:tc>
          <w:tcPr>
            <w:tcW w:w="1176"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jc w:val="right"/>
              <w:rPr>
                <w:rFonts w:cs="Calibri"/>
                <w:szCs w:val="18"/>
              </w:rPr>
            </w:pPr>
            <w:r>
              <w:rPr>
                <w:rFonts w:cs="Calibri"/>
                <w:szCs w:val="18"/>
              </w:rPr>
              <w:t>6,476</w:t>
            </w:r>
          </w:p>
        </w:tc>
      </w:tr>
    </w:tbl>
    <w:p w:rsidR="003E6989" w:rsidRDefault="003E6989" w:rsidP="003E6989">
      <w:pPr>
        <w:spacing w:line="240" w:lineRule="auto"/>
        <w:rPr>
          <w:rFonts w:cs="Arial"/>
          <w:iCs/>
          <w:szCs w:val="18"/>
          <w:lang w:eastAsia="en-AU"/>
        </w:rPr>
      </w:pPr>
      <w:bookmarkStart w:id="508" w:name="RANGE!D34:L56"/>
      <w:bookmarkEnd w:id="508"/>
    </w:p>
    <w:p w:rsidR="003E6989" w:rsidRDefault="003E6989" w:rsidP="003E6989">
      <w:pPr>
        <w:spacing w:line="240" w:lineRule="auto"/>
        <w:rPr>
          <w:rFonts w:cs="Arial"/>
          <w:iCs/>
          <w:szCs w:val="18"/>
          <w:lang w:eastAsia="en-AU"/>
        </w:rPr>
        <w:sectPr w:rsidR="003E6989" w:rsidSect="006A5410">
          <w:pgSz w:w="16838" w:h="11906" w:orient="landscape"/>
          <w:pgMar w:top="1134" w:right="1134" w:bottom="1134" w:left="1134" w:header="958" w:footer="737" w:gutter="0"/>
          <w:cols w:space="720"/>
        </w:sectPr>
      </w:pPr>
    </w:p>
    <w:p w:rsidR="003E6989" w:rsidRDefault="003E6989" w:rsidP="003E6989">
      <w:pPr>
        <w:spacing w:line="240" w:lineRule="atLeast"/>
        <w:rPr>
          <w:rFonts w:cs="Arial"/>
          <w:szCs w:val="18"/>
          <w:lang w:eastAsia="en-AU"/>
        </w:rPr>
      </w:pPr>
      <w:r w:rsidRPr="004C7426">
        <w:rPr>
          <w:rFonts w:cs="Arial"/>
          <w:szCs w:val="18"/>
          <w:vertAlign w:val="superscript"/>
          <w:lang w:eastAsia="en-AU"/>
        </w:rPr>
        <w:t xml:space="preserve">1 </w:t>
      </w:r>
      <w:r w:rsidRPr="00FE2684">
        <w:rPr>
          <w:rFonts w:cs="Arial"/>
          <w:szCs w:val="18"/>
          <w:u w:val="single"/>
          <w:lang w:eastAsia="en-AU"/>
        </w:rPr>
        <w:t>Education Investment Fund - Research Portfolio Special Account</w:t>
      </w:r>
      <w:r>
        <w:rPr>
          <w:rFonts w:cs="Arial"/>
          <w:szCs w:val="18"/>
          <w:lang w:eastAsia="en-AU"/>
        </w:rPr>
        <w:t xml:space="preserve"> </w:t>
      </w:r>
    </w:p>
    <w:p w:rsidR="003E6989" w:rsidRDefault="003E6989" w:rsidP="003E6989">
      <w:pPr>
        <w:spacing w:line="240" w:lineRule="atLeast"/>
        <w:rPr>
          <w:rFonts w:cs="Arial"/>
          <w:iCs/>
          <w:szCs w:val="18"/>
          <w:lang w:eastAsia="en-AU"/>
        </w:rPr>
      </w:pPr>
      <w:r>
        <w:rPr>
          <w:rFonts w:cs="Arial"/>
          <w:szCs w:val="18"/>
          <w:lang w:eastAsia="en-AU"/>
        </w:rPr>
        <w:t>Appropriation:</w:t>
      </w:r>
      <w:r>
        <w:rPr>
          <w:rFonts w:cs="Arial"/>
          <w:i/>
          <w:iCs/>
          <w:szCs w:val="18"/>
          <w:lang w:eastAsia="en-AU"/>
        </w:rPr>
        <w:t xml:space="preserve"> Public Governance, Performance and Accountability Act 2013; </w:t>
      </w:r>
      <w:r>
        <w:rPr>
          <w:rFonts w:cs="Arial"/>
          <w:iCs/>
          <w:szCs w:val="18"/>
          <w:lang w:eastAsia="en-AU"/>
        </w:rPr>
        <w:t xml:space="preserve">section 80 </w:t>
      </w:r>
    </w:p>
    <w:p w:rsidR="003E6989" w:rsidRPr="001F687C" w:rsidRDefault="003E6989" w:rsidP="003E6989">
      <w:pPr>
        <w:spacing w:line="240" w:lineRule="atLeast"/>
        <w:rPr>
          <w:rFonts w:cs="Arial"/>
          <w:iCs/>
          <w:szCs w:val="18"/>
          <w:lang w:eastAsia="en-AU"/>
        </w:rPr>
      </w:pPr>
      <w:r>
        <w:rPr>
          <w:rFonts w:cs="Arial"/>
          <w:szCs w:val="18"/>
          <w:lang w:eastAsia="en-AU"/>
        </w:rPr>
        <w:t>Establishing Instrument:</w:t>
      </w:r>
      <w:r>
        <w:rPr>
          <w:rFonts w:cs="Arial"/>
          <w:i/>
          <w:iCs/>
          <w:szCs w:val="18"/>
          <w:lang w:eastAsia="en-AU"/>
        </w:rPr>
        <w:t xml:space="preserve"> Nation-building Funds Act 2008 No. 154 of 2008</w:t>
      </w:r>
    </w:p>
    <w:p w:rsidR="003E6989" w:rsidRDefault="003E6989" w:rsidP="003E6989">
      <w:pPr>
        <w:spacing w:line="240" w:lineRule="atLeast"/>
        <w:rPr>
          <w:rFonts w:cs="Arial"/>
          <w:iCs/>
          <w:szCs w:val="18"/>
          <w:lang w:eastAsia="en-AU"/>
        </w:rPr>
      </w:pPr>
      <w:r>
        <w:rPr>
          <w:rFonts w:cs="Arial"/>
          <w:iCs/>
          <w:szCs w:val="18"/>
          <w:lang w:eastAsia="en-AU"/>
        </w:rPr>
        <w:t>Purpose:  To make grants of financial assistance in relation to the creation and development of research infrastructure.</w:t>
      </w:r>
    </w:p>
    <w:p w:rsidR="003E6989" w:rsidRDefault="003E6989" w:rsidP="003E6989">
      <w:pPr>
        <w:spacing w:line="240" w:lineRule="atLeast"/>
        <w:rPr>
          <w:rFonts w:cs="Arial"/>
          <w:iCs/>
          <w:szCs w:val="18"/>
          <w:lang w:eastAsia="en-AU"/>
        </w:rPr>
      </w:pPr>
    </w:p>
    <w:p w:rsidR="003E6989" w:rsidRDefault="003E6989" w:rsidP="003E6989">
      <w:pPr>
        <w:spacing w:line="240" w:lineRule="atLeast"/>
        <w:rPr>
          <w:rFonts w:cs="Arial"/>
          <w:szCs w:val="18"/>
          <w:lang w:eastAsia="en-AU"/>
        </w:rPr>
      </w:pPr>
      <w:r w:rsidRPr="004C7426">
        <w:rPr>
          <w:rFonts w:cs="Arial"/>
          <w:szCs w:val="18"/>
          <w:vertAlign w:val="superscript"/>
          <w:lang w:eastAsia="en-AU"/>
        </w:rPr>
        <w:t xml:space="preserve">2 </w:t>
      </w:r>
      <w:r w:rsidRPr="00FE2684">
        <w:rPr>
          <w:rFonts w:cs="Arial"/>
          <w:szCs w:val="18"/>
          <w:u w:val="single"/>
          <w:lang w:eastAsia="en-AU"/>
        </w:rPr>
        <w:t>Education Investment Fund - Education Portfolio Special Account</w:t>
      </w:r>
      <w:r>
        <w:rPr>
          <w:rFonts w:cs="Arial"/>
          <w:szCs w:val="18"/>
          <w:lang w:eastAsia="en-AU"/>
        </w:rPr>
        <w:t xml:space="preserve"> </w:t>
      </w:r>
    </w:p>
    <w:p w:rsidR="003E6989" w:rsidRDefault="003E6989" w:rsidP="003E6989">
      <w:pPr>
        <w:spacing w:line="240" w:lineRule="atLeast"/>
        <w:rPr>
          <w:rFonts w:cs="Arial"/>
          <w:iCs/>
          <w:szCs w:val="18"/>
          <w:lang w:eastAsia="en-AU"/>
        </w:rPr>
      </w:pPr>
      <w:r>
        <w:rPr>
          <w:rFonts w:cs="Arial"/>
          <w:szCs w:val="18"/>
          <w:lang w:eastAsia="en-AU"/>
        </w:rPr>
        <w:t xml:space="preserve">Appropriation: </w:t>
      </w:r>
      <w:r>
        <w:rPr>
          <w:rFonts w:cs="Arial"/>
          <w:i/>
          <w:iCs/>
          <w:szCs w:val="18"/>
          <w:lang w:eastAsia="en-AU"/>
        </w:rPr>
        <w:t xml:space="preserve">Public Governance, Performance and Accountability Act 2013; </w:t>
      </w:r>
      <w:r>
        <w:rPr>
          <w:rFonts w:cs="Arial"/>
          <w:iCs/>
          <w:szCs w:val="18"/>
          <w:lang w:eastAsia="en-AU"/>
        </w:rPr>
        <w:t>section 80</w:t>
      </w:r>
    </w:p>
    <w:p w:rsidR="003E6989" w:rsidRDefault="003E6989" w:rsidP="003E6989">
      <w:pPr>
        <w:spacing w:line="240" w:lineRule="atLeast"/>
        <w:rPr>
          <w:rFonts w:cs="Arial"/>
          <w:iCs/>
          <w:szCs w:val="18"/>
          <w:lang w:eastAsia="en-AU"/>
        </w:rPr>
      </w:pPr>
      <w:r>
        <w:rPr>
          <w:rFonts w:cs="Arial"/>
          <w:szCs w:val="18"/>
          <w:lang w:eastAsia="en-AU"/>
        </w:rPr>
        <w:t>Establishing Instrument:</w:t>
      </w:r>
      <w:r>
        <w:rPr>
          <w:rFonts w:cs="Arial"/>
          <w:i/>
          <w:iCs/>
          <w:szCs w:val="18"/>
          <w:lang w:eastAsia="en-AU"/>
        </w:rPr>
        <w:t xml:space="preserve"> Nation-building Funds Act 2008 No. 154 of </w:t>
      </w:r>
      <w:r>
        <w:rPr>
          <w:rFonts w:cs="Arial"/>
          <w:iCs/>
          <w:szCs w:val="18"/>
          <w:lang w:eastAsia="en-AU"/>
        </w:rPr>
        <w:t>2008</w:t>
      </w:r>
    </w:p>
    <w:p w:rsidR="003E6989" w:rsidRDefault="003E6989" w:rsidP="003E6989">
      <w:pPr>
        <w:spacing w:line="240" w:lineRule="atLeast"/>
        <w:rPr>
          <w:rFonts w:cs="Arial"/>
          <w:iCs/>
          <w:szCs w:val="18"/>
          <w:lang w:eastAsia="en-AU"/>
        </w:rPr>
      </w:pPr>
      <w:r>
        <w:rPr>
          <w:rFonts w:cs="Arial"/>
          <w:iCs/>
          <w:szCs w:val="18"/>
          <w:lang w:eastAsia="en-AU"/>
        </w:rPr>
        <w:t xml:space="preserve">Purpose:  To make grants of financial assistance to eligible higher education institutions in relation to capital expenditure and research facilities. </w:t>
      </w:r>
    </w:p>
    <w:p w:rsidR="003E6989" w:rsidRDefault="003E6989" w:rsidP="003E6989">
      <w:pPr>
        <w:spacing w:line="240" w:lineRule="atLeast"/>
        <w:rPr>
          <w:rFonts w:cs="Arial"/>
          <w:iCs/>
          <w:szCs w:val="18"/>
          <w:lang w:eastAsia="en-AU"/>
        </w:rPr>
      </w:pPr>
    </w:p>
    <w:p w:rsidR="003E6989" w:rsidRPr="00FE2684" w:rsidRDefault="003E6989" w:rsidP="003E6989">
      <w:pPr>
        <w:spacing w:line="240" w:lineRule="atLeast"/>
        <w:rPr>
          <w:rFonts w:cs="Arial"/>
          <w:szCs w:val="18"/>
          <w:u w:val="single"/>
          <w:lang w:eastAsia="en-AU"/>
        </w:rPr>
      </w:pPr>
      <w:r>
        <w:rPr>
          <w:rFonts w:cs="Arial"/>
          <w:szCs w:val="18"/>
          <w:vertAlign w:val="superscript"/>
          <w:lang w:eastAsia="en-AU"/>
        </w:rPr>
        <w:t>3</w:t>
      </w:r>
      <w:r w:rsidRPr="004C7426">
        <w:rPr>
          <w:rFonts w:cs="Arial"/>
          <w:szCs w:val="18"/>
          <w:vertAlign w:val="superscript"/>
          <w:lang w:eastAsia="en-AU"/>
        </w:rPr>
        <w:t xml:space="preserve"> </w:t>
      </w:r>
      <w:r w:rsidRPr="00FE2684">
        <w:rPr>
          <w:rFonts w:cs="Arial"/>
          <w:szCs w:val="18"/>
          <w:u w:val="single"/>
          <w:lang w:eastAsia="en-AU"/>
        </w:rPr>
        <w:t xml:space="preserve">National Youth Affairs Scheme Special Account </w:t>
      </w:r>
    </w:p>
    <w:p w:rsidR="003E6989" w:rsidRDefault="003E6989" w:rsidP="003E6989">
      <w:pPr>
        <w:spacing w:line="240" w:lineRule="atLeast"/>
        <w:rPr>
          <w:rFonts w:cs="Arial"/>
          <w:i/>
          <w:iCs/>
          <w:szCs w:val="18"/>
          <w:lang w:eastAsia="en-AU"/>
        </w:rPr>
      </w:pPr>
      <w:r>
        <w:rPr>
          <w:rFonts w:cs="Arial"/>
          <w:szCs w:val="18"/>
          <w:vertAlign w:val="superscript"/>
          <w:lang w:eastAsia="en-AU"/>
        </w:rPr>
        <w:t xml:space="preserve"> </w:t>
      </w:r>
      <w:r>
        <w:rPr>
          <w:rFonts w:cs="Arial"/>
          <w:szCs w:val="18"/>
          <w:lang w:eastAsia="en-AU"/>
        </w:rPr>
        <w:t xml:space="preserve">Appropriation: </w:t>
      </w:r>
      <w:r>
        <w:rPr>
          <w:i/>
        </w:rPr>
        <w:t>Public Governance, Performance and Accountability Act 2013</w:t>
      </w:r>
      <w:r>
        <w:rPr>
          <w:rFonts w:cs="Arial"/>
          <w:i/>
          <w:iCs/>
          <w:szCs w:val="18"/>
          <w:lang w:eastAsia="en-AU"/>
        </w:rPr>
        <w:t>; section 78</w:t>
      </w:r>
    </w:p>
    <w:p w:rsidR="003E6989" w:rsidRDefault="003E6989" w:rsidP="003E6989">
      <w:pPr>
        <w:spacing w:line="240" w:lineRule="atLeast"/>
        <w:rPr>
          <w:rFonts w:cs="Arial"/>
          <w:iCs/>
          <w:szCs w:val="18"/>
          <w:lang w:eastAsia="en-AU"/>
        </w:rPr>
      </w:pPr>
      <w:r>
        <w:rPr>
          <w:rFonts w:cs="Arial"/>
          <w:szCs w:val="18"/>
          <w:lang w:eastAsia="en-AU"/>
        </w:rPr>
        <w:t>Establishing Instrument:</w:t>
      </w:r>
      <w:r>
        <w:rPr>
          <w:rFonts w:cs="Arial"/>
          <w:iCs/>
          <w:szCs w:val="18"/>
          <w:lang w:eastAsia="en-AU"/>
        </w:rPr>
        <w:t xml:space="preserve"> </w:t>
      </w:r>
      <w:r>
        <w:rPr>
          <w:rFonts w:cs="Arial"/>
          <w:i/>
          <w:iCs/>
          <w:szCs w:val="18"/>
          <w:lang w:eastAsia="en-AU"/>
        </w:rPr>
        <w:t xml:space="preserve">Financial Management and Accountability Determination 2006/45 </w:t>
      </w:r>
      <w:r>
        <w:rPr>
          <w:rFonts w:cs="Arial"/>
          <w:iCs/>
          <w:szCs w:val="18"/>
          <w:lang w:eastAsia="en-AU"/>
        </w:rPr>
        <w:t>on 17 August 2006.</w:t>
      </w:r>
    </w:p>
    <w:p w:rsidR="003E6989" w:rsidRDefault="003E6989" w:rsidP="003E6989">
      <w:pPr>
        <w:spacing w:line="240" w:lineRule="auto"/>
        <w:rPr>
          <w:rFonts w:cs="Arial"/>
          <w:iCs/>
          <w:szCs w:val="18"/>
          <w:lang w:eastAsia="en-AU"/>
        </w:rPr>
      </w:pPr>
      <w:r>
        <w:rPr>
          <w:rFonts w:cs="Arial"/>
          <w:iCs/>
          <w:szCs w:val="18"/>
          <w:lang w:eastAsia="en-AU"/>
        </w:rPr>
        <w:t>Purpose: For the receipt of monies from State Governments to meet expenditure in respect of the National Youth Affairs Research Scheme.</w:t>
      </w:r>
    </w:p>
    <w:p w:rsidR="003E6989" w:rsidRPr="00CF0B82" w:rsidRDefault="003E6989" w:rsidP="003E6989">
      <w:pPr>
        <w:spacing w:line="240" w:lineRule="auto"/>
        <w:rPr>
          <w:rFonts w:cs="Arial"/>
          <w:iCs/>
          <w:szCs w:val="18"/>
          <w:lang w:eastAsia="en-AU"/>
        </w:rPr>
      </w:pPr>
    </w:p>
    <w:p w:rsidR="003E6989" w:rsidRPr="00FE2684" w:rsidRDefault="003E6989" w:rsidP="003E6989">
      <w:pPr>
        <w:spacing w:line="240" w:lineRule="atLeast"/>
        <w:rPr>
          <w:rFonts w:cs="Arial"/>
          <w:szCs w:val="18"/>
          <w:u w:val="single"/>
          <w:lang w:eastAsia="en-AU"/>
        </w:rPr>
      </w:pPr>
      <w:r>
        <w:rPr>
          <w:rFonts w:cs="Arial"/>
          <w:szCs w:val="18"/>
          <w:vertAlign w:val="superscript"/>
          <w:lang w:eastAsia="en-AU"/>
        </w:rPr>
        <w:t>4</w:t>
      </w:r>
      <w:r w:rsidRPr="004C7426">
        <w:rPr>
          <w:rFonts w:cs="Arial"/>
          <w:szCs w:val="18"/>
          <w:vertAlign w:val="superscript"/>
          <w:lang w:eastAsia="en-AU"/>
        </w:rPr>
        <w:t xml:space="preserve"> </w:t>
      </w:r>
      <w:r>
        <w:rPr>
          <w:rFonts w:cs="Arial"/>
          <w:szCs w:val="18"/>
          <w:u w:val="single"/>
          <w:lang w:eastAsia="en-AU"/>
        </w:rPr>
        <w:t xml:space="preserve">Growth Fund Skills and Training </w:t>
      </w:r>
      <w:r w:rsidRPr="00FE2684">
        <w:rPr>
          <w:rFonts w:cs="Arial"/>
          <w:szCs w:val="18"/>
          <w:u w:val="single"/>
          <w:lang w:eastAsia="en-AU"/>
        </w:rPr>
        <w:t xml:space="preserve">Special Account </w:t>
      </w:r>
    </w:p>
    <w:p w:rsidR="003E6989" w:rsidRPr="00F86A40" w:rsidRDefault="003E6989" w:rsidP="003E6989">
      <w:pPr>
        <w:spacing w:line="240" w:lineRule="atLeast"/>
        <w:rPr>
          <w:rFonts w:cs="Arial"/>
          <w:i/>
          <w:iCs/>
          <w:szCs w:val="18"/>
          <w:highlight w:val="yellow"/>
          <w:lang w:eastAsia="en-AU"/>
        </w:rPr>
      </w:pPr>
      <w:r>
        <w:rPr>
          <w:rFonts w:cs="Arial"/>
          <w:szCs w:val="18"/>
          <w:vertAlign w:val="superscript"/>
          <w:lang w:eastAsia="en-AU"/>
        </w:rPr>
        <w:t xml:space="preserve"> </w:t>
      </w:r>
      <w:r w:rsidRPr="0094457D">
        <w:rPr>
          <w:rFonts w:cs="Arial"/>
          <w:szCs w:val="18"/>
          <w:lang w:eastAsia="en-AU"/>
        </w:rPr>
        <w:t xml:space="preserve">Appropriation: </w:t>
      </w:r>
      <w:r w:rsidRPr="0094457D">
        <w:rPr>
          <w:i/>
        </w:rPr>
        <w:t>Public Governance, Performance and Accountability Act 2013</w:t>
      </w:r>
      <w:r w:rsidRPr="0094457D">
        <w:rPr>
          <w:rFonts w:cs="Arial"/>
          <w:i/>
          <w:iCs/>
          <w:szCs w:val="18"/>
          <w:lang w:eastAsia="en-AU"/>
        </w:rPr>
        <w:t>; section 78</w:t>
      </w:r>
    </w:p>
    <w:p w:rsidR="003E6989" w:rsidRDefault="003E6989" w:rsidP="003E6989">
      <w:pPr>
        <w:spacing w:line="240" w:lineRule="atLeast"/>
        <w:rPr>
          <w:rFonts w:cs="Arial"/>
          <w:iCs/>
          <w:szCs w:val="18"/>
          <w:lang w:eastAsia="en-AU"/>
        </w:rPr>
      </w:pPr>
      <w:r w:rsidRPr="00524AF5">
        <w:rPr>
          <w:rFonts w:cs="Arial"/>
          <w:szCs w:val="18"/>
          <w:lang w:eastAsia="en-AU"/>
        </w:rPr>
        <w:t>Establishing Instrument:</w:t>
      </w:r>
      <w:r w:rsidRPr="00524AF5">
        <w:rPr>
          <w:rFonts w:cs="Arial"/>
          <w:iCs/>
          <w:szCs w:val="18"/>
          <w:lang w:eastAsia="en-AU"/>
        </w:rPr>
        <w:t xml:space="preserve"> </w:t>
      </w:r>
      <w:r w:rsidRPr="00524AF5">
        <w:rPr>
          <w:rFonts w:cs="Arial"/>
          <w:i/>
          <w:iCs/>
          <w:szCs w:val="18"/>
          <w:lang w:eastAsia="en-AU"/>
        </w:rPr>
        <w:t xml:space="preserve">Growth Fund Skills and Training Special Account 2015 – Establishment Determination 2015/04 </w:t>
      </w:r>
      <w:r w:rsidRPr="00524AF5">
        <w:rPr>
          <w:rFonts w:cs="Arial"/>
          <w:iCs/>
          <w:szCs w:val="18"/>
          <w:lang w:eastAsia="en-AU"/>
        </w:rPr>
        <w:t xml:space="preserve">on </w:t>
      </w:r>
    </w:p>
    <w:p w:rsidR="003E6989" w:rsidRPr="00524AF5" w:rsidRDefault="003E6989" w:rsidP="003E6989">
      <w:pPr>
        <w:spacing w:line="240" w:lineRule="atLeast"/>
        <w:rPr>
          <w:rFonts w:cs="Arial"/>
          <w:iCs/>
          <w:szCs w:val="18"/>
          <w:lang w:eastAsia="en-AU"/>
        </w:rPr>
      </w:pPr>
      <w:r w:rsidRPr="00524AF5">
        <w:rPr>
          <w:rFonts w:cs="Arial"/>
          <w:iCs/>
          <w:szCs w:val="18"/>
          <w:lang w:eastAsia="en-AU"/>
        </w:rPr>
        <w:t>15 July 2015.</w:t>
      </w:r>
    </w:p>
    <w:p w:rsidR="003E6989" w:rsidRDefault="003E6989" w:rsidP="003E6989">
      <w:pPr>
        <w:spacing w:line="240" w:lineRule="auto"/>
        <w:rPr>
          <w:rFonts w:cs="Arial"/>
          <w:iCs/>
          <w:szCs w:val="18"/>
          <w:lang w:eastAsia="en-AU"/>
        </w:rPr>
      </w:pPr>
      <w:r w:rsidRPr="00524AF5">
        <w:rPr>
          <w:rFonts w:cs="Arial"/>
          <w:iCs/>
          <w:szCs w:val="18"/>
          <w:lang w:eastAsia="en-AU"/>
        </w:rPr>
        <w:t>Purpose: For paying amounts to enable Australian workers and former workers in the Australian automotive industry to obtain career advice, education, training and re-skilling support to exit the industry and obtain new forms of employment.</w:t>
      </w:r>
    </w:p>
    <w:p w:rsidR="003E6989" w:rsidRDefault="003E6989" w:rsidP="003E6989">
      <w:pPr>
        <w:spacing w:line="240" w:lineRule="atLeast"/>
        <w:rPr>
          <w:rFonts w:cs="Arial"/>
          <w:iCs/>
          <w:szCs w:val="18"/>
          <w:vertAlign w:val="superscript"/>
          <w:lang w:eastAsia="en-AU"/>
        </w:rPr>
      </w:pPr>
    </w:p>
    <w:p w:rsidR="003E6989" w:rsidRDefault="003E6989" w:rsidP="003E6989">
      <w:pPr>
        <w:spacing w:line="240" w:lineRule="atLeast"/>
        <w:rPr>
          <w:rFonts w:cs="Arial"/>
          <w:iCs/>
          <w:szCs w:val="18"/>
          <w:lang w:eastAsia="en-AU"/>
        </w:rPr>
      </w:pPr>
      <w:r>
        <w:rPr>
          <w:rFonts w:cs="Arial"/>
          <w:iCs/>
          <w:szCs w:val="18"/>
          <w:vertAlign w:val="superscript"/>
          <w:lang w:eastAsia="en-AU"/>
        </w:rPr>
        <w:t xml:space="preserve">5 </w:t>
      </w:r>
      <w:r w:rsidRPr="00FE2684">
        <w:rPr>
          <w:rFonts w:cs="Arial"/>
          <w:iCs/>
          <w:szCs w:val="18"/>
          <w:u w:val="single"/>
          <w:lang w:eastAsia="en-AU"/>
        </w:rPr>
        <w:t>Early Years Quality Fund Special Account</w:t>
      </w:r>
      <w:r>
        <w:rPr>
          <w:rFonts w:cs="Arial"/>
          <w:iCs/>
          <w:szCs w:val="18"/>
          <w:lang w:eastAsia="en-AU"/>
        </w:rPr>
        <w:t xml:space="preserve"> </w:t>
      </w:r>
    </w:p>
    <w:p w:rsidR="003E6989" w:rsidRDefault="003E6989" w:rsidP="003E6989">
      <w:pPr>
        <w:spacing w:line="240" w:lineRule="atLeast"/>
        <w:rPr>
          <w:rFonts w:cs="Arial"/>
          <w:iCs/>
          <w:szCs w:val="18"/>
          <w:lang w:eastAsia="en-AU"/>
        </w:rPr>
      </w:pPr>
      <w:r>
        <w:rPr>
          <w:rFonts w:cs="Arial"/>
          <w:iCs/>
          <w:szCs w:val="18"/>
          <w:lang w:eastAsia="en-AU"/>
        </w:rPr>
        <w:t>Appropriation:</w:t>
      </w:r>
      <w:r>
        <w:rPr>
          <w:rFonts w:cs="Arial"/>
          <w:i/>
          <w:iCs/>
          <w:szCs w:val="18"/>
          <w:lang w:eastAsia="en-AU"/>
        </w:rPr>
        <w:t xml:space="preserve"> Public Governance, Performance and Accountability Act 2013; </w:t>
      </w:r>
      <w:r>
        <w:rPr>
          <w:rFonts w:cs="Arial"/>
          <w:iCs/>
          <w:szCs w:val="18"/>
          <w:lang w:eastAsia="en-AU"/>
        </w:rPr>
        <w:t>section 80</w:t>
      </w:r>
    </w:p>
    <w:p w:rsidR="003E6989" w:rsidRDefault="003E6989" w:rsidP="003E6989">
      <w:pPr>
        <w:spacing w:line="240" w:lineRule="atLeast"/>
        <w:rPr>
          <w:b/>
        </w:rPr>
      </w:pPr>
      <w:r>
        <w:rPr>
          <w:rFonts w:cs="Arial"/>
          <w:iCs/>
          <w:szCs w:val="18"/>
          <w:lang w:eastAsia="en-AU"/>
        </w:rPr>
        <w:t>Establishing Instrument:</w:t>
      </w:r>
      <w:r>
        <w:rPr>
          <w:rFonts w:cs="Arial"/>
          <w:szCs w:val="18"/>
          <w:lang w:eastAsia="en-AU"/>
        </w:rPr>
        <w:t xml:space="preserve"> </w:t>
      </w:r>
      <w:r>
        <w:rPr>
          <w:rFonts w:cs="Arial"/>
          <w:i/>
          <w:iCs/>
          <w:szCs w:val="18"/>
          <w:lang w:eastAsia="en-AU"/>
        </w:rPr>
        <w:t xml:space="preserve"> Early Years Quality Fund Special Account Act 2013</w:t>
      </w:r>
    </w:p>
    <w:p w:rsidR="003E6989" w:rsidRDefault="003E6989" w:rsidP="003E6989">
      <w:pPr>
        <w:spacing w:line="240" w:lineRule="atLeast"/>
        <w:rPr>
          <w:rFonts w:cs="Arial"/>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For the administration of the Early Years Quality Fund (EYQF). The EYQF will provide $300 million over two years to assist long day care services to offset the costs of employing higher qualified staff who are required as part of the National Quality Framework for Early Childhood Education and Care from 1 January 2014. The Department of Finance quarantined an amount of $30 million from this account while the program was with DSS. The restructuring shown above was the total dollar value transferred, however in ACM the balance was $30 million less. </w:t>
      </w:r>
    </w:p>
    <w:p w:rsidR="003E6989" w:rsidRDefault="003E6989" w:rsidP="003E6989">
      <w:pPr>
        <w:spacing w:line="240" w:lineRule="atLeast"/>
        <w:rPr>
          <w:rFonts w:cs="Arial"/>
          <w:szCs w:val="18"/>
          <w:lang w:eastAsia="en-AU"/>
        </w:rPr>
      </w:pPr>
    </w:p>
    <w:p w:rsidR="003E6989" w:rsidRDefault="003E6989" w:rsidP="003E6989">
      <w:pPr>
        <w:spacing w:line="240" w:lineRule="atLeast"/>
        <w:rPr>
          <w:rFonts w:cs="Arial"/>
          <w:iCs/>
          <w:szCs w:val="18"/>
          <w:lang w:eastAsia="en-AU"/>
        </w:rPr>
      </w:pPr>
      <w:r>
        <w:rPr>
          <w:rFonts w:cs="Arial"/>
          <w:iCs/>
          <w:szCs w:val="18"/>
          <w:vertAlign w:val="superscript"/>
          <w:lang w:eastAsia="en-AU"/>
        </w:rPr>
        <w:t xml:space="preserve">6 </w:t>
      </w:r>
      <w:r w:rsidRPr="00FE2684">
        <w:rPr>
          <w:rFonts w:cs="Arial"/>
          <w:iCs/>
          <w:szCs w:val="18"/>
          <w:u w:val="single"/>
          <w:lang w:eastAsia="en-AU"/>
        </w:rPr>
        <w:t xml:space="preserve">Overseas Student Tuition Fund Special Account </w:t>
      </w:r>
    </w:p>
    <w:p w:rsidR="003E6989" w:rsidRDefault="003E6989" w:rsidP="003E6989">
      <w:pPr>
        <w:spacing w:line="240" w:lineRule="atLeast"/>
        <w:rPr>
          <w:rFonts w:cs="Arial"/>
          <w:iCs/>
          <w:szCs w:val="18"/>
          <w:lang w:eastAsia="en-AU"/>
        </w:rPr>
      </w:pPr>
      <w:r>
        <w:rPr>
          <w:rFonts w:cs="Arial"/>
          <w:iCs/>
          <w:szCs w:val="18"/>
          <w:lang w:eastAsia="en-AU"/>
        </w:rPr>
        <w:t>Appropriation:</w:t>
      </w:r>
      <w:r>
        <w:rPr>
          <w:rFonts w:cs="Arial"/>
          <w:szCs w:val="18"/>
          <w:lang w:eastAsia="en-AU"/>
        </w:rPr>
        <w:t xml:space="preserve"> </w:t>
      </w:r>
      <w:r>
        <w:rPr>
          <w:rFonts w:cs="Arial"/>
          <w:i/>
          <w:iCs/>
          <w:szCs w:val="18"/>
          <w:lang w:eastAsia="en-AU"/>
        </w:rPr>
        <w:t xml:space="preserve">Public Governance, Performance and Accountability Act 2013; </w:t>
      </w:r>
      <w:r>
        <w:rPr>
          <w:rFonts w:cs="Arial"/>
          <w:iCs/>
          <w:szCs w:val="18"/>
          <w:lang w:eastAsia="en-AU"/>
        </w:rPr>
        <w:t>section 80</w:t>
      </w:r>
    </w:p>
    <w:p w:rsidR="003E6989" w:rsidRDefault="003E6989" w:rsidP="003E6989">
      <w:pPr>
        <w:spacing w:line="240" w:lineRule="atLeast"/>
        <w:rPr>
          <w:rFonts w:cs="Arial"/>
          <w:iCs/>
          <w:szCs w:val="18"/>
          <w:lang w:eastAsia="en-AU"/>
        </w:rPr>
      </w:pPr>
      <w:r>
        <w:rPr>
          <w:rFonts w:cs="Arial"/>
          <w:iCs/>
          <w:szCs w:val="18"/>
          <w:lang w:eastAsia="en-AU"/>
        </w:rPr>
        <w:t xml:space="preserve">Establishing Instrument: </w:t>
      </w:r>
      <w:r w:rsidRPr="00470280">
        <w:rPr>
          <w:rFonts w:cs="Arial"/>
          <w:i/>
          <w:iCs/>
          <w:szCs w:val="18"/>
          <w:lang w:eastAsia="en-AU"/>
        </w:rPr>
        <w:t>Education</w:t>
      </w:r>
      <w:r>
        <w:rPr>
          <w:rFonts w:cs="Arial"/>
          <w:i/>
          <w:iCs/>
          <w:szCs w:val="18"/>
          <w:lang w:eastAsia="en-AU"/>
        </w:rPr>
        <w:t xml:space="preserve"> Services for Overseas Students Act 2000 Act No. 164 of 2000, </w:t>
      </w:r>
      <w:r>
        <w:rPr>
          <w:rFonts w:cs="Arial"/>
          <w:iCs/>
          <w:szCs w:val="18"/>
          <w:lang w:eastAsia="en-AU"/>
        </w:rPr>
        <w:t xml:space="preserve">taking into account amendments up </w:t>
      </w:r>
      <w:r>
        <w:rPr>
          <w:rFonts w:cs="Arial"/>
          <w:i/>
          <w:iCs/>
          <w:szCs w:val="18"/>
          <w:lang w:eastAsia="en-AU"/>
        </w:rPr>
        <w:t>Education Services for Overseas Students Legislation Amendment (Tuition Protection Services and Other Measures) Act 2012,</w:t>
      </w:r>
      <w:r>
        <w:rPr>
          <w:rFonts w:cs="Arial"/>
          <w:iCs/>
          <w:szCs w:val="18"/>
          <w:lang w:eastAsia="en-AU"/>
        </w:rPr>
        <w:t xml:space="preserve"> section 52A</w:t>
      </w:r>
    </w:p>
    <w:p w:rsidR="003E6989" w:rsidRDefault="003E6989" w:rsidP="003E6989">
      <w:pPr>
        <w:spacing w:line="240" w:lineRule="atLeast"/>
        <w:rPr>
          <w:rFonts w:cs="Arial"/>
          <w:szCs w:val="18"/>
          <w:lang w:eastAsia="en-AU"/>
        </w:rPr>
      </w:pPr>
      <w:r>
        <w:rPr>
          <w:rFonts w:cs="Arial"/>
          <w:iCs/>
          <w:szCs w:val="18"/>
          <w:lang w:eastAsia="en-AU"/>
        </w:rPr>
        <w:t>Purpose</w:t>
      </w:r>
      <w:r>
        <w:rPr>
          <w:rFonts w:cs="Arial"/>
          <w:i/>
          <w:iCs/>
          <w:szCs w:val="18"/>
          <w:lang w:eastAsia="en-AU"/>
        </w:rPr>
        <w:t>:</w:t>
      </w:r>
      <w:r>
        <w:rPr>
          <w:rFonts w:cs="Arial"/>
          <w:szCs w:val="18"/>
          <w:lang w:eastAsia="en-AU"/>
        </w:rPr>
        <w:t xml:space="preserve">  For expenditure in connection with assisting international students whose education providers are unable to deliver their course of study in full.</w:t>
      </w:r>
    </w:p>
    <w:p w:rsidR="003E6989" w:rsidRDefault="003E6989" w:rsidP="003E6989">
      <w:pPr>
        <w:spacing w:line="240" w:lineRule="atLeast"/>
        <w:rPr>
          <w:rFonts w:cs="Arial"/>
          <w:szCs w:val="18"/>
          <w:lang w:eastAsia="en-AU"/>
        </w:rPr>
      </w:pPr>
    </w:p>
    <w:p w:rsidR="003E6989" w:rsidRDefault="003E6989" w:rsidP="003E6989">
      <w:pPr>
        <w:spacing w:line="240" w:lineRule="atLeast"/>
      </w:pPr>
      <w:r>
        <w:rPr>
          <w:vertAlign w:val="superscript"/>
        </w:rPr>
        <w:t>7</w:t>
      </w:r>
      <w:r>
        <w:t xml:space="preserve"> </w:t>
      </w:r>
      <w:r w:rsidRPr="00FE2684">
        <w:rPr>
          <w:u w:val="single"/>
        </w:rPr>
        <w:t>Unique Student Identifiers Special Account</w:t>
      </w:r>
    </w:p>
    <w:p w:rsidR="003E6989" w:rsidRPr="00D22D60" w:rsidRDefault="003E6989" w:rsidP="003E6989">
      <w:pPr>
        <w:spacing w:line="240" w:lineRule="atLeast"/>
      </w:pPr>
      <w:r>
        <w:t xml:space="preserve">Appropriation: </w:t>
      </w:r>
      <w:r>
        <w:rPr>
          <w:i/>
        </w:rPr>
        <w:t>Public Governance, Performance and Accountability Act 2013</w:t>
      </w:r>
      <w:r>
        <w:t>; section 80</w:t>
      </w:r>
    </w:p>
    <w:p w:rsidR="003E6989" w:rsidRDefault="003E6989" w:rsidP="003E6989">
      <w:pPr>
        <w:spacing w:line="240" w:lineRule="atLeast"/>
      </w:pPr>
      <w:r>
        <w:t xml:space="preserve">Establishing Instrument: </w:t>
      </w:r>
      <w:r>
        <w:rPr>
          <w:i/>
        </w:rPr>
        <w:t xml:space="preserve">Student Identifiers Act 2014; </w:t>
      </w:r>
      <w:r>
        <w:t>section 48</w:t>
      </w:r>
    </w:p>
    <w:p w:rsidR="003E6989" w:rsidRDefault="003E6989" w:rsidP="003E6989">
      <w:pPr>
        <w:spacing w:line="240" w:lineRule="atLeast"/>
      </w:pPr>
      <w:r>
        <w:t xml:space="preserve">Purpose: For paying or discharging the costs, expenses and other obligations incurred by the Commonwealth in the performance of the Registrar’s functions, paying any remuneration and allowances payable to any person under the Act and meeting the expenses of administering the Account. </w:t>
      </w:r>
    </w:p>
    <w:p w:rsidR="003E6989" w:rsidRPr="008A2256" w:rsidRDefault="003E6989" w:rsidP="003E6989">
      <w:pPr>
        <w:spacing w:line="240" w:lineRule="atLeast"/>
      </w:pPr>
    </w:p>
    <w:p w:rsidR="003E6989" w:rsidRPr="00FE2684" w:rsidRDefault="003E6989" w:rsidP="003E6989">
      <w:pPr>
        <w:spacing w:line="240" w:lineRule="atLeast"/>
        <w:rPr>
          <w:rFonts w:cs="Arial"/>
          <w:iCs/>
          <w:szCs w:val="18"/>
          <w:u w:val="single"/>
          <w:vertAlign w:val="superscript"/>
          <w:lang w:eastAsia="en-AU"/>
        </w:rPr>
      </w:pPr>
      <w:r>
        <w:rPr>
          <w:vertAlign w:val="superscript"/>
        </w:rPr>
        <w:t>8</w:t>
      </w:r>
      <w:r w:rsidRPr="004C7426">
        <w:rPr>
          <w:vertAlign w:val="superscript"/>
        </w:rPr>
        <w:t xml:space="preserve"> </w:t>
      </w:r>
      <w:r w:rsidRPr="00FE2684">
        <w:rPr>
          <w:rFonts w:cs="Arial"/>
          <w:iCs/>
          <w:szCs w:val="18"/>
          <w:u w:val="single"/>
          <w:lang w:eastAsia="en-AU"/>
        </w:rPr>
        <w:t>Services for Other</w:t>
      </w:r>
      <w:r w:rsidRPr="00FE2684">
        <w:rPr>
          <w:rFonts w:cs="Arial"/>
          <w:iCs/>
          <w:szCs w:val="18"/>
          <w:u w:val="single"/>
          <w:vertAlign w:val="superscript"/>
          <w:lang w:eastAsia="en-AU"/>
        </w:rPr>
        <w:t xml:space="preserve"> </w:t>
      </w:r>
      <w:r w:rsidRPr="00FE2684">
        <w:rPr>
          <w:rFonts w:cs="Arial"/>
          <w:iCs/>
          <w:szCs w:val="18"/>
          <w:u w:val="single"/>
          <w:lang w:eastAsia="en-AU"/>
        </w:rPr>
        <w:t>Entities and Trust Moneys Special Account</w:t>
      </w:r>
    </w:p>
    <w:p w:rsidR="003E6989" w:rsidRDefault="003E6989" w:rsidP="003E6989">
      <w:pPr>
        <w:spacing w:line="240" w:lineRule="atLeast"/>
        <w:rPr>
          <w:rFonts w:cs="Arial"/>
          <w:szCs w:val="18"/>
          <w:lang w:eastAsia="en-AU"/>
        </w:rPr>
      </w:pPr>
      <w:r>
        <w:rPr>
          <w:rFonts w:cs="Arial"/>
          <w:iCs/>
          <w:szCs w:val="18"/>
          <w:lang w:eastAsia="en-AU"/>
        </w:rPr>
        <w:t>Appropriation:</w:t>
      </w:r>
      <w:r>
        <w:rPr>
          <w:rFonts w:cs="Arial"/>
          <w:szCs w:val="18"/>
          <w:lang w:eastAsia="en-AU"/>
        </w:rPr>
        <w:t xml:space="preserve"> </w:t>
      </w:r>
      <w:r>
        <w:rPr>
          <w:i/>
        </w:rPr>
        <w:t>Public Governance, Performance and Accountability Act 2013</w:t>
      </w:r>
      <w:r>
        <w:rPr>
          <w:rFonts w:cs="Arial"/>
          <w:szCs w:val="18"/>
          <w:lang w:eastAsia="en-AU"/>
        </w:rPr>
        <w:t>; section 78</w:t>
      </w:r>
    </w:p>
    <w:p w:rsidR="003E6989" w:rsidRDefault="003E6989" w:rsidP="003E6989">
      <w:pPr>
        <w:spacing w:line="240" w:lineRule="atLeast"/>
        <w:rPr>
          <w:rFonts w:cs="Arial"/>
          <w:iCs/>
          <w:szCs w:val="18"/>
          <w:lang w:eastAsia="en-AU"/>
        </w:rPr>
      </w:pPr>
      <w:r>
        <w:rPr>
          <w:rFonts w:cs="Arial"/>
          <w:iCs/>
          <w:szCs w:val="18"/>
          <w:lang w:eastAsia="en-AU"/>
        </w:rPr>
        <w:t>Establishing Instrument:</w:t>
      </w:r>
      <w:r>
        <w:rPr>
          <w:rFonts w:cs="Arial"/>
          <w:szCs w:val="18"/>
          <w:lang w:eastAsia="en-AU"/>
        </w:rPr>
        <w:t xml:space="preserve"> </w:t>
      </w:r>
      <w:r>
        <w:rPr>
          <w:rFonts w:cs="Arial"/>
          <w:i/>
          <w:iCs/>
          <w:szCs w:val="18"/>
          <w:lang w:eastAsia="en-AU"/>
        </w:rPr>
        <w:t xml:space="preserve"> Financial Management and Accountability Determination 2008/14 </w:t>
      </w:r>
      <w:r>
        <w:rPr>
          <w:rFonts w:cs="Arial"/>
          <w:iCs/>
          <w:szCs w:val="18"/>
          <w:lang w:eastAsia="en-AU"/>
        </w:rPr>
        <w:t>on 3 June 2008.</w:t>
      </w:r>
    </w:p>
    <w:p w:rsidR="003E6989" w:rsidRPr="004C7426" w:rsidRDefault="003E6989" w:rsidP="003E6989">
      <w:pPr>
        <w:spacing w:line="240" w:lineRule="atLeast"/>
      </w:pPr>
      <w:r>
        <w:rPr>
          <w:rFonts w:cs="Arial"/>
          <w:iCs/>
          <w:szCs w:val="18"/>
          <w:lang w:eastAsia="en-AU"/>
        </w:rPr>
        <w:t>Purpose</w:t>
      </w:r>
      <w:r>
        <w:rPr>
          <w:rFonts w:cs="Arial"/>
          <w:i/>
          <w:iCs/>
          <w:szCs w:val="18"/>
          <w:lang w:eastAsia="en-AU"/>
        </w:rPr>
        <w:t>:</w:t>
      </w:r>
      <w:r>
        <w:rPr>
          <w:rFonts w:cs="Arial"/>
          <w:szCs w:val="18"/>
          <w:lang w:eastAsia="en-AU"/>
        </w:rPr>
        <w:t xml:space="preserve">  To disburse amounts:  held on trust or otherwise for the benefit of a person other than the Commonwealth; in connection with services performed on behalf of other governments and bodies that are not </w:t>
      </w:r>
      <w:r>
        <w:t>non-corporate Commonwealth entities</w:t>
      </w:r>
      <w:r>
        <w:rPr>
          <w:rFonts w:cs="Arial"/>
          <w:szCs w:val="18"/>
          <w:lang w:eastAsia="en-AU"/>
        </w:rPr>
        <w:t>; and to repay amounts where an Act or other law requires or permits the repayment of an amount received.</w:t>
      </w:r>
      <w:r w:rsidRPr="004C7426">
        <w:br w:type="page"/>
      </w:r>
    </w:p>
    <w:p w:rsidR="003E6989" w:rsidRDefault="003E6989" w:rsidP="003E6989">
      <w:pPr>
        <w:spacing w:line="240" w:lineRule="auto"/>
        <w:sectPr w:rsidR="003E6989" w:rsidSect="006A5410">
          <w:pgSz w:w="11906" w:h="16838"/>
          <w:pgMar w:top="1134" w:right="1134" w:bottom="1134" w:left="1134" w:header="958" w:footer="737" w:gutter="0"/>
          <w:cols w:space="720"/>
          <w:docGrid w:linePitch="245"/>
        </w:sectPr>
      </w:pPr>
      <w:bookmarkStart w:id="509" w:name="RANGE!D31:J56"/>
      <w:bookmarkEnd w:id="509"/>
    </w:p>
    <w:p w:rsidR="003E6989" w:rsidRDefault="003E6989" w:rsidP="003E6989">
      <w:pPr>
        <w:pStyle w:val="SubHeading"/>
      </w:pPr>
      <w:r>
        <w:t xml:space="preserve"> </w:t>
      </w:r>
      <w:bookmarkStart w:id="510" w:name="_Toc455416747"/>
      <w:bookmarkStart w:id="511" w:name="_Toc464726638"/>
      <w:r>
        <w:t>Regulatory Charging Summary</w:t>
      </w:r>
      <w:bookmarkEnd w:id="510"/>
      <w:bookmarkEnd w:id="511"/>
    </w:p>
    <w:tbl>
      <w:tblPr>
        <w:tblW w:w="9087" w:type="dxa"/>
        <w:tblInd w:w="80" w:type="dxa"/>
        <w:tblLayout w:type="fixed"/>
        <w:tblLook w:val="04A0" w:firstRow="1" w:lastRow="0" w:firstColumn="1" w:lastColumn="0" w:noHBand="0" w:noVBand="1"/>
      </w:tblPr>
      <w:tblGrid>
        <w:gridCol w:w="6767"/>
        <w:gridCol w:w="1041"/>
        <w:gridCol w:w="239"/>
        <w:gridCol w:w="1040"/>
      </w:tblGrid>
      <w:tr w:rsidR="003E6989" w:rsidTr="006A5410">
        <w:trPr>
          <w:trHeight w:val="255"/>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bookmarkStart w:id="512" w:name="Note_DCNTABLE1" w:colFirst="0" w:colLast="0"/>
            <w:r>
              <w:rPr>
                <w:rFonts w:cs="Calibri"/>
                <w:sz w:val="16"/>
                <w:szCs w:val="16"/>
              </w:rPr>
              <w:t> </w:t>
            </w:r>
          </w:p>
        </w:tc>
        <w:tc>
          <w:tcPr>
            <w:tcW w:w="1029"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512"/>
      <w:tr w:rsidR="003E6989" w:rsidTr="006A5410">
        <w:trPr>
          <w:trHeight w:val="255"/>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5.3A: Regulatory charging summary</w:t>
            </w:r>
          </w:p>
        </w:tc>
        <w:tc>
          <w:tcPr>
            <w:tcW w:w="1029"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Amounts applied</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Departmental</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Annual appropriations</w:t>
            </w:r>
          </w:p>
        </w:tc>
        <w:tc>
          <w:tcPr>
            <w:tcW w:w="102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4,545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2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4,830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xml:space="preserve">Total amounts applied </w:t>
            </w:r>
          </w:p>
        </w:tc>
        <w:tc>
          <w:tcPr>
            <w:tcW w:w="102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4,545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2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4,830</w:t>
            </w:r>
          </w:p>
        </w:tc>
      </w:tr>
      <w:tr w:rsidR="003E6989" w:rsidTr="006A5410">
        <w:trPr>
          <w:trHeight w:val="255"/>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Expenses</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FFFFFF" w:fill="FFFFFF"/>
            <w:vAlign w:val="bottom"/>
            <w:hideMark/>
          </w:tcPr>
          <w:p w:rsidR="003E6989" w:rsidRDefault="003E6989" w:rsidP="003E6989">
            <w:pPr>
              <w:ind w:firstLineChars="100" w:firstLine="180"/>
              <w:rPr>
                <w:rFonts w:cs="Calibri"/>
                <w:szCs w:val="18"/>
              </w:rPr>
            </w:pPr>
            <w:r>
              <w:rPr>
                <w:rFonts w:cs="Calibri"/>
                <w:szCs w:val="18"/>
              </w:rPr>
              <w:t>Departmental</w:t>
            </w:r>
          </w:p>
        </w:tc>
        <w:tc>
          <w:tcPr>
            <w:tcW w:w="102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4,545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2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4,830 </w:t>
            </w:r>
          </w:p>
        </w:tc>
      </w:tr>
      <w:tr w:rsidR="003E6989" w:rsidTr="006A5410">
        <w:trPr>
          <w:trHeight w:val="270"/>
        </w:trPr>
        <w:tc>
          <w:tcPr>
            <w:tcW w:w="668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 expenses</w:t>
            </w:r>
          </w:p>
        </w:tc>
        <w:tc>
          <w:tcPr>
            <w:tcW w:w="1029"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4,545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2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4,830</w:t>
            </w:r>
          </w:p>
        </w:tc>
      </w:tr>
      <w:tr w:rsidR="003E6989" w:rsidTr="006A5410">
        <w:trPr>
          <w:trHeight w:val="270"/>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Revenue</w:t>
            </w:r>
          </w:p>
        </w:tc>
        <w:tc>
          <w:tcPr>
            <w:tcW w:w="1029"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color w:val="000000"/>
                <w:szCs w:val="18"/>
              </w:rPr>
            </w:pPr>
            <w:r>
              <w:rPr>
                <w:rFonts w:cs="Calibri"/>
                <w:color w:val="000000"/>
                <w:szCs w:val="18"/>
              </w:rPr>
              <w:t>Administered</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7,927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7,119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 xml:space="preserve">Total revenue </w:t>
            </w:r>
          </w:p>
        </w:tc>
        <w:tc>
          <w:tcPr>
            <w:tcW w:w="102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7,927</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7,119</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 </w:t>
            </w:r>
          </w:p>
        </w:tc>
        <w:tc>
          <w:tcPr>
            <w:tcW w:w="1029"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Receivables</w:t>
            </w:r>
          </w:p>
        </w:tc>
        <w:tc>
          <w:tcPr>
            <w:tcW w:w="1029"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Not overdue</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47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16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color w:val="000000"/>
                <w:szCs w:val="18"/>
              </w:rPr>
            </w:pPr>
            <w:r>
              <w:rPr>
                <w:rFonts w:cs="Calibri"/>
                <w:color w:val="000000"/>
                <w:szCs w:val="18"/>
              </w:rPr>
              <w:t>Overdue by</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1F2C80">
            <w:pPr>
              <w:ind w:left="204"/>
              <w:rPr>
                <w:rFonts w:cs="Calibri"/>
                <w:color w:val="000000"/>
                <w:szCs w:val="18"/>
              </w:rPr>
            </w:pPr>
            <w:r>
              <w:rPr>
                <w:rFonts w:cs="Calibri"/>
                <w:color w:val="000000"/>
                <w:szCs w:val="18"/>
              </w:rPr>
              <w:t>0 to 30 days</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8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6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1F2C80">
            <w:pPr>
              <w:ind w:left="204"/>
              <w:rPr>
                <w:rFonts w:cs="Calibri"/>
                <w:color w:val="000000"/>
                <w:szCs w:val="18"/>
              </w:rPr>
            </w:pPr>
            <w:r>
              <w:rPr>
                <w:rFonts w:cs="Calibri"/>
                <w:color w:val="000000"/>
                <w:szCs w:val="18"/>
              </w:rPr>
              <w:t>31 to 60 days</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1F2C80">
            <w:pPr>
              <w:ind w:left="204"/>
              <w:rPr>
                <w:rFonts w:cs="Calibri"/>
                <w:color w:val="000000"/>
                <w:szCs w:val="18"/>
              </w:rPr>
            </w:pPr>
            <w:r>
              <w:rPr>
                <w:rFonts w:cs="Calibri"/>
                <w:color w:val="000000"/>
                <w:szCs w:val="18"/>
              </w:rPr>
              <w:t>61 to 90 days</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688" w:type="dxa"/>
            <w:tcBorders>
              <w:top w:val="nil"/>
              <w:left w:val="nil"/>
              <w:bottom w:val="nil"/>
              <w:right w:val="nil"/>
            </w:tcBorders>
            <w:shd w:val="clear" w:color="000000" w:fill="D9D9D9"/>
            <w:noWrap/>
            <w:vAlign w:val="bottom"/>
            <w:hideMark/>
          </w:tcPr>
          <w:p w:rsidR="003E6989" w:rsidRDefault="003E6989" w:rsidP="001F2C80">
            <w:pPr>
              <w:ind w:left="204"/>
              <w:rPr>
                <w:rFonts w:cs="Calibri"/>
                <w:color w:val="000000"/>
                <w:szCs w:val="18"/>
              </w:rPr>
            </w:pPr>
            <w:r>
              <w:rPr>
                <w:rFonts w:cs="Calibri"/>
                <w:color w:val="000000"/>
                <w:szCs w:val="18"/>
              </w:rPr>
              <w:t>More than 90 days</w:t>
            </w:r>
          </w:p>
        </w:tc>
        <w:tc>
          <w:tcPr>
            <w:tcW w:w="1029"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120 </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75 </w:t>
            </w:r>
          </w:p>
        </w:tc>
      </w:tr>
      <w:tr w:rsidR="003E6989" w:rsidTr="006A5410">
        <w:trPr>
          <w:trHeight w:val="270"/>
        </w:trPr>
        <w:tc>
          <w:tcPr>
            <w:tcW w:w="6688" w:type="dxa"/>
            <w:tcBorders>
              <w:top w:val="nil"/>
              <w:left w:val="nil"/>
              <w:bottom w:val="nil"/>
              <w:right w:val="nil"/>
            </w:tcBorders>
            <w:shd w:val="clear" w:color="000000" w:fill="D9D9D9"/>
            <w:noWrap/>
            <w:vAlign w:val="bottom"/>
            <w:hideMark/>
          </w:tcPr>
          <w:p w:rsidR="003E6989" w:rsidRDefault="003E6989" w:rsidP="006A5410">
            <w:pPr>
              <w:rPr>
                <w:rFonts w:cs="Calibri"/>
                <w:b/>
                <w:bCs/>
                <w:color w:val="000000"/>
                <w:szCs w:val="18"/>
              </w:rPr>
            </w:pPr>
            <w:r>
              <w:rPr>
                <w:rFonts w:cs="Calibri"/>
                <w:b/>
                <w:bCs/>
                <w:color w:val="000000"/>
                <w:szCs w:val="18"/>
              </w:rPr>
              <w:t>Total receivables</w:t>
            </w:r>
          </w:p>
        </w:tc>
        <w:tc>
          <w:tcPr>
            <w:tcW w:w="1029"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191</w:t>
            </w:r>
          </w:p>
        </w:tc>
        <w:tc>
          <w:tcPr>
            <w:tcW w:w="23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28"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97</w:t>
            </w:r>
          </w:p>
        </w:tc>
      </w:tr>
      <w:tr w:rsidR="003E6989" w:rsidTr="006A5410">
        <w:trPr>
          <w:trHeight w:val="270"/>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68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Cost recovered activities:</w:t>
            </w:r>
          </w:p>
        </w:tc>
        <w:tc>
          <w:tcPr>
            <w:tcW w:w="1029"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2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1320"/>
        </w:trPr>
        <w:tc>
          <w:tcPr>
            <w:tcW w:w="8981"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xml:space="preserve">The Commonwealth recovers the costs of administering its functions under the Education Services for Overseas Students Act 2000 (the ESOS Act) and the National Code of Practice for Providers of Education and Training to Overseas Students (National Code) through compulsory registration fees charged to all providers wishing to be registered on the Commonwealth Register of Institutions and Courses for Overseas Students (CRICOS), which allows them to offer courses to overseas students.  </w:t>
            </w:r>
          </w:p>
        </w:tc>
      </w:tr>
      <w:tr w:rsidR="003E6989" w:rsidTr="006A5410">
        <w:trPr>
          <w:trHeight w:val="72"/>
        </w:trPr>
        <w:tc>
          <w:tcPr>
            <w:tcW w:w="8981" w:type="dxa"/>
            <w:gridSpan w:val="4"/>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960"/>
        </w:trPr>
        <w:tc>
          <w:tcPr>
            <w:tcW w:w="8981"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xml:space="preserve">The following entities are involved in the delivery of these activities:  Department of Education, Australian Skills Quality Authority and the Tertiary Education Quality and Standards Agency. The Commonwealth also recovers the cost of administering the functions of the Overseas Students Ombudsman under the Ombudsman Act 1976.  </w:t>
            </w:r>
          </w:p>
        </w:tc>
      </w:tr>
      <w:tr w:rsidR="003E6989" w:rsidTr="006A5410">
        <w:trPr>
          <w:trHeight w:val="132"/>
        </w:trPr>
        <w:tc>
          <w:tcPr>
            <w:tcW w:w="8981" w:type="dxa"/>
            <w:gridSpan w:val="4"/>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78"/>
        </w:trPr>
        <w:tc>
          <w:tcPr>
            <w:tcW w:w="8981"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xml:space="preserve">Documentation (Cost Recovery Impact Statement) for the above activity is available at www.education.gov.au. </w:t>
            </w:r>
          </w:p>
        </w:tc>
      </w:tr>
      <w:tr w:rsidR="003E6989" w:rsidTr="006A5410">
        <w:trPr>
          <w:trHeight w:val="255"/>
        </w:trPr>
        <w:tc>
          <w:tcPr>
            <w:tcW w:w="8981" w:type="dxa"/>
            <w:gridSpan w:val="4"/>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bl>
    <w:p w:rsidR="003E6989" w:rsidRDefault="003E6989" w:rsidP="003E6989">
      <w:bookmarkStart w:id="513" w:name="RANGE!D7:G38"/>
      <w:bookmarkEnd w:id="513"/>
    </w:p>
    <w:p w:rsidR="003E6989" w:rsidRDefault="003E6989" w:rsidP="003E6989">
      <w:r>
        <w:br w:type="page"/>
      </w:r>
    </w:p>
    <w:p w:rsidR="003E6989" w:rsidRDefault="003E6989" w:rsidP="003E6989">
      <w:pPr>
        <w:pStyle w:val="SubHeading"/>
      </w:pPr>
      <w:bookmarkStart w:id="514" w:name="_Toc455416748"/>
      <w:bookmarkStart w:id="515" w:name="_Toc464726639"/>
      <w:r>
        <w:t>Net Cash Appropriation Arrangements</w:t>
      </w:r>
      <w:bookmarkEnd w:id="514"/>
      <w:bookmarkEnd w:id="515"/>
    </w:p>
    <w:tbl>
      <w:tblPr>
        <w:tblW w:w="9087" w:type="dxa"/>
        <w:tblInd w:w="80" w:type="dxa"/>
        <w:tblLayout w:type="fixed"/>
        <w:tblLook w:val="04A0" w:firstRow="1" w:lastRow="0" w:firstColumn="1" w:lastColumn="0" w:noHBand="0" w:noVBand="1"/>
      </w:tblPr>
      <w:tblGrid>
        <w:gridCol w:w="6723"/>
        <w:gridCol w:w="1047"/>
        <w:gridCol w:w="270"/>
        <w:gridCol w:w="1047"/>
      </w:tblGrid>
      <w:tr w:rsidR="003E6989" w:rsidTr="006A5410">
        <w:trPr>
          <w:trHeight w:val="240"/>
        </w:trPr>
        <w:tc>
          <w:tcPr>
            <w:tcW w:w="665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bookmarkStart w:id="516" w:name="RANGE!D7:G8"/>
            <w:bookmarkStart w:id="517" w:name="Note_NCATABLE1" w:colFirst="0" w:colLast="0"/>
            <w:r>
              <w:rPr>
                <w:rFonts w:ascii="Arial" w:hAnsi="Arial" w:cs="Arial"/>
                <w:szCs w:val="18"/>
              </w:rPr>
              <w:t> </w:t>
            </w:r>
            <w:bookmarkEnd w:id="516"/>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517"/>
      <w:tr w:rsidR="003E6989" w:rsidTr="006A5410">
        <w:trPr>
          <w:trHeight w:val="240"/>
        </w:trPr>
        <w:tc>
          <w:tcPr>
            <w:tcW w:w="665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5.4A: Net cash appropriation arrangements</w:t>
            </w:r>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66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510"/>
        </w:trPr>
        <w:tc>
          <w:tcPr>
            <w:tcW w:w="665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comprehensive income (loss) less depreciation/amortisation expenses previously funded through revenue appropriations</w:t>
            </w:r>
            <w:r>
              <w:rPr>
                <w:rFonts w:ascii="Arial" w:hAnsi="Arial" w:cs="Arial"/>
                <w:b/>
                <w:bCs/>
                <w:szCs w:val="18"/>
                <w:vertAlign w:val="superscript"/>
              </w:rPr>
              <w:t>1</w:t>
            </w:r>
          </w:p>
        </w:tc>
        <w:tc>
          <w:tcPr>
            <w:tcW w:w="10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3,734</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0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3,328</w:t>
            </w:r>
          </w:p>
        </w:tc>
      </w:tr>
      <w:tr w:rsidR="003E6989" w:rsidTr="006A5410">
        <w:trPr>
          <w:trHeight w:val="480"/>
        </w:trPr>
        <w:tc>
          <w:tcPr>
            <w:tcW w:w="665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Plus: depreciation/amortisation expenses previously funded through revenue appropriation</w:t>
            </w:r>
          </w:p>
        </w:tc>
        <w:tc>
          <w:tcPr>
            <w:tcW w:w="10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(25,168)</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0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(26,918)</w:t>
            </w:r>
          </w:p>
        </w:tc>
      </w:tr>
      <w:tr w:rsidR="003E6989" w:rsidTr="006A5410">
        <w:trPr>
          <w:trHeight w:val="270"/>
        </w:trPr>
        <w:tc>
          <w:tcPr>
            <w:tcW w:w="6656"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comprehensive income (loss) - as per the Statement of Comprehensive Income</w:t>
            </w:r>
          </w:p>
        </w:tc>
        <w:tc>
          <w:tcPr>
            <w:tcW w:w="10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(21,434)</w:t>
            </w:r>
          </w:p>
        </w:tc>
        <w:tc>
          <w:tcPr>
            <w:tcW w:w="267"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0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(23,590)</w:t>
            </w:r>
          </w:p>
        </w:tc>
      </w:tr>
    </w:tbl>
    <w:p w:rsidR="003E6989" w:rsidRDefault="003E6989" w:rsidP="003E6989">
      <w:bookmarkStart w:id="518" w:name="RANGE!D7:G12"/>
      <w:bookmarkStart w:id="519" w:name="RANGE!D7:D11"/>
      <w:bookmarkStart w:id="520" w:name="RANGE!D6:D11"/>
      <w:bookmarkEnd w:id="518"/>
      <w:bookmarkEnd w:id="519"/>
      <w:bookmarkEnd w:id="520"/>
    </w:p>
    <w:p w:rsidR="003E6989" w:rsidRDefault="003E6989" w:rsidP="003E6989">
      <w:pPr>
        <w:pStyle w:val="AdminBlankGreyShade"/>
      </w:pPr>
      <w:r w:rsidRPr="00073531">
        <w:rPr>
          <w:vertAlign w:val="superscript"/>
        </w:rPr>
        <w:t>1</w:t>
      </w:r>
      <w:r>
        <w:t xml:space="preserve"> From 2010–11, the Government introduced net cash appropriation arrangements, where revenue appropriations for depreciation/amortisation expenses ceased. Entities now receive a separate capital budget provided through equity appropriations. Capital budgets are to be appropriated in the period when cash payment for capital expenditure is required.</w:t>
      </w:r>
    </w:p>
    <w:p w:rsidR="003E6989" w:rsidRDefault="003E6989" w:rsidP="003E6989">
      <w:pPr>
        <w:spacing w:line="240" w:lineRule="auto"/>
        <w:rPr>
          <w:rFonts w:asciiTheme="minorHAnsi" w:hAnsiTheme="minorHAnsi" w:cs="Arial"/>
          <w:szCs w:val="18"/>
          <w:lang w:eastAsia="en-AU"/>
        </w:rPr>
      </w:pPr>
      <w:r>
        <w:rPr>
          <w:rFonts w:asciiTheme="minorHAnsi" w:hAnsiTheme="minorHAnsi" w:cs="Arial"/>
          <w:szCs w:val="18"/>
          <w:lang w:eastAsia="en-AU"/>
        </w:rPr>
        <w:br w:type="page"/>
      </w:r>
    </w:p>
    <w:p w:rsidR="003E6989" w:rsidRPr="00543F5D" w:rsidRDefault="003E6989" w:rsidP="003E6989">
      <w:pPr>
        <w:pStyle w:val="SubHeading"/>
        <w:rPr>
          <w:lang w:eastAsia="en-AU"/>
        </w:rPr>
      </w:pPr>
      <w:bookmarkStart w:id="521" w:name="_Toc455416749"/>
      <w:bookmarkStart w:id="522" w:name="_Toc464726640"/>
      <w:r>
        <w:rPr>
          <w:lang w:eastAsia="en-AU"/>
        </w:rPr>
        <w:t>Cash Flow Reconciliation</w:t>
      </w:r>
      <w:bookmarkEnd w:id="521"/>
      <w:bookmarkEnd w:id="522"/>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523" w:name="RANGE!E7:E42"/>
            <w:bookmarkStart w:id="524" w:name="Note_CFRTABLE1" w:colFirst="0" w:colLast="0"/>
            <w:r>
              <w:rPr>
                <w:rFonts w:cs="Calibri"/>
                <w:szCs w:val="18"/>
              </w:rPr>
              <w:t> </w:t>
            </w:r>
            <w:bookmarkEnd w:id="523"/>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bookmarkEnd w:id="524"/>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5.5A: Cash flow reconciliation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48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Reconciliation of cash and cash equivalents as per statement of financial position to cash flow statement</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Cash and cash equivalents as per</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Cash flow statement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6,132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9,817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Statement of financial position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6,132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9,817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Discrepancy</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70"/>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7510" w:type="dxa"/>
            <w:gridSpan w:val="2"/>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Reconciliation of net cost of services to net cash from (used by) operating activities</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Net (cost of) contribution by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(334,182)</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(300,449)</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Revenue from Government</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313,127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276,854</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Adjustments for non-cash items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First time recognition of non-financial assets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(881)</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Other gains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(2,144)</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(502)</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Write-down and impairment of 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Depreciation / amortisation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25,168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26,918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Net write-down and impairment of assets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2,676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2,819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Net losses from sale of assets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234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(87)</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Movements in assets and liabilities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Decrease / (increase) in net receivables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(10,789)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(9,416)</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Decrease / (increase) in accrued income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1,280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6,837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Decrease / (increase) in prepayments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601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(2,126)</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Liabilities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Increase / (decrease) in employee provisions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2,540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(7,113)</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Increase / (decrease) in supplier payables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8,268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12,175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Increase / (decrease) in other provisions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(1,368)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(404)</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Increase / (decrease) in other payables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(8,437)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(5,460)</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Net cash from (used by) operating activities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(2,978)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(852)</w:t>
            </w:r>
          </w:p>
        </w:tc>
      </w:tr>
    </w:tbl>
    <w:p w:rsidR="003E6989" w:rsidRDefault="003E6989" w:rsidP="003E6989">
      <w:pPr>
        <w:spacing w:line="240" w:lineRule="auto"/>
        <w:rPr>
          <w:rFonts w:asciiTheme="minorHAnsi" w:hAnsiTheme="minorHAnsi" w:cs="Arial"/>
          <w:szCs w:val="18"/>
          <w:lang w:eastAsia="en-AU"/>
        </w:rPr>
      </w:pPr>
      <w:bookmarkStart w:id="525" w:name="RANGE!E7:H42"/>
      <w:bookmarkEnd w:id="525"/>
      <w:r>
        <w:rPr>
          <w:rFonts w:asciiTheme="minorHAnsi" w:hAnsiTheme="minorHAnsi" w:cs="Arial"/>
          <w:szCs w:val="18"/>
          <w:lang w:eastAsia="en-AU"/>
        </w:rPr>
        <w:br w:type="page"/>
      </w:r>
    </w:p>
    <w:tbl>
      <w:tblPr>
        <w:tblW w:w="9087" w:type="dxa"/>
        <w:tblInd w:w="80" w:type="dxa"/>
        <w:tblLayout w:type="fixed"/>
        <w:tblLook w:val="04A0" w:firstRow="1" w:lastRow="0" w:firstColumn="1" w:lastColumn="0" w:noHBand="0" w:noVBand="1"/>
      </w:tblPr>
      <w:tblGrid>
        <w:gridCol w:w="6210"/>
        <w:gridCol w:w="1305"/>
        <w:gridCol w:w="267"/>
        <w:gridCol w:w="1305"/>
      </w:tblGrid>
      <w:tr w:rsidR="003E6989" w:rsidTr="006A5410">
        <w:trPr>
          <w:trHeight w:val="255"/>
        </w:trPr>
        <w:tc>
          <w:tcPr>
            <w:tcW w:w="597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Cs w:val="18"/>
              </w:rPr>
            </w:pPr>
            <w:bookmarkStart w:id="526" w:name="Note_AFRTABLE1" w:colFirst="0" w:colLast="0"/>
            <w:r>
              <w:rPr>
                <w:rFonts w:cs="Calibri"/>
                <w:szCs w:val="18"/>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526"/>
      <w:tr w:rsidR="003E6989" w:rsidTr="006A5410">
        <w:trPr>
          <w:trHeight w:val="255"/>
        </w:trPr>
        <w:tc>
          <w:tcPr>
            <w:tcW w:w="597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b/>
                <w:bCs/>
                <w:szCs w:val="18"/>
                <w:u w:val="single"/>
              </w:rPr>
            </w:pPr>
            <w:r>
              <w:rPr>
                <w:rFonts w:cs="Calibri"/>
                <w:b/>
                <w:bCs/>
                <w:szCs w:val="18"/>
                <w:u w:val="single"/>
              </w:rPr>
              <w:t>5.5B: Administered cash flow reconciliation</w:t>
            </w:r>
          </w:p>
        </w:tc>
        <w:tc>
          <w:tcPr>
            <w:tcW w:w="125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597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480"/>
        </w:trPr>
        <w:tc>
          <w:tcPr>
            <w:tcW w:w="597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Reconciliation of cash and cash equivalents as per administered schedule of assets and liabilities to administered cash flow statement</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Cash and cash equivalents as per</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Schedule of administered cash flows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Schedule of administered assets and liabilities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70"/>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Discrepancy</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70"/>
        </w:trPr>
        <w:tc>
          <w:tcPr>
            <w:tcW w:w="597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7232" w:type="dxa"/>
            <w:gridSpan w:val="2"/>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Reconciliation of net cost of services to net cash from (used by) operating activities</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Net (cost of) contribution by services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(32,119,760)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(27,889,199)</w:t>
            </w:r>
          </w:p>
        </w:tc>
      </w:tr>
      <w:tr w:rsidR="003E6989" w:rsidTr="006A5410">
        <w:trPr>
          <w:trHeight w:val="255"/>
        </w:trPr>
        <w:tc>
          <w:tcPr>
            <w:tcW w:w="59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Adjustments for non-cash items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Net write down of non-financial assets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18,596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26,237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Concessional loan discount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636,237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801,980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Fair value losses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1,058,194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702,638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Interest on loans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(529,330)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(567,434)</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Other revenues not providing cash</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(656,803)</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326,859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Unwinding of the discount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(24,612)</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(15,363)</w:t>
            </w:r>
          </w:p>
        </w:tc>
      </w:tr>
      <w:tr w:rsidR="003E6989" w:rsidTr="006A5410">
        <w:trPr>
          <w:trHeight w:val="255"/>
        </w:trPr>
        <w:tc>
          <w:tcPr>
            <w:tcW w:w="597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Movements in assets and liabilities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Assets</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net receivables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(70,978)</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(34,943)</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other non-financial assets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(240)</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523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Liabilities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supplier payables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(18,853)</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39,401 </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grants payable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11,471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(1,306,416)</w:t>
            </w:r>
          </w:p>
        </w:tc>
      </w:tr>
      <w:tr w:rsidR="003E6989" w:rsidTr="006A5410">
        <w:trPr>
          <w:trHeight w:val="255"/>
        </w:trPr>
        <w:tc>
          <w:tcPr>
            <w:tcW w:w="597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personal benefits payable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(28,579)</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14,742 </w:t>
            </w:r>
          </w:p>
        </w:tc>
      </w:tr>
      <w:tr w:rsidR="003E6989" w:rsidTr="006A5410">
        <w:trPr>
          <w:trHeight w:val="255"/>
        </w:trPr>
        <w:tc>
          <w:tcPr>
            <w:tcW w:w="5976" w:type="dxa"/>
            <w:tcBorders>
              <w:top w:val="nil"/>
              <w:left w:val="nil"/>
              <w:right w:val="nil"/>
            </w:tcBorders>
            <w:shd w:val="clear" w:color="000000" w:fill="D9D9D9"/>
            <w:vAlign w:val="bottom"/>
            <w:hideMark/>
          </w:tcPr>
          <w:p w:rsidR="003E6989" w:rsidRDefault="003E6989" w:rsidP="006A5410">
            <w:pPr>
              <w:rPr>
                <w:rFonts w:cs="Calibri"/>
                <w:szCs w:val="18"/>
              </w:rPr>
            </w:pPr>
            <w:r>
              <w:rPr>
                <w:rFonts w:cs="Calibri"/>
                <w:szCs w:val="18"/>
              </w:rPr>
              <w:t>Increase / (decrease) in provisions</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126,042 </w:t>
            </w:r>
          </w:p>
        </w:tc>
        <w:tc>
          <w:tcPr>
            <w:tcW w:w="257"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(97,721)</w:t>
            </w:r>
          </w:p>
        </w:tc>
      </w:tr>
      <w:tr w:rsidR="003E6989" w:rsidTr="006A5410">
        <w:trPr>
          <w:trHeight w:val="270"/>
        </w:trPr>
        <w:tc>
          <w:tcPr>
            <w:tcW w:w="597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Net cash from (used by) operating activities</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(31,598,615)</w:t>
            </w:r>
          </w:p>
        </w:tc>
        <w:tc>
          <w:tcPr>
            <w:tcW w:w="257"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(27,998,696)</w:t>
            </w:r>
          </w:p>
        </w:tc>
      </w:tr>
    </w:tbl>
    <w:p w:rsidR="003E6989" w:rsidRDefault="003E6989" w:rsidP="003E6989">
      <w:pPr>
        <w:pStyle w:val="GreyShadeTableBreak"/>
        <w:rPr>
          <w:lang w:eastAsia="en-AU"/>
        </w:rPr>
      </w:pPr>
      <w:bookmarkStart w:id="527" w:name="RANGE!E7:H40"/>
      <w:bookmarkEnd w:id="527"/>
    </w:p>
    <w:p w:rsidR="003E6989" w:rsidRDefault="003E6989" w:rsidP="003E6989">
      <w:pPr>
        <w:spacing w:line="240" w:lineRule="auto"/>
        <w:rPr>
          <w:rFonts w:asciiTheme="minorHAnsi" w:hAnsiTheme="minorHAnsi" w:cs="Arial"/>
          <w:szCs w:val="18"/>
          <w:lang w:eastAsia="en-AU"/>
        </w:rPr>
      </w:pPr>
      <w:r>
        <w:rPr>
          <w:rFonts w:asciiTheme="minorHAnsi" w:hAnsiTheme="minorHAnsi" w:cs="Arial"/>
          <w:szCs w:val="18"/>
          <w:lang w:eastAsia="en-AU"/>
        </w:rPr>
        <w:br w:type="page"/>
      </w:r>
    </w:p>
    <w:p w:rsidR="003E6989" w:rsidRDefault="003E6989" w:rsidP="003E6989">
      <w:pPr>
        <w:pStyle w:val="SectionHeading"/>
        <w:rPr>
          <w:lang w:eastAsia="en-AU"/>
        </w:rPr>
      </w:pPr>
      <w:bookmarkStart w:id="528" w:name="_Toc455416750"/>
      <w:bookmarkStart w:id="529" w:name="_Toc463440703"/>
      <w:bookmarkStart w:id="530" w:name="_Toc464726288"/>
      <w:bookmarkStart w:id="531" w:name="_Toc464726641"/>
      <w:r>
        <w:rPr>
          <w:lang w:eastAsia="en-AU"/>
        </w:rPr>
        <w:t>People and Relationships</w:t>
      </w:r>
      <w:bookmarkEnd w:id="528"/>
      <w:bookmarkEnd w:id="529"/>
      <w:bookmarkEnd w:id="530"/>
      <w:bookmarkEnd w:id="531"/>
    </w:p>
    <w:p w:rsidR="003E6989" w:rsidRDefault="003E6989" w:rsidP="003E6989">
      <w:pPr>
        <w:pStyle w:val="SubHeading"/>
        <w:rPr>
          <w:lang w:eastAsia="en-AU"/>
        </w:rPr>
      </w:pPr>
      <w:bookmarkStart w:id="532" w:name="_Toc443991934"/>
      <w:bookmarkStart w:id="533" w:name="_Toc443991978"/>
      <w:bookmarkStart w:id="534" w:name="_Toc443992040"/>
      <w:bookmarkStart w:id="535" w:name="_Toc443992085"/>
      <w:bookmarkStart w:id="536" w:name="_Toc443992565"/>
      <w:bookmarkStart w:id="537" w:name="_Toc444001438"/>
      <w:bookmarkStart w:id="538" w:name="_Toc444260034"/>
      <w:bookmarkStart w:id="539" w:name="_Toc445116341"/>
      <w:bookmarkStart w:id="540" w:name="_Toc447095797"/>
      <w:bookmarkStart w:id="541" w:name="_Toc447095844"/>
      <w:bookmarkStart w:id="542" w:name="_Toc447095887"/>
      <w:bookmarkStart w:id="543" w:name="_Toc447096083"/>
      <w:bookmarkStart w:id="544" w:name="_Toc447796077"/>
      <w:bookmarkStart w:id="545" w:name="_Toc455416751"/>
      <w:bookmarkStart w:id="546" w:name="_Toc464726642"/>
      <w:bookmarkEnd w:id="532"/>
      <w:bookmarkEnd w:id="533"/>
      <w:bookmarkEnd w:id="534"/>
      <w:bookmarkEnd w:id="535"/>
      <w:bookmarkEnd w:id="536"/>
      <w:bookmarkEnd w:id="537"/>
      <w:bookmarkEnd w:id="538"/>
      <w:bookmarkEnd w:id="539"/>
      <w:bookmarkEnd w:id="540"/>
      <w:bookmarkEnd w:id="541"/>
      <w:bookmarkEnd w:id="542"/>
      <w:bookmarkEnd w:id="543"/>
      <w:bookmarkEnd w:id="544"/>
      <w:r>
        <w:rPr>
          <w:lang w:eastAsia="en-AU"/>
        </w:rPr>
        <w:t>Employee Provisions</w:t>
      </w:r>
      <w:bookmarkEnd w:id="545"/>
      <w:bookmarkEnd w:id="546"/>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547" w:name="Note_PROTABLE1" w:colFirst="0" w:colLast="0"/>
            <w:r>
              <w:rPr>
                <w:rFonts w:cs="Calibri"/>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547"/>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6.1A: Employee provisions</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Leave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71,173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54,778</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employee provisions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71,173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54,778</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color w:val="FF0000"/>
                <w:szCs w:val="18"/>
              </w:rPr>
            </w:pPr>
            <w:r>
              <w:rPr>
                <w:rFonts w:ascii="Arial" w:hAnsi="Arial" w:cs="Arial"/>
                <w:color w:val="FF0000"/>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Employee provisions expected to be settled</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No 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23,167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18,989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More than 12 months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48,006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35,789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employee provisions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71,173</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54,778</w:t>
            </w:r>
          </w:p>
        </w:tc>
      </w:tr>
    </w:tbl>
    <w:p w:rsidR="003E6989" w:rsidRPr="00475EE3" w:rsidRDefault="003E6989" w:rsidP="003E6989">
      <w:pPr>
        <w:spacing w:line="240" w:lineRule="auto"/>
        <w:rPr>
          <w:rFonts w:asciiTheme="minorHAnsi" w:hAnsiTheme="minorHAnsi" w:cs="Arial"/>
          <w:sz w:val="12"/>
          <w:szCs w:val="12"/>
          <w:lang w:eastAsia="en-AU"/>
        </w:rPr>
      </w:pPr>
    </w:p>
    <w:p w:rsidR="003E6989" w:rsidRDefault="003E6989" w:rsidP="003E6989">
      <w:pPr>
        <w:pStyle w:val="PolicyTextboxbold"/>
        <w:spacing w:after="80" w:line="240" w:lineRule="atLeast"/>
      </w:pPr>
      <w:r w:rsidRPr="004F6738">
        <w:t>Accounting Policy</w:t>
      </w:r>
    </w:p>
    <w:p w:rsidR="003E6989" w:rsidRPr="004F6738" w:rsidRDefault="003E6989" w:rsidP="003E6989">
      <w:pPr>
        <w:pStyle w:val="PolicyTextdeptunderline"/>
        <w:spacing w:after="80" w:line="240" w:lineRule="atLeast"/>
      </w:pPr>
      <w:r>
        <w:t>Employee Benefits</w:t>
      </w:r>
    </w:p>
    <w:p w:rsidR="003E6989" w:rsidRPr="00075D25" w:rsidRDefault="003E6989" w:rsidP="003E6989">
      <w:pPr>
        <w:pStyle w:val="PolicytextDept"/>
        <w:spacing w:after="80" w:line="240" w:lineRule="atLeast"/>
      </w:pPr>
      <w:r w:rsidRPr="00075D25">
        <w:t xml:space="preserve">Liabilities for ‘short-term employee benefits’ (as defined in </w:t>
      </w:r>
      <w:r w:rsidRPr="00BC79B6">
        <w:rPr>
          <w:i/>
        </w:rPr>
        <w:t>AASB 119</w:t>
      </w:r>
      <w:r w:rsidRPr="00BC79B6">
        <w:rPr>
          <w:bCs/>
          <w:i/>
        </w:rPr>
        <w:t xml:space="preserve"> </w:t>
      </w:r>
      <w:r w:rsidRPr="00BC79B6">
        <w:rPr>
          <w:i/>
        </w:rPr>
        <w:t>Employee Benefits</w:t>
      </w:r>
      <w:r w:rsidRPr="00075D25">
        <w:t>) and termination benefits due within twelve months of the end of reporting period are measured at their nominal amounts.</w:t>
      </w:r>
    </w:p>
    <w:p w:rsidR="003E6989" w:rsidRPr="00075D25" w:rsidRDefault="003E6989" w:rsidP="003E6989">
      <w:pPr>
        <w:pStyle w:val="PolicytextDept"/>
        <w:spacing w:after="80" w:line="240" w:lineRule="atLeast"/>
      </w:pPr>
      <w:r w:rsidRPr="00075D25">
        <w:t>The nominal amount is calculated with regard to the rates expected to be paid on settlement of the liability.</w:t>
      </w:r>
    </w:p>
    <w:p w:rsidR="003E6989" w:rsidRPr="00075D25" w:rsidRDefault="003E6989" w:rsidP="003E6989">
      <w:pPr>
        <w:pStyle w:val="PolicytextDept"/>
        <w:spacing w:after="80" w:line="240" w:lineRule="atLeast"/>
      </w:pPr>
      <w:r w:rsidRPr="00075D25">
        <w:t>Other long-term employee benefits are measured at net total of the present value of the defined benefit obligation at the end of the reporting period minus the fair value at the end of the reporting period of plan assets (if any) out of which the obligations are to be settled directly.</w:t>
      </w:r>
    </w:p>
    <w:p w:rsidR="003E6989" w:rsidRPr="00B932A1" w:rsidRDefault="003E6989" w:rsidP="003E6989">
      <w:pPr>
        <w:pStyle w:val="PolicyTextdeptunderline"/>
        <w:spacing w:after="80" w:line="240" w:lineRule="atLeast"/>
      </w:pPr>
      <w:r w:rsidRPr="00B932A1">
        <w:t>Leave</w:t>
      </w:r>
    </w:p>
    <w:p w:rsidR="003E6989" w:rsidRPr="00075D25" w:rsidRDefault="003E6989" w:rsidP="003E6989">
      <w:pPr>
        <w:pStyle w:val="PolicytextDept"/>
        <w:spacing w:after="80" w:line="240" w:lineRule="atLeast"/>
      </w:pPr>
      <w:r w:rsidRPr="00075D25">
        <w:t>The liability for employee benefits includes provision for annual</w:t>
      </w:r>
      <w:r>
        <w:t xml:space="preserve"> leave and long service leave. </w:t>
      </w:r>
      <w:r w:rsidRPr="00075D25">
        <w:t>No provision has been made for sick leave as all sick leave is non-vesting and the average sick leave taken in future years by employees of the department is estimated to be less than the annual entitlement for sick leave.</w:t>
      </w:r>
    </w:p>
    <w:p w:rsidR="003E6989" w:rsidRPr="00075D25" w:rsidRDefault="003E6989" w:rsidP="003E6989">
      <w:pPr>
        <w:pStyle w:val="PolicytextDept"/>
        <w:spacing w:after="80" w:line="240" w:lineRule="atLeast"/>
      </w:pPr>
      <w:r w:rsidRPr="00075D25">
        <w:t>The leave liabilities are calculated on the basis of employees’ remuneration at the estimated salary rates that will be applied at the time the leave is taken, including the department’s employer superannuation contribution rates, to the extent that the leave is likely to be taken during service rather than paid out on termination.</w:t>
      </w:r>
    </w:p>
    <w:p w:rsidR="003E6989" w:rsidRPr="00075D25" w:rsidRDefault="003E6989" w:rsidP="003E6989">
      <w:pPr>
        <w:pStyle w:val="PolicytextDept"/>
        <w:spacing w:after="80" w:line="240" w:lineRule="atLeast"/>
      </w:pPr>
      <w:r w:rsidRPr="00075D25">
        <w:t xml:space="preserve">The liability for long service leave has been determined by reference to work conducted by an </w:t>
      </w:r>
      <w:r>
        <w:t>actuary as at</w:t>
      </w:r>
      <w:r w:rsidRPr="00075D25">
        <w:t xml:space="preserve"> 30 June 201</w:t>
      </w:r>
      <w:r>
        <w:t xml:space="preserve">6. </w:t>
      </w:r>
      <w:r w:rsidRPr="00075D25">
        <w:t>The estimate of the present value of the liability takes into account attrition rates and pay increases through promotion and inflation.</w:t>
      </w:r>
    </w:p>
    <w:p w:rsidR="003E6989" w:rsidRPr="00B932A1" w:rsidRDefault="003E6989" w:rsidP="003E6989">
      <w:pPr>
        <w:pStyle w:val="PolicyTextdeptunderline"/>
        <w:spacing w:after="80" w:line="240" w:lineRule="atLeast"/>
      </w:pPr>
      <w:r w:rsidRPr="00B932A1">
        <w:t>Separation and redundancy</w:t>
      </w:r>
    </w:p>
    <w:p w:rsidR="003E6989" w:rsidRPr="00075D25" w:rsidRDefault="003E6989" w:rsidP="003E6989">
      <w:pPr>
        <w:pStyle w:val="PolicytextDept"/>
        <w:spacing w:after="80" w:line="240" w:lineRule="atLeast"/>
      </w:pPr>
      <w:r w:rsidRPr="00075D25">
        <w:t>Provision is made for separation and redundancy benefit payments.</w:t>
      </w:r>
      <w:r>
        <w:t xml:space="preserve"> </w:t>
      </w:r>
      <w:r w:rsidRPr="00075D25">
        <w:t>The department recognises a provision for termination when it has developed a detailed formal plan for the terminations and has informed those employees affected that it will carry out the terminations.</w:t>
      </w:r>
    </w:p>
    <w:p w:rsidR="003E6989" w:rsidRPr="00B932A1" w:rsidRDefault="003E6989" w:rsidP="003E6989">
      <w:pPr>
        <w:pStyle w:val="PolicyTextdeptunderline"/>
        <w:spacing w:after="80" w:line="240" w:lineRule="atLeast"/>
      </w:pPr>
      <w:r w:rsidRPr="00B932A1">
        <w:t>Superannuation</w:t>
      </w:r>
    </w:p>
    <w:p w:rsidR="003E6989" w:rsidRPr="00075D25" w:rsidRDefault="003E6989" w:rsidP="003E6989">
      <w:pPr>
        <w:pStyle w:val="PolicytextDept"/>
        <w:spacing w:after="80" w:line="240" w:lineRule="atLeast"/>
      </w:pPr>
      <w:r w:rsidRPr="00075D25">
        <w:t>Staff of the department are members of the Commonwealth Superannuation Scheme (CSS), the Public Sector Superannuation Scheme (PSS), the PSS accumulation plan (PSSap)</w:t>
      </w:r>
      <w:r>
        <w:t>,</w:t>
      </w:r>
      <w:r w:rsidRPr="00075D25">
        <w:t xml:space="preserve"> the Australian Government Employees Superannuation Trust (AGEST)</w:t>
      </w:r>
      <w:r>
        <w:t xml:space="preserve"> or other elected defined contribution schemes.</w:t>
      </w:r>
    </w:p>
    <w:p w:rsidR="003E6989" w:rsidRPr="00075D25" w:rsidRDefault="003E6989" w:rsidP="003E6989">
      <w:pPr>
        <w:pStyle w:val="PolicytextDept"/>
        <w:spacing w:after="80" w:line="240" w:lineRule="atLeast"/>
      </w:pPr>
      <w:r w:rsidRPr="00075D25">
        <w:t xml:space="preserve">The CSS, PSS and AGEST are defined benefit schemes </w:t>
      </w:r>
      <w:r>
        <w:t xml:space="preserve">for the Australian Government. </w:t>
      </w:r>
      <w:r w:rsidRPr="00075D25">
        <w:t>The PSSap is a defined contribution scheme.</w:t>
      </w:r>
    </w:p>
    <w:p w:rsidR="003E6989" w:rsidRPr="00075D25" w:rsidRDefault="003E6989" w:rsidP="003E6989">
      <w:pPr>
        <w:pStyle w:val="PolicytextDept"/>
        <w:spacing w:after="80" w:line="240" w:lineRule="atLeast"/>
      </w:pPr>
      <w:r w:rsidRPr="00075D25">
        <w:t>The liability for defined benefits is recognised in the financial statements of the Australian Government and is settled by the Australian Government in due course.</w:t>
      </w:r>
      <w:r>
        <w:t xml:space="preserve"> </w:t>
      </w:r>
      <w:r w:rsidRPr="00075D25">
        <w:t>This liability is reported by the Department of Finance’s administered schedules and notes.</w:t>
      </w:r>
    </w:p>
    <w:p w:rsidR="003E6989" w:rsidRPr="00075D25" w:rsidRDefault="003E6989" w:rsidP="003E6989">
      <w:pPr>
        <w:pStyle w:val="PolicytextDept"/>
        <w:spacing w:after="80" w:line="240" w:lineRule="atLeast"/>
      </w:pPr>
      <w:r w:rsidRPr="00075D25">
        <w:t>The department makes employer contributions to the employee’s superannuation scheme at rates determined by an actuary to be sufficient to meet the c</w:t>
      </w:r>
      <w:r>
        <w:t xml:space="preserve">urrent cost to the Government. </w:t>
      </w:r>
      <w:r w:rsidRPr="00075D25">
        <w:t>The department accounts for the contributions as if they were contributions to defined contribution plans.</w:t>
      </w:r>
    </w:p>
    <w:p w:rsidR="003E6989" w:rsidRPr="00F12C7D" w:rsidRDefault="003E6989" w:rsidP="003E6989">
      <w:pPr>
        <w:pStyle w:val="PolicytextDept"/>
        <w:spacing w:after="80" w:line="240" w:lineRule="atLeast"/>
      </w:pPr>
      <w:r w:rsidRPr="00075D25">
        <w:t>The liability for superannuation recognised as at 30 June represents outstanding contributions for the final fortnight of the year.</w:t>
      </w:r>
      <w:r>
        <w:rPr>
          <w:rFonts w:asciiTheme="minorHAnsi" w:hAnsiTheme="minorHAnsi" w:cs="Arial"/>
          <w:szCs w:val="18"/>
          <w:lang w:eastAsia="en-AU"/>
        </w:rPr>
        <w:br w:type="page"/>
      </w:r>
    </w:p>
    <w:p w:rsidR="003E6989" w:rsidRDefault="003E6989" w:rsidP="003E6989">
      <w:pPr>
        <w:pStyle w:val="SubHeading"/>
        <w:rPr>
          <w:lang w:eastAsia="en-AU"/>
        </w:rPr>
      </w:pPr>
      <w:bookmarkStart w:id="548" w:name="_Toc455416752"/>
      <w:bookmarkStart w:id="549" w:name="_Toc464726643"/>
      <w:r>
        <w:rPr>
          <w:lang w:eastAsia="en-AU"/>
        </w:rPr>
        <w:t>Senior Management Personnel Remuneration</w:t>
      </w:r>
      <w:bookmarkEnd w:id="548"/>
      <w:bookmarkEnd w:id="54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bookmarkStart w:id="550" w:name="Note_ERETABLE1" w:colFirst="0" w:colLast="0"/>
            <w:r>
              <w:rPr>
                <w:rFonts w:ascii="Arial" w:hAnsi="Arial" w:cs="Arial"/>
                <w:b/>
                <w:bCs/>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550"/>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6.2A: Senior management personnel remuneration</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Short-term employee benefits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xml:space="preserve">Salary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13,251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12,551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Other</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2,088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2,638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short-term employee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15,339</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15,189</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Post-employment benefits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Superannuation</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2,567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2,354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post-employment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2,567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2,354</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Other long-term employee benefits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Annual leave accrued</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1,190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943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Long-service leave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947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253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other long-term benefits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2,137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1,196</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Termination benefits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904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1,632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senior executive remuneration expenses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20,947</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20,371</w:t>
            </w:r>
          </w:p>
        </w:tc>
      </w:tr>
    </w:tbl>
    <w:p w:rsidR="003E6989" w:rsidRDefault="003E6989" w:rsidP="003E6989">
      <w:pPr>
        <w:spacing w:line="240" w:lineRule="auto"/>
        <w:rPr>
          <w:rFonts w:asciiTheme="minorHAnsi" w:hAnsiTheme="minorHAnsi" w:cs="Arial"/>
          <w:szCs w:val="18"/>
          <w:lang w:eastAsia="en-AU"/>
        </w:rPr>
      </w:pPr>
    </w:p>
    <w:p w:rsidR="003E6989" w:rsidRDefault="003E6989" w:rsidP="003E6989">
      <w:pPr>
        <w:pStyle w:val="AdminBlankGreyShade"/>
      </w:pPr>
      <w:r>
        <w:t>The total number of senior management personnel that are included in the above table are 97 individuals (2015: 93 individuals).</w:t>
      </w:r>
    </w:p>
    <w:p w:rsidR="003E6989" w:rsidRDefault="003E6989" w:rsidP="003E6989">
      <w:pPr>
        <w:spacing w:line="240" w:lineRule="auto"/>
        <w:rPr>
          <w:rFonts w:asciiTheme="minorHAnsi" w:hAnsiTheme="minorHAnsi" w:cs="Arial"/>
          <w:szCs w:val="18"/>
          <w:lang w:eastAsia="en-AU"/>
        </w:rPr>
      </w:pPr>
    </w:p>
    <w:p w:rsidR="003E6989" w:rsidRDefault="003E6989" w:rsidP="003E6989">
      <w:pPr>
        <w:spacing w:line="240" w:lineRule="auto"/>
        <w:rPr>
          <w:rFonts w:asciiTheme="minorHAnsi" w:hAnsiTheme="minorHAnsi" w:cs="Arial"/>
          <w:szCs w:val="18"/>
          <w:lang w:eastAsia="en-AU"/>
        </w:rPr>
      </w:pPr>
      <w:r>
        <w:rPr>
          <w:rFonts w:asciiTheme="minorHAnsi" w:hAnsiTheme="minorHAnsi" w:cs="Arial"/>
          <w:szCs w:val="18"/>
          <w:lang w:eastAsia="en-AU"/>
        </w:rPr>
        <w:br w:type="page"/>
      </w:r>
    </w:p>
    <w:p w:rsidR="003E6989" w:rsidRDefault="003E6989" w:rsidP="003E6989">
      <w:pPr>
        <w:pStyle w:val="SectionHeading"/>
        <w:rPr>
          <w:lang w:eastAsia="en-AU"/>
        </w:rPr>
      </w:pPr>
      <w:bookmarkStart w:id="551" w:name="_Toc455416753"/>
      <w:bookmarkStart w:id="552" w:name="_Toc463440704"/>
      <w:bookmarkStart w:id="553" w:name="_Toc464726289"/>
      <w:bookmarkStart w:id="554" w:name="_Toc464726644"/>
      <w:r>
        <w:rPr>
          <w:lang w:eastAsia="en-AU"/>
        </w:rPr>
        <w:t>Managing Uncertainties</w:t>
      </w:r>
      <w:bookmarkEnd w:id="551"/>
      <w:bookmarkEnd w:id="552"/>
      <w:bookmarkEnd w:id="553"/>
      <w:bookmarkEnd w:id="554"/>
    </w:p>
    <w:p w:rsidR="003E6989" w:rsidRDefault="003E6989" w:rsidP="003E6989">
      <w:pPr>
        <w:pStyle w:val="SubHeading"/>
      </w:pPr>
      <w:bookmarkStart w:id="555" w:name="_Toc443991938"/>
      <w:bookmarkStart w:id="556" w:name="_Toc443991982"/>
      <w:bookmarkStart w:id="557" w:name="_Toc443992044"/>
      <w:bookmarkStart w:id="558" w:name="_Toc443992089"/>
      <w:bookmarkStart w:id="559" w:name="_Toc443992569"/>
      <w:bookmarkStart w:id="560" w:name="_Toc444001442"/>
      <w:bookmarkStart w:id="561" w:name="_Toc444260038"/>
      <w:bookmarkStart w:id="562" w:name="_Toc445116345"/>
      <w:bookmarkStart w:id="563" w:name="_Toc447095801"/>
      <w:bookmarkStart w:id="564" w:name="_Toc447095848"/>
      <w:bookmarkStart w:id="565" w:name="_Toc447095891"/>
      <w:bookmarkStart w:id="566" w:name="_Toc447096087"/>
      <w:bookmarkStart w:id="567" w:name="_Toc447796081"/>
      <w:bookmarkStart w:id="568" w:name="_Ref317489574"/>
      <w:bookmarkStart w:id="569" w:name="_Toc455416754"/>
      <w:bookmarkStart w:id="570" w:name="_Toc464726645"/>
      <w:bookmarkEnd w:id="555"/>
      <w:bookmarkEnd w:id="556"/>
      <w:bookmarkEnd w:id="557"/>
      <w:bookmarkEnd w:id="558"/>
      <w:bookmarkEnd w:id="559"/>
      <w:bookmarkEnd w:id="560"/>
      <w:bookmarkEnd w:id="561"/>
      <w:bookmarkEnd w:id="562"/>
      <w:bookmarkEnd w:id="563"/>
      <w:bookmarkEnd w:id="564"/>
      <w:bookmarkEnd w:id="565"/>
      <w:bookmarkEnd w:id="566"/>
      <w:bookmarkEnd w:id="567"/>
      <w:r>
        <w:t>Contingent Assets and Liabilities</w:t>
      </w:r>
      <w:bookmarkEnd w:id="568"/>
      <w:bookmarkEnd w:id="569"/>
      <w:bookmarkEnd w:id="570"/>
    </w:p>
    <w:tbl>
      <w:tblPr>
        <w:tblW w:w="9087" w:type="dxa"/>
        <w:tblInd w:w="80" w:type="dxa"/>
        <w:tblLayout w:type="fixed"/>
        <w:tblLook w:val="04A0" w:firstRow="1" w:lastRow="0" w:firstColumn="1" w:lastColumn="0" w:noHBand="0" w:noVBand="1"/>
      </w:tblPr>
      <w:tblGrid>
        <w:gridCol w:w="9087"/>
      </w:tblGrid>
      <w:tr w:rsidR="003E6989" w:rsidTr="006A5410">
        <w:trPr>
          <w:trHeight w:val="255"/>
        </w:trPr>
        <w:tc>
          <w:tcPr>
            <w:tcW w:w="771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bookmarkStart w:id="571" w:name="Note_CLATABLE1" w:colFirst="0" w:colLast="0"/>
            <w:r>
              <w:rPr>
                <w:rFonts w:cs="Calibri"/>
                <w:b/>
                <w:bCs/>
                <w:szCs w:val="18"/>
              </w:rPr>
              <w:t>7.1A: Contingent liabilities and assets</w:t>
            </w:r>
          </w:p>
        </w:tc>
      </w:tr>
    </w:tbl>
    <w:p w:rsidR="003E6989" w:rsidRPr="00F12C7D" w:rsidRDefault="003E6989" w:rsidP="003E6989">
      <w:pPr>
        <w:pStyle w:val="UnderlineItalics"/>
        <w:spacing w:before="120" w:after="60"/>
        <w:ind w:left="142" w:right="566"/>
        <w:rPr>
          <w:i w:val="0"/>
          <w:szCs w:val="18"/>
        </w:rPr>
      </w:pPr>
      <w:bookmarkStart w:id="572" w:name="RANGE!D7:K25"/>
      <w:bookmarkStart w:id="573" w:name="RANGE!D7:K24"/>
      <w:bookmarkStart w:id="574" w:name="RANGE!D7:K23"/>
      <w:bookmarkStart w:id="575" w:name="RANGE!D6:K22"/>
      <w:bookmarkStart w:id="576" w:name="RANGE!D6:K24"/>
      <w:bookmarkStart w:id="577" w:name="_Toc419266956"/>
      <w:bookmarkEnd w:id="571"/>
      <w:bookmarkEnd w:id="572"/>
      <w:bookmarkEnd w:id="573"/>
      <w:bookmarkEnd w:id="574"/>
      <w:bookmarkEnd w:id="575"/>
      <w:bookmarkEnd w:id="576"/>
      <w:r w:rsidRPr="00F12C7D">
        <w:rPr>
          <w:i w:val="0"/>
          <w:szCs w:val="18"/>
        </w:rPr>
        <w:t>Quantifiable Contingencies</w:t>
      </w:r>
      <w:bookmarkEnd w:id="577"/>
    </w:p>
    <w:p w:rsidR="003E6989" w:rsidRPr="00F12C7D" w:rsidRDefault="003E6989" w:rsidP="003E6989">
      <w:pPr>
        <w:pStyle w:val="AdminBlankGreyShade"/>
        <w:ind w:left="142"/>
      </w:pPr>
      <w:r w:rsidRPr="00F12C7D">
        <w:t xml:space="preserve">The department </w:t>
      </w:r>
      <w:r>
        <w:t>holds two</w:t>
      </w:r>
      <w:r w:rsidRPr="00F12C7D">
        <w:t xml:space="preserve"> </w:t>
      </w:r>
      <w:r>
        <w:t xml:space="preserve">legal </w:t>
      </w:r>
      <w:r w:rsidRPr="00F12C7D">
        <w:t>quantifiable contingent assets or liabilities as at 30 June 2016 (2015: nil).</w:t>
      </w:r>
      <w:r w:rsidR="001F2C80">
        <w:t xml:space="preserve"> </w:t>
      </w:r>
    </w:p>
    <w:p w:rsidR="003E6989" w:rsidRPr="00F12C7D" w:rsidRDefault="003E6989" w:rsidP="003E6989">
      <w:pPr>
        <w:pStyle w:val="UnderlineItalics"/>
        <w:spacing w:before="120" w:after="60"/>
        <w:ind w:left="142" w:right="566"/>
        <w:rPr>
          <w:i w:val="0"/>
          <w:szCs w:val="18"/>
        </w:rPr>
      </w:pPr>
      <w:bookmarkStart w:id="578" w:name="_Toc419266957"/>
      <w:r w:rsidRPr="00F12C7D">
        <w:rPr>
          <w:i w:val="0"/>
          <w:szCs w:val="18"/>
        </w:rPr>
        <w:t>Unquantifiable Contingencies</w:t>
      </w:r>
      <w:bookmarkEnd w:id="578"/>
    </w:p>
    <w:p w:rsidR="003E6989" w:rsidRDefault="003E6989" w:rsidP="003E6989">
      <w:pPr>
        <w:pStyle w:val="AdminBlankGreyShade"/>
        <w:ind w:left="142"/>
      </w:pPr>
      <w:r w:rsidRPr="00F12C7D">
        <w:t xml:space="preserve">As at </w:t>
      </w:r>
      <w:r w:rsidR="00403CAE">
        <w:t>30 June</w:t>
      </w:r>
      <w:r w:rsidRPr="00F12C7D">
        <w:t xml:space="preserve"> </w:t>
      </w:r>
      <w:r w:rsidR="00403CAE">
        <w:t>2016</w:t>
      </w:r>
      <w:r w:rsidRPr="00F12C7D">
        <w:t>, the department had contingent assets and liabilities likely to be paid in respect of damages and claims that are not quantifiable. The</w:t>
      </w:r>
      <w:r>
        <w:t>re were three open matters (2015</w:t>
      </w:r>
      <w:r w:rsidRPr="00F12C7D">
        <w:t xml:space="preserve">: </w:t>
      </w:r>
      <w:r>
        <w:t>three</w:t>
      </w:r>
      <w:r w:rsidRPr="00F12C7D">
        <w:t xml:space="preserve">) in the hands of the department’s legal representatives. These open matters relate to a wide range of legal issues (departmental and administered) with varying probabilities of success.  It is not possible to estimate the amounts of any eventual receipts or payments that may be received or made in relation to these claims. </w:t>
      </w:r>
    </w:p>
    <w:p w:rsidR="003E6989" w:rsidRPr="00EE21FB" w:rsidRDefault="003E6989" w:rsidP="003E6989">
      <w:pPr>
        <w:pStyle w:val="12line"/>
        <w:rPr>
          <w:lang w:eastAsia="en-AU"/>
        </w:rPr>
      </w:pPr>
    </w:p>
    <w:tbl>
      <w:tblPr>
        <w:tblW w:w="9087" w:type="dxa"/>
        <w:tblInd w:w="80" w:type="dxa"/>
        <w:tblLayout w:type="fixed"/>
        <w:tblLook w:val="04A0" w:firstRow="1" w:lastRow="0" w:firstColumn="1" w:lastColumn="0" w:noHBand="0" w:noVBand="1"/>
      </w:tblPr>
      <w:tblGrid>
        <w:gridCol w:w="9087"/>
      </w:tblGrid>
      <w:tr w:rsidR="003E6989" w:rsidTr="006A5410">
        <w:trPr>
          <w:trHeight w:val="255"/>
        </w:trPr>
        <w:tc>
          <w:tcPr>
            <w:tcW w:w="9024"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579" w:name="Note_ACLTABLE1" w:colFirst="0" w:colLast="0"/>
            <w:r>
              <w:rPr>
                <w:rFonts w:cs="Calibri"/>
                <w:b/>
                <w:bCs/>
                <w:szCs w:val="18"/>
                <w:u w:val="single"/>
              </w:rPr>
              <w:t>7.1B: Administered contingent assets and liabilities</w:t>
            </w:r>
          </w:p>
        </w:tc>
      </w:tr>
      <w:bookmarkEnd w:id="579"/>
      <w:tr w:rsidR="003E6989" w:rsidTr="006A5410">
        <w:trPr>
          <w:trHeight w:val="255"/>
        </w:trPr>
        <w:tc>
          <w:tcPr>
            <w:tcW w:w="902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9024"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Quantifiable Contingencies</w:t>
            </w:r>
          </w:p>
        </w:tc>
      </w:tr>
      <w:tr w:rsidR="003E6989" w:rsidTr="006A5410">
        <w:trPr>
          <w:trHeight w:val="263"/>
        </w:trPr>
        <w:tc>
          <w:tcPr>
            <w:tcW w:w="9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 department does not hold quantifiable contingent assets and liabilities (2015: nil).</w:t>
            </w:r>
          </w:p>
        </w:tc>
      </w:tr>
      <w:tr w:rsidR="003E6989" w:rsidTr="006A5410">
        <w:trPr>
          <w:trHeight w:val="255"/>
        </w:trPr>
        <w:tc>
          <w:tcPr>
            <w:tcW w:w="902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9024"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Unquantifiable Contingencies</w:t>
            </w:r>
          </w:p>
        </w:tc>
      </w:tr>
      <w:tr w:rsidR="003E6989" w:rsidTr="006A5410">
        <w:trPr>
          <w:trHeight w:val="263"/>
        </w:trPr>
        <w:tc>
          <w:tcPr>
            <w:tcW w:w="9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xml:space="preserve">At 30 June 2016, the department had nil legal claims against it (2015: nil). </w:t>
            </w:r>
          </w:p>
        </w:tc>
      </w:tr>
      <w:tr w:rsidR="003E6989" w:rsidTr="006A5410">
        <w:trPr>
          <w:trHeight w:val="263"/>
        </w:trPr>
        <w:tc>
          <w:tcPr>
            <w:tcW w:w="9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There are currently a number of cases before the Administrative Appeals Tribunal (AAT) for which the outcomes are not yet known or able to be quantified.</w:t>
            </w:r>
          </w:p>
        </w:tc>
      </w:tr>
      <w:tr w:rsidR="003E6989" w:rsidTr="006A5410">
        <w:trPr>
          <w:trHeight w:val="255"/>
        </w:trPr>
        <w:tc>
          <w:tcPr>
            <w:tcW w:w="902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bl>
    <w:p w:rsidR="003E6989" w:rsidRDefault="003E6989" w:rsidP="003E6989">
      <w:pPr>
        <w:pStyle w:val="GreyShadeTableBreak"/>
        <w:rPr>
          <w:lang w:eastAsia="en-AU"/>
        </w:rPr>
      </w:pPr>
      <w:bookmarkStart w:id="580" w:name="RANGE!D7:M38"/>
      <w:bookmarkStart w:id="581" w:name="RANGE!D7:M37"/>
      <w:bookmarkEnd w:id="580"/>
      <w:bookmarkEnd w:id="581"/>
    </w:p>
    <w:p w:rsidR="003E6989" w:rsidRDefault="003E6989" w:rsidP="003E6989">
      <w:pPr>
        <w:pStyle w:val="PolicyTextboxbold"/>
        <w:spacing w:before="100" w:after="100" w:line="240" w:lineRule="auto"/>
      </w:pPr>
      <w:r w:rsidRPr="0044472C">
        <w:t>Accounting Policy</w:t>
      </w:r>
    </w:p>
    <w:p w:rsidR="003E6989" w:rsidRPr="0044472C" w:rsidRDefault="003E6989" w:rsidP="003E6989">
      <w:pPr>
        <w:pStyle w:val="PolicyTextdeptunderline"/>
        <w:spacing w:before="100" w:after="100" w:line="240" w:lineRule="auto"/>
      </w:pPr>
      <w:r>
        <w:t>Contingent Liabilities and Contingent Assets</w:t>
      </w:r>
    </w:p>
    <w:p w:rsidR="003E6989" w:rsidRPr="00075D25" w:rsidRDefault="003E6989" w:rsidP="003E6989">
      <w:pPr>
        <w:pStyle w:val="PolicytextDept"/>
        <w:spacing w:before="100" w:after="100" w:line="240" w:lineRule="auto"/>
      </w:pPr>
      <w:r w:rsidRPr="00075D25">
        <w:t>Contingent liabilities and contingent assets are not recognised in the statement of financial position but are reported in the</w:t>
      </w:r>
      <w:r>
        <w:t xml:space="preserve"> notes. </w:t>
      </w:r>
      <w:r w:rsidRPr="00075D25">
        <w:t>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rsidR="003E6989" w:rsidRPr="0044472C" w:rsidRDefault="003E6989" w:rsidP="003E6989">
      <w:pPr>
        <w:pStyle w:val="PolicyTextdeptunderline"/>
        <w:spacing w:before="100" w:after="100" w:line="240" w:lineRule="auto"/>
      </w:pPr>
      <w:r w:rsidRPr="0044472C">
        <w:t>Indemnities</w:t>
      </w:r>
    </w:p>
    <w:p w:rsidR="003E6989" w:rsidRPr="00075D25" w:rsidRDefault="003E6989" w:rsidP="003E6989">
      <w:pPr>
        <w:pStyle w:val="PolicytextDept"/>
        <w:spacing w:before="100" w:after="100" w:line="240" w:lineRule="auto"/>
      </w:pPr>
      <w:r w:rsidRPr="00075D25">
        <w:t>The maximum amounts payable under the indemnities given is disclosed in the</w:t>
      </w:r>
      <w:r>
        <w:t xml:space="preserve"> notes</w:t>
      </w:r>
      <w:r w:rsidRPr="00075D25">
        <w:t>. At the time of completion of the financial statements, there was no reason to believe that the indemnities would be called upon, and no recognition of any liability was therefore required.</w:t>
      </w:r>
    </w:p>
    <w:p w:rsidR="003E6989" w:rsidRPr="005D373D" w:rsidRDefault="003E6989" w:rsidP="003E6989">
      <w:pPr>
        <w:rPr>
          <w:lang w:eastAsia="en-AU"/>
        </w:rPr>
        <w:sectPr w:rsidR="003E6989" w:rsidRPr="005D373D" w:rsidSect="006A5410">
          <w:pgSz w:w="11906" w:h="16838"/>
          <w:pgMar w:top="1134" w:right="1134" w:bottom="1134" w:left="1134" w:header="958" w:footer="737" w:gutter="0"/>
          <w:cols w:space="720"/>
        </w:sectPr>
      </w:pPr>
    </w:p>
    <w:p w:rsidR="003E6989" w:rsidRDefault="003E6989" w:rsidP="003E6989">
      <w:pPr>
        <w:pStyle w:val="SubHeading"/>
      </w:pPr>
      <w:bookmarkStart w:id="582" w:name="_Toc455416755"/>
      <w:bookmarkStart w:id="583" w:name="_Toc464726646"/>
      <w:r>
        <w:t>Financial Instruments</w:t>
      </w:r>
      <w:bookmarkEnd w:id="582"/>
      <w:bookmarkEnd w:id="583"/>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bookmarkStart w:id="584" w:name="Note_FIATABLE1" w:colFirst="0" w:colLast="0"/>
            <w:r>
              <w:rPr>
                <w:rFonts w:cs="Calibri"/>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bookmarkEnd w:id="584"/>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r>
              <w:rPr>
                <w:rFonts w:cs="Calibri"/>
                <w:b/>
                <w:bCs/>
                <w:szCs w:val="18"/>
                <w:u w:val="single"/>
              </w:rPr>
              <w:t>7.2A: Categories of financial instruments</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Financial 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Loans and receivables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Cash and cash equivalents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6,132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9,817</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7,697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4,111</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Accrued revenue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1,996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15,825</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17,204</w:t>
            </w:r>
          </w:p>
        </w:tc>
      </w:tr>
      <w:tr w:rsidR="003E6989" w:rsidTr="006A5410">
        <w:trPr>
          <w:trHeight w:val="270"/>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Financial Liabilities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Measured at amortised cost</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Trade creditors and accruals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27,100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Total financial liabilities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27,100</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r>
    </w:tbl>
    <w:p w:rsidR="003E6989" w:rsidRDefault="003E6989" w:rsidP="003E6989">
      <w:pPr>
        <w:pStyle w:val="NotesText0"/>
      </w:pPr>
      <w:bookmarkStart w:id="585" w:name="RANGE!D7:G20"/>
      <w:bookmarkStart w:id="586" w:name="RANGE!D7:G22"/>
      <w:bookmarkStart w:id="587" w:name="RANGE!D6:G44"/>
      <w:bookmarkStart w:id="588" w:name="RANGE!D6:D46"/>
      <w:bookmarkStart w:id="589" w:name="RANGE!D6:G46"/>
      <w:bookmarkEnd w:id="585"/>
      <w:bookmarkEnd w:id="586"/>
      <w:bookmarkEnd w:id="587"/>
      <w:bookmarkEnd w:id="588"/>
      <w:bookmarkEnd w:id="589"/>
    </w:p>
    <w:tbl>
      <w:tblPr>
        <w:tblW w:w="9087" w:type="dxa"/>
        <w:tblInd w:w="80" w:type="dxa"/>
        <w:tblLayout w:type="fixed"/>
        <w:tblLook w:val="04A0" w:firstRow="1" w:lastRow="0" w:firstColumn="1" w:lastColumn="0" w:noHBand="0" w:noVBand="1"/>
      </w:tblPr>
      <w:tblGrid>
        <w:gridCol w:w="6346"/>
        <w:gridCol w:w="1252"/>
        <w:gridCol w:w="239"/>
        <w:gridCol w:w="1250"/>
      </w:tblGrid>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590" w:name="Note_FIBTABLE1" w:colFirst="0" w:colLast="0"/>
            <w:r>
              <w:rPr>
                <w:rFonts w:cs="Calibri"/>
                <w:b/>
                <w:bCs/>
                <w:szCs w:val="18"/>
                <w:u w:val="single"/>
              </w:rPr>
              <w:t>7.2B: Net gains or losses on financial 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bookmarkEnd w:id="590"/>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Loans and receivables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Write off impairment - 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47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Impairment of receivables - goods and services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98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Net gains (losses) on loans and receivables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w:t>
            </w:r>
          </w:p>
        </w:tc>
      </w:tr>
      <w:tr w:rsidR="003E6989" w:rsidTr="006A5410">
        <w:trPr>
          <w:trHeight w:val="255"/>
        </w:trPr>
        <w:tc>
          <w:tcPr>
            <w:tcW w:w="627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70"/>
        </w:trPr>
        <w:tc>
          <w:tcPr>
            <w:tcW w:w="6272" w:type="dxa"/>
            <w:tcBorders>
              <w:top w:val="nil"/>
              <w:left w:val="nil"/>
              <w:bottom w:val="nil"/>
              <w:right w:val="nil"/>
            </w:tcBorders>
            <w:shd w:val="clear" w:color="FFFFFF" w:fill="FFFFFF"/>
            <w:vAlign w:val="bottom"/>
            <w:hideMark/>
          </w:tcPr>
          <w:p w:rsidR="003E6989" w:rsidRDefault="003E6989" w:rsidP="006A5410">
            <w:pPr>
              <w:rPr>
                <w:rFonts w:cs="Calibri"/>
                <w:b/>
                <w:bCs/>
                <w:i/>
                <w:iCs/>
                <w:szCs w:val="18"/>
              </w:rPr>
            </w:pPr>
            <w:r>
              <w:rPr>
                <w:rFonts w:cs="Calibri"/>
                <w:b/>
                <w:bCs/>
                <w:i/>
                <w:iCs/>
                <w:szCs w:val="18"/>
              </w:rPr>
              <w:t>Net gains (losses) on financial assets</w:t>
            </w:r>
          </w:p>
        </w:tc>
        <w:tc>
          <w:tcPr>
            <w:tcW w:w="1238"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98</w:t>
            </w:r>
          </w:p>
        </w:tc>
        <w:tc>
          <w:tcPr>
            <w:tcW w:w="23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36" w:type="dxa"/>
            <w:tcBorders>
              <w:top w:val="single" w:sz="4" w:space="0" w:color="auto"/>
              <w:left w:val="nil"/>
              <w:bottom w:val="double" w:sz="6"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47</w:t>
            </w:r>
          </w:p>
        </w:tc>
      </w:tr>
    </w:tbl>
    <w:p w:rsidR="003E6989" w:rsidRDefault="003E6989" w:rsidP="003E6989">
      <w:bookmarkStart w:id="591" w:name="RANGE!D6:G49"/>
      <w:bookmarkStart w:id="592" w:name="RANGE!D6:D50"/>
      <w:bookmarkStart w:id="593" w:name="RANGE!D6:G50"/>
      <w:bookmarkEnd w:id="591"/>
      <w:bookmarkEnd w:id="592"/>
      <w:bookmarkEnd w:id="593"/>
    </w:p>
    <w:p w:rsidR="003E6989" w:rsidRDefault="003E6989" w:rsidP="003E6989">
      <w:bookmarkStart w:id="594" w:name="_Toc419266964"/>
      <w:r>
        <w:t>The net income/expenses from financial assets not at fair value through profit or loss is $98,000 (2015:$47,000).</w:t>
      </w:r>
      <w:bookmarkEnd w:id="594"/>
      <w:r>
        <w:t xml:space="preserve"> </w:t>
      </w:r>
    </w:p>
    <w:p w:rsidR="003E6989" w:rsidRDefault="003E6989" w:rsidP="003E6989"/>
    <w:tbl>
      <w:tblPr>
        <w:tblW w:w="9087" w:type="dxa"/>
        <w:tblInd w:w="80" w:type="dxa"/>
        <w:tblLayout w:type="fixed"/>
        <w:tblLook w:val="04A0" w:firstRow="1" w:lastRow="0" w:firstColumn="1" w:lastColumn="0" w:noHBand="0" w:noVBand="1"/>
      </w:tblPr>
      <w:tblGrid>
        <w:gridCol w:w="4075"/>
        <w:gridCol w:w="1253"/>
        <w:gridCol w:w="1253"/>
        <w:gridCol w:w="1253"/>
        <w:gridCol w:w="1253"/>
      </w:tblGrid>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595" w:name="Note_FIETABLE1" w:colFirst="0" w:colLast="0"/>
            <w:r>
              <w:rPr>
                <w:rFonts w:cs="Calibri"/>
                <w:b/>
                <w:bCs/>
                <w:szCs w:val="18"/>
                <w:u w:val="single"/>
              </w:rPr>
              <w:t>7.2C: Fair value of financial instruments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color w:val="FF0000"/>
                <w:szCs w:val="18"/>
              </w:rPr>
            </w:pPr>
            <w:r>
              <w:rPr>
                <w:rFonts w:ascii="Arial" w:hAnsi="Arial" w:cs="Arial"/>
                <w:color w:val="FF0000"/>
                <w:szCs w:val="18"/>
              </w:rPr>
              <w:t> </w:t>
            </w:r>
          </w:p>
        </w:tc>
      </w:tr>
      <w:bookmarkEnd w:id="595"/>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color w:val="FF0000"/>
                <w:szCs w:val="18"/>
              </w:rPr>
            </w:pPr>
            <w:r>
              <w:rPr>
                <w:rFonts w:ascii="Arial" w:hAnsi="Arial" w:cs="Arial"/>
                <w:color w:val="FF0000"/>
                <w:szCs w:val="18"/>
              </w:rPr>
              <w:t> </w:t>
            </w:r>
          </w:p>
        </w:tc>
      </w:tr>
      <w:tr w:rsidR="003E6989" w:rsidTr="006A5410">
        <w:trPr>
          <w:trHeight w:val="255"/>
        </w:trPr>
        <w:tc>
          <w:tcPr>
            <w:tcW w:w="4028" w:type="dxa"/>
            <w:tcBorders>
              <w:top w:val="single" w:sz="4" w:space="0" w:color="auto"/>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Carrying</w:t>
            </w:r>
          </w:p>
        </w:tc>
        <w:tc>
          <w:tcPr>
            <w:tcW w:w="1238"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Fair</w:t>
            </w:r>
          </w:p>
        </w:tc>
        <w:tc>
          <w:tcPr>
            <w:tcW w:w="1238"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Carrying</w:t>
            </w:r>
          </w:p>
        </w:tc>
        <w:tc>
          <w:tcPr>
            <w:tcW w:w="1238" w:type="dxa"/>
            <w:tcBorders>
              <w:top w:val="single" w:sz="4" w:space="0" w:color="auto"/>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Fair</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amount</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value</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amount</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value</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238"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4028" w:type="dxa"/>
            <w:tcBorders>
              <w:top w:val="nil"/>
              <w:left w:val="nil"/>
              <w:bottom w:val="single" w:sz="4" w:space="0" w:color="auto"/>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8"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8"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402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Financial Assets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Cash and cash equivalents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6,132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6,132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9,817</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9,817 </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 receivable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7,697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7,697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4,111</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4,111 </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Accrued revenue</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1,996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1,996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3,276</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3,276 </w:t>
            </w:r>
          </w:p>
        </w:tc>
      </w:tr>
      <w:tr w:rsidR="003E6989" w:rsidTr="006A5410">
        <w:trPr>
          <w:trHeight w:val="255"/>
        </w:trPr>
        <w:tc>
          <w:tcPr>
            <w:tcW w:w="4028"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financial assets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15,167</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15,167</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17,204</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17,204</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402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Financial Liabilities</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4028"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At amortised cost</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4028"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Trade creditors and accruals</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27,100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27,100 </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c>
          <w:tcPr>
            <w:tcW w:w="12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18,042 </w:t>
            </w:r>
          </w:p>
        </w:tc>
      </w:tr>
      <w:tr w:rsidR="003E6989" w:rsidTr="006A5410">
        <w:trPr>
          <w:trHeight w:val="255"/>
        </w:trPr>
        <w:tc>
          <w:tcPr>
            <w:tcW w:w="4028"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financial liabilities</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27,107</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27,107</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c>
          <w:tcPr>
            <w:tcW w:w="12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18,042</w:t>
            </w:r>
          </w:p>
        </w:tc>
      </w:tr>
    </w:tbl>
    <w:p w:rsidR="003E6989" w:rsidRDefault="003E6989" w:rsidP="003E6989">
      <w:bookmarkStart w:id="596" w:name="RANGE!D8:H24"/>
      <w:bookmarkStart w:id="597" w:name="RANGE!D7:H23"/>
      <w:bookmarkStart w:id="598" w:name="RANGE!D6:H23"/>
      <w:bookmarkStart w:id="599" w:name="RANGE!D6:G28"/>
      <w:bookmarkStart w:id="600" w:name="RANGE!D6:D29"/>
      <w:bookmarkStart w:id="601" w:name="RANGE!D6:G29"/>
      <w:bookmarkStart w:id="602" w:name="RANGE!D6:H18"/>
      <w:bookmarkStart w:id="603" w:name="RANGE!D6:H19"/>
      <w:bookmarkEnd w:id="596"/>
      <w:bookmarkEnd w:id="597"/>
      <w:bookmarkEnd w:id="598"/>
      <w:bookmarkEnd w:id="599"/>
      <w:bookmarkEnd w:id="600"/>
      <w:bookmarkEnd w:id="601"/>
      <w:bookmarkEnd w:id="602"/>
      <w:bookmarkEnd w:id="603"/>
    </w:p>
    <w:p w:rsidR="003E6989" w:rsidRDefault="003E6989" w:rsidP="003E6989">
      <w:pPr>
        <w:spacing w:line="240" w:lineRule="auto"/>
      </w:pPr>
      <w:r>
        <w:br w:type="page"/>
      </w:r>
    </w:p>
    <w:tbl>
      <w:tblPr>
        <w:tblW w:w="9087" w:type="dxa"/>
        <w:tblInd w:w="80" w:type="dxa"/>
        <w:tblLayout w:type="fixed"/>
        <w:tblLook w:val="04A0" w:firstRow="1" w:lastRow="0" w:firstColumn="1" w:lastColumn="0" w:noHBand="0" w:noVBand="1"/>
      </w:tblPr>
      <w:tblGrid>
        <w:gridCol w:w="2836"/>
        <w:gridCol w:w="1250"/>
        <w:gridCol w:w="1251"/>
        <w:gridCol w:w="1250"/>
        <w:gridCol w:w="1250"/>
        <w:gridCol w:w="1250"/>
      </w:tblGrid>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604" w:name="Note_FIHTABLE1" w:colFirst="0" w:colLast="0"/>
            <w:r>
              <w:rPr>
                <w:rFonts w:cs="Calibri"/>
                <w:b/>
                <w:bCs/>
                <w:szCs w:val="18"/>
                <w:u w:val="single"/>
              </w:rPr>
              <w:t>7.2D: Credit risk</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bookmarkEnd w:id="604"/>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1140"/>
        </w:trPr>
        <w:tc>
          <w:tcPr>
            <w:tcW w:w="8981" w:type="dxa"/>
            <w:gridSpan w:val="6"/>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 department is exposed to minimal credit risk as loans and receivables are cash, cash on deposit and trade receivables. The maximum exposure to credit risk is the risk that arises from potential default of a debtor. This amount is equal to the total amount of trade receivables in 2016: $7.697 million (2015: $4.111 million). The department has assessed the risk of the default on payment and has allocated an impairment allowance for doubtful debts of $97,602 (2015: nil).</w:t>
            </w:r>
          </w:p>
        </w:tc>
      </w:tr>
      <w:tr w:rsidR="003E6989" w:rsidTr="006A5410">
        <w:trPr>
          <w:trHeight w:val="255"/>
        </w:trPr>
        <w:tc>
          <w:tcPr>
            <w:tcW w:w="8981" w:type="dxa"/>
            <w:gridSpan w:val="6"/>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 department has no liabilities carried at amounts not best representing maximum exposure to credit risk.</w:t>
            </w:r>
          </w:p>
        </w:tc>
      </w:tr>
      <w:tr w:rsidR="003E6989" w:rsidTr="006A5410">
        <w:trPr>
          <w:trHeight w:val="525"/>
        </w:trPr>
        <w:tc>
          <w:tcPr>
            <w:tcW w:w="8981" w:type="dxa"/>
            <w:gridSpan w:val="6"/>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 department has no significant exposures to any concentrations of credit risk. All figures for credit risk referred to do not take into account the value of any collateral of other security.</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570"/>
        </w:trPr>
        <w:tc>
          <w:tcPr>
            <w:tcW w:w="8981" w:type="dxa"/>
            <w:gridSpan w:val="6"/>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In relation to the department’s gross credit risk and the financial effect in respect of the amount that best represents the maximum exposure to credit risk there is no collateral held.</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8981" w:type="dxa"/>
            <w:gridSpan w:val="6"/>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Credit quality of financial assets not past due or individually determined as impaired</w:t>
            </w:r>
          </w:p>
        </w:tc>
      </w:tr>
      <w:tr w:rsidR="003E6989" w:rsidTr="006A5410">
        <w:trPr>
          <w:trHeight w:val="480"/>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Not past due nor impaired</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Past due or impaired</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Not past due nor impaired</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Past due or impaired</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2016</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 w:val="20"/>
              </w:rPr>
            </w:pPr>
            <w:r>
              <w:rPr>
                <w:rFonts w:ascii="Arial" w:hAnsi="Arial" w:cs="Arial"/>
                <w:sz w:val="20"/>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Cash and cash equivalents</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6,132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9,817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5,772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1,925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3,347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764 </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Accrued revenue</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b/>
                <w:bCs/>
                <w:szCs w:val="18"/>
              </w:rPr>
            </w:pPr>
            <w:r>
              <w:rPr>
                <w:rFonts w:ascii="Arial" w:hAnsi="Arial" w:cs="Arial"/>
                <w:b/>
                <w:bCs/>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1,996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3,276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2804"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w:t>
            </w:r>
          </w:p>
        </w:tc>
        <w:tc>
          <w:tcPr>
            <w:tcW w:w="123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13,900</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1,925</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16,440</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764</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8981" w:type="dxa"/>
            <w:gridSpan w:val="6"/>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Ageing of financial assets that were past due but not impaired for 2016</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xml:space="preserve">0 to 30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31 to 60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61 to 90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90+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days</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 receivable</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518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1,192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278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455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2,443 </w:t>
            </w:r>
          </w:p>
        </w:tc>
      </w:tr>
      <w:tr w:rsidR="003E6989" w:rsidTr="006A5410">
        <w:trPr>
          <w:trHeight w:val="255"/>
        </w:trPr>
        <w:tc>
          <w:tcPr>
            <w:tcW w:w="2804"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518</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1,192</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278</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455</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2,443</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5"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55"/>
        </w:trPr>
        <w:tc>
          <w:tcPr>
            <w:tcW w:w="8981" w:type="dxa"/>
            <w:gridSpan w:val="6"/>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Ageing of financial assets that were past due but not impaired for 2015</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xml:space="preserve">0 to 30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31 to 60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61 to 90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90+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days</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days</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Total</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6"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1235" w:type="dxa"/>
            <w:tcBorders>
              <w:top w:val="nil"/>
              <w:left w:val="nil"/>
              <w:bottom w:val="nil"/>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2804"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Goods and services</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598 </w:t>
            </w:r>
          </w:p>
        </w:tc>
        <w:tc>
          <w:tcPr>
            <w:tcW w:w="123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193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89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482 </w:t>
            </w:r>
          </w:p>
        </w:tc>
        <w:tc>
          <w:tcPr>
            <w:tcW w:w="1235"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1,362 </w:t>
            </w:r>
          </w:p>
        </w:tc>
      </w:tr>
      <w:tr w:rsidR="003E6989" w:rsidTr="006A5410">
        <w:trPr>
          <w:trHeight w:val="255"/>
        </w:trPr>
        <w:tc>
          <w:tcPr>
            <w:tcW w:w="2804"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Total</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598</w:t>
            </w:r>
          </w:p>
        </w:tc>
        <w:tc>
          <w:tcPr>
            <w:tcW w:w="123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193</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89</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482</w:t>
            </w:r>
          </w:p>
        </w:tc>
        <w:tc>
          <w:tcPr>
            <w:tcW w:w="1235"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1,362</w:t>
            </w:r>
          </w:p>
        </w:tc>
      </w:tr>
    </w:tbl>
    <w:p w:rsidR="003E6989" w:rsidRDefault="003E6989" w:rsidP="003E6989">
      <w:pPr>
        <w:rPr>
          <w:rFonts w:asciiTheme="minorHAnsi" w:hAnsiTheme="minorHAnsi" w:cstheme="minorHAnsi"/>
          <w:b/>
          <w:szCs w:val="18"/>
          <w:lang w:eastAsia="en-AU"/>
        </w:rPr>
      </w:pPr>
      <w:bookmarkStart w:id="605" w:name="RANGE!D7:I47"/>
      <w:bookmarkStart w:id="606" w:name="RANGE!D7:I46"/>
      <w:bookmarkStart w:id="607" w:name="RANGE!D7:I45"/>
      <w:bookmarkStart w:id="608" w:name="RANGE!D7:I44"/>
      <w:bookmarkStart w:id="609" w:name="RANGE!D7:I42"/>
      <w:bookmarkEnd w:id="605"/>
      <w:bookmarkEnd w:id="606"/>
      <w:bookmarkEnd w:id="607"/>
      <w:bookmarkEnd w:id="608"/>
      <w:bookmarkEnd w:id="609"/>
    </w:p>
    <w:p w:rsidR="003E6989" w:rsidRDefault="003E6989" w:rsidP="003E6989">
      <w:pPr>
        <w:rPr>
          <w:b/>
          <w:lang w:eastAsia="en-AU"/>
        </w:rPr>
      </w:pPr>
      <w:bookmarkStart w:id="610" w:name="RANGE!D6:I42"/>
      <w:bookmarkStart w:id="611" w:name="RANGE!D6:I47"/>
      <w:bookmarkStart w:id="612" w:name="RANGE!D21:H37"/>
      <w:bookmarkStart w:id="613" w:name="RANGE!D22:H38"/>
      <w:bookmarkStart w:id="614" w:name="RANGE!D40:H88"/>
      <w:bookmarkStart w:id="615" w:name="RANGE!D41:H89"/>
      <w:bookmarkStart w:id="616" w:name="RANGE!D6:G30"/>
      <w:bookmarkStart w:id="617" w:name="RANGE!D6:D31"/>
      <w:bookmarkStart w:id="618" w:name="RANGE!D6:G31"/>
      <w:bookmarkStart w:id="619" w:name="RANGE!D6:F17"/>
      <w:bookmarkStart w:id="620" w:name="RANGE!D6:I46"/>
      <w:bookmarkStart w:id="621" w:name="RANGE!D6:I44"/>
      <w:bookmarkStart w:id="622" w:name="RANGE!D6:D45"/>
      <w:bookmarkStart w:id="623" w:name="RANGE!D6:I45"/>
      <w:bookmarkStart w:id="624" w:name="_Toc41926696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b/>
          <w:lang w:eastAsia="en-AU"/>
        </w:rPr>
        <w:t>The following asset has been individually assessed as impaired</w:t>
      </w:r>
      <w:bookmarkEnd w:id="624"/>
    </w:p>
    <w:p w:rsidR="003E6989" w:rsidRDefault="003E6989" w:rsidP="003E6989">
      <w:pPr>
        <w:rPr>
          <w:lang w:eastAsia="en-AU"/>
        </w:rPr>
      </w:pPr>
      <w:bookmarkStart w:id="625" w:name="_Toc419266966"/>
      <w:r>
        <w:rPr>
          <w:lang w:eastAsia="en-AU"/>
        </w:rPr>
        <w:t>Trade receivables have been individually assessed for impairment including an assessment made on an historical basis.</w:t>
      </w:r>
      <w:bookmarkEnd w:id="625"/>
      <w:r>
        <w:rPr>
          <w:lang w:eastAsia="en-AU"/>
        </w:rPr>
        <w:t xml:space="preserve"> </w:t>
      </w:r>
    </w:p>
    <w:p w:rsidR="003E6989" w:rsidRDefault="003E6989" w:rsidP="003E6989">
      <w:pPr>
        <w:spacing w:line="240" w:lineRule="auto"/>
        <w:rPr>
          <w:rFonts w:asciiTheme="minorHAnsi" w:hAnsiTheme="minorHAnsi" w:cstheme="minorHAnsi"/>
          <w:szCs w:val="18"/>
          <w:lang w:eastAsia="en-AU"/>
        </w:rPr>
      </w:pPr>
    </w:p>
    <w:tbl>
      <w:tblPr>
        <w:tblW w:w="9087" w:type="dxa"/>
        <w:tblInd w:w="80" w:type="dxa"/>
        <w:tblLayout w:type="fixed"/>
        <w:tblLook w:val="04A0" w:firstRow="1" w:lastRow="0" w:firstColumn="1" w:lastColumn="0" w:noHBand="0" w:noVBand="1"/>
      </w:tblPr>
      <w:tblGrid>
        <w:gridCol w:w="2247"/>
        <w:gridCol w:w="1140"/>
        <w:gridCol w:w="1140"/>
        <w:gridCol w:w="1140"/>
        <w:gridCol w:w="1140"/>
        <w:gridCol w:w="1140"/>
        <w:gridCol w:w="1140"/>
      </w:tblGrid>
      <w:tr w:rsidR="003E6989" w:rsidTr="006A5410">
        <w:trPr>
          <w:trHeight w:val="255"/>
        </w:trPr>
        <w:tc>
          <w:tcPr>
            <w:tcW w:w="2223"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626" w:name="Note_FIITABLE1" w:colFirst="0" w:colLast="0"/>
            <w:r>
              <w:rPr>
                <w:rFonts w:cs="Calibri"/>
                <w:b/>
                <w:bCs/>
                <w:szCs w:val="18"/>
                <w:u w:val="single"/>
              </w:rPr>
              <w:t>7.2E: Liquidity risk</w:t>
            </w:r>
          </w:p>
        </w:tc>
        <w:tc>
          <w:tcPr>
            <w:tcW w:w="11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bookmarkEnd w:id="626"/>
      <w:tr w:rsidR="003E6989" w:rsidTr="006A5410">
        <w:trPr>
          <w:trHeight w:val="750"/>
        </w:trPr>
        <w:tc>
          <w:tcPr>
            <w:tcW w:w="8986" w:type="dxa"/>
            <w:gridSpan w:val="7"/>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 department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3E6989" w:rsidTr="006A5410">
        <w:trPr>
          <w:trHeight w:val="255"/>
        </w:trPr>
        <w:tc>
          <w:tcPr>
            <w:tcW w:w="2223"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bl>
    <w:p w:rsidR="003E6989" w:rsidRDefault="003E6989" w:rsidP="003E6989">
      <w:pPr>
        <w:spacing w:line="240" w:lineRule="auto"/>
      </w:pPr>
    </w:p>
    <w:tbl>
      <w:tblPr>
        <w:tblW w:w="9087" w:type="dxa"/>
        <w:tblInd w:w="80" w:type="dxa"/>
        <w:tblLayout w:type="fixed"/>
        <w:tblLook w:val="04A0" w:firstRow="1" w:lastRow="0" w:firstColumn="1" w:lastColumn="0" w:noHBand="0" w:noVBand="1"/>
      </w:tblPr>
      <w:tblGrid>
        <w:gridCol w:w="5322"/>
        <w:gridCol w:w="1255"/>
        <w:gridCol w:w="1255"/>
        <w:gridCol w:w="1255"/>
      </w:tblGrid>
      <w:tr w:rsidR="003E6989" w:rsidTr="006A5410">
        <w:trPr>
          <w:trHeight w:val="255"/>
        </w:trPr>
        <w:tc>
          <w:tcPr>
            <w:tcW w:w="5260"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627" w:name="RANGE!D7:D9"/>
            <w:bookmarkStart w:id="628" w:name="Note_FIJTABLE1" w:colFirst="0" w:colLast="0"/>
            <w:r>
              <w:rPr>
                <w:rFonts w:cs="Calibri"/>
                <w:b/>
                <w:bCs/>
                <w:szCs w:val="18"/>
                <w:u w:val="single"/>
              </w:rPr>
              <w:t>7.2F: Market risk</w:t>
            </w:r>
            <w:bookmarkEnd w:id="627"/>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bookmarkEnd w:id="628"/>
      <w:tr w:rsidR="003E6989" w:rsidTr="006A5410">
        <w:trPr>
          <w:trHeight w:val="165"/>
        </w:trPr>
        <w:tc>
          <w:tcPr>
            <w:tcW w:w="5260"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240"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r>
      <w:tr w:rsidR="003E6989" w:rsidTr="006A5410">
        <w:trPr>
          <w:trHeight w:val="210"/>
        </w:trPr>
        <w:tc>
          <w:tcPr>
            <w:tcW w:w="8980" w:type="dxa"/>
            <w:gridSpan w:val="4"/>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 department holds basic financial instruments that do not expose the department to market risks.</w:t>
            </w:r>
          </w:p>
        </w:tc>
      </w:tr>
    </w:tbl>
    <w:p w:rsidR="003E6989" w:rsidRDefault="003E6989" w:rsidP="003E6989">
      <w:pPr>
        <w:spacing w:line="240" w:lineRule="auto"/>
      </w:pPr>
    </w:p>
    <w:p w:rsidR="003E6989" w:rsidRDefault="003E6989" w:rsidP="003E6989">
      <w:pPr>
        <w:spacing w:line="240" w:lineRule="auto"/>
      </w:pPr>
      <w:r>
        <w:br w:type="page"/>
      </w:r>
    </w:p>
    <w:p w:rsidR="003E6989" w:rsidRDefault="003E6989" w:rsidP="003E6989">
      <w:pPr>
        <w:pStyle w:val="SubHeading"/>
      </w:pPr>
      <w:bookmarkStart w:id="629" w:name="_Toc455416756"/>
      <w:bookmarkStart w:id="630" w:name="_Toc464726647"/>
      <w:r>
        <w:t>Administered – Financial Instruments</w:t>
      </w:r>
      <w:bookmarkEnd w:id="629"/>
      <w:bookmarkEnd w:id="630"/>
    </w:p>
    <w:tbl>
      <w:tblPr>
        <w:tblW w:w="9087" w:type="dxa"/>
        <w:tblInd w:w="80" w:type="dxa"/>
        <w:tblLayout w:type="fixed"/>
        <w:tblLook w:val="04A0" w:firstRow="1" w:lastRow="0" w:firstColumn="1" w:lastColumn="0" w:noHBand="0" w:noVBand="1"/>
      </w:tblPr>
      <w:tblGrid>
        <w:gridCol w:w="5868"/>
        <w:gridCol w:w="1458"/>
        <w:gridCol w:w="303"/>
        <w:gridCol w:w="1458"/>
      </w:tblGrid>
      <w:tr w:rsidR="003E6989" w:rsidTr="006A5410">
        <w:trPr>
          <w:trHeight w:val="255"/>
        </w:trPr>
        <w:tc>
          <w:tcPr>
            <w:tcW w:w="50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bookmarkStart w:id="631" w:name="Note_AFATABLE1" w:colFirst="0" w:colLast="0"/>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bookmarkEnd w:id="631"/>
      <w:tr w:rsidR="003E6989" w:rsidTr="006A5410">
        <w:trPr>
          <w:trHeight w:val="255"/>
        </w:trPr>
        <w:tc>
          <w:tcPr>
            <w:tcW w:w="5056"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r>
              <w:rPr>
                <w:rFonts w:cs="Calibri"/>
                <w:b/>
                <w:bCs/>
                <w:szCs w:val="18"/>
                <w:u w:val="single"/>
              </w:rPr>
              <w:t>7.3A: Categories of financial instruments</w:t>
            </w:r>
          </w:p>
        </w:tc>
        <w:tc>
          <w:tcPr>
            <w:tcW w:w="125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assets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Available for sale financial assets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Investments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available-for 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 receivable</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36,925</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31,620</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36,925</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31,620</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b/>
                <w:bCs/>
                <w:szCs w:val="18"/>
              </w:rPr>
            </w:pPr>
            <w:r>
              <w:rPr>
                <w:rFonts w:cs="Calibri"/>
                <w:b/>
                <w:bCs/>
                <w:szCs w:val="18"/>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HECS\HELP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36,807,652</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30,444,858</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Trade support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145,680</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52,960</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591</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assets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36,953,923</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30,497,818</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5056" w:type="dxa"/>
            <w:tcBorders>
              <w:top w:val="nil"/>
              <w:left w:val="nil"/>
              <w:bottom w:val="double" w:sz="6"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 financial assets categorised as financial instruments</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39,109,185</w:t>
            </w:r>
          </w:p>
        </w:tc>
        <w:tc>
          <w:tcPr>
            <w:tcW w:w="261" w:type="dxa"/>
            <w:tcBorders>
              <w:top w:val="nil"/>
              <w:left w:val="nil"/>
              <w:bottom w:val="double" w:sz="6"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32,679,368</w:t>
            </w:r>
          </w:p>
        </w:tc>
      </w:tr>
      <w:tr w:rsidR="003E6989" w:rsidTr="006A5410">
        <w:trPr>
          <w:trHeight w:val="270"/>
        </w:trPr>
        <w:tc>
          <w:tcPr>
            <w:tcW w:w="505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liabilities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liabilities measured at amortised cost</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Trade creditors and accruals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57,624</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54,235</w:t>
            </w:r>
          </w:p>
        </w:tc>
      </w:tr>
      <w:tr w:rsidR="003E6989" w:rsidTr="006A5410">
        <w:trPr>
          <w:trHeight w:val="255"/>
        </w:trPr>
        <w:tc>
          <w:tcPr>
            <w:tcW w:w="505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Grants payable</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3,318</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36,246</w:t>
            </w:r>
          </w:p>
        </w:tc>
      </w:tr>
      <w:tr w:rsidR="003E6989" w:rsidTr="006A5410">
        <w:trPr>
          <w:trHeight w:val="255"/>
        </w:trPr>
        <w:tc>
          <w:tcPr>
            <w:tcW w:w="505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Total financial liabilities measured at amortised cost</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60,942</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90,481</w:t>
            </w:r>
          </w:p>
        </w:tc>
      </w:tr>
      <w:tr w:rsidR="003E6989" w:rsidTr="006A5410">
        <w:trPr>
          <w:trHeight w:val="255"/>
        </w:trPr>
        <w:tc>
          <w:tcPr>
            <w:tcW w:w="5056" w:type="dxa"/>
            <w:tcBorders>
              <w:top w:val="nil"/>
              <w:left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b/>
                <w:bCs/>
                <w:sz w:val="16"/>
                <w:szCs w:val="16"/>
              </w:rPr>
            </w:pPr>
            <w:r>
              <w:rPr>
                <w:rFonts w:ascii="Arial" w:hAnsi="Arial" w:cs="Arial"/>
                <w:b/>
                <w:bCs/>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5056" w:type="dxa"/>
            <w:tcBorders>
              <w:top w:val="nil"/>
              <w:left w:val="nil"/>
              <w:bottom w:val="single" w:sz="24" w:space="0" w:color="D8D8D8"/>
              <w:right w:val="nil"/>
            </w:tcBorders>
            <w:shd w:val="clear" w:color="000000" w:fill="D9D9D9"/>
            <w:vAlign w:val="bottom"/>
            <w:hideMark/>
          </w:tcPr>
          <w:p w:rsidR="003E6989" w:rsidRDefault="003E6989" w:rsidP="006A5410">
            <w:pPr>
              <w:rPr>
                <w:rFonts w:cs="Calibri"/>
                <w:b/>
                <w:bCs/>
                <w:szCs w:val="18"/>
              </w:rPr>
            </w:pPr>
            <w:r>
              <w:rPr>
                <w:rFonts w:cs="Calibri"/>
                <w:b/>
                <w:bCs/>
                <w:szCs w:val="18"/>
              </w:rPr>
              <w:t>Total financial liabilities</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60,942</w:t>
            </w:r>
          </w:p>
        </w:tc>
        <w:tc>
          <w:tcPr>
            <w:tcW w:w="261" w:type="dxa"/>
            <w:tcBorders>
              <w:top w:val="single" w:sz="4" w:space="0" w:color="D9D9D9"/>
              <w:left w:val="nil"/>
              <w:bottom w:val="single" w:sz="24" w:space="0" w:color="D8D8D8"/>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90,481</w:t>
            </w:r>
          </w:p>
        </w:tc>
      </w:tr>
    </w:tbl>
    <w:p w:rsidR="003E6989" w:rsidRDefault="003E6989" w:rsidP="003E6989">
      <w:pPr>
        <w:pStyle w:val="NotesHeading-Level1GreyShade"/>
        <w:numPr>
          <w:ilvl w:val="0"/>
          <w:numId w:val="0"/>
        </w:numPr>
        <w:ind w:left="360" w:hanging="360"/>
        <w:outlineLvl w:val="9"/>
        <w:rPr>
          <w:rFonts w:ascii="Arial" w:hAnsi="Arial" w:cs="Arial"/>
          <w:sz w:val="16"/>
          <w:szCs w:val="16"/>
        </w:rPr>
      </w:pPr>
      <w:bookmarkStart w:id="632" w:name="RANGE!D7:D35"/>
      <w:bookmarkEnd w:id="632"/>
    </w:p>
    <w:tbl>
      <w:tblPr>
        <w:tblW w:w="9087" w:type="dxa"/>
        <w:tblInd w:w="80" w:type="dxa"/>
        <w:tblLayout w:type="fixed"/>
        <w:tblLook w:val="04A0" w:firstRow="1" w:lastRow="0" w:firstColumn="1" w:lastColumn="0" w:noHBand="0" w:noVBand="1"/>
      </w:tblPr>
      <w:tblGrid>
        <w:gridCol w:w="5901"/>
        <w:gridCol w:w="1443"/>
        <w:gridCol w:w="300"/>
        <w:gridCol w:w="1443"/>
      </w:tblGrid>
      <w:tr w:rsidR="003E6989" w:rsidTr="006A5410">
        <w:trPr>
          <w:trHeight w:val="255"/>
        </w:trPr>
        <w:tc>
          <w:tcPr>
            <w:tcW w:w="5136"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33" w:name="Note_AFBTABLE1" w:colFirst="0" w:colLast="0"/>
            <w:r>
              <w:rPr>
                <w:rFonts w:cs="Calibri"/>
                <w:b/>
                <w:bCs/>
                <w:szCs w:val="18"/>
                <w:u w:val="single"/>
              </w:rPr>
              <w:t>7.3B: Net gains or losses on financial assets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633"/>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Available for sale financial assets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Gain (loss) recognised in equity</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904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Net gains (losses) from available-for-sale financial assets</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Loans and receivables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337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Write-down and impairment</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(783)</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(7,031)</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Net gains (losses) from loans and receivables</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(776)</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(6,694)</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assets at fair value through profit or loss (designated)</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Interest revenue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529,330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582,797 </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 revenue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675,522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558,656 </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Unwinding of discount</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(636,237)</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(801,980)</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Fair value gain/(losses)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(1,058,199)</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(1,261,294)</w:t>
            </w:r>
          </w:p>
        </w:tc>
      </w:tr>
      <w:tr w:rsidR="003E6989" w:rsidTr="006A5410">
        <w:trPr>
          <w:trHeight w:val="255"/>
        </w:trPr>
        <w:tc>
          <w:tcPr>
            <w:tcW w:w="5136" w:type="dxa"/>
            <w:tcBorders>
              <w:top w:val="nil"/>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Net gains (losses) at fair value through profit or loss (designated)</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(489,584)</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(921,821)</w:t>
            </w:r>
          </w:p>
        </w:tc>
      </w:tr>
      <w:tr w:rsidR="003E6989" w:rsidTr="006A5410">
        <w:trPr>
          <w:trHeight w:val="255"/>
        </w:trPr>
        <w:tc>
          <w:tcPr>
            <w:tcW w:w="51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70"/>
        </w:trPr>
        <w:tc>
          <w:tcPr>
            <w:tcW w:w="5136" w:type="dxa"/>
            <w:tcBorders>
              <w:top w:val="single" w:sz="4" w:space="0" w:color="D9D9D9"/>
              <w:left w:val="nil"/>
              <w:bottom w:val="single" w:sz="24" w:space="0" w:color="D8D8D8"/>
              <w:right w:val="nil"/>
            </w:tcBorders>
            <w:shd w:val="clear" w:color="000000" w:fill="D9D9D9"/>
            <w:vAlign w:val="bottom"/>
            <w:hideMark/>
          </w:tcPr>
          <w:p w:rsidR="003E6989" w:rsidRDefault="003E6989" w:rsidP="006A5410">
            <w:pPr>
              <w:rPr>
                <w:rFonts w:cs="Calibri"/>
                <w:b/>
                <w:bCs/>
                <w:szCs w:val="18"/>
              </w:rPr>
            </w:pPr>
            <w:r>
              <w:rPr>
                <w:rFonts w:cs="Calibri"/>
                <w:b/>
                <w:bCs/>
                <w:szCs w:val="18"/>
              </w:rPr>
              <w:t>Net gains (losses) on financial assets</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(521,953)</w:t>
            </w:r>
          </w:p>
        </w:tc>
        <w:tc>
          <w:tcPr>
            <w:tcW w:w="261" w:type="dxa"/>
            <w:tcBorders>
              <w:top w:val="single" w:sz="4" w:space="0" w:color="D9D9D9"/>
              <w:left w:val="nil"/>
              <w:bottom w:val="single" w:sz="24" w:space="0" w:color="D8D8D8"/>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(927,611)</w:t>
            </w:r>
          </w:p>
        </w:tc>
      </w:tr>
    </w:tbl>
    <w:p w:rsidR="003E6989" w:rsidRDefault="003E6989" w:rsidP="003E6989">
      <w:pPr>
        <w:pStyle w:val="GreyShadeTableBreak"/>
        <w:sectPr w:rsidR="003E6989" w:rsidSect="006A5410">
          <w:pgSz w:w="11906" w:h="16838"/>
          <w:pgMar w:top="1134" w:right="1134" w:bottom="1134" w:left="1134" w:header="958" w:footer="737" w:gutter="0"/>
          <w:cols w:space="720"/>
        </w:sectPr>
      </w:pPr>
      <w:bookmarkStart w:id="634" w:name="RANGE!D7:D28"/>
      <w:bookmarkEnd w:id="634"/>
    </w:p>
    <w:tbl>
      <w:tblPr>
        <w:tblW w:w="9087" w:type="dxa"/>
        <w:tblInd w:w="80" w:type="dxa"/>
        <w:tblLayout w:type="fixed"/>
        <w:tblLook w:val="04A0" w:firstRow="1" w:lastRow="0" w:firstColumn="1" w:lastColumn="0" w:noHBand="0" w:noVBand="1"/>
      </w:tblPr>
      <w:tblGrid>
        <w:gridCol w:w="9087"/>
      </w:tblGrid>
      <w:tr w:rsidR="003E6989" w:rsidTr="006A5410">
        <w:trPr>
          <w:trHeight w:val="255"/>
        </w:trPr>
        <w:tc>
          <w:tcPr>
            <w:tcW w:w="8080"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35" w:name="Note_AFGTABLE1" w:colFirst="0" w:colLast="0"/>
            <w:r>
              <w:rPr>
                <w:rFonts w:cs="Calibri"/>
                <w:b/>
                <w:bCs/>
                <w:szCs w:val="18"/>
                <w:u w:val="single"/>
              </w:rPr>
              <w:t>7.3C: Fair value of financial instruments</w:t>
            </w:r>
          </w:p>
        </w:tc>
      </w:tr>
    </w:tbl>
    <w:p w:rsidR="003E6989" w:rsidRPr="00CF4B87" w:rsidRDefault="003E6989" w:rsidP="003E6989">
      <w:pPr>
        <w:pStyle w:val="GreyShadeTableBreak"/>
        <w:rPr>
          <w:b/>
        </w:rPr>
      </w:pPr>
      <w:bookmarkStart w:id="636" w:name="RANGE!D7:D29"/>
      <w:bookmarkStart w:id="637" w:name="RANGE!D7:I29"/>
      <w:bookmarkStart w:id="638" w:name="RANGE!D7:J29"/>
      <w:bookmarkStart w:id="639" w:name="RANGE!D7:G27"/>
      <w:bookmarkStart w:id="640" w:name="RANGE!D7:L30"/>
      <w:bookmarkStart w:id="641" w:name="RANGE!D7:L31"/>
      <w:bookmarkStart w:id="642" w:name="RANGE!D7:L32"/>
      <w:bookmarkStart w:id="643" w:name="RANGE!D6:L31"/>
      <w:bookmarkStart w:id="644" w:name="RANGE!D6:L30"/>
      <w:bookmarkStart w:id="645" w:name="RANGE!D55:J78"/>
      <w:bookmarkStart w:id="646" w:name="RANGE!D56:L79"/>
      <w:bookmarkStart w:id="647" w:name="RANGE!D57:L80"/>
      <w:bookmarkEnd w:id="635"/>
      <w:bookmarkEnd w:id="636"/>
      <w:bookmarkEnd w:id="637"/>
      <w:bookmarkEnd w:id="638"/>
      <w:bookmarkEnd w:id="639"/>
      <w:bookmarkEnd w:id="640"/>
      <w:bookmarkEnd w:id="641"/>
      <w:bookmarkEnd w:id="642"/>
      <w:bookmarkEnd w:id="643"/>
      <w:bookmarkEnd w:id="644"/>
      <w:bookmarkEnd w:id="645"/>
      <w:bookmarkEnd w:id="646"/>
      <w:bookmarkEnd w:id="647"/>
      <w:r>
        <w:rPr>
          <w:rFonts w:ascii="Arial" w:hAnsi="Arial"/>
          <w:sz w:val="16"/>
          <w:szCs w:val="16"/>
        </w:rPr>
        <w:t xml:space="preserve"> </w:t>
      </w:r>
      <w:r w:rsidRPr="00CF4B87">
        <w:t>The fair value of financial instruments is the same as their carrying amounts for 2016.</w:t>
      </w:r>
    </w:p>
    <w:p w:rsidR="003E6989" w:rsidRDefault="003E6989" w:rsidP="003E6989">
      <w:pPr>
        <w:pStyle w:val="NotesHeading-Level1GreyShade"/>
        <w:numPr>
          <w:ilvl w:val="0"/>
          <w:numId w:val="0"/>
        </w:numPr>
        <w:ind w:left="360" w:hanging="360"/>
        <w:outlineLvl w:val="9"/>
        <w:rPr>
          <w:rFonts w:ascii="Arial" w:hAnsi="Arial" w:cs="Arial"/>
          <w:sz w:val="16"/>
          <w:szCs w:val="16"/>
        </w:rPr>
      </w:pPr>
    </w:p>
    <w:tbl>
      <w:tblPr>
        <w:tblW w:w="9087" w:type="dxa"/>
        <w:tblInd w:w="80" w:type="dxa"/>
        <w:tblLayout w:type="fixed"/>
        <w:tblLook w:val="04A0" w:firstRow="1" w:lastRow="0" w:firstColumn="1" w:lastColumn="0" w:noHBand="0" w:noVBand="1"/>
      </w:tblPr>
      <w:tblGrid>
        <w:gridCol w:w="3517"/>
        <w:gridCol w:w="986"/>
        <w:gridCol w:w="1077"/>
        <w:gridCol w:w="983"/>
        <w:gridCol w:w="1187"/>
        <w:gridCol w:w="1337"/>
      </w:tblGrid>
      <w:tr w:rsidR="003E6989" w:rsidTr="006A5410">
        <w:trPr>
          <w:trHeight w:val="255"/>
        </w:trPr>
        <w:tc>
          <w:tcPr>
            <w:tcW w:w="3478"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48" w:name="RANGE!D8:D24"/>
            <w:bookmarkStart w:id="649" w:name="Note_AFJTABLE1" w:colFirst="0" w:colLast="0"/>
            <w:r>
              <w:rPr>
                <w:rFonts w:cs="Calibri"/>
                <w:b/>
                <w:bCs/>
                <w:szCs w:val="18"/>
                <w:u w:val="single"/>
              </w:rPr>
              <w:t>7.3D: Credit risk</w:t>
            </w:r>
            <w:bookmarkEnd w:id="648"/>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7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32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649"/>
      <w:tr w:rsidR="003E6989" w:rsidTr="006A5410">
        <w:trPr>
          <w:trHeight w:val="1365"/>
        </w:trPr>
        <w:tc>
          <w:tcPr>
            <w:tcW w:w="8986" w:type="dxa"/>
            <w:gridSpan w:val="6"/>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 administered loans and receivables of the department are not exposed to a high level of credit risk as the majority of financial assets are cash or cash equivalents, trade receivables or advances and loans to state, territory and local governments.  The department manages its credit risk by undertaking background and credit checks prior to allowing a debtor relationship.  In addition the department has policies and procedures that guide employees’ debt recovery techniques that are to be applied.</w:t>
            </w:r>
          </w:p>
        </w:tc>
      </w:tr>
      <w:tr w:rsidR="003E6989" w:rsidTr="006A5410">
        <w:trPr>
          <w:trHeight w:val="1050"/>
        </w:trPr>
        <w:tc>
          <w:tcPr>
            <w:tcW w:w="8986" w:type="dxa"/>
            <w:gridSpan w:val="6"/>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 recoverability and credit quality of the fair value through profit and loss (designated) amounts are factored into the actuarial assessment each year.  No separate account is maintained of the write offs in the department’s accounts rather just the movement in the assessment as a gain or loss in the Schedule of Administered Items.  This accounting treatment is consistent with the basis for accounting for these instruments.</w:t>
            </w:r>
          </w:p>
        </w:tc>
      </w:tr>
    </w:tbl>
    <w:p w:rsidR="003E6989" w:rsidRDefault="003E6989" w:rsidP="003E6989">
      <w:pPr>
        <w:pStyle w:val="GreyShadeTableBreak"/>
      </w:pPr>
      <w:bookmarkStart w:id="650" w:name="RANGE!D8:I24"/>
      <w:bookmarkStart w:id="651" w:name="RANGE!D7:I22"/>
      <w:bookmarkStart w:id="652" w:name="RANGE!D7:I23"/>
      <w:bookmarkStart w:id="653" w:name="RANGE!D7:I24"/>
      <w:bookmarkStart w:id="654" w:name="RANGE!D7:I25"/>
      <w:bookmarkStart w:id="655" w:name="RANGE!D7:I26"/>
      <w:bookmarkStart w:id="656" w:name="RANGE!D6:I24"/>
      <w:bookmarkStart w:id="657" w:name="RANGE!D6:I25"/>
      <w:bookmarkStart w:id="658" w:name="RANGE!D6:I27"/>
      <w:bookmarkStart w:id="659" w:name="RANGE!D6:I58"/>
      <w:bookmarkEnd w:id="650"/>
      <w:bookmarkEnd w:id="651"/>
      <w:bookmarkEnd w:id="652"/>
      <w:bookmarkEnd w:id="653"/>
      <w:bookmarkEnd w:id="654"/>
      <w:bookmarkEnd w:id="655"/>
      <w:bookmarkEnd w:id="656"/>
      <w:bookmarkEnd w:id="657"/>
      <w:bookmarkEnd w:id="658"/>
      <w:bookmarkEnd w:id="659"/>
    </w:p>
    <w:tbl>
      <w:tblPr>
        <w:tblW w:w="9090" w:type="dxa"/>
        <w:tblInd w:w="80" w:type="dxa"/>
        <w:tblLayout w:type="fixed"/>
        <w:tblLook w:val="04A0" w:firstRow="1" w:lastRow="0" w:firstColumn="1" w:lastColumn="0" w:noHBand="0" w:noVBand="1"/>
      </w:tblPr>
      <w:tblGrid>
        <w:gridCol w:w="9090"/>
      </w:tblGrid>
      <w:tr w:rsidR="003E6989" w:rsidTr="006A5410">
        <w:trPr>
          <w:trHeight w:val="270"/>
        </w:trPr>
        <w:tc>
          <w:tcPr>
            <w:tcW w:w="9090" w:type="dxa"/>
            <w:tcBorders>
              <w:top w:val="single" w:sz="4" w:space="0" w:color="D8D8D8"/>
              <w:left w:val="nil"/>
              <w:bottom w:val="single" w:sz="24" w:space="0" w:color="D8D8D8"/>
              <w:right w:val="nil"/>
            </w:tcBorders>
            <w:shd w:val="clear" w:color="auto" w:fill="D8D8D8"/>
            <w:vAlign w:val="bottom"/>
          </w:tcPr>
          <w:p w:rsidR="003E6989" w:rsidRDefault="003E6989" w:rsidP="006A5410">
            <w:pPr>
              <w:pStyle w:val="AdminBlankGreyShade"/>
            </w:pPr>
            <w:r>
              <w:t>The department has assessed the risk of the default on payment and has allocated the following to an impairment allowance for doubtful debts:</w:t>
            </w:r>
          </w:p>
          <w:p w:rsidR="003E6989" w:rsidRDefault="003E6989" w:rsidP="006A5410">
            <w:pPr>
              <w:pStyle w:val="AdminBlankGreyShade"/>
            </w:pPr>
          </w:p>
          <w:p w:rsidR="003E6989" w:rsidRDefault="003E6989" w:rsidP="006A5410">
            <w:pPr>
              <w:pStyle w:val="AdminBlankGreyShade"/>
            </w:pPr>
            <w:r>
              <w:t>Goods and services receivables 2016:$11.557 million (2015: $7.523 million).</w:t>
            </w:r>
          </w:p>
          <w:p w:rsidR="003E6989" w:rsidRDefault="003E6989" w:rsidP="006A5410">
            <w:pPr>
              <w:pStyle w:val="AdminBlankGreyShade"/>
            </w:pPr>
          </w:p>
          <w:p w:rsidR="003E6989" w:rsidRDefault="003E6989" w:rsidP="006A5410">
            <w:pPr>
              <w:pStyle w:val="AdminBlankGreyShade"/>
            </w:pPr>
            <w:r>
              <w:t xml:space="preserve">In relation to the department's gross credit risk and the financial effect in respect of the amount that best represents the maximum exposure to credit risk there is no collateral held. </w:t>
            </w:r>
          </w:p>
        </w:tc>
      </w:tr>
    </w:tbl>
    <w:p w:rsidR="003E6989" w:rsidRDefault="003E6989" w:rsidP="003E6989">
      <w:pPr>
        <w:pStyle w:val="NotesHeading-Level1GreyShade"/>
        <w:numPr>
          <w:ilvl w:val="0"/>
          <w:numId w:val="0"/>
        </w:numPr>
        <w:ind w:left="360" w:hanging="360"/>
        <w:outlineLvl w:val="9"/>
        <w:rPr>
          <w:rFonts w:ascii="Arial" w:hAnsi="Arial" w:cs="Arial"/>
          <w:sz w:val="16"/>
          <w:szCs w:val="16"/>
        </w:rPr>
      </w:pPr>
    </w:p>
    <w:tbl>
      <w:tblPr>
        <w:tblW w:w="9087" w:type="dxa"/>
        <w:tblInd w:w="80" w:type="dxa"/>
        <w:tblLayout w:type="fixed"/>
        <w:tblLook w:val="04A0" w:firstRow="1" w:lastRow="0" w:firstColumn="1" w:lastColumn="0" w:noHBand="0" w:noVBand="1"/>
      </w:tblPr>
      <w:tblGrid>
        <w:gridCol w:w="3517"/>
        <w:gridCol w:w="986"/>
        <w:gridCol w:w="1077"/>
        <w:gridCol w:w="983"/>
        <w:gridCol w:w="1187"/>
        <w:gridCol w:w="1337"/>
      </w:tblGrid>
      <w:tr w:rsidR="003E6989" w:rsidTr="006A5410">
        <w:trPr>
          <w:trHeight w:val="255"/>
        </w:trPr>
        <w:tc>
          <w:tcPr>
            <w:tcW w:w="8986" w:type="dxa"/>
            <w:gridSpan w:val="6"/>
            <w:tcBorders>
              <w:top w:val="nil"/>
              <w:left w:val="nil"/>
              <w:bottom w:val="nil"/>
              <w:right w:val="nil"/>
            </w:tcBorders>
            <w:shd w:val="clear" w:color="000000" w:fill="D9D9D9"/>
            <w:vAlign w:val="bottom"/>
            <w:hideMark/>
          </w:tcPr>
          <w:p w:rsidR="003E6989" w:rsidRDefault="003E6989" w:rsidP="006A5410">
            <w:pPr>
              <w:rPr>
                <w:rFonts w:cs="Calibri"/>
                <w:b/>
                <w:bCs/>
                <w:szCs w:val="18"/>
              </w:rPr>
            </w:pPr>
            <w:bookmarkStart w:id="660" w:name="RANGE!D28:I55"/>
            <w:bookmarkStart w:id="661" w:name="Note_AFJTABLE2" w:colFirst="0" w:colLast="0"/>
            <w:r>
              <w:rPr>
                <w:rFonts w:cs="Calibri"/>
                <w:b/>
                <w:bCs/>
                <w:szCs w:val="18"/>
              </w:rPr>
              <w:t>Credit quality of financial assets not past due or individually determined as impaired</w:t>
            </w:r>
            <w:bookmarkEnd w:id="660"/>
          </w:p>
        </w:tc>
      </w:tr>
      <w:tr w:rsidR="003E6989" w:rsidTr="006A5410">
        <w:trPr>
          <w:trHeight w:val="480"/>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bookmarkStart w:id="662" w:name="RANGE!D29:D41"/>
            <w:bookmarkEnd w:id="661"/>
            <w:r>
              <w:rPr>
                <w:rFonts w:ascii="Arial" w:hAnsi="Arial" w:cs="Arial"/>
                <w:sz w:val="16"/>
                <w:szCs w:val="16"/>
              </w:rPr>
              <w:t> </w:t>
            </w:r>
            <w:bookmarkEnd w:id="662"/>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Not past due nor impaired</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Past due or impaired</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Not past due nor impaired</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Past due or impaired</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478"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Available for sale</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Investments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2,118,337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2,149,930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478"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Loans and receivables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 receivables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29,727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18,755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29,749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9,394 </w:t>
            </w:r>
          </w:p>
        </w:tc>
      </w:tr>
      <w:tr w:rsidR="003E6989" w:rsidTr="006A5410">
        <w:trPr>
          <w:trHeight w:val="255"/>
        </w:trPr>
        <w:tc>
          <w:tcPr>
            <w:tcW w:w="4453" w:type="dxa"/>
            <w:gridSpan w:val="2"/>
            <w:tcBorders>
              <w:top w:val="nil"/>
              <w:left w:val="nil"/>
              <w:bottom w:val="nil"/>
              <w:right w:val="nil"/>
            </w:tcBorders>
            <w:shd w:val="clear" w:color="000000" w:fill="D9D9D9"/>
            <w:noWrap/>
            <w:vAlign w:val="bottom"/>
            <w:hideMark/>
          </w:tcPr>
          <w:p w:rsidR="003E6989" w:rsidRDefault="003E6989" w:rsidP="006A5410">
            <w:pPr>
              <w:rPr>
                <w:rFonts w:cs="Calibri"/>
                <w:szCs w:val="18"/>
              </w:rPr>
            </w:pPr>
            <w:r>
              <w:rPr>
                <w:rFonts w:cs="Calibri"/>
                <w:szCs w:val="18"/>
              </w:rPr>
              <w:t>Fair value through profit or loss (designated)</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HECS\HELP loans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36,807,652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30,444,858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Trade support loans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145,680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52,960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Other loans</w:t>
            </w:r>
          </w:p>
        </w:tc>
        <w:tc>
          <w:tcPr>
            <w:tcW w:w="97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591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478"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w:t>
            </w:r>
          </w:p>
        </w:tc>
        <w:tc>
          <w:tcPr>
            <w:tcW w:w="975" w:type="dxa"/>
            <w:tcBorders>
              <w:top w:val="single" w:sz="4" w:space="0" w:color="D9D9D9"/>
              <w:left w:val="nil"/>
              <w:bottom w:val="single" w:sz="4" w:space="0" w:color="D9D9D9"/>
              <w:right w:val="nil"/>
            </w:tcBorders>
            <w:shd w:val="clear" w:color="000000" w:fill="D9D9D9"/>
            <w:noWrap/>
            <w:vAlign w:val="bottom"/>
            <w:hideMark/>
          </w:tcPr>
          <w:p w:rsidR="003E6989" w:rsidRDefault="003E6989" w:rsidP="006A5410">
            <w:pPr>
              <w:rPr>
                <w:rFonts w:cs="Calibri"/>
                <w:szCs w:val="18"/>
              </w:rPr>
            </w:pPr>
            <w:r>
              <w:rPr>
                <w:rFonts w:cs="Calibri"/>
                <w:szCs w:val="18"/>
              </w:rPr>
              <w:t> </w:t>
            </w:r>
          </w:p>
        </w:tc>
        <w:tc>
          <w:tcPr>
            <w:tcW w:w="106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39,101,987</w:t>
            </w:r>
          </w:p>
        </w:tc>
        <w:tc>
          <w:tcPr>
            <w:tcW w:w="97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18,755</w:t>
            </w:r>
          </w:p>
        </w:tc>
        <w:tc>
          <w:tcPr>
            <w:tcW w:w="117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32,677,497</w:t>
            </w:r>
          </w:p>
        </w:tc>
        <w:tc>
          <w:tcPr>
            <w:tcW w:w="132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9,394</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7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32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8986" w:type="dxa"/>
            <w:gridSpan w:val="6"/>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Ageing of financial assets that were past due but not impaired for 2016</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xml:space="preserve">0 to 30 </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31 to 60</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61 to 90</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90+</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days</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days</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days</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days</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Total</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065"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97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174"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322" w:type="dxa"/>
            <w:tcBorders>
              <w:top w:val="nil"/>
              <w:left w:val="nil"/>
              <w:bottom w:val="nil"/>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 and other receivables</w:t>
            </w:r>
          </w:p>
        </w:tc>
        <w:tc>
          <w:tcPr>
            <w:tcW w:w="97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292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166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54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6,686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7,198 </w:t>
            </w:r>
          </w:p>
        </w:tc>
      </w:tr>
      <w:tr w:rsidR="003E6989" w:rsidTr="006A5410">
        <w:trPr>
          <w:trHeight w:val="255"/>
        </w:trPr>
        <w:tc>
          <w:tcPr>
            <w:tcW w:w="3478"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w:t>
            </w:r>
          </w:p>
        </w:tc>
        <w:tc>
          <w:tcPr>
            <w:tcW w:w="97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292</w:t>
            </w:r>
          </w:p>
        </w:tc>
        <w:tc>
          <w:tcPr>
            <w:tcW w:w="106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166</w:t>
            </w:r>
          </w:p>
        </w:tc>
        <w:tc>
          <w:tcPr>
            <w:tcW w:w="97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54</w:t>
            </w:r>
          </w:p>
        </w:tc>
        <w:tc>
          <w:tcPr>
            <w:tcW w:w="117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6,686</w:t>
            </w:r>
          </w:p>
        </w:tc>
        <w:tc>
          <w:tcPr>
            <w:tcW w:w="132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7,198</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65"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17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322"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8986" w:type="dxa"/>
            <w:gridSpan w:val="6"/>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Ageing of financial assets that were past due but not impaired for 2015</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0 to 30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31 to 60</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61 to 90</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days</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days</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days</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days</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Total</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97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478"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Goods and services and other receivables</w:t>
            </w:r>
          </w:p>
        </w:tc>
        <w:tc>
          <w:tcPr>
            <w:tcW w:w="97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472 </w:t>
            </w:r>
          </w:p>
        </w:tc>
        <w:tc>
          <w:tcPr>
            <w:tcW w:w="106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910 </w:t>
            </w:r>
          </w:p>
        </w:tc>
        <w:tc>
          <w:tcPr>
            <w:tcW w:w="97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33 </w:t>
            </w:r>
          </w:p>
        </w:tc>
        <w:tc>
          <w:tcPr>
            <w:tcW w:w="1174"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456 </w:t>
            </w:r>
          </w:p>
        </w:tc>
        <w:tc>
          <w:tcPr>
            <w:tcW w:w="132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1,871 </w:t>
            </w:r>
          </w:p>
        </w:tc>
      </w:tr>
      <w:tr w:rsidR="003E6989" w:rsidTr="006A5410">
        <w:trPr>
          <w:trHeight w:val="255"/>
        </w:trPr>
        <w:tc>
          <w:tcPr>
            <w:tcW w:w="3478" w:type="dxa"/>
            <w:tcBorders>
              <w:top w:val="single" w:sz="4" w:space="0" w:color="D9D9D9"/>
              <w:left w:val="nil"/>
              <w:bottom w:val="single" w:sz="4" w:space="0" w:color="D9D9D9"/>
              <w:right w:val="nil"/>
            </w:tcBorders>
            <w:shd w:val="clear" w:color="000000" w:fill="D9D9D9"/>
            <w:vAlign w:val="bottom"/>
            <w:hideMark/>
          </w:tcPr>
          <w:p w:rsidR="003E6989" w:rsidRDefault="003E6989" w:rsidP="006A5410">
            <w:pPr>
              <w:rPr>
                <w:rFonts w:cs="Calibri"/>
                <w:b/>
                <w:bCs/>
                <w:szCs w:val="18"/>
              </w:rPr>
            </w:pPr>
            <w:r>
              <w:rPr>
                <w:rFonts w:cs="Calibri"/>
                <w:b/>
                <w:bCs/>
                <w:szCs w:val="18"/>
              </w:rPr>
              <w:t>Total</w:t>
            </w:r>
          </w:p>
        </w:tc>
        <w:tc>
          <w:tcPr>
            <w:tcW w:w="97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472</w:t>
            </w:r>
          </w:p>
        </w:tc>
        <w:tc>
          <w:tcPr>
            <w:tcW w:w="106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910</w:t>
            </w:r>
          </w:p>
        </w:tc>
        <w:tc>
          <w:tcPr>
            <w:tcW w:w="97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33</w:t>
            </w:r>
          </w:p>
        </w:tc>
        <w:tc>
          <w:tcPr>
            <w:tcW w:w="117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456</w:t>
            </w:r>
          </w:p>
        </w:tc>
        <w:tc>
          <w:tcPr>
            <w:tcW w:w="132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1,871</w:t>
            </w:r>
          </w:p>
        </w:tc>
      </w:tr>
    </w:tbl>
    <w:p w:rsidR="003E6989" w:rsidRDefault="003E6989" w:rsidP="003E6989">
      <w:r>
        <w:br w:type="page"/>
      </w:r>
    </w:p>
    <w:tbl>
      <w:tblPr>
        <w:tblW w:w="9087" w:type="dxa"/>
        <w:tblInd w:w="80" w:type="dxa"/>
        <w:tblLayout w:type="fixed"/>
        <w:tblLook w:val="04A0" w:firstRow="1" w:lastRow="0" w:firstColumn="1" w:lastColumn="0" w:noHBand="0" w:noVBand="1"/>
      </w:tblPr>
      <w:tblGrid>
        <w:gridCol w:w="2874"/>
        <w:gridCol w:w="1037"/>
        <w:gridCol w:w="1036"/>
        <w:gridCol w:w="1035"/>
        <w:gridCol w:w="1035"/>
        <w:gridCol w:w="1035"/>
        <w:gridCol w:w="1035"/>
      </w:tblGrid>
      <w:tr w:rsidR="003E6989" w:rsidTr="006A5410">
        <w:trPr>
          <w:trHeight w:val="255"/>
        </w:trPr>
        <w:tc>
          <w:tcPr>
            <w:tcW w:w="2839"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63" w:name="Note_AFLTABLE1" w:colFirst="0" w:colLast="0"/>
            <w:r>
              <w:rPr>
                <w:rFonts w:cs="Calibri"/>
                <w:b/>
                <w:bCs/>
                <w:szCs w:val="18"/>
                <w:u w:val="single"/>
              </w:rPr>
              <w:t>7.3E: Liquidity risk</w:t>
            </w:r>
          </w:p>
        </w:tc>
        <w:tc>
          <w:tcPr>
            <w:tcW w:w="102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24"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23"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23"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23"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23"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663"/>
      <w:tr w:rsidR="003E6989" w:rsidTr="006A5410">
        <w:trPr>
          <w:trHeight w:val="255"/>
        </w:trPr>
        <w:tc>
          <w:tcPr>
            <w:tcW w:w="2839"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r>
      <w:tr w:rsidR="003E6989" w:rsidTr="006A5410">
        <w:trPr>
          <w:trHeight w:val="750"/>
        </w:trPr>
        <w:tc>
          <w:tcPr>
            <w:tcW w:w="8979" w:type="dxa"/>
            <w:gridSpan w:val="7"/>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 department is exposed to minimal liquidity risk and is appropriated funding from the Australian Government.  The department manages its budgeted funds to ensure it has adequate funds to meet payments as they fall due. In addition, the department has policies in place to ensure timely payments are made when due and has no past experience of default.</w:t>
            </w:r>
          </w:p>
        </w:tc>
      </w:tr>
      <w:tr w:rsidR="003E6989" w:rsidTr="006A5410">
        <w:trPr>
          <w:trHeight w:val="255"/>
        </w:trPr>
        <w:tc>
          <w:tcPr>
            <w:tcW w:w="2839"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2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r>
    </w:tbl>
    <w:p w:rsidR="003E6989" w:rsidRDefault="003E6989" w:rsidP="003E6989">
      <w:pPr>
        <w:pStyle w:val="GreyShadeTableBreak"/>
      </w:pPr>
      <w:bookmarkStart w:id="664" w:name="RANGE!D7:D33"/>
      <w:bookmarkStart w:id="665" w:name="RANGE!D7:J33"/>
      <w:bookmarkStart w:id="666" w:name="RANGE!D6:J32"/>
      <w:bookmarkEnd w:id="664"/>
      <w:bookmarkEnd w:id="665"/>
      <w:bookmarkEnd w:id="666"/>
    </w:p>
    <w:tbl>
      <w:tblPr>
        <w:tblW w:w="9087" w:type="dxa"/>
        <w:tblInd w:w="80" w:type="dxa"/>
        <w:tblLayout w:type="fixed"/>
        <w:tblLook w:val="04A0" w:firstRow="1" w:lastRow="0" w:firstColumn="1" w:lastColumn="0" w:noHBand="0" w:noVBand="1"/>
      </w:tblPr>
      <w:tblGrid>
        <w:gridCol w:w="5637"/>
        <w:gridCol w:w="1150"/>
        <w:gridCol w:w="1150"/>
        <w:gridCol w:w="1150"/>
      </w:tblGrid>
      <w:tr w:rsidR="003E6989" w:rsidTr="006A5410">
        <w:trPr>
          <w:trHeight w:val="255"/>
        </w:trPr>
        <w:tc>
          <w:tcPr>
            <w:tcW w:w="5076"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67" w:name="Note_AFKTABLE1" w:colFirst="0" w:colLast="0"/>
            <w:r>
              <w:rPr>
                <w:rFonts w:cs="Calibri"/>
                <w:b/>
                <w:bCs/>
                <w:szCs w:val="18"/>
                <w:u w:val="single"/>
              </w:rPr>
              <w:t>7.3F: Market risk</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667"/>
      <w:tr w:rsidR="003E6989" w:rsidTr="006A5410">
        <w:trPr>
          <w:trHeight w:val="255"/>
        </w:trPr>
        <w:tc>
          <w:tcPr>
            <w:tcW w:w="507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03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480"/>
        </w:trPr>
        <w:tc>
          <w:tcPr>
            <w:tcW w:w="8184" w:type="dxa"/>
            <w:gridSpan w:val="4"/>
            <w:tcBorders>
              <w:top w:val="nil"/>
              <w:left w:val="nil"/>
              <w:bottom w:val="single" w:sz="4" w:space="0" w:color="D9D9D9"/>
              <w:right w:val="nil"/>
            </w:tcBorders>
            <w:shd w:val="clear" w:color="000000" w:fill="D9D9D9"/>
            <w:vAlign w:val="bottom"/>
            <w:hideMark/>
          </w:tcPr>
          <w:p w:rsidR="003E6989" w:rsidRDefault="003E6989" w:rsidP="006A5410">
            <w:pPr>
              <w:rPr>
                <w:rFonts w:cs="Calibri"/>
                <w:szCs w:val="18"/>
              </w:rPr>
            </w:pPr>
            <w:r>
              <w:rPr>
                <w:rFonts w:cs="Calibri"/>
                <w:szCs w:val="18"/>
              </w:rPr>
              <w:t xml:space="preserve">The department holds basic financial instruments that do not expose it to certain market risks including to ‘currency risk’ and ‘other price risks’.  </w:t>
            </w:r>
          </w:p>
        </w:tc>
      </w:tr>
    </w:tbl>
    <w:p w:rsidR="003E6989" w:rsidRDefault="003E6989" w:rsidP="003E6989">
      <w:pPr>
        <w:pStyle w:val="GreyShadeTableBreak"/>
      </w:pPr>
      <w:bookmarkStart w:id="668" w:name="RANGE!D6:J27"/>
      <w:bookmarkStart w:id="669" w:name="RANGE!D7:G24"/>
      <w:bookmarkEnd w:id="668"/>
      <w:bookmarkEnd w:id="669"/>
    </w:p>
    <w:p w:rsidR="003E6989" w:rsidRDefault="003E6989" w:rsidP="003E6989">
      <w:pPr>
        <w:pStyle w:val="GreyShadeTableBreak"/>
      </w:pPr>
    </w:p>
    <w:tbl>
      <w:tblPr>
        <w:tblW w:w="9087" w:type="dxa"/>
        <w:tblInd w:w="80" w:type="dxa"/>
        <w:tblLayout w:type="fixed"/>
        <w:tblLook w:val="04A0" w:firstRow="1" w:lastRow="0" w:firstColumn="1" w:lastColumn="0" w:noHBand="0" w:noVBand="1"/>
      </w:tblPr>
      <w:tblGrid>
        <w:gridCol w:w="5471"/>
        <w:gridCol w:w="1638"/>
        <w:gridCol w:w="340"/>
        <w:gridCol w:w="1638"/>
      </w:tblGrid>
      <w:tr w:rsidR="003E6989" w:rsidTr="006A5410">
        <w:trPr>
          <w:trHeight w:val="255"/>
        </w:trPr>
        <w:tc>
          <w:tcPr>
            <w:tcW w:w="4196" w:type="dxa"/>
            <w:tcBorders>
              <w:top w:val="nil"/>
              <w:left w:val="nil"/>
              <w:bottom w:val="nil"/>
              <w:right w:val="nil"/>
            </w:tcBorders>
            <w:shd w:val="clear" w:color="000000" w:fill="D9D9D9"/>
            <w:noWrap/>
            <w:hideMark/>
          </w:tcPr>
          <w:p w:rsidR="003E6989" w:rsidRDefault="003E6989" w:rsidP="006A5410">
            <w:pPr>
              <w:rPr>
                <w:rFonts w:cs="Calibri"/>
                <w:b/>
                <w:bCs/>
                <w:szCs w:val="18"/>
                <w:u w:val="single"/>
              </w:rPr>
            </w:pPr>
            <w:bookmarkStart w:id="670" w:name="RANGE!D7:G28"/>
            <w:bookmarkStart w:id="671" w:name="Note_AFOTABLE1" w:colFirst="0" w:colLast="0"/>
            <w:r>
              <w:rPr>
                <w:rFonts w:cs="Calibri"/>
                <w:b/>
                <w:bCs/>
                <w:szCs w:val="18"/>
                <w:u w:val="single"/>
              </w:rPr>
              <w:t>7.3G: Concessional loans</w:t>
            </w:r>
            <w:bookmarkEnd w:id="670"/>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bookmarkEnd w:id="671"/>
      <w:tr w:rsidR="003E6989" w:rsidTr="006A5410">
        <w:trPr>
          <w:trHeight w:val="255"/>
        </w:trPr>
        <w:tc>
          <w:tcPr>
            <w:tcW w:w="419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2016</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$'000</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41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HECS\HELP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52,468,283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44,120,178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(1,161,178)</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(3,446,468)</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300" w:firstLine="54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(14,499,449)</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(10,228,852)</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36,807,656</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30,444,858</w:t>
            </w:r>
          </w:p>
        </w:tc>
      </w:tr>
      <w:tr w:rsidR="003E6989" w:rsidTr="006A5410">
        <w:trPr>
          <w:trHeight w:val="255"/>
        </w:trPr>
        <w:tc>
          <w:tcPr>
            <w:tcW w:w="41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Child Care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252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727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300" w:firstLine="540"/>
              <w:rPr>
                <w:rFonts w:cs="Calibri"/>
                <w:szCs w:val="18"/>
              </w:rPr>
            </w:pPr>
            <w:r>
              <w:rPr>
                <w:rFonts w:cs="Calibri"/>
                <w:szCs w:val="18"/>
              </w:rPr>
              <w:t>Restructure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339 </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(727)</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591</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4196"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Trade Support Loans</w:t>
            </w:r>
          </w:p>
        </w:tc>
        <w:tc>
          <w:tcPr>
            <w:tcW w:w="1256"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Nominal value</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196,037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81,055 </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Less: Unexpired discount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(33,117)</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(18,596)</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300" w:firstLine="540"/>
              <w:rPr>
                <w:rFonts w:cs="Calibri"/>
                <w:szCs w:val="18"/>
              </w:rPr>
            </w:pPr>
            <w:r>
              <w:rPr>
                <w:rFonts w:cs="Calibri"/>
                <w:szCs w:val="18"/>
              </w:rPr>
              <w:t>Impairment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(17,242)</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(9,496)</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300" w:firstLine="540"/>
              <w:rPr>
                <w:rFonts w:cs="Calibri"/>
                <w:szCs w:val="18"/>
              </w:rPr>
            </w:pPr>
            <w:r>
              <w:rPr>
                <w:rFonts w:cs="Calibri"/>
                <w:szCs w:val="18"/>
              </w:rPr>
              <w:t>Principal repayment</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2 </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(3)</w:t>
            </w:r>
          </w:p>
        </w:tc>
      </w:tr>
      <w:tr w:rsidR="003E6989" w:rsidTr="006A5410">
        <w:trPr>
          <w:trHeight w:val="255"/>
        </w:trPr>
        <w:tc>
          <w:tcPr>
            <w:tcW w:w="4196"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Carrying amount</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145,680</w:t>
            </w:r>
          </w:p>
        </w:tc>
        <w:tc>
          <w:tcPr>
            <w:tcW w:w="261"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52,960</w:t>
            </w:r>
          </w:p>
        </w:tc>
      </w:tr>
      <w:tr w:rsidR="003E6989" w:rsidTr="006A5410">
        <w:trPr>
          <w:trHeight w:val="270"/>
        </w:trPr>
        <w:tc>
          <w:tcPr>
            <w:tcW w:w="4196" w:type="dxa"/>
            <w:tcBorders>
              <w:top w:val="nil"/>
              <w:left w:val="nil"/>
              <w:bottom w:val="nil"/>
              <w:right w:val="nil"/>
            </w:tcBorders>
            <w:shd w:val="clear" w:color="000000" w:fill="D9D9D9"/>
            <w:noWrap/>
            <w:vAlign w:val="bottom"/>
            <w:hideMark/>
          </w:tcPr>
          <w:p w:rsidR="003E6989" w:rsidRDefault="003E6989" w:rsidP="006A5410">
            <w:pPr>
              <w:rPr>
                <w:rFonts w:cs="Calibri"/>
                <w:b/>
                <w:bCs/>
                <w:i/>
                <w:iCs/>
                <w:szCs w:val="18"/>
              </w:rPr>
            </w:pPr>
            <w:r>
              <w:rPr>
                <w:rFonts w:cs="Calibri"/>
                <w:b/>
                <w:bCs/>
                <w:i/>
                <w:iCs/>
                <w:szCs w:val="18"/>
              </w:rPr>
              <w:t>Total Concessional loans</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36,953,927</w:t>
            </w:r>
          </w:p>
        </w:tc>
        <w:tc>
          <w:tcPr>
            <w:tcW w:w="261" w:type="dxa"/>
            <w:tcBorders>
              <w:top w:val="nil"/>
              <w:left w:val="nil"/>
              <w:bottom w:val="single" w:sz="4" w:space="0" w:color="D9D9D9"/>
              <w:right w:val="nil"/>
            </w:tcBorders>
            <w:shd w:val="clear" w:color="000000" w:fill="D9D9D9"/>
            <w:noWrap/>
            <w:vAlign w:val="bottom"/>
            <w:hideMark/>
          </w:tcPr>
          <w:p w:rsidR="003E6989" w:rsidRDefault="003E6989" w:rsidP="006A5410">
            <w:pPr>
              <w:rPr>
                <w:rFonts w:ascii="Arial" w:hAnsi="Arial" w:cs="Arial"/>
                <w:sz w:val="16"/>
                <w:szCs w:val="16"/>
              </w:rPr>
            </w:pPr>
            <w:r>
              <w:rPr>
                <w:rFonts w:ascii="Arial" w:hAnsi="Arial" w:cs="Arial"/>
                <w:sz w:val="16"/>
                <w:szCs w:val="16"/>
              </w:rPr>
              <w:t> </w:t>
            </w:r>
          </w:p>
        </w:tc>
        <w:tc>
          <w:tcPr>
            <w:tcW w:w="1256" w:type="dxa"/>
            <w:tcBorders>
              <w:top w:val="nil"/>
              <w:left w:val="nil"/>
              <w:bottom w:val="double" w:sz="6"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30,497,818</w:t>
            </w:r>
          </w:p>
        </w:tc>
      </w:tr>
    </w:tbl>
    <w:p w:rsidR="003E6989" w:rsidRDefault="003E6989" w:rsidP="003E6989"/>
    <w:p w:rsidR="003E6989" w:rsidRDefault="003E6989" w:rsidP="003E6989"/>
    <w:p w:rsidR="003E6989" w:rsidRPr="00080C34" w:rsidRDefault="003E6989" w:rsidP="003E6989">
      <w:pPr>
        <w:sectPr w:rsidR="003E6989" w:rsidRPr="00080C34" w:rsidSect="006A5410">
          <w:pgSz w:w="11906" w:h="16838"/>
          <w:pgMar w:top="1134" w:right="1134" w:bottom="1134" w:left="1134" w:header="958" w:footer="737" w:gutter="0"/>
          <w:cols w:space="720"/>
        </w:sectPr>
      </w:pPr>
    </w:p>
    <w:p w:rsidR="003E6989" w:rsidRDefault="003E6989" w:rsidP="003E6989">
      <w:pPr>
        <w:pStyle w:val="SubHeading"/>
      </w:pPr>
      <w:bookmarkStart w:id="672" w:name="RANGE!D6:F24"/>
      <w:bookmarkStart w:id="673" w:name="RANGE!D6:F25"/>
      <w:bookmarkStart w:id="674" w:name="RANGE!D6:F22"/>
      <w:bookmarkStart w:id="675" w:name="RANGE!D6:F23"/>
      <w:bookmarkStart w:id="676" w:name="_Toc455416757"/>
      <w:bookmarkStart w:id="677" w:name="_Toc464726648"/>
      <w:bookmarkEnd w:id="672"/>
      <w:bookmarkEnd w:id="673"/>
      <w:bookmarkEnd w:id="674"/>
      <w:bookmarkEnd w:id="675"/>
      <w:r>
        <w:t>Fair Value Measurement</w:t>
      </w:r>
      <w:bookmarkEnd w:id="676"/>
      <w:bookmarkEnd w:id="677"/>
    </w:p>
    <w:tbl>
      <w:tblPr>
        <w:tblW w:w="13606" w:type="dxa"/>
        <w:tblInd w:w="80" w:type="dxa"/>
        <w:tblLayout w:type="fixed"/>
        <w:tblCellMar>
          <w:left w:w="6" w:type="dxa"/>
          <w:right w:w="6" w:type="dxa"/>
        </w:tblCellMar>
        <w:tblLook w:val="04A0" w:firstRow="1" w:lastRow="0" w:firstColumn="1" w:lastColumn="0" w:noHBand="0" w:noVBand="1"/>
      </w:tblPr>
      <w:tblGrid>
        <w:gridCol w:w="3096"/>
        <w:gridCol w:w="1201"/>
        <w:gridCol w:w="1127"/>
        <w:gridCol w:w="1915"/>
        <w:gridCol w:w="2358"/>
        <w:gridCol w:w="3909"/>
      </w:tblGrid>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bookmarkStart w:id="678" w:name="Note_FIMTABLE1" w:colFirst="0" w:colLast="0"/>
            <w:r>
              <w:rPr>
                <w:rFonts w:cs="Calibri"/>
                <w:szCs w:val="18"/>
              </w:rPr>
              <w:t>The following tables provide an analysis of assets and liabilities that are measured at fair value.</w:t>
            </w:r>
          </w:p>
        </w:tc>
      </w:tr>
      <w:bookmarkEnd w:id="678"/>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The different levels of the fair value hierarchy are defined below.</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Level 1: Quoted prices (unadjusted) in active markets for identical assets or liabilities that the department can access at measurement date.</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Level 2: Inputs other than quoted prices included within Level 1 that are observable for the asset or liability, either directly or indirectly.</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Level 3: Unobservable inputs for the asset or liability.</w:t>
            </w:r>
          </w:p>
        </w:tc>
      </w:tr>
      <w:tr w:rsidR="003E6989" w:rsidTr="006A5410">
        <w:trPr>
          <w:trHeight w:val="227"/>
        </w:trPr>
        <w:tc>
          <w:tcPr>
            <w:tcW w:w="13606" w:type="dxa"/>
            <w:gridSpan w:val="6"/>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b/>
                <w:bCs/>
                <w:szCs w:val="18"/>
                <w:u w:val="single"/>
              </w:rPr>
            </w:pPr>
            <w:r>
              <w:rPr>
                <w:rFonts w:cs="Calibri"/>
                <w:b/>
                <w:bCs/>
                <w:szCs w:val="18"/>
                <w:u w:val="single"/>
              </w:rPr>
              <w:t>7.4A: Fair value measurements, valuation techniques and inputs used</w:t>
            </w:r>
          </w:p>
        </w:tc>
      </w:tr>
      <w:tr w:rsidR="003E6989" w:rsidTr="006A5410">
        <w:trPr>
          <w:trHeight w:val="227"/>
        </w:trPr>
        <w:tc>
          <w:tcPr>
            <w:tcW w:w="3096"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20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1915"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235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c>
          <w:tcPr>
            <w:tcW w:w="3909" w:type="dxa"/>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13606" w:type="dxa"/>
            <w:gridSpan w:val="6"/>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rPr>
                <w:rFonts w:cs="Calibri"/>
                <w:b/>
                <w:bCs/>
                <w:szCs w:val="18"/>
              </w:rPr>
            </w:pPr>
            <w:r>
              <w:rPr>
                <w:rFonts w:cs="Calibri"/>
                <w:b/>
                <w:bCs/>
                <w:szCs w:val="18"/>
              </w:rPr>
              <w:t>Fair value measurements at 30 June 2016 by hierarchy for assets and liabilities</w:t>
            </w:r>
          </w:p>
        </w:tc>
      </w:tr>
      <w:tr w:rsidR="003E6989" w:rsidTr="006A5410">
        <w:trPr>
          <w:trHeight w:val="227"/>
        </w:trPr>
        <w:tc>
          <w:tcPr>
            <w:tcW w:w="309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4243" w:type="dxa"/>
            <w:gridSpan w:val="3"/>
            <w:tcBorders>
              <w:top w:val="single" w:sz="4" w:space="0" w:color="auto"/>
              <w:left w:val="nil"/>
              <w:bottom w:val="single" w:sz="4" w:space="0" w:color="auto"/>
              <w:right w:val="single" w:sz="4" w:space="0" w:color="000000"/>
            </w:tcBorders>
            <w:shd w:val="clear" w:color="FFFFFF" w:fill="FFFFFF"/>
            <w:vAlign w:val="bottom"/>
            <w:hideMark/>
          </w:tcPr>
          <w:p w:rsidR="003E6989" w:rsidRDefault="003E6989" w:rsidP="006A5410">
            <w:pPr>
              <w:spacing w:line="240" w:lineRule="auto"/>
              <w:jc w:val="center"/>
              <w:rPr>
                <w:rFonts w:cs="Calibri"/>
                <w:b/>
                <w:bCs/>
                <w:szCs w:val="18"/>
              </w:rPr>
            </w:pPr>
            <w:r>
              <w:rPr>
                <w:rFonts w:cs="Calibri"/>
                <w:b/>
                <w:bCs/>
                <w:szCs w:val="18"/>
              </w:rPr>
              <w:t>Fair value measurements at the end of the reporting period using</w:t>
            </w:r>
          </w:p>
        </w:tc>
        <w:tc>
          <w:tcPr>
            <w:tcW w:w="2358" w:type="dxa"/>
            <w:vMerge w:val="restart"/>
            <w:tcBorders>
              <w:top w:val="nil"/>
              <w:left w:val="single" w:sz="4" w:space="0" w:color="auto"/>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Valuation Technique</w:t>
            </w:r>
            <w:r>
              <w:rPr>
                <w:rFonts w:cs="Calibri"/>
                <w:b/>
                <w:bCs/>
                <w:szCs w:val="18"/>
                <w:vertAlign w:val="superscript"/>
              </w:rPr>
              <w:t>2</w:t>
            </w:r>
          </w:p>
        </w:tc>
        <w:tc>
          <w:tcPr>
            <w:tcW w:w="3909" w:type="dxa"/>
            <w:vMerge w:val="restart"/>
            <w:tcBorders>
              <w:top w:val="nil"/>
              <w:left w:val="nil"/>
              <w:bottom w:val="nil"/>
              <w:right w:val="nil"/>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Inputs Used</w:t>
            </w:r>
          </w:p>
        </w:tc>
      </w:tr>
      <w:tr w:rsidR="003E6989" w:rsidTr="006A5410">
        <w:trPr>
          <w:trHeight w:val="227"/>
        </w:trPr>
        <w:tc>
          <w:tcPr>
            <w:tcW w:w="3096"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1201" w:type="dxa"/>
            <w:tcBorders>
              <w:top w:val="nil"/>
              <w:left w:val="nil"/>
              <w:bottom w:val="nil"/>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2016</w:t>
            </w:r>
          </w:p>
        </w:tc>
        <w:tc>
          <w:tcPr>
            <w:tcW w:w="1127" w:type="dxa"/>
            <w:tcBorders>
              <w:top w:val="nil"/>
              <w:left w:val="nil"/>
              <w:bottom w:val="nil"/>
              <w:right w:val="nil"/>
            </w:tcBorders>
            <w:shd w:val="clear" w:color="FFFFFF" w:fill="FFFFFF"/>
            <w:noWrap/>
            <w:vAlign w:val="bottom"/>
            <w:hideMark/>
          </w:tcPr>
          <w:p w:rsidR="003E6989" w:rsidRPr="00141069" w:rsidRDefault="003E6989" w:rsidP="006A5410">
            <w:pPr>
              <w:spacing w:line="240" w:lineRule="auto"/>
              <w:jc w:val="right"/>
              <w:rPr>
                <w:rFonts w:cs="Calibri"/>
                <w:bCs/>
                <w:szCs w:val="18"/>
              </w:rPr>
            </w:pPr>
            <w:r w:rsidRPr="00141069">
              <w:rPr>
                <w:rFonts w:cs="Calibri"/>
                <w:bCs/>
                <w:szCs w:val="18"/>
              </w:rPr>
              <w:t>2015</w:t>
            </w:r>
          </w:p>
        </w:tc>
        <w:tc>
          <w:tcPr>
            <w:tcW w:w="1915" w:type="dxa"/>
            <w:vMerge w:val="restart"/>
            <w:tcBorders>
              <w:top w:val="nil"/>
              <w:left w:val="nil"/>
              <w:bottom w:val="single" w:sz="4" w:space="0" w:color="000000"/>
              <w:right w:val="single" w:sz="4" w:space="0" w:color="auto"/>
            </w:tcBorders>
            <w:shd w:val="clear" w:color="FFFFFF" w:fill="FFFFFF"/>
            <w:vAlign w:val="bottom"/>
            <w:hideMark/>
          </w:tcPr>
          <w:p w:rsidR="003E6989" w:rsidRDefault="003E6989" w:rsidP="006A5410">
            <w:pPr>
              <w:spacing w:line="240" w:lineRule="auto"/>
              <w:jc w:val="right"/>
              <w:rPr>
                <w:rFonts w:cs="Calibri"/>
                <w:b/>
                <w:bCs/>
                <w:szCs w:val="18"/>
              </w:rPr>
            </w:pPr>
            <w:r>
              <w:rPr>
                <w:rFonts w:cs="Calibri"/>
                <w:b/>
                <w:bCs/>
                <w:szCs w:val="18"/>
              </w:rPr>
              <w:t>Category (Level 1, 2 or 3)</w:t>
            </w:r>
          </w:p>
        </w:tc>
        <w:tc>
          <w:tcPr>
            <w:tcW w:w="2358" w:type="dxa"/>
            <w:vMerge/>
            <w:tcBorders>
              <w:top w:val="nil"/>
              <w:left w:val="single" w:sz="4" w:space="0" w:color="auto"/>
              <w:bottom w:val="nil"/>
              <w:right w:val="nil"/>
            </w:tcBorders>
            <w:vAlign w:val="center"/>
            <w:hideMark/>
          </w:tcPr>
          <w:p w:rsidR="003E6989" w:rsidRDefault="003E6989" w:rsidP="006A5410">
            <w:pPr>
              <w:spacing w:line="240" w:lineRule="auto"/>
              <w:rPr>
                <w:rFonts w:cs="Calibri"/>
                <w:b/>
                <w:bCs/>
                <w:szCs w:val="18"/>
              </w:rPr>
            </w:pPr>
          </w:p>
        </w:tc>
        <w:tc>
          <w:tcPr>
            <w:tcW w:w="3909" w:type="dxa"/>
            <w:vMerge/>
            <w:tcBorders>
              <w:top w:val="nil"/>
              <w:left w:val="nil"/>
              <w:bottom w:val="nil"/>
              <w:right w:val="nil"/>
            </w:tcBorders>
            <w:vAlign w:val="center"/>
            <w:hideMark/>
          </w:tcPr>
          <w:p w:rsidR="003E6989" w:rsidRDefault="003E6989" w:rsidP="006A5410">
            <w:pPr>
              <w:spacing w:line="240" w:lineRule="auto"/>
              <w:rPr>
                <w:rFonts w:cs="Calibri"/>
                <w:b/>
                <w:bCs/>
                <w:szCs w:val="18"/>
              </w:rPr>
            </w:pPr>
          </w:p>
        </w:tc>
      </w:tr>
      <w:tr w:rsidR="003E6989" w:rsidTr="006A5410">
        <w:trPr>
          <w:trHeight w:val="227"/>
        </w:trPr>
        <w:tc>
          <w:tcPr>
            <w:tcW w:w="3096"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1127" w:type="dxa"/>
            <w:tcBorders>
              <w:top w:val="nil"/>
              <w:left w:val="nil"/>
              <w:bottom w:val="single" w:sz="4" w:space="0" w:color="auto"/>
              <w:right w:val="nil"/>
            </w:tcBorders>
            <w:shd w:val="clear" w:color="FFFFFF" w:fill="FFFFFF"/>
            <w:noWrap/>
            <w:vAlign w:val="bottom"/>
            <w:hideMark/>
          </w:tcPr>
          <w:p w:rsidR="003E6989" w:rsidRPr="00141069" w:rsidRDefault="003E6989" w:rsidP="006A5410">
            <w:pPr>
              <w:spacing w:line="240" w:lineRule="auto"/>
              <w:jc w:val="right"/>
              <w:rPr>
                <w:rFonts w:cs="Calibri"/>
                <w:bCs/>
                <w:szCs w:val="18"/>
              </w:rPr>
            </w:pPr>
            <w:r w:rsidRPr="00141069">
              <w:rPr>
                <w:rFonts w:cs="Calibri"/>
                <w:bCs/>
                <w:szCs w:val="18"/>
              </w:rPr>
              <w:t>$'000</w:t>
            </w:r>
          </w:p>
        </w:tc>
        <w:tc>
          <w:tcPr>
            <w:tcW w:w="1915" w:type="dxa"/>
            <w:vMerge/>
            <w:tcBorders>
              <w:top w:val="nil"/>
              <w:left w:val="nil"/>
              <w:bottom w:val="single" w:sz="4" w:space="0" w:color="000000"/>
              <w:right w:val="single" w:sz="4" w:space="0" w:color="auto"/>
            </w:tcBorders>
            <w:vAlign w:val="center"/>
            <w:hideMark/>
          </w:tcPr>
          <w:p w:rsidR="003E6989" w:rsidRDefault="003E6989" w:rsidP="006A5410">
            <w:pPr>
              <w:spacing w:line="240" w:lineRule="auto"/>
              <w:rPr>
                <w:rFonts w:cs="Calibri"/>
                <w:b/>
                <w:bCs/>
                <w:szCs w:val="18"/>
              </w:rPr>
            </w:pPr>
          </w:p>
        </w:tc>
        <w:tc>
          <w:tcPr>
            <w:tcW w:w="2358"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$'000</w:t>
            </w:r>
          </w:p>
        </w:tc>
        <w:tc>
          <w:tcPr>
            <w:tcW w:w="3909"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$'000</w:t>
            </w:r>
          </w:p>
        </w:tc>
      </w:tr>
      <w:tr w:rsidR="003E6989" w:rsidTr="006A5410">
        <w:trPr>
          <w:trHeight w:val="227"/>
        </w:trPr>
        <w:tc>
          <w:tcPr>
            <w:tcW w:w="3096"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Non-financial assets</w:t>
            </w:r>
          </w:p>
        </w:tc>
        <w:tc>
          <w:tcPr>
            <w:tcW w:w="120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915"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5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3909"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3096" w:type="dxa"/>
            <w:tcBorders>
              <w:top w:val="nil"/>
              <w:left w:val="nil"/>
              <w:bottom w:val="single" w:sz="4" w:space="0" w:color="auto"/>
              <w:right w:val="nil"/>
            </w:tcBorders>
            <w:shd w:val="clear" w:color="FFFFFF" w:fill="FFFFFF"/>
            <w:noWrap/>
            <w:vAlign w:val="bottom"/>
            <w:hideMark/>
          </w:tcPr>
          <w:p w:rsidR="003E6989" w:rsidRDefault="003E6989" w:rsidP="003E6989">
            <w:pPr>
              <w:spacing w:line="240" w:lineRule="auto"/>
              <w:ind w:firstLineChars="100" w:firstLine="180"/>
              <w:rPr>
                <w:rFonts w:cs="Calibri"/>
                <w:szCs w:val="18"/>
              </w:rPr>
            </w:pPr>
            <w:r>
              <w:rPr>
                <w:rFonts w:cs="Calibri"/>
                <w:szCs w:val="18"/>
              </w:rPr>
              <w:t>Land</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170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200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Market Approach</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Adjusted market transactions</w:t>
            </w:r>
          </w:p>
        </w:tc>
      </w:tr>
      <w:tr w:rsidR="003E6989" w:rsidTr="006A5410">
        <w:trPr>
          <w:trHeight w:val="227"/>
        </w:trPr>
        <w:tc>
          <w:tcPr>
            <w:tcW w:w="3096" w:type="dxa"/>
            <w:tcBorders>
              <w:top w:val="nil"/>
              <w:left w:val="nil"/>
              <w:bottom w:val="nil"/>
              <w:right w:val="nil"/>
            </w:tcBorders>
            <w:shd w:val="clear" w:color="FFFFFF" w:fill="FFFFFF"/>
            <w:noWrap/>
            <w:vAlign w:val="center"/>
            <w:hideMark/>
          </w:tcPr>
          <w:p w:rsidR="003E6989" w:rsidRDefault="003E6989" w:rsidP="003E6989">
            <w:pPr>
              <w:spacing w:line="240" w:lineRule="auto"/>
              <w:ind w:firstLineChars="100" w:firstLine="180"/>
              <w:rPr>
                <w:rFonts w:cs="Calibri"/>
                <w:szCs w:val="18"/>
              </w:rPr>
            </w:pPr>
            <w:r>
              <w:rPr>
                <w:rFonts w:cs="Calibri"/>
                <w:szCs w:val="18"/>
              </w:rPr>
              <w:t>Buildings</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230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242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Market Approach</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Adjusted market transactions</w:t>
            </w:r>
          </w:p>
        </w:tc>
      </w:tr>
      <w:tr w:rsidR="003E6989" w:rsidTr="006A5410">
        <w:trPr>
          <w:trHeight w:val="227"/>
        </w:trPr>
        <w:tc>
          <w:tcPr>
            <w:tcW w:w="3096" w:type="dxa"/>
            <w:vMerge w:val="restart"/>
            <w:tcBorders>
              <w:top w:val="single" w:sz="4" w:space="0" w:color="auto"/>
              <w:left w:val="nil"/>
              <w:bottom w:val="single" w:sz="4" w:space="0" w:color="000000"/>
              <w:right w:val="nil"/>
            </w:tcBorders>
            <w:shd w:val="clear" w:color="FFFFFF" w:fill="FFFFFF"/>
            <w:noWrap/>
            <w:vAlign w:val="center"/>
            <w:hideMark/>
          </w:tcPr>
          <w:p w:rsidR="003E6989" w:rsidRDefault="003E6989" w:rsidP="003E6989">
            <w:pPr>
              <w:spacing w:line="240" w:lineRule="auto"/>
              <w:ind w:firstLineChars="100" w:firstLine="180"/>
              <w:rPr>
                <w:rFonts w:cs="Calibri"/>
                <w:szCs w:val="18"/>
              </w:rPr>
            </w:pPr>
            <w:r>
              <w:rPr>
                <w:rFonts w:cs="Calibri"/>
                <w:szCs w:val="18"/>
              </w:rPr>
              <w:t>Leasehold Improvements</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35,640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40,537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Depreciated Replacement Cost</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Replacement Cost New ( price per sqm) Useful life ( consumed economic benefit/ obsolescence of asset)</w:t>
            </w:r>
          </w:p>
        </w:tc>
      </w:tr>
      <w:tr w:rsidR="003E6989" w:rsidTr="006A5410">
        <w:trPr>
          <w:trHeight w:val="227"/>
        </w:trPr>
        <w:tc>
          <w:tcPr>
            <w:tcW w:w="3096" w:type="dxa"/>
            <w:vMerge/>
            <w:tcBorders>
              <w:top w:val="single" w:sz="4" w:space="0" w:color="auto"/>
              <w:left w:val="nil"/>
              <w:bottom w:val="single" w:sz="4" w:space="0" w:color="000000"/>
              <w:right w:val="nil"/>
            </w:tcBorders>
            <w:vAlign w:val="center"/>
            <w:hideMark/>
          </w:tcPr>
          <w:p w:rsidR="003E6989" w:rsidRDefault="003E6989" w:rsidP="006A5410">
            <w:pPr>
              <w:spacing w:line="240" w:lineRule="auto"/>
              <w:rPr>
                <w:rFonts w:cs="Calibri"/>
                <w:szCs w:val="18"/>
              </w:rPr>
            </w:pP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215</w:t>
            </w:r>
            <w:r w:rsidRPr="005E695B">
              <w:rPr>
                <w:rFonts w:cs="Calibri"/>
                <w:b/>
                <w:bCs/>
                <w:szCs w:val="18"/>
                <w:vertAlign w:val="superscript"/>
              </w:rPr>
              <w:t>3</w:t>
            </w:r>
            <w:r>
              <w:rPr>
                <w:rFonts w:cs="Calibri"/>
                <w:b/>
                <w:bCs/>
                <w:szCs w:val="18"/>
              </w:rPr>
              <w:t xml:space="preserve">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173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Depreciated Replacement Cost</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Current restoration costs (price per square metre) Discount rate  Indexation rates</w:t>
            </w:r>
          </w:p>
        </w:tc>
      </w:tr>
      <w:tr w:rsidR="003E6989" w:rsidTr="006A5410">
        <w:trPr>
          <w:trHeight w:val="227"/>
        </w:trPr>
        <w:tc>
          <w:tcPr>
            <w:tcW w:w="3096" w:type="dxa"/>
            <w:tcBorders>
              <w:top w:val="nil"/>
              <w:left w:val="nil"/>
              <w:bottom w:val="nil"/>
              <w:right w:val="nil"/>
            </w:tcBorders>
            <w:shd w:val="clear" w:color="FFFFFF" w:fill="FFFFFF"/>
            <w:vAlign w:val="center"/>
            <w:hideMark/>
          </w:tcPr>
          <w:p w:rsidR="003E6989" w:rsidRDefault="003E6989" w:rsidP="003E6989">
            <w:pPr>
              <w:spacing w:line="240" w:lineRule="auto"/>
              <w:ind w:firstLineChars="100" w:firstLine="180"/>
              <w:rPr>
                <w:rFonts w:cs="Calibri"/>
                <w:szCs w:val="18"/>
              </w:rPr>
            </w:pPr>
            <w:r>
              <w:rPr>
                <w:rFonts w:cs="Calibri"/>
                <w:szCs w:val="18"/>
              </w:rPr>
              <w:t>Leasehold Improvements - Assets Under Construction</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882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Replacement Cost</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Current prices relevant to the location of the asset</w:t>
            </w:r>
          </w:p>
        </w:tc>
      </w:tr>
      <w:tr w:rsidR="003E6989" w:rsidTr="006A5410">
        <w:trPr>
          <w:trHeight w:val="227"/>
        </w:trPr>
        <w:tc>
          <w:tcPr>
            <w:tcW w:w="3096" w:type="dxa"/>
            <w:vMerge w:val="restart"/>
            <w:tcBorders>
              <w:top w:val="single" w:sz="4" w:space="0" w:color="auto"/>
              <w:left w:val="nil"/>
              <w:bottom w:val="nil"/>
              <w:right w:val="nil"/>
            </w:tcBorders>
            <w:shd w:val="clear" w:color="FFFFFF" w:fill="FFFFFF"/>
            <w:vAlign w:val="center"/>
            <w:hideMark/>
          </w:tcPr>
          <w:p w:rsidR="003E6989" w:rsidRDefault="003E6989" w:rsidP="003E6989">
            <w:pPr>
              <w:spacing w:line="240" w:lineRule="auto"/>
              <w:ind w:firstLineChars="100" w:firstLine="180"/>
              <w:rPr>
                <w:rFonts w:cs="Calibri"/>
                <w:szCs w:val="18"/>
              </w:rPr>
            </w:pPr>
            <w:r>
              <w:rPr>
                <w:rFonts w:cs="Calibri"/>
                <w:szCs w:val="18"/>
              </w:rPr>
              <w:t>Infrastructure, plant and equipment</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7,404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4,499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Market Approach</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Adjusted market transactions</w:t>
            </w:r>
          </w:p>
        </w:tc>
      </w:tr>
      <w:tr w:rsidR="003E6989" w:rsidTr="006A5410">
        <w:trPr>
          <w:trHeight w:val="227"/>
        </w:trPr>
        <w:tc>
          <w:tcPr>
            <w:tcW w:w="3096" w:type="dxa"/>
            <w:vMerge/>
            <w:tcBorders>
              <w:top w:val="single" w:sz="4" w:space="0" w:color="auto"/>
              <w:left w:val="nil"/>
              <w:bottom w:val="nil"/>
              <w:right w:val="nil"/>
            </w:tcBorders>
            <w:vAlign w:val="center"/>
            <w:hideMark/>
          </w:tcPr>
          <w:p w:rsidR="003E6989" w:rsidRDefault="003E6989" w:rsidP="006A5410">
            <w:pPr>
              <w:spacing w:line="240" w:lineRule="auto"/>
              <w:rPr>
                <w:rFonts w:cs="Calibri"/>
                <w:szCs w:val="18"/>
              </w:rPr>
            </w:pP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4,839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6,751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Depreciated Replacement Cost</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Replacement Cost New ( price per sqm) Useful life ( consumed economic benefit/ obsolescence of asset)</w:t>
            </w:r>
          </w:p>
        </w:tc>
      </w:tr>
      <w:tr w:rsidR="003E6989" w:rsidTr="006A5410">
        <w:trPr>
          <w:trHeight w:val="227"/>
        </w:trPr>
        <w:tc>
          <w:tcPr>
            <w:tcW w:w="3096" w:type="dxa"/>
            <w:vMerge/>
            <w:tcBorders>
              <w:top w:val="single" w:sz="4" w:space="0" w:color="auto"/>
              <w:left w:val="nil"/>
              <w:bottom w:val="nil"/>
              <w:right w:val="nil"/>
            </w:tcBorders>
            <w:vAlign w:val="center"/>
            <w:hideMark/>
          </w:tcPr>
          <w:p w:rsidR="003E6989" w:rsidRDefault="003E6989" w:rsidP="006A5410">
            <w:pPr>
              <w:spacing w:line="240" w:lineRule="auto"/>
              <w:rPr>
                <w:rFonts w:cs="Calibri"/>
                <w:szCs w:val="18"/>
              </w:rPr>
            </w:pP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384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42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3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Market Approach</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Adjusted market transactions</w:t>
            </w:r>
          </w:p>
        </w:tc>
      </w:tr>
      <w:tr w:rsidR="003E6989" w:rsidTr="006A5410">
        <w:trPr>
          <w:trHeight w:val="227"/>
        </w:trPr>
        <w:tc>
          <w:tcPr>
            <w:tcW w:w="3096" w:type="dxa"/>
            <w:tcBorders>
              <w:top w:val="single" w:sz="4" w:space="0" w:color="auto"/>
              <w:left w:val="nil"/>
              <w:bottom w:val="single" w:sz="4" w:space="0" w:color="auto"/>
              <w:right w:val="nil"/>
            </w:tcBorders>
            <w:shd w:val="clear" w:color="FFFFFF" w:fill="FFFFFF"/>
            <w:vAlign w:val="center"/>
            <w:hideMark/>
          </w:tcPr>
          <w:p w:rsidR="003E6989" w:rsidRDefault="003E6989" w:rsidP="003E6989">
            <w:pPr>
              <w:spacing w:line="240" w:lineRule="auto"/>
              <w:ind w:firstLineChars="100" w:firstLine="180"/>
              <w:rPr>
                <w:rFonts w:cs="Calibri"/>
                <w:szCs w:val="18"/>
              </w:rPr>
            </w:pPr>
            <w:r>
              <w:rPr>
                <w:rFonts w:cs="Calibri"/>
                <w:szCs w:val="18"/>
              </w:rPr>
              <w:t>Infrastructure, plant and equipment - Assets Under Construction</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xml:space="preserve">32 </w:t>
            </w:r>
          </w:p>
        </w:tc>
        <w:tc>
          <w:tcPr>
            <w:tcW w:w="1127"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szCs w:val="18"/>
              </w:rPr>
            </w:pPr>
            <w:r>
              <w:rPr>
                <w:rFonts w:cs="Calibri"/>
                <w:szCs w:val="18"/>
              </w:rPr>
              <w:t xml:space="preserve">2 </w:t>
            </w:r>
          </w:p>
        </w:tc>
        <w:tc>
          <w:tcPr>
            <w:tcW w:w="2358"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Replacement Cost</w:t>
            </w:r>
          </w:p>
        </w:tc>
        <w:tc>
          <w:tcPr>
            <w:tcW w:w="3909" w:type="dxa"/>
            <w:tcBorders>
              <w:top w:val="nil"/>
              <w:left w:val="nil"/>
              <w:bottom w:val="single" w:sz="4" w:space="0" w:color="auto"/>
              <w:right w:val="nil"/>
            </w:tcBorders>
            <w:shd w:val="clear" w:color="FFFFFF" w:fill="FFFFFF"/>
            <w:vAlign w:val="bottom"/>
            <w:hideMark/>
          </w:tcPr>
          <w:p w:rsidR="003E6989" w:rsidRDefault="003E6989" w:rsidP="006A5410">
            <w:pPr>
              <w:spacing w:line="240" w:lineRule="auto"/>
              <w:jc w:val="right"/>
              <w:rPr>
                <w:rFonts w:cs="Calibri"/>
                <w:szCs w:val="18"/>
              </w:rPr>
            </w:pPr>
            <w:r>
              <w:rPr>
                <w:rFonts w:cs="Calibri"/>
                <w:szCs w:val="18"/>
              </w:rPr>
              <w:t>Current prices relevant to the location of the asset</w:t>
            </w:r>
          </w:p>
        </w:tc>
      </w:tr>
      <w:tr w:rsidR="003E6989" w:rsidTr="006A5410">
        <w:trPr>
          <w:trHeight w:val="227"/>
        </w:trPr>
        <w:tc>
          <w:tcPr>
            <w:tcW w:w="3096"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i/>
                <w:iCs/>
                <w:szCs w:val="18"/>
              </w:rPr>
            </w:pPr>
            <w:r>
              <w:rPr>
                <w:rFonts w:cs="Calibri"/>
                <w:b/>
                <w:bCs/>
                <w:i/>
                <w:iCs/>
                <w:szCs w:val="18"/>
              </w:rPr>
              <w:t>Total non-financial assets</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49,796</w:t>
            </w:r>
          </w:p>
        </w:tc>
        <w:tc>
          <w:tcPr>
            <w:tcW w:w="1127" w:type="dxa"/>
            <w:tcBorders>
              <w:top w:val="nil"/>
              <w:left w:val="nil"/>
              <w:bottom w:val="single" w:sz="4" w:space="0" w:color="auto"/>
              <w:right w:val="nil"/>
            </w:tcBorders>
            <w:shd w:val="clear" w:color="FFFFFF" w:fill="FFFFFF"/>
            <w:noWrap/>
            <w:vAlign w:val="bottom"/>
            <w:hideMark/>
          </w:tcPr>
          <w:p w:rsidR="003E6989" w:rsidRPr="00141069" w:rsidRDefault="003E6989" w:rsidP="006A5410">
            <w:pPr>
              <w:spacing w:line="240" w:lineRule="auto"/>
              <w:jc w:val="right"/>
              <w:rPr>
                <w:rFonts w:cs="Calibri"/>
                <w:bCs/>
                <w:szCs w:val="18"/>
              </w:rPr>
            </w:pPr>
            <w:r w:rsidRPr="00141069">
              <w:rPr>
                <w:rFonts w:cs="Calibri"/>
                <w:bCs/>
                <w:szCs w:val="18"/>
              </w:rPr>
              <w:t>52,444</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58"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3909"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r>
      <w:tr w:rsidR="003E6989" w:rsidTr="006A5410">
        <w:trPr>
          <w:trHeight w:val="227"/>
        </w:trPr>
        <w:tc>
          <w:tcPr>
            <w:tcW w:w="3096"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i/>
                <w:iCs/>
                <w:szCs w:val="18"/>
              </w:rPr>
            </w:pPr>
            <w:r>
              <w:rPr>
                <w:rFonts w:cs="Calibri"/>
                <w:b/>
                <w:bCs/>
                <w:i/>
                <w:iCs/>
                <w:szCs w:val="18"/>
              </w:rPr>
              <w:t>Total fair value measurements (assets) in statement of financial position</w:t>
            </w:r>
            <w:r>
              <w:rPr>
                <w:rFonts w:cs="Calibri"/>
                <w:b/>
                <w:bCs/>
                <w:i/>
                <w:iCs/>
                <w:szCs w:val="18"/>
                <w:vertAlign w:val="superscript"/>
              </w:rPr>
              <w:t>1</w:t>
            </w:r>
          </w:p>
        </w:tc>
        <w:tc>
          <w:tcPr>
            <w:tcW w:w="1201"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49,796</w:t>
            </w:r>
          </w:p>
        </w:tc>
        <w:tc>
          <w:tcPr>
            <w:tcW w:w="1127" w:type="dxa"/>
            <w:tcBorders>
              <w:top w:val="nil"/>
              <w:left w:val="nil"/>
              <w:bottom w:val="single" w:sz="4" w:space="0" w:color="auto"/>
              <w:right w:val="nil"/>
            </w:tcBorders>
            <w:shd w:val="clear" w:color="FFFFFF" w:fill="FFFFFF"/>
            <w:noWrap/>
            <w:vAlign w:val="bottom"/>
            <w:hideMark/>
          </w:tcPr>
          <w:p w:rsidR="003E6989" w:rsidRPr="00141069" w:rsidRDefault="003E6989" w:rsidP="006A5410">
            <w:pPr>
              <w:spacing w:line="240" w:lineRule="auto"/>
              <w:jc w:val="right"/>
              <w:rPr>
                <w:rFonts w:cs="Calibri"/>
                <w:bCs/>
                <w:szCs w:val="18"/>
              </w:rPr>
            </w:pPr>
            <w:r w:rsidRPr="00141069">
              <w:rPr>
                <w:rFonts w:cs="Calibri"/>
                <w:bCs/>
                <w:szCs w:val="18"/>
              </w:rPr>
              <w:t>53,445</w:t>
            </w:r>
          </w:p>
        </w:tc>
        <w:tc>
          <w:tcPr>
            <w:tcW w:w="1915"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2358"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c>
          <w:tcPr>
            <w:tcW w:w="3909" w:type="dxa"/>
            <w:tcBorders>
              <w:top w:val="nil"/>
              <w:left w:val="nil"/>
              <w:bottom w:val="single" w:sz="4" w:space="0" w:color="auto"/>
              <w:right w:val="nil"/>
            </w:tcBorders>
            <w:shd w:val="clear" w:color="FFFFFF" w:fill="FFFFFF"/>
            <w:noWrap/>
            <w:vAlign w:val="bottom"/>
            <w:hideMark/>
          </w:tcPr>
          <w:p w:rsidR="003E6989" w:rsidRDefault="003E6989" w:rsidP="006A5410">
            <w:pPr>
              <w:spacing w:line="240" w:lineRule="auto"/>
              <w:jc w:val="right"/>
              <w:rPr>
                <w:rFonts w:cs="Calibri"/>
                <w:b/>
                <w:bCs/>
                <w:szCs w:val="18"/>
              </w:rPr>
            </w:pPr>
            <w:r>
              <w:rPr>
                <w:rFonts w:cs="Calibri"/>
                <w:b/>
                <w:bCs/>
                <w:szCs w:val="18"/>
              </w:rPr>
              <w:t> </w:t>
            </w:r>
          </w:p>
        </w:tc>
      </w:tr>
      <w:tr w:rsidR="003E6989" w:rsidTr="006A5410">
        <w:trPr>
          <w:trHeight w:val="227"/>
        </w:trPr>
        <w:tc>
          <w:tcPr>
            <w:tcW w:w="3096" w:type="dxa"/>
            <w:tcBorders>
              <w:top w:val="nil"/>
              <w:left w:val="nil"/>
              <w:bottom w:val="nil"/>
              <w:right w:val="nil"/>
            </w:tcBorders>
            <w:shd w:val="clear" w:color="FFFFFF" w:fill="FFFFFF"/>
            <w:vAlign w:val="bottom"/>
            <w:hideMark/>
          </w:tcPr>
          <w:p w:rsidR="003E6989" w:rsidRDefault="003E6989" w:rsidP="006A5410">
            <w:pPr>
              <w:spacing w:line="240" w:lineRule="auto"/>
              <w:rPr>
                <w:rFonts w:cs="Calibri"/>
                <w:b/>
                <w:bCs/>
                <w:szCs w:val="18"/>
              </w:rPr>
            </w:pPr>
            <w:r>
              <w:rPr>
                <w:rFonts w:cs="Calibri"/>
                <w:b/>
                <w:bCs/>
                <w:szCs w:val="18"/>
              </w:rPr>
              <w:t> </w:t>
            </w:r>
          </w:p>
        </w:tc>
        <w:tc>
          <w:tcPr>
            <w:tcW w:w="1201"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127"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1915"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2358"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c>
          <w:tcPr>
            <w:tcW w:w="3909" w:type="dxa"/>
            <w:tcBorders>
              <w:top w:val="nil"/>
              <w:left w:val="nil"/>
              <w:bottom w:val="nil"/>
              <w:right w:val="nil"/>
            </w:tcBorders>
            <w:shd w:val="clear" w:color="FFFFFF" w:fill="FFFFFF"/>
            <w:noWrap/>
            <w:vAlign w:val="bottom"/>
            <w:hideMark/>
          </w:tcPr>
          <w:p w:rsidR="003E6989" w:rsidRDefault="003E6989" w:rsidP="006A5410">
            <w:pPr>
              <w:spacing w:line="240" w:lineRule="auto"/>
              <w:rPr>
                <w:rFonts w:ascii="Arial" w:hAnsi="Arial" w:cs="Arial"/>
                <w:szCs w:val="18"/>
              </w:rPr>
            </w:pPr>
            <w:r>
              <w:rPr>
                <w:rFonts w:ascii="Arial" w:hAnsi="Arial" w:cs="Arial"/>
                <w:szCs w:val="18"/>
              </w:rPr>
              <w:t> </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sidRPr="005E695B">
              <w:rPr>
                <w:rFonts w:cs="Calibri"/>
                <w:szCs w:val="18"/>
                <w:vertAlign w:val="superscript"/>
              </w:rPr>
              <w:t>1</w:t>
            </w:r>
            <w:r>
              <w:rPr>
                <w:rFonts w:cs="Calibri"/>
                <w:szCs w:val="18"/>
              </w:rPr>
              <w:t>. The Department has a number of assets and liabilities not measured at fair value in the statement of financial position. The carrying amounts of these assets and liabilities are considered to be a reasonable approximation of their fair value.</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sidRPr="005E695B">
              <w:rPr>
                <w:rFonts w:cs="Calibri"/>
                <w:szCs w:val="18"/>
                <w:vertAlign w:val="superscript"/>
              </w:rPr>
              <w:t>2</w:t>
            </w:r>
            <w:r>
              <w:rPr>
                <w:rFonts w:cs="Calibri"/>
                <w:szCs w:val="18"/>
              </w:rPr>
              <w:t xml:space="preserve">. There have been no changes to valuation techniques. </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sidRPr="005E695B">
              <w:rPr>
                <w:rFonts w:cs="Calibri"/>
                <w:szCs w:val="18"/>
                <w:vertAlign w:val="superscript"/>
              </w:rPr>
              <w:t>3</w:t>
            </w:r>
            <w:r>
              <w:rPr>
                <w:rFonts w:cs="Calibri"/>
                <w:szCs w:val="18"/>
              </w:rPr>
              <w:t>. In 2015-16, leasehold improvements representing make good were stated to be measured using a category 2 valuation technique. A revised assessment has established that these assets are better represented as a category 3 asset disclosed at present value.</w:t>
            </w:r>
          </w:p>
        </w:tc>
      </w:tr>
      <w:tr w:rsidR="003E6989" w:rsidTr="006A5410">
        <w:trPr>
          <w:trHeight w:val="227"/>
        </w:trPr>
        <w:tc>
          <w:tcPr>
            <w:tcW w:w="13606" w:type="dxa"/>
            <w:gridSpan w:val="6"/>
            <w:tcBorders>
              <w:top w:val="nil"/>
              <w:left w:val="nil"/>
              <w:bottom w:val="nil"/>
              <w:right w:val="nil"/>
            </w:tcBorders>
            <w:shd w:val="clear" w:color="FFFFFF" w:fill="FFFFFF"/>
            <w:vAlign w:val="bottom"/>
            <w:hideMark/>
          </w:tcPr>
          <w:p w:rsidR="003E6989" w:rsidRDefault="003E6989" w:rsidP="006A5410">
            <w:pPr>
              <w:spacing w:line="240" w:lineRule="auto"/>
              <w:rPr>
                <w:rFonts w:cs="Calibri"/>
                <w:szCs w:val="18"/>
              </w:rPr>
            </w:pPr>
            <w:r>
              <w:rPr>
                <w:rFonts w:cs="Calibri"/>
                <w:szCs w:val="18"/>
              </w:rPr>
              <w:t>The department's assets are held for operational purposes and not held for the purpose of deriving a profit. The current use of all controlled assets is considered the highest and best use. The methods and valuation techniques used for the purpose of measuring fair value of assets and liabilities in 2016 are unchanged from the previous reporting period.</w:t>
            </w:r>
          </w:p>
        </w:tc>
      </w:tr>
    </w:tbl>
    <w:p w:rsidR="003E6989" w:rsidRPr="00C32494" w:rsidRDefault="003E6989" w:rsidP="003E6989">
      <w:pPr>
        <w:rPr>
          <w:rFonts w:cs="Calibri"/>
          <w:szCs w:val="18"/>
        </w:rPr>
        <w:sectPr w:rsidR="003E6989" w:rsidRPr="00C32494" w:rsidSect="006A5410">
          <w:pgSz w:w="16838" w:h="11906" w:orient="landscape"/>
          <w:pgMar w:top="568" w:right="1134" w:bottom="0" w:left="1134" w:header="958" w:footer="737" w:gutter="0"/>
          <w:cols w:space="720"/>
          <w:docGrid w:linePitch="245"/>
        </w:sectPr>
      </w:pPr>
      <w:bookmarkStart w:id="679" w:name="RANGE!D7:I38"/>
      <w:bookmarkStart w:id="680" w:name="RANGE!D7:D39"/>
      <w:bookmarkStart w:id="681" w:name="RANGE!D7:D37"/>
      <w:bookmarkStart w:id="682" w:name="RANGE!D7:I37"/>
      <w:bookmarkStart w:id="683" w:name="RANGE!D7:D36"/>
      <w:bookmarkStart w:id="684" w:name="RANGE!D7:K36"/>
      <w:bookmarkStart w:id="685" w:name="RANGE!D7:I36"/>
      <w:bookmarkStart w:id="686" w:name="RANGE!D7:I35"/>
      <w:bookmarkStart w:id="687" w:name="RANGE!D7:D38"/>
      <w:bookmarkEnd w:id="679"/>
      <w:bookmarkEnd w:id="680"/>
      <w:bookmarkEnd w:id="681"/>
      <w:bookmarkEnd w:id="682"/>
      <w:bookmarkEnd w:id="683"/>
      <w:bookmarkEnd w:id="684"/>
      <w:bookmarkEnd w:id="685"/>
      <w:bookmarkEnd w:id="686"/>
      <w:bookmarkEnd w:id="687"/>
    </w:p>
    <w:p w:rsidR="003E6989" w:rsidRDefault="003E6989" w:rsidP="003E6989">
      <w:pPr>
        <w:pStyle w:val="PolicyTextboxbold"/>
      </w:pPr>
      <w:r>
        <w:t>Accounting Policy</w:t>
      </w:r>
    </w:p>
    <w:p w:rsidR="003E6989" w:rsidRDefault="003E6989" w:rsidP="003E6989">
      <w:pPr>
        <w:pStyle w:val="PolicyTextdeptunderline"/>
      </w:pPr>
      <w:r>
        <w:t>Fair Value Measurement</w:t>
      </w:r>
    </w:p>
    <w:p w:rsidR="003E6989" w:rsidRDefault="003E6989" w:rsidP="003E6989">
      <w:pPr>
        <w:pStyle w:val="PolicytextDept"/>
        <w:rPr>
          <w:szCs w:val="18"/>
        </w:rPr>
      </w:pPr>
      <w:r>
        <w:rPr>
          <w:szCs w:val="18"/>
        </w:rPr>
        <w:t>The department deems transfers between levels of the fair value hierarchy to have occurred at reporting date.</w:t>
      </w:r>
    </w:p>
    <w:p w:rsidR="003E6989" w:rsidRDefault="003E6989" w:rsidP="003E6989"/>
    <w:tbl>
      <w:tblPr>
        <w:tblW w:w="9087" w:type="dxa"/>
        <w:tblInd w:w="80" w:type="dxa"/>
        <w:tblLayout w:type="fixed"/>
        <w:tblLook w:val="04A0" w:firstRow="1" w:lastRow="0" w:firstColumn="1" w:lastColumn="0" w:noHBand="0" w:noVBand="1"/>
      </w:tblPr>
      <w:tblGrid>
        <w:gridCol w:w="2076"/>
        <w:gridCol w:w="946"/>
        <w:gridCol w:w="977"/>
        <w:gridCol w:w="1096"/>
        <w:gridCol w:w="1000"/>
        <w:gridCol w:w="757"/>
        <w:gridCol w:w="745"/>
        <w:gridCol w:w="745"/>
        <w:gridCol w:w="745"/>
      </w:tblGrid>
      <w:tr w:rsidR="003E6989" w:rsidTr="006A5410">
        <w:trPr>
          <w:trHeight w:val="240"/>
        </w:trPr>
        <w:tc>
          <w:tcPr>
            <w:tcW w:w="9012" w:type="dxa"/>
            <w:gridSpan w:val="9"/>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688" w:name="Note_FIPTABLE1" w:colFirst="0" w:colLast="0"/>
            <w:r>
              <w:rPr>
                <w:rFonts w:cs="Calibri"/>
                <w:b/>
                <w:bCs/>
                <w:szCs w:val="18"/>
                <w:u w:val="single"/>
              </w:rPr>
              <w:t>7.4B: Reconciliation for recurring Level 3 fair value measurements</w:t>
            </w:r>
          </w:p>
        </w:tc>
      </w:tr>
      <w:bookmarkEnd w:id="688"/>
      <w:tr w:rsidR="003E6989" w:rsidTr="006A5410">
        <w:trPr>
          <w:trHeight w:val="240"/>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6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8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9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51"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9012" w:type="dxa"/>
            <w:gridSpan w:val="9"/>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There have been no transfers between levels.</w:t>
            </w:r>
          </w:p>
        </w:tc>
      </w:tr>
      <w:tr w:rsidR="003E6989" w:rsidTr="006A5410">
        <w:trPr>
          <w:trHeight w:val="240"/>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3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6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087"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92"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51"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9012" w:type="dxa"/>
            <w:gridSpan w:val="9"/>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Recurring Level 3 fair value measurements - reconciliation for assets</w:t>
            </w:r>
          </w:p>
        </w:tc>
      </w:tr>
      <w:tr w:rsidR="003E6989" w:rsidTr="006A5410">
        <w:trPr>
          <w:trHeight w:val="240"/>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6954" w:type="dxa"/>
            <w:gridSpan w:val="8"/>
            <w:tcBorders>
              <w:top w:val="single" w:sz="4" w:space="0" w:color="auto"/>
              <w:left w:val="nil"/>
              <w:bottom w:val="single" w:sz="4" w:space="0" w:color="auto"/>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Non-financial assets</w:t>
            </w:r>
          </w:p>
        </w:tc>
      </w:tr>
      <w:tr w:rsidR="003E6989" w:rsidTr="006A5410">
        <w:trPr>
          <w:trHeight w:val="398"/>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1907" w:type="dxa"/>
            <w:gridSpan w:val="2"/>
            <w:tcBorders>
              <w:top w:val="single" w:sz="4" w:space="0" w:color="auto"/>
              <w:left w:val="nil"/>
              <w:bottom w:val="nil"/>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Land and buildings</w:t>
            </w:r>
          </w:p>
        </w:tc>
        <w:tc>
          <w:tcPr>
            <w:tcW w:w="2079" w:type="dxa"/>
            <w:gridSpan w:val="2"/>
            <w:tcBorders>
              <w:top w:val="single" w:sz="4" w:space="0" w:color="auto"/>
              <w:left w:val="nil"/>
              <w:bottom w:val="nil"/>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Property, plant and equipment</w:t>
            </w:r>
          </w:p>
        </w:tc>
        <w:tc>
          <w:tcPr>
            <w:tcW w:w="1490" w:type="dxa"/>
            <w:gridSpan w:val="2"/>
            <w:tcBorders>
              <w:top w:val="single" w:sz="4" w:space="0" w:color="auto"/>
              <w:left w:val="nil"/>
              <w:bottom w:val="nil"/>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Leasehold Improvements</w:t>
            </w:r>
          </w:p>
        </w:tc>
        <w:tc>
          <w:tcPr>
            <w:tcW w:w="1478" w:type="dxa"/>
            <w:gridSpan w:val="2"/>
            <w:tcBorders>
              <w:top w:val="single" w:sz="4" w:space="0" w:color="auto"/>
              <w:left w:val="nil"/>
              <w:bottom w:val="nil"/>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Total</w:t>
            </w:r>
          </w:p>
        </w:tc>
      </w:tr>
      <w:tr w:rsidR="003E6989" w:rsidTr="006A5410">
        <w:trPr>
          <w:trHeight w:val="240"/>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2016</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40"/>
        </w:trPr>
        <w:tc>
          <w:tcPr>
            <w:tcW w:w="2058" w:type="dxa"/>
            <w:tcBorders>
              <w:top w:val="nil"/>
              <w:left w:val="nil"/>
              <w:bottom w:val="nil"/>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938"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969"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1087"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992"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751"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739"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c>
          <w:tcPr>
            <w:tcW w:w="739"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$'000</w:t>
            </w:r>
          </w:p>
        </w:tc>
        <w:tc>
          <w:tcPr>
            <w:tcW w:w="739"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2058" w:type="dxa"/>
            <w:tcBorders>
              <w:top w:val="single" w:sz="4" w:space="0" w:color="auto"/>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Restructuring opening balance</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640 </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6,793 </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7,455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40,446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49,473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47,239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57,568 </w:t>
            </w:r>
          </w:p>
        </w:tc>
      </w:tr>
      <w:tr w:rsidR="003E6989" w:rsidTr="006A5410">
        <w:trPr>
          <w:trHeight w:val="51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Total gains/(losses) recognised in net cost of services</w:t>
            </w:r>
            <w:r>
              <w:rPr>
                <w:rFonts w:ascii="Arial" w:hAnsi="Arial" w:cs="Arial"/>
                <w:szCs w:val="18"/>
                <w:vertAlign w:val="superscript"/>
              </w:rPr>
              <w:t>1</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(15)</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(478)</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(2,244)</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(6,116)</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(6,804)</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(6,594)</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(9,063)</w:t>
            </w:r>
          </w:p>
        </w:tc>
      </w:tr>
      <w:tr w:rsidR="003E6989" w:rsidTr="006A5410">
        <w:trPr>
          <w:trHeight w:val="24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Transfers to other entities</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34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(3,181)</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34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(3,181)</w:t>
            </w:r>
          </w:p>
        </w:tc>
      </w:tr>
      <w:tr w:rsidR="003E6989" w:rsidTr="006A5410">
        <w:trPr>
          <w:trHeight w:val="24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Purchases</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368 </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1,568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764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715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1,132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2,283 </w:t>
            </w:r>
          </w:p>
        </w:tc>
      </w:tr>
      <w:tr w:rsidR="003E6989" w:rsidTr="006A5410">
        <w:trPr>
          <w:trHeight w:val="24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Disposals</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(625)</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(250)</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(92)</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(342)</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(625)</w:t>
            </w:r>
          </w:p>
        </w:tc>
      </w:tr>
      <w:tr w:rsidR="003E6989" w:rsidTr="006A5410">
        <w:trPr>
          <w:trHeight w:val="24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Transfers into Level 3</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36 </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14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819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243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855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257 </w:t>
            </w:r>
          </w:p>
        </w:tc>
      </w:tr>
      <w:tr w:rsidR="003E6989" w:rsidTr="006A5410">
        <w:trPr>
          <w:trHeight w:val="240"/>
        </w:trPr>
        <w:tc>
          <w:tcPr>
            <w:tcW w:w="2058"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Transfers out Level 3</w:t>
            </w:r>
          </w:p>
        </w:tc>
        <w:tc>
          <w:tcPr>
            <w:tcW w:w="938"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96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087"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(1,246)</w:t>
            </w:r>
          </w:p>
        </w:tc>
        <w:tc>
          <w:tcPr>
            <w:tcW w:w="992"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751"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(1,246)</w:t>
            </w:r>
          </w:p>
        </w:tc>
        <w:tc>
          <w:tcPr>
            <w:tcW w:w="739"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40"/>
        </w:trPr>
        <w:tc>
          <w:tcPr>
            <w:tcW w:w="2058"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Closing balance</w:t>
            </w:r>
          </w:p>
        </w:tc>
        <w:tc>
          <w:tcPr>
            <w:tcW w:w="938"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c>
          <w:tcPr>
            <w:tcW w:w="96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1087"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5,223 </w:t>
            </w:r>
          </w:p>
        </w:tc>
        <w:tc>
          <w:tcPr>
            <w:tcW w:w="992"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6,793 </w:t>
            </w:r>
          </w:p>
        </w:tc>
        <w:tc>
          <w:tcPr>
            <w:tcW w:w="751"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35,855 </w:t>
            </w:r>
          </w:p>
        </w:tc>
        <w:tc>
          <w:tcPr>
            <w:tcW w:w="73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40,446 </w:t>
            </w:r>
          </w:p>
        </w:tc>
        <w:tc>
          <w:tcPr>
            <w:tcW w:w="73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41,078 </w:t>
            </w:r>
          </w:p>
        </w:tc>
        <w:tc>
          <w:tcPr>
            <w:tcW w:w="739"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47,239 </w:t>
            </w:r>
          </w:p>
        </w:tc>
      </w:tr>
      <w:tr w:rsidR="003E6989" w:rsidTr="006A5410">
        <w:trPr>
          <w:trHeight w:val="525"/>
        </w:trPr>
        <w:tc>
          <w:tcPr>
            <w:tcW w:w="9012" w:type="dxa"/>
            <w:gridSpan w:val="9"/>
            <w:tcBorders>
              <w:top w:val="single" w:sz="4" w:space="0" w:color="auto"/>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vertAlign w:val="superscript"/>
              </w:rPr>
              <w:t>1</w:t>
            </w:r>
            <w:r>
              <w:rPr>
                <w:rFonts w:cs="Calibri"/>
                <w:szCs w:val="18"/>
              </w:rPr>
              <w:t xml:space="preserve"> These gains/(losses) are presented in the Statement of Comprehensive Income under ‘Depreciation and amortisation’ and ‘Write-down and Impairment of assets’.</w:t>
            </w:r>
          </w:p>
        </w:tc>
      </w:tr>
      <w:tr w:rsidR="003E6989" w:rsidTr="006A5410">
        <w:trPr>
          <w:trHeight w:val="240"/>
        </w:trPr>
        <w:tc>
          <w:tcPr>
            <w:tcW w:w="9012" w:type="dxa"/>
            <w:gridSpan w:val="9"/>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bl>
    <w:p w:rsidR="003E6989" w:rsidRDefault="003E6989" w:rsidP="003E6989">
      <w:pPr>
        <w:pStyle w:val="NotesHeading-Level1"/>
        <w:numPr>
          <w:ilvl w:val="0"/>
          <w:numId w:val="0"/>
        </w:numPr>
        <w:outlineLvl w:val="9"/>
        <w:rPr>
          <w:rFonts w:cstheme="minorHAnsi"/>
        </w:rPr>
      </w:pPr>
    </w:p>
    <w:p w:rsidR="003E6989" w:rsidRDefault="003E6989" w:rsidP="003E6989">
      <w:pPr>
        <w:pStyle w:val="NotesHeading-Level1"/>
        <w:numPr>
          <w:ilvl w:val="0"/>
          <w:numId w:val="0"/>
        </w:numPr>
        <w:outlineLvl w:val="9"/>
        <w:rPr>
          <w:rFonts w:cstheme="minorHAnsi"/>
        </w:rPr>
      </w:pPr>
    </w:p>
    <w:p w:rsidR="003E6989" w:rsidRDefault="003E6989" w:rsidP="003E6989">
      <w:pPr>
        <w:pStyle w:val="NotesHeading-Level1"/>
        <w:numPr>
          <w:ilvl w:val="0"/>
          <w:numId w:val="0"/>
        </w:numPr>
        <w:outlineLvl w:val="9"/>
        <w:rPr>
          <w:rFonts w:cstheme="minorHAnsi"/>
        </w:rPr>
      </w:pPr>
      <w:r>
        <w:rPr>
          <w:rFonts w:cstheme="minorHAnsi"/>
        </w:rPr>
        <w:br w:type="page"/>
      </w:r>
    </w:p>
    <w:p w:rsidR="003E6989" w:rsidRDefault="003E6989" w:rsidP="003E6989">
      <w:pPr>
        <w:pStyle w:val="SubHeading"/>
      </w:pPr>
      <w:bookmarkStart w:id="689" w:name="_Toc455416758"/>
      <w:bookmarkStart w:id="690" w:name="_Toc464726649"/>
      <w:r>
        <w:t>Administered – Fair Value Measurement</w:t>
      </w:r>
      <w:bookmarkEnd w:id="689"/>
      <w:bookmarkEnd w:id="690"/>
    </w:p>
    <w:tbl>
      <w:tblPr>
        <w:tblW w:w="9087" w:type="dxa"/>
        <w:tblInd w:w="80" w:type="dxa"/>
        <w:tblLayout w:type="fixed"/>
        <w:tblLook w:val="04A0" w:firstRow="1" w:lastRow="0" w:firstColumn="1" w:lastColumn="0" w:noHBand="0" w:noVBand="1"/>
      </w:tblPr>
      <w:tblGrid>
        <w:gridCol w:w="2028"/>
        <w:gridCol w:w="1105"/>
        <w:gridCol w:w="1125"/>
        <w:gridCol w:w="916"/>
        <w:gridCol w:w="1200"/>
        <w:gridCol w:w="767"/>
        <w:gridCol w:w="991"/>
        <w:gridCol w:w="955"/>
      </w:tblGrid>
      <w:tr w:rsidR="003E6989" w:rsidTr="006A5410">
        <w:trPr>
          <w:trHeight w:val="240"/>
        </w:trPr>
        <w:tc>
          <w:tcPr>
            <w:tcW w:w="8985" w:type="dxa"/>
            <w:gridSpan w:val="8"/>
            <w:tcBorders>
              <w:top w:val="nil"/>
              <w:left w:val="nil"/>
              <w:bottom w:val="nil"/>
              <w:right w:val="nil"/>
            </w:tcBorders>
            <w:shd w:val="clear" w:color="000000" w:fill="D9D9D9"/>
            <w:vAlign w:val="bottom"/>
            <w:hideMark/>
          </w:tcPr>
          <w:p w:rsidR="003E6989" w:rsidRDefault="003E6989" w:rsidP="006A5410">
            <w:pPr>
              <w:rPr>
                <w:rFonts w:cs="Calibri"/>
                <w:szCs w:val="18"/>
              </w:rPr>
            </w:pPr>
            <w:bookmarkStart w:id="691" w:name="Note_AVATABLE1" w:colFirst="0" w:colLast="0"/>
            <w:r>
              <w:rPr>
                <w:rFonts w:cs="Calibri"/>
                <w:szCs w:val="18"/>
              </w:rPr>
              <w:t>The following tables provide an analysis of assets and liabilities that are measured at fair value.</w:t>
            </w:r>
          </w:p>
        </w:tc>
      </w:tr>
      <w:bookmarkEnd w:id="691"/>
      <w:tr w:rsidR="003E6989" w:rsidTr="006A5410">
        <w:trPr>
          <w:trHeight w:val="240"/>
        </w:trPr>
        <w:tc>
          <w:tcPr>
            <w:tcW w:w="8985" w:type="dxa"/>
            <w:gridSpan w:val="8"/>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The different levels of the fair value hierarchy are defined below.</w:t>
            </w:r>
          </w:p>
        </w:tc>
      </w:tr>
      <w:tr w:rsidR="003E6989" w:rsidTr="006A5410">
        <w:trPr>
          <w:trHeight w:val="240"/>
        </w:trPr>
        <w:tc>
          <w:tcPr>
            <w:tcW w:w="2005"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9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112"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906"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187"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758"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980"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944"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r>
      <w:tr w:rsidR="003E6989" w:rsidTr="006A5410">
        <w:trPr>
          <w:trHeight w:val="435"/>
        </w:trPr>
        <w:tc>
          <w:tcPr>
            <w:tcW w:w="8985" w:type="dxa"/>
            <w:gridSpan w:val="8"/>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Level 1: Quoted prices (unadjusted) in active markets for identical assets or liabilities that the department can access at measurement date.</w:t>
            </w:r>
          </w:p>
        </w:tc>
      </w:tr>
      <w:tr w:rsidR="003E6989" w:rsidTr="006A5410">
        <w:trPr>
          <w:trHeight w:val="240"/>
        </w:trPr>
        <w:tc>
          <w:tcPr>
            <w:tcW w:w="8985" w:type="dxa"/>
            <w:gridSpan w:val="8"/>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Level 2: Inputs other than quoted prices included within Level 1 that are observable for the asset or liability, either directly or indirectly.</w:t>
            </w:r>
          </w:p>
        </w:tc>
      </w:tr>
      <w:tr w:rsidR="003E6989" w:rsidTr="006A5410">
        <w:trPr>
          <w:trHeight w:val="240"/>
        </w:trPr>
        <w:tc>
          <w:tcPr>
            <w:tcW w:w="8985" w:type="dxa"/>
            <w:gridSpan w:val="8"/>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Level 3: Unobservable inputs for the asset or liability.</w:t>
            </w:r>
          </w:p>
        </w:tc>
      </w:tr>
      <w:tr w:rsidR="003E6989" w:rsidTr="006A5410">
        <w:trPr>
          <w:trHeight w:val="240"/>
        </w:trPr>
        <w:tc>
          <w:tcPr>
            <w:tcW w:w="2005"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93"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112"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906"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18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75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80"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40"/>
        </w:trPr>
        <w:tc>
          <w:tcPr>
            <w:tcW w:w="8985" w:type="dxa"/>
            <w:gridSpan w:val="8"/>
            <w:tcBorders>
              <w:top w:val="nil"/>
              <w:left w:val="nil"/>
              <w:bottom w:val="nil"/>
              <w:right w:val="nil"/>
            </w:tcBorders>
            <w:shd w:val="clear" w:color="000000" w:fill="D9D9D9"/>
            <w:noWrap/>
            <w:vAlign w:val="bottom"/>
            <w:hideMark/>
          </w:tcPr>
          <w:p w:rsidR="003E6989" w:rsidRDefault="003E6989" w:rsidP="006A5410">
            <w:pPr>
              <w:rPr>
                <w:rFonts w:cs="Calibri"/>
                <w:b/>
                <w:bCs/>
                <w:szCs w:val="18"/>
                <w:u w:val="single"/>
              </w:rPr>
            </w:pPr>
            <w:r>
              <w:rPr>
                <w:rFonts w:cs="Calibri"/>
                <w:b/>
                <w:bCs/>
                <w:szCs w:val="18"/>
                <w:u w:val="single"/>
              </w:rPr>
              <w:t>7.5A: Fair value measurements, valuation techniques and inputs used</w:t>
            </w:r>
          </w:p>
        </w:tc>
      </w:tr>
      <w:tr w:rsidR="003E6989" w:rsidTr="006A5410">
        <w:trPr>
          <w:trHeight w:val="260"/>
        </w:trPr>
        <w:tc>
          <w:tcPr>
            <w:tcW w:w="8985" w:type="dxa"/>
            <w:gridSpan w:val="8"/>
            <w:vMerge w:val="restart"/>
            <w:tcBorders>
              <w:top w:val="nil"/>
              <w:left w:val="nil"/>
              <w:bottom w:val="single" w:sz="4" w:space="0" w:color="000000"/>
              <w:right w:val="nil"/>
            </w:tcBorders>
            <w:shd w:val="clear" w:color="000000" w:fill="D9D9D9"/>
            <w:vAlign w:val="bottom"/>
            <w:hideMark/>
          </w:tcPr>
          <w:p w:rsidR="003E6989" w:rsidRDefault="003E6989" w:rsidP="006A5410">
            <w:pPr>
              <w:rPr>
                <w:rFonts w:cs="Calibri"/>
                <w:b/>
                <w:bCs/>
                <w:szCs w:val="18"/>
              </w:rPr>
            </w:pPr>
            <w:r>
              <w:rPr>
                <w:rFonts w:cs="Calibri"/>
                <w:b/>
                <w:bCs/>
                <w:szCs w:val="18"/>
              </w:rPr>
              <w:t>Fair value measurements at 30 June 2016 by hierarchy for assets and liabilities</w:t>
            </w:r>
          </w:p>
        </w:tc>
      </w:tr>
      <w:tr w:rsidR="003E6989" w:rsidTr="006A5410">
        <w:trPr>
          <w:trHeight w:val="260"/>
        </w:trPr>
        <w:tc>
          <w:tcPr>
            <w:tcW w:w="8985" w:type="dxa"/>
            <w:gridSpan w:val="8"/>
            <w:vMerge/>
            <w:tcBorders>
              <w:top w:val="nil"/>
              <w:left w:val="nil"/>
              <w:bottom w:val="single" w:sz="4" w:space="0" w:color="000000"/>
              <w:right w:val="nil"/>
            </w:tcBorders>
            <w:vAlign w:val="center"/>
            <w:hideMark/>
          </w:tcPr>
          <w:p w:rsidR="003E6989" w:rsidRDefault="003E6989" w:rsidP="006A5410">
            <w:pPr>
              <w:rPr>
                <w:rFonts w:cs="Calibri"/>
                <w:b/>
                <w:bCs/>
                <w:szCs w:val="18"/>
              </w:rPr>
            </w:pPr>
          </w:p>
        </w:tc>
      </w:tr>
      <w:tr w:rsidR="003E6989" w:rsidTr="006A5410">
        <w:trPr>
          <w:trHeight w:val="578"/>
        </w:trPr>
        <w:tc>
          <w:tcPr>
            <w:tcW w:w="2005"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3111" w:type="dxa"/>
            <w:gridSpan w:val="3"/>
            <w:tcBorders>
              <w:top w:val="single" w:sz="4" w:space="0" w:color="auto"/>
              <w:left w:val="nil"/>
              <w:bottom w:val="single" w:sz="4" w:space="0" w:color="auto"/>
              <w:right w:val="single" w:sz="4" w:space="0" w:color="000000"/>
            </w:tcBorders>
            <w:shd w:val="clear" w:color="000000" w:fill="D9D9D9"/>
            <w:vAlign w:val="bottom"/>
            <w:hideMark/>
          </w:tcPr>
          <w:p w:rsidR="003E6989" w:rsidRDefault="003E6989" w:rsidP="006A5410">
            <w:pPr>
              <w:jc w:val="center"/>
              <w:rPr>
                <w:rFonts w:cs="Calibri"/>
                <w:b/>
                <w:bCs/>
                <w:szCs w:val="18"/>
              </w:rPr>
            </w:pPr>
            <w:r>
              <w:rPr>
                <w:rFonts w:cs="Calibri"/>
                <w:b/>
                <w:bCs/>
                <w:szCs w:val="18"/>
              </w:rPr>
              <w:t>Fair value measurements at the end of the reporting period using</w:t>
            </w:r>
          </w:p>
        </w:tc>
        <w:tc>
          <w:tcPr>
            <w:tcW w:w="3869" w:type="dxa"/>
            <w:gridSpan w:val="4"/>
            <w:tcBorders>
              <w:top w:val="single" w:sz="4" w:space="0" w:color="auto"/>
              <w:left w:val="nil"/>
              <w:bottom w:val="single" w:sz="4" w:space="0" w:color="auto"/>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 xml:space="preserve"> For Levels 2 and 3 fair value measurements</w:t>
            </w:r>
          </w:p>
        </w:tc>
      </w:tr>
      <w:tr w:rsidR="003E6989" w:rsidTr="006A5410">
        <w:trPr>
          <w:trHeight w:val="458"/>
        </w:trPr>
        <w:tc>
          <w:tcPr>
            <w:tcW w:w="2005"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93"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1112" w:type="dxa"/>
            <w:tcBorders>
              <w:top w:val="nil"/>
              <w:left w:val="nil"/>
              <w:bottom w:val="single" w:sz="4" w:space="0" w:color="D9D9D9"/>
              <w:right w:val="nil"/>
            </w:tcBorders>
            <w:shd w:val="clear" w:color="000000" w:fill="D9D9D9"/>
            <w:vAlign w:val="bottom"/>
            <w:hideMark/>
          </w:tcPr>
          <w:p w:rsidR="003E6989" w:rsidRPr="00141069" w:rsidRDefault="003E6989" w:rsidP="006A5410">
            <w:pPr>
              <w:jc w:val="right"/>
              <w:rPr>
                <w:rFonts w:cs="Calibri"/>
                <w:bCs/>
                <w:szCs w:val="18"/>
              </w:rPr>
            </w:pPr>
            <w:r w:rsidRPr="00141069">
              <w:rPr>
                <w:rFonts w:cs="Calibri"/>
                <w:bCs/>
                <w:szCs w:val="18"/>
              </w:rPr>
              <w:t>2015</w:t>
            </w:r>
          </w:p>
        </w:tc>
        <w:tc>
          <w:tcPr>
            <w:tcW w:w="906" w:type="dxa"/>
            <w:vMerge w:val="restart"/>
            <w:tcBorders>
              <w:top w:val="nil"/>
              <w:left w:val="nil"/>
              <w:bottom w:val="single" w:sz="4" w:space="0" w:color="000000"/>
              <w:right w:val="single" w:sz="4" w:space="0" w:color="auto"/>
            </w:tcBorders>
            <w:shd w:val="clear" w:color="000000" w:fill="D9D9D9"/>
            <w:vAlign w:val="bottom"/>
            <w:hideMark/>
          </w:tcPr>
          <w:p w:rsidR="003E6989" w:rsidRDefault="003E6989" w:rsidP="006A5410">
            <w:pPr>
              <w:jc w:val="right"/>
              <w:rPr>
                <w:rFonts w:cs="Calibri"/>
                <w:b/>
                <w:bCs/>
                <w:szCs w:val="18"/>
              </w:rPr>
            </w:pPr>
            <w:r>
              <w:rPr>
                <w:rFonts w:cs="Calibri"/>
                <w:b/>
                <w:bCs/>
                <w:szCs w:val="18"/>
              </w:rPr>
              <w:t>Category (Level 1, 2 or 3)</w:t>
            </w:r>
          </w:p>
        </w:tc>
        <w:tc>
          <w:tcPr>
            <w:tcW w:w="1187" w:type="dxa"/>
            <w:vMerge w:val="restart"/>
            <w:tcBorders>
              <w:top w:val="nil"/>
              <w:left w:val="single" w:sz="4" w:space="0" w:color="auto"/>
              <w:bottom w:val="single" w:sz="4" w:space="0" w:color="000000"/>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Valuation technique</w:t>
            </w:r>
          </w:p>
        </w:tc>
        <w:tc>
          <w:tcPr>
            <w:tcW w:w="758" w:type="dxa"/>
            <w:vMerge w:val="restart"/>
            <w:tcBorders>
              <w:top w:val="nil"/>
              <w:left w:val="single" w:sz="4" w:space="0" w:color="auto"/>
              <w:bottom w:val="single" w:sz="4" w:space="0" w:color="000000"/>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Inputs Used</w:t>
            </w:r>
          </w:p>
        </w:tc>
        <w:tc>
          <w:tcPr>
            <w:tcW w:w="980" w:type="dxa"/>
            <w:vMerge w:val="restart"/>
            <w:tcBorders>
              <w:top w:val="nil"/>
              <w:left w:val="single" w:sz="4" w:space="0" w:color="auto"/>
              <w:bottom w:val="single" w:sz="4" w:space="0" w:color="000000"/>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Inputs Range</w:t>
            </w:r>
          </w:p>
        </w:tc>
        <w:tc>
          <w:tcPr>
            <w:tcW w:w="944" w:type="dxa"/>
            <w:vMerge w:val="restart"/>
            <w:tcBorders>
              <w:top w:val="nil"/>
              <w:left w:val="single" w:sz="4" w:space="0" w:color="auto"/>
              <w:bottom w:val="single" w:sz="4" w:space="0" w:color="000000"/>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Weighted Average</w:t>
            </w:r>
          </w:p>
        </w:tc>
      </w:tr>
      <w:tr w:rsidR="003E6989" w:rsidTr="006A5410">
        <w:trPr>
          <w:trHeight w:val="278"/>
        </w:trPr>
        <w:tc>
          <w:tcPr>
            <w:tcW w:w="2005" w:type="dxa"/>
            <w:tcBorders>
              <w:top w:val="nil"/>
              <w:left w:val="nil"/>
              <w:bottom w:val="single" w:sz="4" w:space="0" w:color="auto"/>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093"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112" w:type="dxa"/>
            <w:tcBorders>
              <w:top w:val="nil"/>
              <w:left w:val="nil"/>
              <w:bottom w:val="single" w:sz="4" w:space="0" w:color="auto"/>
              <w:right w:val="nil"/>
            </w:tcBorders>
            <w:shd w:val="clear" w:color="000000" w:fill="D9D9D9"/>
            <w:vAlign w:val="bottom"/>
            <w:hideMark/>
          </w:tcPr>
          <w:p w:rsidR="003E6989" w:rsidRPr="00141069" w:rsidRDefault="003E6989" w:rsidP="006A5410">
            <w:pPr>
              <w:jc w:val="right"/>
              <w:rPr>
                <w:rFonts w:cs="Calibri"/>
                <w:bCs/>
                <w:szCs w:val="18"/>
              </w:rPr>
            </w:pPr>
            <w:r w:rsidRPr="00141069">
              <w:rPr>
                <w:rFonts w:cs="Calibri"/>
                <w:bCs/>
                <w:szCs w:val="18"/>
              </w:rPr>
              <w:t>$'000</w:t>
            </w:r>
          </w:p>
        </w:tc>
        <w:tc>
          <w:tcPr>
            <w:tcW w:w="906" w:type="dxa"/>
            <w:vMerge/>
            <w:tcBorders>
              <w:top w:val="nil"/>
              <w:left w:val="nil"/>
              <w:bottom w:val="single" w:sz="4" w:space="0" w:color="000000"/>
              <w:right w:val="single" w:sz="4" w:space="0" w:color="auto"/>
            </w:tcBorders>
            <w:vAlign w:val="center"/>
            <w:hideMark/>
          </w:tcPr>
          <w:p w:rsidR="003E6989" w:rsidRDefault="003E6989" w:rsidP="006A5410">
            <w:pPr>
              <w:rPr>
                <w:rFonts w:cs="Calibri"/>
                <w:b/>
                <w:bCs/>
                <w:szCs w:val="18"/>
              </w:rPr>
            </w:pPr>
          </w:p>
        </w:tc>
        <w:tc>
          <w:tcPr>
            <w:tcW w:w="1187" w:type="dxa"/>
            <w:vMerge/>
            <w:tcBorders>
              <w:top w:val="nil"/>
              <w:left w:val="single" w:sz="4" w:space="0" w:color="auto"/>
              <w:bottom w:val="single" w:sz="4" w:space="0" w:color="000000"/>
              <w:right w:val="nil"/>
            </w:tcBorders>
            <w:vAlign w:val="center"/>
            <w:hideMark/>
          </w:tcPr>
          <w:p w:rsidR="003E6989" w:rsidRDefault="003E6989" w:rsidP="006A5410">
            <w:pPr>
              <w:rPr>
                <w:rFonts w:cs="Calibri"/>
                <w:b/>
                <w:bCs/>
                <w:szCs w:val="18"/>
              </w:rPr>
            </w:pPr>
          </w:p>
        </w:tc>
        <w:tc>
          <w:tcPr>
            <w:tcW w:w="758" w:type="dxa"/>
            <w:vMerge/>
            <w:tcBorders>
              <w:top w:val="nil"/>
              <w:left w:val="single" w:sz="4" w:space="0" w:color="auto"/>
              <w:bottom w:val="single" w:sz="4" w:space="0" w:color="000000"/>
              <w:right w:val="nil"/>
            </w:tcBorders>
            <w:vAlign w:val="center"/>
            <w:hideMark/>
          </w:tcPr>
          <w:p w:rsidR="003E6989" w:rsidRDefault="003E6989" w:rsidP="006A5410">
            <w:pPr>
              <w:rPr>
                <w:rFonts w:cs="Calibri"/>
                <w:b/>
                <w:bCs/>
                <w:szCs w:val="18"/>
              </w:rPr>
            </w:pPr>
          </w:p>
        </w:tc>
        <w:tc>
          <w:tcPr>
            <w:tcW w:w="980" w:type="dxa"/>
            <w:vMerge/>
            <w:tcBorders>
              <w:top w:val="nil"/>
              <w:left w:val="single" w:sz="4" w:space="0" w:color="auto"/>
              <w:bottom w:val="single" w:sz="4" w:space="0" w:color="000000"/>
              <w:right w:val="nil"/>
            </w:tcBorders>
            <w:vAlign w:val="center"/>
            <w:hideMark/>
          </w:tcPr>
          <w:p w:rsidR="003E6989" w:rsidRDefault="003E6989" w:rsidP="006A5410">
            <w:pPr>
              <w:rPr>
                <w:rFonts w:cs="Calibri"/>
                <w:b/>
                <w:bCs/>
                <w:szCs w:val="18"/>
              </w:rPr>
            </w:pPr>
          </w:p>
        </w:tc>
        <w:tc>
          <w:tcPr>
            <w:tcW w:w="944" w:type="dxa"/>
            <w:vMerge/>
            <w:tcBorders>
              <w:top w:val="nil"/>
              <w:left w:val="single" w:sz="4" w:space="0" w:color="auto"/>
              <w:bottom w:val="single" w:sz="4" w:space="0" w:color="000000"/>
              <w:right w:val="nil"/>
            </w:tcBorders>
            <w:vAlign w:val="center"/>
            <w:hideMark/>
          </w:tcPr>
          <w:p w:rsidR="003E6989" w:rsidRDefault="003E6989" w:rsidP="006A5410">
            <w:pPr>
              <w:rPr>
                <w:rFonts w:cs="Calibri"/>
                <w:b/>
                <w:bCs/>
                <w:szCs w:val="18"/>
              </w:rPr>
            </w:pPr>
          </w:p>
        </w:tc>
      </w:tr>
      <w:tr w:rsidR="003E6989" w:rsidTr="006A5410">
        <w:trPr>
          <w:trHeight w:val="255"/>
        </w:trPr>
        <w:tc>
          <w:tcPr>
            <w:tcW w:w="2005"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Financial assets</w:t>
            </w:r>
          </w:p>
        </w:tc>
        <w:tc>
          <w:tcPr>
            <w:tcW w:w="1093"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1112"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 </w:t>
            </w:r>
          </w:p>
        </w:tc>
        <w:tc>
          <w:tcPr>
            <w:tcW w:w="906"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1187"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758"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80"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c>
          <w:tcPr>
            <w:tcW w:w="944" w:type="dxa"/>
            <w:tcBorders>
              <w:top w:val="nil"/>
              <w:left w:val="nil"/>
              <w:bottom w:val="single" w:sz="4" w:space="0" w:color="D9D9D9"/>
              <w:right w:val="nil"/>
            </w:tcBorders>
            <w:shd w:val="clear" w:color="000000" w:fill="D9D9D9"/>
            <w:noWrap/>
            <w:vAlign w:val="bottom"/>
            <w:hideMark/>
          </w:tcPr>
          <w:p w:rsidR="003E6989" w:rsidRDefault="003E6989" w:rsidP="006A5410">
            <w:pPr>
              <w:rPr>
                <w:rFonts w:cs="Calibri"/>
                <w:sz w:val="16"/>
                <w:szCs w:val="16"/>
              </w:rPr>
            </w:pPr>
            <w:r>
              <w:rPr>
                <w:rFonts w:cs="Calibri"/>
                <w:sz w:val="16"/>
                <w:szCs w:val="16"/>
              </w:rPr>
              <w:t> </w:t>
            </w:r>
          </w:p>
        </w:tc>
      </w:tr>
      <w:tr w:rsidR="003E6989" w:rsidTr="006A5410">
        <w:trPr>
          <w:trHeight w:val="480"/>
        </w:trPr>
        <w:tc>
          <w:tcPr>
            <w:tcW w:w="2005" w:type="dxa"/>
            <w:tcBorders>
              <w:top w:val="nil"/>
              <w:left w:val="nil"/>
              <w:bottom w:val="nil"/>
              <w:right w:val="nil"/>
            </w:tcBorders>
            <w:shd w:val="clear" w:color="000000" w:fill="D9D9D9"/>
            <w:noWrap/>
            <w:vAlign w:val="bottom"/>
            <w:hideMark/>
          </w:tcPr>
          <w:p w:rsidR="003E6989" w:rsidRDefault="003E6989" w:rsidP="003E6989">
            <w:pPr>
              <w:ind w:firstLineChars="100" w:firstLine="180"/>
              <w:rPr>
                <w:rFonts w:cs="Calibri"/>
                <w:szCs w:val="18"/>
              </w:rPr>
            </w:pPr>
            <w:r>
              <w:rPr>
                <w:rFonts w:cs="Calibri"/>
                <w:szCs w:val="18"/>
              </w:rPr>
              <w:t>Concessional loans</w:t>
            </w:r>
          </w:p>
        </w:tc>
        <w:tc>
          <w:tcPr>
            <w:tcW w:w="1093"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36,953,923</w:t>
            </w:r>
          </w:p>
        </w:tc>
        <w:tc>
          <w:tcPr>
            <w:tcW w:w="111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30,497,818 </w:t>
            </w:r>
          </w:p>
        </w:tc>
        <w:tc>
          <w:tcPr>
            <w:tcW w:w="90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 </w:t>
            </w:r>
          </w:p>
        </w:tc>
        <w:tc>
          <w:tcPr>
            <w:tcW w:w="1187"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Loan Conditions</w:t>
            </w:r>
          </w:p>
        </w:tc>
        <w:tc>
          <w:tcPr>
            <w:tcW w:w="758"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c>
          <w:tcPr>
            <w:tcW w:w="980"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Principal due</w:t>
            </w:r>
          </w:p>
        </w:tc>
        <w:tc>
          <w:tcPr>
            <w:tcW w:w="94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r>
      <w:tr w:rsidR="003E6989" w:rsidTr="006A5410">
        <w:trPr>
          <w:trHeight w:val="720"/>
        </w:trPr>
        <w:tc>
          <w:tcPr>
            <w:tcW w:w="2005" w:type="dxa"/>
            <w:tcBorders>
              <w:top w:val="nil"/>
              <w:left w:val="nil"/>
              <w:bottom w:val="nil"/>
              <w:right w:val="nil"/>
            </w:tcBorders>
            <w:shd w:val="clear" w:color="000000" w:fill="D9D9D9"/>
            <w:vAlign w:val="bottom"/>
            <w:hideMark/>
          </w:tcPr>
          <w:p w:rsidR="003E6989" w:rsidRDefault="003E6989" w:rsidP="003E6989">
            <w:pPr>
              <w:ind w:firstLineChars="100" w:firstLine="180"/>
              <w:rPr>
                <w:rFonts w:cs="Calibri"/>
                <w:szCs w:val="18"/>
              </w:rPr>
            </w:pPr>
            <w:r>
              <w:rPr>
                <w:rFonts w:cs="Calibri"/>
                <w:szCs w:val="18"/>
              </w:rPr>
              <w:t>Administered investments</w:t>
            </w:r>
          </w:p>
        </w:tc>
        <w:tc>
          <w:tcPr>
            <w:tcW w:w="1093"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1112"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2,149,930 </w:t>
            </w:r>
          </w:p>
        </w:tc>
        <w:tc>
          <w:tcPr>
            <w:tcW w:w="906"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3 </w:t>
            </w:r>
          </w:p>
        </w:tc>
        <w:tc>
          <w:tcPr>
            <w:tcW w:w="1187"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Net assets of the entity</w:t>
            </w:r>
          </w:p>
        </w:tc>
        <w:tc>
          <w:tcPr>
            <w:tcW w:w="758"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c>
          <w:tcPr>
            <w:tcW w:w="980"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Net assets of the entity</w:t>
            </w:r>
          </w:p>
        </w:tc>
        <w:tc>
          <w:tcPr>
            <w:tcW w:w="944" w:type="dxa"/>
            <w:tcBorders>
              <w:top w:val="nil"/>
              <w:left w:val="nil"/>
              <w:bottom w:val="nil"/>
              <w:right w:val="nil"/>
            </w:tcBorders>
            <w:shd w:val="clear" w:color="000000" w:fill="D9D9D9"/>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2005" w:type="dxa"/>
            <w:tcBorders>
              <w:top w:val="nil"/>
              <w:left w:val="nil"/>
              <w:bottom w:val="nil"/>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financial assets</w:t>
            </w:r>
          </w:p>
        </w:tc>
        <w:tc>
          <w:tcPr>
            <w:tcW w:w="109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39,072,260</w:t>
            </w:r>
          </w:p>
        </w:tc>
        <w:tc>
          <w:tcPr>
            <w:tcW w:w="111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32,647,748</w:t>
            </w:r>
          </w:p>
        </w:tc>
        <w:tc>
          <w:tcPr>
            <w:tcW w:w="906" w:type="dxa"/>
            <w:tcBorders>
              <w:top w:val="single" w:sz="4" w:space="0" w:color="auto"/>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187" w:type="dxa"/>
            <w:tcBorders>
              <w:top w:val="single" w:sz="4" w:space="0" w:color="auto"/>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758" w:type="dxa"/>
            <w:tcBorders>
              <w:top w:val="single" w:sz="4" w:space="0" w:color="auto"/>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80" w:type="dxa"/>
            <w:tcBorders>
              <w:top w:val="single" w:sz="4" w:space="0" w:color="auto"/>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44" w:type="dxa"/>
            <w:tcBorders>
              <w:top w:val="single" w:sz="4" w:space="0" w:color="auto"/>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480"/>
        </w:trPr>
        <w:tc>
          <w:tcPr>
            <w:tcW w:w="2005" w:type="dxa"/>
            <w:tcBorders>
              <w:top w:val="nil"/>
              <w:left w:val="nil"/>
              <w:bottom w:val="single" w:sz="4" w:space="0" w:color="auto"/>
              <w:right w:val="nil"/>
            </w:tcBorders>
            <w:shd w:val="clear" w:color="000000" w:fill="D9D9D9"/>
            <w:vAlign w:val="bottom"/>
            <w:hideMark/>
          </w:tcPr>
          <w:p w:rsidR="003E6989" w:rsidRDefault="003E6989" w:rsidP="006A5410">
            <w:pPr>
              <w:rPr>
                <w:rFonts w:cs="Calibri"/>
                <w:b/>
                <w:bCs/>
                <w:i/>
                <w:iCs/>
                <w:szCs w:val="18"/>
              </w:rPr>
            </w:pPr>
            <w:r>
              <w:rPr>
                <w:rFonts w:cs="Calibri"/>
                <w:b/>
                <w:bCs/>
                <w:i/>
                <w:iCs/>
                <w:szCs w:val="18"/>
              </w:rPr>
              <w:t>Total fair value measurements</w:t>
            </w:r>
          </w:p>
        </w:tc>
        <w:tc>
          <w:tcPr>
            <w:tcW w:w="1093"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39,072,260</w:t>
            </w:r>
          </w:p>
        </w:tc>
        <w:tc>
          <w:tcPr>
            <w:tcW w:w="1112"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32,647,748</w:t>
            </w:r>
          </w:p>
        </w:tc>
        <w:tc>
          <w:tcPr>
            <w:tcW w:w="906"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1187"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758"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80"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c>
          <w:tcPr>
            <w:tcW w:w="944" w:type="dxa"/>
            <w:tcBorders>
              <w:top w:val="nil"/>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w:t>
            </w:r>
          </w:p>
        </w:tc>
      </w:tr>
    </w:tbl>
    <w:p w:rsidR="003E6989" w:rsidRDefault="003E6989" w:rsidP="003E6989">
      <w:pPr>
        <w:pStyle w:val="GreyShadeTableBreak"/>
      </w:pPr>
      <w:bookmarkStart w:id="692" w:name="RANGE!D7:D24"/>
      <w:bookmarkStart w:id="693" w:name="RANGE!D7:H27"/>
      <w:bookmarkStart w:id="694" w:name="RANGE!D7:D26"/>
      <w:bookmarkEnd w:id="692"/>
      <w:bookmarkEnd w:id="693"/>
      <w:bookmarkEnd w:id="694"/>
    </w:p>
    <w:p w:rsidR="003E6989" w:rsidRDefault="003E6989" w:rsidP="003E6989">
      <w:pPr>
        <w:pStyle w:val="GreyShadeTableBreak"/>
      </w:pPr>
      <w:r w:rsidRPr="00B71488">
        <w:t xml:space="preserve">There are a number of Administered assets and liabilities not measured at fair value in the statement of </w:t>
      </w:r>
      <w:r>
        <w:t>administered assets and liabilities</w:t>
      </w:r>
      <w:r w:rsidRPr="00B71488">
        <w:t>. The carrying amounts of these assets and liabilities are considered to be a reasonable approximation of their fair value.</w:t>
      </w:r>
      <w:bookmarkStart w:id="695" w:name="RANGE!D7:D14"/>
      <w:bookmarkStart w:id="696" w:name="RANGE!D7:D13"/>
      <w:bookmarkStart w:id="697" w:name="RANGE!D7:H13"/>
      <w:bookmarkEnd w:id="695"/>
      <w:bookmarkEnd w:id="696"/>
      <w:bookmarkEnd w:id="697"/>
    </w:p>
    <w:p w:rsidR="003E6989" w:rsidRPr="00B71488" w:rsidRDefault="003E6989" w:rsidP="003E6989">
      <w:pPr>
        <w:pStyle w:val="GreyShadeTableBreak"/>
        <w:spacing w:before="120" w:after="120"/>
        <w:rPr>
          <w:rFonts w:cs="Calibri"/>
          <w:szCs w:val="18"/>
        </w:rPr>
      </w:pPr>
      <w:r>
        <w:t xml:space="preserve">The methods and valuation techniques used for the purpose of measuring fair value of assets and liabilities </w:t>
      </w:r>
      <w:r w:rsidRPr="00B71488">
        <w:rPr>
          <w:rFonts w:cs="Calibri"/>
          <w:szCs w:val="18"/>
        </w:rPr>
        <w:t xml:space="preserve">in </w:t>
      </w:r>
      <w:r>
        <w:rPr>
          <w:rFonts w:cs="Calibri"/>
          <w:szCs w:val="18"/>
        </w:rPr>
        <w:t>2016</w:t>
      </w:r>
      <w:r w:rsidRPr="00B71488">
        <w:rPr>
          <w:rFonts w:cs="Calibri"/>
          <w:szCs w:val="18"/>
        </w:rPr>
        <w:t xml:space="preserve"> are unchanged from</w:t>
      </w:r>
      <w:r>
        <w:rPr>
          <w:rFonts w:cs="Calibri"/>
          <w:szCs w:val="18"/>
        </w:rPr>
        <w:t xml:space="preserve"> the previous reporting period.</w:t>
      </w:r>
      <w:r w:rsidRPr="00B71488">
        <w:rPr>
          <w:rFonts w:cs="Calibri"/>
          <w:szCs w:val="18"/>
        </w:rPr>
        <w:tab/>
      </w:r>
      <w:r w:rsidRPr="00B71488">
        <w:rPr>
          <w:rFonts w:cs="Calibri"/>
          <w:szCs w:val="18"/>
        </w:rPr>
        <w:tab/>
      </w:r>
    </w:p>
    <w:p w:rsidR="003E6989" w:rsidRDefault="003E6989" w:rsidP="003E6989">
      <w:pPr>
        <w:pStyle w:val="GreyShadeTableBreak"/>
        <w:rPr>
          <w:rFonts w:cs="Calibri"/>
          <w:szCs w:val="18"/>
        </w:rPr>
      </w:pPr>
      <w:r w:rsidRPr="00B71488">
        <w:rPr>
          <w:rFonts w:cs="Calibri"/>
          <w:szCs w:val="18"/>
        </w:rPr>
        <w:t>Changing inputs to the level 3 hierarchy valuations to reasonably possible alternate assumptions would not significantly change amounts recognised in net cost of service</w:t>
      </w:r>
      <w:r>
        <w:rPr>
          <w:rFonts w:cs="Calibri"/>
          <w:szCs w:val="18"/>
        </w:rPr>
        <w:t>s</w:t>
      </w:r>
      <w:r w:rsidRPr="00B71488">
        <w:rPr>
          <w:rFonts w:cs="Calibri"/>
          <w:szCs w:val="18"/>
        </w:rPr>
        <w:t xml:space="preserve"> or other comprehensive income.</w:t>
      </w:r>
    </w:p>
    <w:p w:rsidR="003E6989" w:rsidRPr="00B71488" w:rsidRDefault="003E6989" w:rsidP="003E6989">
      <w:pPr>
        <w:pStyle w:val="GreyShadeTableBreak"/>
        <w:rPr>
          <w:rFonts w:cs="Calibri"/>
          <w:szCs w:val="18"/>
        </w:rPr>
      </w:pPr>
    </w:p>
    <w:p w:rsidR="003E6989" w:rsidRDefault="003E6989" w:rsidP="003E6989">
      <w:bookmarkStart w:id="698" w:name="RANGE!D7:J20"/>
      <w:r>
        <w:br w:type="page"/>
      </w:r>
    </w:p>
    <w:tbl>
      <w:tblPr>
        <w:tblW w:w="9087" w:type="dxa"/>
        <w:tblInd w:w="80" w:type="dxa"/>
        <w:tblLayout w:type="fixed"/>
        <w:tblLook w:val="04A0" w:firstRow="1" w:lastRow="0" w:firstColumn="1" w:lastColumn="0" w:noHBand="0" w:noVBand="1"/>
      </w:tblPr>
      <w:tblGrid>
        <w:gridCol w:w="2526"/>
        <w:gridCol w:w="1128"/>
        <w:gridCol w:w="1156"/>
        <w:gridCol w:w="1012"/>
        <w:gridCol w:w="1009"/>
        <w:gridCol w:w="1155"/>
        <w:gridCol w:w="1101"/>
      </w:tblGrid>
      <w:tr w:rsidR="003E6989" w:rsidTr="006A5410">
        <w:trPr>
          <w:trHeight w:val="240"/>
        </w:trPr>
        <w:tc>
          <w:tcPr>
            <w:tcW w:w="9001" w:type="dxa"/>
            <w:gridSpan w:val="7"/>
            <w:tcBorders>
              <w:top w:val="nil"/>
              <w:left w:val="nil"/>
              <w:bottom w:val="nil"/>
              <w:right w:val="nil"/>
            </w:tcBorders>
            <w:shd w:val="clear" w:color="000000" w:fill="D9D9D9"/>
            <w:noWrap/>
            <w:vAlign w:val="bottom"/>
            <w:hideMark/>
          </w:tcPr>
          <w:p w:rsidR="003E6989" w:rsidRDefault="003E6989" w:rsidP="006A5410">
            <w:pPr>
              <w:rPr>
                <w:rFonts w:cs="Calibri"/>
                <w:b/>
                <w:bCs/>
                <w:szCs w:val="18"/>
                <w:u w:val="single"/>
              </w:rPr>
            </w:pPr>
            <w:bookmarkStart w:id="699" w:name="Note_AVDTABLE1" w:colFirst="0" w:colLast="0"/>
            <w:r>
              <w:rPr>
                <w:rFonts w:cs="Calibri"/>
                <w:b/>
                <w:bCs/>
                <w:szCs w:val="18"/>
                <w:u w:val="single"/>
              </w:rPr>
              <w:t>7.5B: Reconciliation for recurring Level 3 fair value measurements</w:t>
            </w:r>
          </w:p>
        </w:tc>
      </w:tr>
      <w:bookmarkEnd w:id="699"/>
      <w:tr w:rsidR="003E6989" w:rsidTr="006A5410">
        <w:trPr>
          <w:trHeight w:val="480"/>
        </w:trPr>
        <w:tc>
          <w:tcPr>
            <w:tcW w:w="9001" w:type="dxa"/>
            <w:gridSpan w:val="7"/>
            <w:tcBorders>
              <w:top w:val="nil"/>
              <w:left w:val="nil"/>
              <w:bottom w:val="nil"/>
              <w:right w:val="nil"/>
            </w:tcBorders>
            <w:shd w:val="clear" w:color="000000" w:fill="D9D9D9"/>
            <w:vAlign w:val="center"/>
            <w:hideMark/>
          </w:tcPr>
          <w:p w:rsidR="003E6989" w:rsidRDefault="003E6989" w:rsidP="006A5410">
            <w:pPr>
              <w:rPr>
                <w:rFonts w:cs="Calibri"/>
                <w:szCs w:val="18"/>
              </w:rPr>
            </w:pPr>
            <w:r>
              <w:rPr>
                <w:rFonts w:cs="Calibri"/>
                <w:szCs w:val="18"/>
              </w:rPr>
              <w:t>There has been no transfer between levels during the period</w:t>
            </w:r>
          </w:p>
        </w:tc>
      </w:tr>
      <w:tr w:rsidR="003E6989" w:rsidTr="006A5410">
        <w:trPr>
          <w:trHeight w:val="240"/>
        </w:trPr>
        <w:tc>
          <w:tcPr>
            <w:tcW w:w="9001" w:type="dxa"/>
            <w:gridSpan w:val="7"/>
            <w:tcBorders>
              <w:top w:val="nil"/>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Recurring Level 3 fair value measurements - reconciliation for assets</w:t>
            </w:r>
          </w:p>
        </w:tc>
      </w:tr>
      <w:tr w:rsidR="003E6989" w:rsidTr="006A5410">
        <w:trPr>
          <w:trHeight w:val="2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6498" w:type="dxa"/>
            <w:gridSpan w:val="6"/>
            <w:tcBorders>
              <w:top w:val="single" w:sz="4" w:space="0" w:color="auto"/>
              <w:left w:val="nil"/>
              <w:bottom w:val="single" w:sz="4" w:space="0" w:color="auto"/>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Financial assets</w:t>
            </w:r>
          </w:p>
        </w:tc>
      </w:tr>
      <w:tr w:rsidR="003E6989" w:rsidTr="006A5410">
        <w:trPr>
          <w:trHeight w:val="495"/>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2262" w:type="dxa"/>
            <w:gridSpan w:val="2"/>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Concessional loans</w:t>
            </w:r>
          </w:p>
        </w:tc>
        <w:tc>
          <w:tcPr>
            <w:tcW w:w="2001" w:type="dxa"/>
            <w:gridSpan w:val="2"/>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Administered investments</w:t>
            </w:r>
          </w:p>
        </w:tc>
        <w:tc>
          <w:tcPr>
            <w:tcW w:w="2235" w:type="dxa"/>
            <w:gridSpan w:val="2"/>
            <w:tcBorders>
              <w:top w:val="single" w:sz="4" w:space="0" w:color="auto"/>
              <w:left w:val="nil"/>
              <w:bottom w:val="single" w:sz="4" w:space="0" w:color="D9D9D9"/>
              <w:right w:val="nil"/>
            </w:tcBorders>
            <w:shd w:val="clear" w:color="000000" w:fill="D9D9D9"/>
            <w:vAlign w:val="bottom"/>
            <w:hideMark/>
          </w:tcPr>
          <w:p w:rsidR="003E6989" w:rsidRDefault="003E6989" w:rsidP="006A5410">
            <w:pPr>
              <w:jc w:val="center"/>
              <w:rPr>
                <w:rFonts w:cs="Calibri"/>
                <w:b/>
                <w:bCs/>
                <w:szCs w:val="18"/>
              </w:rPr>
            </w:pPr>
            <w:r>
              <w:rPr>
                <w:rFonts w:cs="Calibri"/>
                <w:b/>
                <w:bCs/>
                <w:szCs w:val="18"/>
              </w:rPr>
              <w:t>Total</w:t>
            </w:r>
          </w:p>
        </w:tc>
      </w:tr>
      <w:tr w:rsidR="003E6989" w:rsidTr="006A5410">
        <w:trPr>
          <w:trHeight w:val="2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117"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1145"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c>
          <w:tcPr>
            <w:tcW w:w="1002"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999"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c>
          <w:tcPr>
            <w:tcW w:w="1144"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2016</w:t>
            </w:r>
          </w:p>
        </w:tc>
        <w:tc>
          <w:tcPr>
            <w:tcW w:w="1091" w:type="dxa"/>
            <w:tcBorders>
              <w:top w:val="nil"/>
              <w:left w:val="nil"/>
              <w:bottom w:val="single" w:sz="4" w:space="0" w:color="D9D9D9"/>
              <w:right w:val="nil"/>
            </w:tcBorders>
            <w:shd w:val="clear" w:color="000000" w:fill="D9D9D9"/>
            <w:vAlign w:val="bottom"/>
            <w:hideMark/>
          </w:tcPr>
          <w:p w:rsidR="003E6989" w:rsidRDefault="003E6989" w:rsidP="006A5410">
            <w:pPr>
              <w:jc w:val="right"/>
              <w:rPr>
                <w:rFonts w:cs="Calibri"/>
                <w:szCs w:val="18"/>
              </w:rPr>
            </w:pPr>
            <w:r>
              <w:rPr>
                <w:rFonts w:cs="Calibri"/>
                <w:szCs w:val="18"/>
              </w:rPr>
              <w:t>2015</w:t>
            </w:r>
          </w:p>
        </w:tc>
      </w:tr>
      <w:tr w:rsidR="003E6989" w:rsidTr="006A5410">
        <w:trPr>
          <w:trHeight w:val="240"/>
        </w:trPr>
        <w:tc>
          <w:tcPr>
            <w:tcW w:w="2503" w:type="dxa"/>
            <w:tcBorders>
              <w:top w:val="nil"/>
              <w:left w:val="nil"/>
              <w:bottom w:val="single" w:sz="4" w:space="0" w:color="auto"/>
              <w:right w:val="nil"/>
            </w:tcBorders>
            <w:shd w:val="clear" w:color="000000" w:fill="D9D9D9"/>
            <w:vAlign w:val="bottom"/>
            <w:hideMark/>
          </w:tcPr>
          <w:p w:rsidR="003E6989" w:rsidRDefault="003E6989" w:rsidP="006A5410">
            <w:pPr>
              <w:rPr>
                <w:rFonts w:cs="Calibri"/>
                <w:szCs w:val="18"/>
              </w:rPr>
            </w:pPr>
            <w:r>
              <w:rPr>
                <w:rFonts w:cs="Calibri"/>
                <w:szCs w:val="18"/>
              </w:rPr>
              <w:t> </w:t>
            </w:r>
          </w:p>
        </w:tc>
        <w:tc>
          <w:tcPr>
            <w:tcW w:w="1117"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145"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c>
          <w:tcPr>
            <w:tcW w:w="1002"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999"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c>
          <w:tcPr>
            <w:tcW w:w="1144"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b/>
                <w:bCs/>
                <w:szCs w:val="18"/>
              </w:rPr>
            </w:pPr>
            <w:r>
              <w:rPr>
                <w:rFonts w:cs="Calibri"/>
                <w:b/>
                <w:bCs/>
                <w:szCs w:val="18"/>
              </w:rPr>
              <w:t>$'000</w:t>
            </w:r>
          </w:p>
        </w:tc>
        <w:tc>
          <w:tcPr>
            <w:tcW w:w="1091" w:type="dxa"/>
            <w:tcBorders>
              <w:top w:val="nil"/>
              <w:left w:val="nil"/>
              <w:bottom w:val="single" w:sz="4" w:space="0" w:color="auto"/>
              <w:right w:val="nil"/>
            </w:tcBorders>
            <w:shd w:val="clear" w:color="000000" w:fill="D9D9D9"/>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b/>
                <w:bCs/>
                <w:szCs w:val="18"/>
              </w:rPr>
            </w:pPr>
            <w:r>
              <w:rPr>
                <w:rFonts w:cs="Calibri"/>
                <w:b/>
                <w:bCs/>
                <w:szCs w:val="18"/>
              </w:rPr>
              <w:t>Opening balance</w:t>
            </w:r>
          </w:p>
        </w:tc>
        <w:tc>
          <w:tcPr>
            <w:tcW w:w="1117"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30,497,818</w:t>
            </w:r>
          </w:p>
        </w:tc>
        <w:tc>
          <w:tcPr>
            <w:tcW w:w="114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25,147,866 </w:t>
            </w:r>
          </w:p>
        </w:tc>
        <w:tc>
          <w:tcPr>
            <w:tcW w:w="1002"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2,149,930</w:t>
            </w:r>
          </w:p>
        </w:tc>
        <w:tc>
          <w:tcPr>
            <w:tcW w:w="99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2,149,026 </w:t>
            </w:r>
          </w:p>
        </w:tc>
        <w:tc>
          <w:tcPr>
            <w:tcW w:w="11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32,647,748</w:t>
            </w:r>
          </w:p>
        </w:tc>
        <w:tc>
          <w:tcPr>
            <w:tcW w:w="109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27,296,892</w:t>
            </w:r>
          </w:p>
        </w:tc>
      </w:tr>
      <w:tr w:rsidR="003E6989" w:rsidTr="006A5410">
        <w:trPr>
          <w:trHeight w:val="5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Total gains/(losses) recognised in net cost of services</w:t>
            </w:r>
            <w:r>
              <w:rPr>
                <w:rFonts w:cs="Calibri"/>
                <w:szCs w:val="18"/>
                <w:vertAlign w:val="superscript"/>
              </w:rPr>
              <w:t>1</w:t>
            </w:r>
          </w:p>
        </w:tc>
        <w:tc>
          <w:tcPr>
            <w:tcW w:w="1117"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325,973 </w:t>
            </w:r>
          </w:p>
        </w:tc>
        <w:tc>
          <w:tcPr>
            <w:tcW w:w="114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(669,486)</w:t>
            </w:r>
          </w:p>
        </w:tc>
        <w:tc>
          <w:tcPr>
            <w:tcW w:w="100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99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325,973</w:t>
            </w:r>
          </w:p>
        </w:tc>
        <w:tc>
          <w:tcPr>
            <w:tcW w:w="109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(669,486)</w:t>
            </w:r>
          </w:p>
        </w:tc>
      </w:tr>
      <w:tr w:rsidR="003E6989" w:rsidTr="006A5410">
        <w:trPr>
          <w:trHeight w:val="465"/>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Total gains/(losses) recognised in Administered Equity</w:t>
            </w:r>
          </w:p>
        </w:tc>
        <w:tc>
          <w:tcPr>
            <w:tcW w:w="1117"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114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002"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99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904 </w:t>
            </w:r>
          </w:p>
        </w:tc>
        <w:tc>
          <w:tcPr>
            <w:tcW w:w="11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(31,593)</w:t>
            </w:r>
          </w:p>
        </w:tc>
        <w:tc>
          <w:tcPr>
            <w:tcW w:w="109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904</w:t>
            </w:r>
          </w:p>
        </w:tc>
      </w:tr>
      <w:tr w:rsidR="003E6989" w:rsidTr="006A5410">
        <w:trPr>
          <w:trHeight w:val="2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Issues</w:t>
            </w:r>
          </w:p>
        </w:tc>
        <w:tc>
          <w:tcPr>
            <w:tcW w:w="1117"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8,295,624 </w:t>
            </w:r>
          </w:p>
        </w:tc>
        <w:tc>
          <w:tcPr>
            <w:tcW w:w="114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7,944,246 </w:t>
            </w:r>
          </w:p>
        </w:tc>
        <w:tc>
          <w:tcPr>
            <w:tcW w:w="100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99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8,295,624</w:t>
            </w:r>
          </w:p>
        </w:tc>
        <w:tc>
          <w:tcPr>
            <w:tcW w:w="109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7,944,246</w:t>
            </w:r>
          </w:p>
        </w:tc>
      </w:tr>
      <w:tr w:rsidR="003E6989" w:rsidTr="006A5410">
        <w:trPr>
          <w:trHeight w:val="240"/>
        </w:trPr>
        <w:tc>
          <w:tcPr>
            <w:tcW w:w="2503" w:type="dxa"/>
            <w:tcBorders>
              <w:top w:val="nil"/>
              <w:left w:val="nil"/>
              <w:bottom w:val="nil"/>
              <w:right w:val="nil"/>
            </w:tcBorders>
            <w:shd w:val="clear" w:color="000000" w:fill="D9D9D9"/>
            <w:vAlign w:val="bottom"/>
            <w:hideMark/>
          </w:tcPr>
          <w:p w:rsidR="003E6989" w:rsidRDefault="003E6989" w:rsidP="006A5410">
            <w:pPr>
              <w:rPr>
                <w:rFonts w:cs="Calibri"/>
                <w:szCs w:val="18"/>
              </w:rPr>
            </w:pPr>
            <w:r>
              <w:rPr>
                <w:rFonts w:cs="Calibri"/>
                <w:szCs w:val="18"/>
              </w:rPr>
              <w:t>Settlements</w:t>
            </w:r>
          </w:p>
        </w:tc>
        <w:tc>
          <w:tcPr>
            <w:tcW w:w="1117"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(2,165,493)</w:t>
            </w:r>
          </w:p>
        </w:tc>
        <w:tc>
          <w:tcPr>
            <w:tcW w:w="1145"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(1,924,808)</w:t>
            </w:r>
          </w:p>
        </w:tc>
        <w:tc>
          <w:tcPr>
            <w:tcW w:w="1002" w:type="dxa"/>
            <w:tcBorders>
              <w:top w:val="nil"/>
              <w:left w:val="nil"/>
              <w:bottom w:val="nil"/>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 xml:space="preserve"> -</w:t>
            </w:r>
          </w:p>
        </w:tc>
        <w:tc>
          <w:tcPr>
            <w:tcW w:w="999" w:type="dxa"/>
            <w:tcBorders>
              <w:top w:val="nil"/>
              <w:left w:val="nil"/>
              <w:bottom w:val="nil"/>
              <w:right w:val="nil"/>
            </w:tcBorders>
            <w:shd w:val="clear" w:color="000000" w:fill="D9D9D9"/>
            <w:noWrap/>
            <w:vAlign w:val="bottom"/>
            <w:hideMark/>
          </w:tcPr>
          <w:p w:rsidR="003E6989" w:rsidRDefault="003E6989" w:rsidP="006A5410">
            <w:pPr>
              <w:jc w:val="right"/>
              <w:rPr>
                <w:rFonts w:cs="Calibri"/>
                <w:szCs w:val="18"/>
              </w:rPr>
            </w:pPr>
            <w:r>
              <w:rPr>
                <w:rFonts w:cs="Calibri"/>
                <w:szCs w:val="18"/>
              </w:rPr>
              <w:t xml:space="preserve"> -</w:t>
            </w:r>
          </w:p>
        </w:tc>
        <w:tc>
          <w:tcPr>
            <w:tcW w:w="1144"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(2,165,493)</w:t>
            </w:r>
          </w:p>
        </w:tc>
        <w:tc>
          <w:tcPr>
            <w:tcW w:w="1091" w:type="dxa"/>
            <w:tcBorders>
              <w:top w:val="nil"/>
              <w:left w:val="nil"/>
              <w:bottom w:val="single" w:sz="4" w:space="0" w:color="D9D9D9"/>
              <w:right w:val="nil"/>
            </w:tcBorders>
            <w:shd w:val="clear" w:color="000000" w:fill="D9D9D9"/>
            <w:noWrap/>
            <w:vAlign w:val="bottom"/>
            <w:hideMark/>
          </w:tcPr>
          <w:p w:rsidR="003E6989" w:rsidRDefault="003E6989" w:rsidP="006A5410">
            <w:pPr>
              <w:jc w:val="right"/>
              <w:rPr>
                <w:rFonts w:cs="Calibri"/>
                <w:szCs w:val="18"/>
              </w:rPr>
            </w:pPr>
            <w:r>
              <w:rPr>
                <w:rFonts w:cs="Calibri"/>
                <w:szCs w:val="18"/>
              </w:rPr>
              <w:t>(1,924,808)</w:t>
            </w:r>
          </w:p>
        </w:tc>
      </w:tr>
      <w:tr w:rsidR="003E6989" w:rsidTr="006A5410">
        <w:trPr>
          <w:trHeight w:val="240"/>
        </w:trPr>
        <w:tc>
          <w:tcPr>
            <w:tcW w:w="2503" w:type="dxa"/>
            <w:tcBorders>
              <w:top w:val="single" w:sz="4" w:space="0" w:color="auto"/>
              <w:left w:val="nil"/>
              <w:bottom w:val="single" w:sz="4" w:space="0" w:color="auto"/>
              <w:right w:val="nil"/>
            </w:tcBorders>
            <w:shd w:val="clear" w:color="000000" w:fill="D9D9D9"/>
            <w:vAlign w:val="bottom"/>
            <w:hideMark/>
          </w:tcPr>
          <w:p w:rsidR="003E6989" w:rsidRDefault="003E6989" w:rsidP="006A5410">
            <w:pPr>
              <w:rPr>
                <w:rFonts w:cs="Calibri"/>
                <w:b/>
                <w:bCs/>
                <w:szCs w:val="18"/>
              </w:rPr>
            </w:pPr>
            <w:r>
              <w:rPr>
                <w:rFonts w:cs="Calibri"/>
                <w:b/>
                <w:bCs/>
                <w:szCs w:val="18"/>
              </w:rPr>
              <w:t>Closing balance</w:t>
            </w:r>
          </w:p>
        </w:tc>
        <w:tc>
          <w:tcPr>
            <w:tcW w:w="111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36,953,922</w:t>
            </w:r>
          </w:p>
        </w:tc>
        <w:tc>
          <w:tcPr>
            <w:tcW w:w="1145"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30,497,818</w:t>
            </w:r>
          </w:p>
        </w:tc>
        <w:tc>
          <w:tcPr>
            <w:tcW w:w="1002"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2,118,337</w:t>
            </w:r>
          </w:p>
        </w:tc>
        <w:tc>
          <w:tcPr>
            <w:tcW w:w="999"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2,149,930</w:t>
            </w:r>
          </w:p>
        </w:tc>
        <w:tc>
          <w:tcPr>
            <w:tcW w:w="1144"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b/>
                <w:bCs/>
                <w:szCs w:val="18"/>
              </w:rPr>
            </w:pPr>
            <w:r>
              <w:rPr>
                <w:rFonts w:cs="Calibri"/>
                <w:b/>
                <w:bCs/>
                <w:szCs w:val="18"/>
              </w:rPr>
              <w:t>39,072,259</w:t>
            </w:r>
          </w:p>
        </w:tc>
        <w:tc>
          <w:tcPr>
            <w:tcW w:w="109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jc w:val="right"/>
              <w:rPr>
                <w:rFonts w:cs="Calibri"/>
                <w:szCs w:val="18"/>
              </w:rPr>
            </w:pPr>
            <w:r>
              <w:rPr>
                <w:rFonts w:cs="Calibri"/>
                <w:szCs w:val="18"/>
              </w:rPr>
              <w:t>32,647,748</w:t>
            </w:r>
          </w:p>
        </w:tc>
      </w:tr>
    </w:tbl>
    <w:p w:rsidR="003E6989" w:rsidRDefault="003E6989" w:rsidP="003E6989">
      <w:pPr>
        <w:pStyle w:val="GreyShadeTableBreak"/>
        <w:rPr>
          <w:vertAlign w:val="superscript"/>
        </w:rPr>
      </w:pPr>
      <w:bookmarkStart w:id="700" w:name="RANGE!D7:J23"/>
      <w:bookmarkStart w:id="701" w:name="RANGE!D7:F26"/>
      <w:bookmarkEnd w:id="698"/>
      <w:bookmarkEnd w:id="700"/>
      <w:bookmarkEnd w:id="701"/>
    </w:p>
    <w:p w:rsidR="003E6989" w:rsidRDefault="003E6989" w:rsidP="003E6989">
      <w:pPr>
        <w:pStyle w:val="GreyShadeTableBreak"/>
      </w:pPr>
      <w:r>
        <w:rPr>
          <w:vertAlign w:val="superscript"/>
        </w:rPr>
        <w:t xml:space="preserve">1 </w:t>
      </w:r>
      <w:r>
        <w:t>The gains or losses are presented in the Administered Schedule of Comprehensive Income under Notes 2.1C Personal benefits, 2.1E Finance costs, 2.1H Fair value losses, 2.2B Interest.</w:t>
      </w:r>
      <w:bookmarkStart w:id="702" w:name="RANGE!D6:H27"/>
      <w:bookmarkStart w:id="703" w:name="RANGE!D7:H14"/>
      <w:bookmarkStart w:id="704" w:name="RANGE!D7:H15"/>
      <w:bookmarkStart w:id="705" w:name="RANGE!D7:D16"/>
      <w:bookmarkEnd w:id="702"/>
      <w:bookmarkEnd w:id="703"/>
      <w:bookmarkEnd w:id="704"/>
      <w:bookmarkEnd w:id="705"/>
    </w:p>
    <w:p w:rsidR="003E6989" w:rsidRDefault="003E6989" w:rsidP="003E6989">
      <w:pPr>
        <w:pStyle w:val="GreyShadeTableBreak"/>
      </w:pPr>
      <w:r>
        <w:br w:type="page"/>
      </w:r>
    </w:p>
    <w:p w:rsidR="003E6989" w:rsidRDefault="003E6989" w:rsidP="003E6989">
      <w:pPr>
        <w:spacing w:line="240" w:lineRule="auto"/>
        <w:sectPr w:rsidR="003E6989" w:rsidSect="006A5410">
          <w:pgSz w:w="11906" w:h="16838"/>
          <w:pgMar w:top="1134" w:right="1134" w:bottom="1134" w:left="1134" w:header="958" w:footer="737" w:gutter="0"/>
          <w:cols w:space="720"/>
        </w:sectPr>
      </w:pPr>
    </w:p>
    <w:p w:rsidR="003E6989" w:rsidRDefault="003E6989" w:rsidP="003E6989">
      <w:pPr>
        <w:pStyle w:val="SectionHeading"/>
      </w:pPr>
      <w:bookmarkStart w:id="706" w:name="_Toc455416759"/>
      <w:bookmarkStart w:id="707" w:name="_Toc463440705"/>
      <w:bookmarkStart w:id="708" w:name="_Toc464726290"/>
      <w:bookmarkStart w:id="709" w:name="_Toc464726650"/>
      <w:r>
        <w:t>Other Information</w:t>
      </w:r>
      <w:bookmarkEnd w:id="706"/>
      <w:bookmarkEnd w:id="707"/>
      <w:bookmarkEnd w:id="708"/>
      <w:bookmarkEnd w:id="709"/>
    </w:p>
    <w:p w:rsidR="003E6989" w:rsidRPr="00233EDE" w:rsidRDefault="003E6989" w:rsidP="003E6989">
      <w:pPr>
        <w:pStyle w:val="SubHeading"/>
      </w:pPr>
      <w:bookmarkStart w:id="710" w:name="_Toc443991945"/>
      <w:bookmarkStart w:id="711" w:name="_Toc443991989"/>
      <w:bookmarkStart w:id="712" w:name="_Toc443992051"/>
      <w:bookmarkStart w:id="713" w:name="_Toc443992096"/>
      <w:bookmarkStart w:id="714" w:name="_Toc443992576"/>
      <w:bookmarkStart w:id="715" w:name="_Toc444001449"/>
      <w:bookmarkStart w:id="716" w:name="_Toc444260045"/>
      <w:bookmarkStart w:id="717" w:name="_Toc445116352"/>
      <w:bookmarkStart w:id="718" w:name="_Toc447095808"/>
      <w:bookmarkStart w:id="719" w:name="_Toc447095855"/>
      <w:bookmarkStart w:id="720" w:name="_Toc447095898"/>
      <w:bookmarkStart w:id="721" w:name="_Toc447096094"/>
      <w:bookmarkStart w:id="722" w:name="_Toc447796088"/>
      <w:bookmarkStart w:id="723" w:name="_Toc455416760"/>
      <w:bookmarkStart w:id="724" w:name="_Toc464726651"/>
      <w:bookmarkEnd w:id="710"/>
      <w:bookmarkEnd w:id="711"/>
      <w:bookmarkEnd w:id="712"/>
      <w:bookmarkEnd w:id="713"/>
      <w:bookmarkEnd w:id="714"/>
      <w:bookmarkEnd w:id="715"/>
      <w:bookmarkEnd w:id="716"/>
      <w:bookmarkEnd w:id="717"/>
      <w:bookmarkEnd w:id="718"/>
      <w:bookmarkEnd w:id="719"/>
      <w:bookmarkEnd w:id="720"/>
      <w:bookmarkEnd w:id="721"/>
      <w:bookmarkEnd w:id="722"/>
      <w:r>
        <w:t>Restructuring</w:t>
      </w:r>
      <w:bookmarkEnd w:id="723"/>
      <w:bookmarkEnd w:id="724"/>
    </w:p>
    <w:tbl>
      <w:tblPr>
        <w:tblW w:w="6122" w:type="dxa"/>
        <w:tblInd w:w="80" w:type="dxa"/>
        <w:tblLayout w:type="fixed"/>
        <w:tblLook w:val="04A0" w:firstRow="1" w:lastRow="0" w:firstColumn="1" w:lastColumn="0" w:noHBand="0" w:noVBand="1"/>
      </w:tblPr>
      <w:tblGrid>
        <w:gridCol w:w="3302"/>
        <w:gridCol w:w="2820"/>
      </w:tblGrid>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u w:val="single"/>
              </w:rPr>
            </w:pPr>
            <w:bookmarkStart w:id="725" w:name="RANGE!D7:D56"/>
            <w:bookmarkStart w:id="726" w:name="Note_RESTABLE1" w:colFirst="0" w:colLast="0"/>
            <w:r>
              <w:rPr>
                <w:rFonts w:cs="Calibri"/>
                <w:b/>
                <w:bCs/>
                <w:szCs w:val="18"/>
                <w:u w:val="single"/>
              </w:rPr>
              <w:t>8.1A: Departmental restructuring</w:t>
            </w:r>
            <w:bookmarkEnd w:id="725"/>
          </w:p>
        </w:tc>
        <w:tc>
          <w:tcPr>
            <w:tcW w:w="2696" w:type="dxa"/>
            <w:tcBorders>
              <w:top w:val="nil"/>
              <w:left w:val="nil"/>
              <w:bottom w:val="nil"/>
              <w:right w:val="nil"/>
            </w:tcBorders>
            <w:shd w:val="clear" w:color="FFFFFF" w:fill="FFFFFF"/>
            <w:noWrap/>
            <w:vAlign w:val="bottom"/>
            <w:hideMark/>
          </w:tcPr>
          <w:p w:rsidR="003E6989" w:rsidRDefault="003E6989" w:rsidP="006A5410">
            <w:pPr>
              <w:rPr>
                <w:rFonts w:cs="Calibri"/>
                <w:b/>
                <w:bCs/>
                <w:szCs w:val="18"/>
              </w:rPr>
            </w:pPr>
            <w:r>
              <w:rPr>
                <w:rFonts w:cs="Calibri"/>
                <w:b/>
                <w:bCs/>
                <w:szCs w:val="18"/>
              </w:rPr>
              <w:t> </w:t>
            </w:r>
          </w:p>
        </w:tc>
      </w:tr>
      <w:bookmarkEnd w:id="726"/>
      <w:tr w:rsidR="003E6989" w:rsidTr="006A5410">
        <w:trPr>
          <w:trHeight w:val="255"/>
        </w:trPr>
        <w:tc>
          <w:tcPr>
            <w:tcW w:w="31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rPr>
                <w:rFonts w:ascii="Arial" w:hAnsi="Arial" w:cs="Arial"/>
                <w:szCs w:val="18"/>
              </w:rPr>
            </w:pPr>
            <w:r>
              <w:rPr>
                <w:rFonts w:ascii="Arial" w:hAnsi="Arial" w:cs="Arial"/>
                <w:szCs w:val="18"/>
              </w:rPr>
              <w:t> </w:t>
            </w:r>
          </w:p>
        </w:tc>
        <w:tc>
          <w:tcPr>
            <w:tcW w:w="269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jc w:val="center"/>
              <w:rPr>
                <w:rFonts w:cs="Calibri"/>
                <w:b/>
                <w:bCs/>
                <w:szCs w:val="18"/>
              </w:rPr>
            </w:pPr>
            <w:r>
              <w:rPr>
                <w:rFonts w:cs="Calibri"/>
                <w:b/>
                <w:bCs/>
                <w:szCs w:val="18"/>
              </w:rPr>
              <w:t>2016</w:t>
            </w:r>
          </w:p>
        </w:tc>
      </w:tr>
      <w:tr w:rsidR="003E6989" w:rsidTr="006A5410">
        <w:trPr>
          <w:trHeight w:val="480"/>
        </w:trPr>
        <w:tc>
          <w:tcPr>
            <w:tcW w:w="3156" w:type="dxa"/>
            <w:tcBorders>
              <w:top w:val="nil"/>
              <w:left w:val="nil"/>
              <w:bottom w:val="nil"/>
              <w:right w:val="nil"/>
            </w:tcBorders>
            <w:shd w:val="clear" w:color="FFFFFF" w:fill="FFFFFF"/>
            <w:noWrap/>
            <w:hideMark/>
          </w:tcPr>
          <w:p w:rsidR="003E6989" w:rsidRDefault="003E6989" w:rsidP="006A5410">
            <w:pPr>
              <w:rPr>
                <w:rFonts w:ascii="Arial" w:hAnsi="Arial" w:cs="Arial"/>
                <w:b/>
                <w:bCs/>
                <w:szCs w:val="18"/>
              </w:rPr>
            </w:pPr>
            <w:r>
              <w:rPr>
                <w:rFonts w:ascii="Arial" w:hAnsi="Arial" w:cs="Arial"/>
                <w:b/>
                <w:bCs/>
                <w:szCs w:val="18"/>
              </w:rPr>
              <w:t>Function</w:t>
            </w:r>
          </w:p>
        </w:tc>
        <w:tc>
          <w:tcPr>
            <w:tcW w:w="2696" w:type="dxa"/>
            <w:tcBorders>
              <w:top w:val="nil"/>
              <w:left w:val="nil"/>
              <w:bottom w:val="nil"/>
              <w:right w:val="nil"/>
            </w:tcBorders>
            <w:shd w:val="clear" w:color="FFFFFF" w:fill="FFFFFF"/>
            <w:hideMark/>
          </w:tcPr>
          <w:p w:rsidR="003E6989" w:rsidRDefault="003E6989" w:rsidP="006A5410">
            <w:pPr>
              <w:rPr>
                <w:rFonts w:cs="Calibri"/>
                <w:b/>
                <w:bCs/>
                <w:szCs w:val="18"/>
              </w:rPr>
            </w:pPr>
            <w:r>
              <w:rPr>
                <w:rFonts w:cs="Calibri"/>
                <w:b/>
                <w:bCs/>
                <w:szCs w:val="18"/>
              </w:rPr>
              <w:t>Early Childhood Education and Care</w:t>
            </w:r>
          </w:p>
        </w:tc>
      </w:tr>
      <w:tr w:rsidR="003E6989" w:rsidTr="006A5410">
        <w:trPr>
          <w:trHeight w:val="285"/>
        </w:trPr>
        <w:tc>
          <w:tcPr>
            <w:tcW w:w="3156" w:type="dxa"/>
            <w:tcBorders>
              <w:top w:val="nil"/>
              <w:left w:val="nil"/>
              <w:bottom w:val="nil"/>
              <w:right w:val="nil"/>
            </w:tcBorders>
            <w:shd w:val="clear" w:color="FFFFFF" w:fill="FFFFFF"/>
            <w:noWrap/>
            <w:hideMark/>
          </w:tcPr>
          <w:p w:rsidR="003E6989" w:rsidRDefault="003E6989" w:rsidP="006A5410">
            <w:pPr>
              <w:rPr>
                <w:rFonts w:ascii="Arial" w:hAnsi="Arial" w:cs="Arial"/>
                <w:b/>
                <w:bCs/>
                <w:szCs w:val="18"/>
              </w:rPr>
            </w:pPr>
            <w:r>
              <w:rPr>
                <w:rFonts w:ascii="Arial" w:hAnsi="Arial" w:cs="Arial"/>
                <w:b/>
                <w:bCs/>
                <w:szCs w:val="18"/>
              </w:rPr>
              <w:t>Entity</w:t>
            </w:r>
          </w:p>
        </w:tc>
        <w:tc>
          <w:tcPr>
            <w:tcW w:w="2696" w:type="dxa"/>
            <w:tcBorders>
              <w:top w:val="nil"/>
              <w:left w:val="nil"/>
              <w:bottom w:val="nil"/>
              <w:right w:val="nil"/>
            </w:tcBorders>
            <w:shd w:val="clear" w:color="FFFFFF" w:fill="FFFFFF"/>
            <w:hideMark/>
          </w:tcPr>
          <w:p w:rsidR="003E6989" w:rsidRDefault="003E6989" w:rsidP="006A5410">
            <w:pPr>
              <w:rPr>
                <w:rFonts w:cs="Calibri"/>
                <w:b/>
                <w:bCs/>
                <w:szCs w:val="18"/>
              </w:rPr>
            </w:pPr>
            <w:r>
              <w:rPr>
                <w:rFonts w:cs="Calibri"/>
                <w:b/>
                <w:bCs/>
                <w:szCs w:val="18"/>
              </w:rPr>
              <w:t>Department of Social Services</w:t>
            </w:r>
            <w:r>
              <w:rPr>
                <w:rFonts w:cs="Calibri"/>
                <w:b/>
                <w:bCs/>
                <w:szCs w:val="18"/>
                <w:vertAlign w:val="superscript"/>
              </w:rPr>
              <w:t>1</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$'000</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FUNCTION ASSUMED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Assets recognised</w:t>
            </w:r>
          </w:p>
        </w:tc>
        <w:tc>
          <w:tcPr>
            <w:tcW w:w="269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Trade and other receivables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16,060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Property, plant and equipment</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40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Intangibles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949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Leasehold improvements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646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assets recognised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17,695</w:t>
            </w:r>
          </w:p>
        </w:tc>
      </w:tr>
      <w:tr w:rsidR="003E6989" w:rsidTr="006A5410">
        <w:trPr>
          <w:trHeight w:val="120"/>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Liabilities recognised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Employee provisions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13,855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Other payables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192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liabilities recognised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14,047</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Net assets recognised</w:t>
            </w:r>
          </w:p>
        </w:tc>
        <w:tc>
          <w:tcPr>
            <w:tcW w:w="26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3,648</w:t>
            </w:r>
          </w:p>
        </w:tc>
      </w:tr>
      <w:tr w:rsidR="003E6989" w:rsidTr="006A5410">
        <w:trPr>
          <w:trHeight w:val="218"/>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Income assumed</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Recognised by the receiving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Recognised by the losing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62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income assumed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62</w:t>
            </w:r>
          </w:p>
        </w:tc>
      </w:tr>
      <w:tr w:rsidR="003E6989" w:rsidTr="006A5410">
        <w:trPr>
          <w:trHeight w:val="83"/>
        </w:trPr>
        <w:tc>
          <w:tcPr>
            <w:tcW w:w="31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6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Expenses assumed</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Recognised by the receiving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30,508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Recognised by the losing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 xml:space="preserve">14,801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expenses assumed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b/>
                <w:bCs/>
                <w:szCs w:val="18"/>
              </w:rPr>
            </w:pPr>
            <w:r>
              <w:rPr>
                <w:rFonts w:cs="Calibri"/>
                <w:b/>
                <w:bCs/>
                <w:szCs w:val="18"/>
              </w:rPr>
              <w:t>45,309</w:t>
            </w:r>
          </w:p>
        </w:tc>
      </w:tr>
      <w:tr w:rsidR="003E6989" w:rsidTr="006A5410">
        <w:trPr>
          <w:trHeight w:val="132"/>
        </w:trPr>
        <w:tc>
          <w:tcPr>
            <w:tcW w:w="31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6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bl>
    <w:p w:rsidR="003E6989" w:rsidRDefault="003E6989" w:rsidP="003E6989">
      <w:pPr>
        <w:pStyle w:val="ReferenceText"/>
      </w:pPr>
      <w:bookmarkStart w:id="727" w:name="RANGE!D7:E56"/>
      <w:bookmarkStart w:id="728" w:name="RANGE!D7:E54"/>
      <w:bookmarkStart w:id="729" w:name="RANGE!D7:F54"/>
      <w:bookmarkStart w:id="730" w:name="RANGE!D7:F74"/>
      <w:bookmarkStart w:id="731" w:name="RANGE!D7:F72"/>
      <w:bookmarkStart w:id="732" w:name="RANGE!D7:F76"/>
      <w:bookmarkStart w:id="733" w:name="RANGE!D7:F51"/>
      <w:bookmarkStart w:id="734" w:name="RANGE!D7:F55"/>
      <w:bookmarkEnd w:id="727"/>
      <w:bookmarkEnd w:id="728"/>
      <w:bookmarkEnd w:id="729"/>
      <w:bookmarkEnd w:id="730"/>
      <w:bookmarkEnd w:id="731"/>
      <w:bookmarkEnd w:id="732"/>
      <w:bookmarkEnd w:id="733"/>
      <w:bookmarkEnd w:id="734"/>
      <w:r>
        <w:t>Notes:</w:t>
      </w:r>
    </w:p>
    <w:p w:rsidR="003E6989" w:rsidRPr="0087193F" w:rsidRDefault="003E6989" w:rsidP="003E6989">
      <w:pPr>
        <w:pStyle w:val="ReferenceText"/>
      </w:pPr>
      <w:r w:rsidRPr="0087193F">
        <w:rPr>
          <w:vertAlign w:val="superscript"/>
        </w:rPr>
        <w:t>1</w:t>
      </w:r>
      <w:r w:rsidRPr="0087193F">
        <w:t xml:space="preserve"> The Early Childhood Education and Care functions were acquired from the Department of Social Services following the Administrative Arrangement Orders of 21 September 2015. </w:t>
      </w:r>
    </w:p>
    <w:p w:rsidR="003E6989" w:rsidRPr="0087193F" w:rsidRDefault="003E6989" w:rsidP="003E6989">
      <w:r w:rsidRPr="0087193F">
        <w:t>The net assets assumed from all entities total $</w:t>
      </w:r>
      <w:r>
        <w:t>3.648</w:t>
      </w:r>
      <w:r w:rsidRPr="0087193F">
        <w:t xml:space="preserve"> million.</w:t>
      </w:r>
    </w:p>
    <w:p w:rsidR="003E6989" w:rsidRDefault="003E6989" w:rsidP="003E6989">
      <w:pPr>
        <w:sectPr w:rsidR="003E6989" w:rsidSect="006A5410">
          <w:pgSz w:w="11906" w:h="16838"/>
          <w:pgMar w:top="1134" w:right="1134" w:bottom="1134" w:left="1134" w:header="958" w:footer="737" w:gutter="0"/>
          <w:cols w:space="720"/>
          <w:docGrid w:linePitch="245"/>
        </w:sectPr>
      </w:pPr>
      <w:r w:rsidRPr="0087193F">
        <w:t>The net book value of the assets and liabilities were transferred to the department for no consideration.</w:t>
      </w:r>
    </w:p>
    <w:p w:rsidR="003E6989" w:rsidRDefault="003E6989" w:rsidP="003E6989">
      <w:bookmarkStart w:id="735" w:name="RANGE!D94:F162"/>
      <w:bookmarkStart w:id="736" w:name="RANGE!D94:F144"/>
      <w:bookmarkStart w:id="737" w:name="RANGE!D90:I141"/>
      <w:bookmarkStart w:id="738" w:name="RANGE!D94:I145"/>
      <w:bookmarkStart w:id="739" w:name="RANGE!D63:I114"/>
      <w:bookmarkStart w:id="740" w:name="RANGE!D64:J111"/>
      <w:bookmarkEnd w:id="735"/>
      <w:bookmarkEnd w:id="736"/>
      <w:bookmarkEnd w:id="737"/>
      <w:bookmarkEnd w:id="738"/>
      <w:bookmarkEnd w:id="739"/>
      <w:bookmarkEnd w:id="740"/>
    </w:p>
    <w:tbl>
      <w:tblPr>
        <w:tblW w:w="9087" w:type="dxa"/>
        <w:tblInd w:w="80" w:type="dxa"/>
        <w:tblLayout w:type="fixed"/>
        <w:tblCellMar>
          <w:left w:w="6" w:type="dxa"/>
          <w:right w:w="6" w:type="dxa"/>
        </w:tblCellMar>
        <w:tblLook w:val="04A0" w:firstRow="1" w:lastRow="0" w:firstColumn="1" w:lastColumn="0" w:noHBand="0" w:noVBand="1"/>
      </w:tblPr>
      <w:tblGrid>
        <w:gridCol w:w="3241"/>
        <w:gridCol w:w="2769"/>
        <w:gridCol w:w="3077"/>
      </w:tblGrid>
      <w:tr w:rsidR="003E6989" w:rsidTr="006A5410">
        <w:trPr>
          <w:trHeight w:val="255"/>
        </w:trPr>
        <w:tc>
          <w:tcPr>
            <w:tcW w:w="315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rPr>
                <w:rFonts w:ascii="Arial" w:hAnsi="Arial" w:cs="Arial"/>
                <w:szCs w:val="18"/>
              </w:rPr>
            </w:pPr>
            <w:bookmarkStart w:id="741" w:name="Note_RESTABLE2" w:colFirst="0" w:colLast="0"/>
            <w:r>
              <w:rPr>
                <w:rFonts w:ascii="Arial" w:hAnsi="Arial" w:cs="Arial"/>
                <w:szCs w:val="18"/>
              </w:rPr>
              <w:t> </w:t>
            </w:r>
          </w:p>
        </w:tc>
        <w:tc>
          <w:tcPr>
            <w:tcW w:w="5692" w:type="dxa"/>
            <w:gridSpan w:val="2"/>
            <w:tcBorders>
              <w:top w:val="single" w:sz="4" w:space="0" w:color="auto"/>
              <w:left w:val="nil"/>
              <w:bottom w:val="single" w:sz="4" w:space="0" w:color="auto"/>
              <w:right w:val="nil"/>
            </w:tcBorders>
            <w:shd w:val="clear" w:color="FFFFFF" w:fill="FFFFFF"/>
            <w:vAlign w:val="bottom"/>
            <w:hideMark/>
          </w:tcPr>
          <w:p w:rsidR="003E6989" w:rsidRDefault="003E6989" w:rsidP="006A5410">
            <w:pPr>
              <w:jc w:val="center"/>
              <w:rPr>
                <w:rFonts w:cs="Calibri"/>
                <w:szCs w:val="18"/>
              </w:rPr>
            </w:pPr>
            <w:r>
              <w:rPr>
                <w:rFonts w:cs="Calibri"/>
                <w:szCs w:val="18"/>
              </w:rPr>
              <w:t>2015</w:t>
            </w:r>
          </w:p>
        </w:tc>
      </w:tr>
      <w:bookmarkEnd w:id="741"/>
      <w:tr w:rsidR="003E6989" w:rsidTr="006A5410">
        <w:trPr>
          <w:trHeight w:val="480"/>
        </w:trPr>
        <w:tc>
          <w:tcPr>
            <w:tcW w:w="3156" w:type="dxa"/>
            <w:tcBorders>
              <w:top w:val="nil"/>
              <w:left w:val="nil"/>
              <w:bottom w:val="nil"/>
              <w:right w:val="nil"/>
            </w:tcBorders>
            <w:shd w:val="clear" w:color="FFFFFF" w:fill="FFFFFF"/>
            <w:noWrap/>
            <w:hideMark/>
          </w:tcPr>
          <w:p w:rsidR="003E6989" w:rsidRDefault="003E6989" w:rsidP="006A5410">
            <w:pPr>
              <w:rPr>
                <w:rFonts w:ascii="Arial" w:hAnsi="Arial" w:cs="Arial"/>
                <w:b/>
                <w:bCs/>
                <w:szCs w:val="18"/>
              </w:rPr>
            </w:pPr>
            <w:r>
              <w:rPr>
                <w:rFonts w:ascii="Arial" w:hAnsi="Arial" w:cs="Arial"/>
                <w:b/>
                <w:bCs/>
                <w:szCs w:val="18"/>
              </w:rPr>
              <w:t>Function</w:t>
            </w:r>
          </w:p>
        </w:tc>
        <w:tc>
          <w:tcPr>
            <w:tcW w:w="2696" w:type="dxa"/>
            <w:tcBorders>
              <w:top w:val="nil"/>
              <w:left w:val="nil"/>
              <w:bottom w:val="nil"/>
              <w:right w:val="nil"/>
            </w:tcBorders>
            <w:shd w:val="clear" w:color="FFFFFF" w:fill="FFFFFF"/>
            <w:hideMark/>
          </w:tcPr>
          <w:p w:rsidR="003E6989" w:rsidRDefault="003E6989" w:rsidP="006A5410">
            <w:pPr>
              <w:rPr>
                <w:rFonts w:cs="Calibri"/>
                <w:szCs w:val="18"/>
              </w:rPr>
            </w:pPr>
            <w:r>
              <w:rPr>
                <w:rFonts w:cs="Calibri"/>
                <w:szCs w:val="18"/>
              </w:rPr>
              <w:t>Early Childhood Education and Care</w:t>
            </w:r>
          </w:p>
        </w:tc>
        <w:tc>
          <w:tcPr>
            <w:tcW w:w="2996" w:type="dxa"/>
            <w:tcBorders>
              <w:top w:val="nil"/>
              <w:left w:val="nil"/>
              <w:bottom w:val="nil"/>
              <w:right w:val="nil"/>
            </w:tcBorders>
            <w:shd w:val="clear" w:color="FFFFFF" w:fill="FFFFFF"/>
            <w:hideMark/>
          </w:tcPr>
          <w:p w:rsidR="003E6989" w:rsidRDefault="003E6989" w:rsidP="006A5410">
            <w:pPr>
              <w:rPr>
                <w:rFonts w:cs="Calibri"/>
                <w:szCs w:val="18"/>
              </w:rPr>
            </w:pPr>
            <w:r>
              <w:rPr>
                <w:rFonts w:cs="Calibri"/>
                <w:szCs w:val="18"/>
              </w:rPr>
              <w:t>Skills and Training</w:t>
            </w:r>
          </w:p>
        </w:tc>
      </w:tr>
      <w:tr w:rsidR="003E6989" w:rsidTr="006A5410">
        <w:trPr>
          <w:trHeight w:val="525"/>
        </w:trPr>
        <w:tc>
          <w:tcPr>
            <w:tcW w:w="3156" w:type="dxa"/>
            <w:tcBorders>
              <w:top w:val="nil"/>
              <w:left w:val="nil"/>
              <w:bottom w:val="nil"/>
              <w:right w:val="nil"/>
            </w:tcBorders>
            <w:shd w:val="clear" w:color="FFFFFF" w:fill="FFFFFF"/>
            <w:noWrap/>
            <w:hideMark/>
          </w:tcPr>
          <w:p w:rsidR="003E6989" w:rsidRDefault="003E6989" w:rsidP="006A5410">
            <w:pPr>
              <w:rPr>
                <w:rFonts w:ascii="Arial" w:hAnsi="Arial" w:cs="Arial"/>
                <w:b/>
                <w:bCs/>
                <w:szCs w:val="18"/>
              </w:rPr>
            </w:pPr>
            <w:r>
              <w:rPr>
                <w:rFonts w:ascii="Arial" w:hAnsi="Arial" w:cs="Arial"/>
                <w:b/>
                <w:bCs/>
                <w:szCs w:val="18"/>
              </w:rPr>
              <w:t>Entity</w:t>
            </w:r>
          </w:p>
        </w:tc>
        <w:tc>
          <w:tcPr>
            <w:tcW w:w="2696" w:type="dxa"/>
            <w:tcBorders>
              <w:top w:val="nil"/>
              <w:left w:val="nil"/>
              <w:bottom w:val="nil"/>
              <w:right w:val="nil"/>
            </w:tcBorders>
            <w:shd w:val="clear" w:color="FFFFFF" w:fill="FFFFFF"/>
            <w:hideMark/>
          </w:tcPr>
          <w:p w:rsidR="003E6989" w:rsidRDefault="003E6989" w:rsidP="006A5410">
            <w:pPr>
              <w:rPr>
                <w:rFonts w:cs="Calibri"/>
                <w:szCs w:val="18"/>
              </w:rPr>
            </w:pPr>
            <w:r>
              <w:rPr>
                <w:rFonts w:cs="Calibri"/>
                <w:szCs w:val="18"/>
              </w:rPr>
              <w:t>Department of Social Services</w:t>
            </w:r>
            <w:r>
              <w:rPr>
                <w:rFonts w:cs="Calibri"/>
                <w:szCs w:val="18"/>
                <w:vertAlign w:val="superscript"/>
              </w:rPr>
              <w:t>1</w:t>
            </w:r>
          </w:p>
        </w:tc>
        <w:tc>
          <w:tcPr>
            <w:tcW w:w="2996" w:type="dxa"/>
            <w:tcBorders>
              <w:top w:val="nil"/>
              <w:left w:val="nil"/>
              <w:bottom w:val="nil"/>
              <w:right w:val="nil"/>
            </w:tcBorders>
            <w:shd w:val="clear" w:color="FFFFFF" w:fill="FFFFFF"/>
            <w:hideMark/>
          </w:tcPr>
          <w:p w:rsidR="003E6989" w:rsidRDefault="003E6989" w:rsidP="006A5410">
            <w:pPr>
              <w:rPr>
                <w:rFonts w:cs="Calibri"/>
                <w:szCs w:val="18"/>
              </w:rPr>
            </w:pPr>
            <w:r>
              <w:rPr>
                <w:rFonts w:cs="Calibri"/>
                <w:szCs w:val="18"/>
              </w:rPr>
              <w:t>Department of Industry and Science</w:t>
            </w:r>
            <w:r>
              <w:rPr>
                <w:rFonts w:cs="Calibri"/>
                <w:szCs w:val="18"/>
                <w:vertAlign w:val="superscript"/>
              </w:rPr>
              <w:t>2</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c>
          <w:tcPr>
            <w:tcW w:w="29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$'000</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FUNCTION ASSUMED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9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Assets recognised</w:t>
            </w:r>
          </w:p>
        </w:tc>
        <w:tc>
          <w:tcPr>
            <w:tcW w:w="269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c>
          <w:tcPr>
            <w:tcW w:w="299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Trade and other receivables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24,100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Property, plant and equipment</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Intangibles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14,712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assets recognised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38,813</w:t>
            </w:r>
          </w:p>
        </w:tc>
      </w:tr>
      <w:tr w:rsidR="003E6989" w:rsidTr="006A5410">
        <w:trPr>
          <w:trHeight w:val="109"/>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29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Liabilities recognised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29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Employee provisions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14,256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liabilities recognised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14,256</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Net assets recognised</w:t>
            </w:r>
          </w:p>
        </w:tc>
        <w:tc>
          <w:tcPr>
            <w:tcW w:w="26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24,557</w:t>
            </w:r>
          </w:p>
        </w:tc>
      </w:tr>
      <w:tr w:rsidR="003E6989" w:rsidTr="006A5410">
        <w:trPr>
          <w:trHeight w:val="192"/>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6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c>
          <w:tcPr>
            <w:tcW w:w="2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Income assumed</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c>
          <w:tcPr>
            <w:tcW w:w="29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Recognised by the receiving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4,105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Recognised by the losing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2,863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income assumed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6,968</w:t>
            </w:r>
          </w:p>
        </w:tc>
      </w:tr>
      <w:tr w:rsidR="003E6989" w:rsidTr="006A5410">
        <w:trPr>
          <w:trHeight w:val="420"/>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Expenses assumed</w:t>
            </w:r>
          </w:p>
        </w:tc>
        <w:tc>
          <w:tcPr>
            <w:tcW w:w="26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c>
          <w:tcPr>
            <w:tcW w:w="2996" w:type="dxa"/>
            <w:tcBorders>
              <w:top w:val="nil"/>
              <w:left w:val="nil"/>
              <w:bottom w:val="single" w:sz="4" w:space="0" w:color="auto"/>
              <w:right w:val="nil"/>
            </w:tcBorders>
            <w:shd w:val="clear" w:color="FFFFFF" w:fill="FFFFFF"/>
            <w:vAlign w:val="bottom"/>
            <w:hideMark/>
          </w:tcPr>
          <w:p w:rsidR="003E6989" w:rsidRDefault="003E6989" w:rsidP="006A5410">
            <w:pPr>
              <w:jc w:val="right"/>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Recognised by the receiving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18,960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Recognised by the losing entity</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38,212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expenses assumed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57,172</w:t>
            </w:r>
          </w:p>
        </w:tc>
      </w:tr>
      <w:tr w:rsidR="003E6989" w:rsidTr="006A5410">
        <w:trPr>
          <w:trHeight w:val="158"/>
        </w:trPr>
        <w:tc>
          <w:tcPr>
            <w:tcW w:w="31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6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9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FUNCTIONS RELINQUISHED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c>
          <w:tcPr>
            <w:tcW w:w="299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Assets relinquished</w:t>
            </w:r>
          </w:p>
        </w:tc>
        <w:tc>
          <w:tcPr>
            <w:tcW w:w="269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c>
          <w:tcPr>
            <w:tcW w:w="2996" w:type="dxa"/>
            <w:tcBorders>
              <w:top w:val="nil"/>
              <w:left w:val="nil"/>
              <w:bottom w:val="nil"/>
              <w:right w:val="nil"/>
            </w:tcBorders>
            <w:shd w:val="clear" w:color="FFFFFF" w:fill="FFFFFF"/>
            <w:noWrap/>
            <w:vAlign w:val="bottom"/>
            <w:hideMark/>
          </w:tcPr>
          <w:p w:rsidR="003E6989" w:rsidRDefault="003E6989" w:rsidP="003E6989">
            <w:pPr>
              <w:ind w:firstLineChars="100" w:firstLine="180"/>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Trade and other receivables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13,085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Land and buildings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2,583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Property, plant and equipment</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25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Intangibles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8,557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Other non financial assets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260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assets relinquished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24,510</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143"/>
        </w:trPr>
        <w:tc>
          <w:tcPr>
            <w:tcW w:w="315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6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c>
          <w:tcPr>
            <w:tcW w:w="2996" w:type="dxa"/>
            <w:tcBorders>
              <w:top w:val="nil"/>
              <w:left w:val="nil"/>
              <w:bottom w:val="nil"/>
              <w:right w:val="nil"/>
            </w:tcBorders>
            <w:shd w:val="clear" w:color="FFFFFF" w:fill="FFFFFF"/>
            <w:noWrap/>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vAlign w:val="bottom"/>
            <w:hideMark/>
          </w:tcPr>
          <w:p w:rsidR="003E6989" w:rsidRDefault="003E6989" w:rsidP="006A5410">
            <w:pPr>
              <w:rPr>
                <w:rFonts w:cs="Calibri"/>
                <w:b/>
                <w:bCs/>
                <w:szCs w:val="18"/>
              </w:rPr>
            </w:pPr>
            <w:r>
              <w:rPr>
                <w:rFonts w:cs="Calibri"/>
                <w:b/>
                <w:bCs/>
                <w:szCs w:val="18"/>
              </w:rPr>
              <w:t>Liabilities relinquished</w:t>
            </w:r>
          </w:p>
        </w:tc>
        <w:tc>
          <w:tcPr>
            <w:tcW w:w="26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c>
          <w:tcPr>
            <w:tcW w:w="2996" w:type="dxa"/>
            <w:tcBorders>
              <w:top w:val="nil"/>
              <w:left w:val="nil"/>
              <w:bottom w:val="nil"/>
              <w:right w:val="nil"/>
            </w:tcBorders>
            <w:shd w:val="clear" w:color="FFFFFF" w:fill="FFFFFF"/>
            <w:vAlign w:val="bottom"/>
            <w:hideMark/>
          </w:tcPr>
          <w:p w:rsidR="003E6989" w:rsidRDefault="003E6989" w:rsidP="006A5410">
            <w:pPr>
              <w:rPr>
                <w:rFonts w:cs="Calibri"/>
                <w:szCs w:val="18"/>
              </w:rPr>
            </w:pPr>
            <w:r>
              <w:rPr>
                <w:rFonts w:cs="Calibri"/>
                <w:szCs w:val="18"/>
              </w:rPr>
              <w:t>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Suppliers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4,073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nil"/>
              <w:left w:val="nil"/>
              <w:bottom w:val="nil"/>
              <w:right w:val="nil"/>
            </w:tcBorders>
            <w:shd w:val="clear" w:color="FFFFFF" w:fill="FFFFFF"/>
            <w:noWrap/>
            <w:vAlign w:val="bottom"/>
            <w:hideMark/>
          </w:tcPr>
          <w:p w:rsidR="003E6989" w:rsidRDefault="003E6989" w:rsidP="003E6989">
            <w:pPr>
              <w:ind w:leftChars="100" w:left="180"/>
              <w:rPr>
                <w:rFonts w:cs="Calibri"/>
                <w:szCs w:val="18"/>
              </w:rPr>
            </w:pPr>
            <w:r>
              <w:rPr>
                <w:rFonts w:cs="Calibri"/>
                <w:szCs w:val="18"/>
              </w:rPr>
              <w:t>Employee provisions</w:t>
            </w:r>
          </w:p>
        </w:tc>
        <w:tc>
          <w:tcPr>
            <w:tcW w:w="26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13,416 </w:t>
            </w:r>
          </w:p>
        </w:tc>
        <w:tc>
          <w:tcPr>
            <w:tcW w:w="2996" w:type="dxa"/>
            <w:tcBorders>
              <w:top w:val="nil"/>
              <w:left w:val="nil"/>
              <w:bottom w:val="nil"/>
              <w:right w:val="nil"/>
            </w:tcBorders>
            <w:shd w:val="clear" w:color="FFFFFF" w:fill="FFFFFF"/>
            <w:noWrap/>
            <w:vAlign w:val="bottom"/>
            <w:hideMark/>
          </w:tcPr>
          <w:p w:rsidR="003E6989" w:rsidRDefault="003E6989" w:rsidP="006A5410">
            <w:pPr>
              <w:jc w:val="right"/>
              <w:rPr>
                <w:rFonts w:cs="Calibri"/>
                <w:szCs w:val="18"/>
              </w:rPr>
            </w:pPr>
            <w:r>
              <w:rPr>
                <w:rFonts w:cs="Calibri"/>
                <w:szCs w:val="18"/>
              </w:rPr>
              <w:t xml:space="preserve"> -</w:t>
            </w:r>
          </w:p>
        </w:tc>
      </w:tr>
      <w:tr w:rsidR="003E6989" w:rsidTr="006A5410">
        <w:trPr>
          <w:trHeight w:val="255"/>
        </w:trPr>
        <w:tc>
          <w:tcPr>
            <w:tcW w:w="3156" w:type="dxa"/>
            <w:tcBorders>
              <w:top w:val="single" w:sz="4" w:space="0" w:color="auto"/>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Total liabilities relinquished</w:t>
            </w:r>
          </w:p>
        </w:tc>
        <w:tc>
          <w:tcPr>
            <w:tcW w:w="26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17,489</w:t>
            </w:r>
          </w:p>
        </w:tc>
        <w:tc>
          <w:tcPr>
            <w:tcW w:w="2996" w:type="dxa"/>
            <w:tcBorders>
              <w:top w:val="single" w:sz="4" w:space="0" w:color="auto"/>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r w:rsidR="003E6989" w:rsidTr="006A5410">
        <w:trPr>
          <w:trHeight w:val="255"/>
        </w:trPr>
        <w:tc>
          <w:tcPr>
            <w:tcW w:w="3156" w:type="dxa"/>
            <w:tcBorders>
              <w:top w:val="nil"/>
              <w:left w:val="nil"/>
              <w:bottom w:val="single" w:sz="4" w:space="0" w:color="auto"/>
              <w:right w:val="nil"/>
            </w:tcBorders>
            <w:shd w:val="clear" w:color="FFFFFF" w:fill="FFFFFF"/>
            <w:vAlign w:val="bottom"/>
            <w:hideMark/>
          </w:tcPr>
          <w:p w:rsidR="003E6989" w:rsidRDefault="003E6989" w:rsidP="006A5410">
            <w:pPr>
              <w:rPr>
                <w:rFonts w:cs="Calibri"/>
                <w:b/>
                <w:bCs/>
                <w:szCs w:val="18"/>
              </w:rPr>
            </w:pPr>
            <w:r>
              <w:rPr>
                <w:rFonts w:cs="Calibri"/>
                <w:b/>
                <w:bCs/>
                <w:szCs w:val="18"/>
              </w:rPr>
              <w:t>Net assets relinquished</w:t>
            </w:r>
          </w:p>
        </w:tc>
        <w:tc>
          <w:tcPr>
            <w:tcW w:w="26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7,021</w:t>
            </w:r>
          </w:p>
        </w:tc>
        <w:tc>
          <w:tcPr>
            <w:tcW w:w="2996" w:type="dxa"/>
            <w:tcBorders>
              <w:top w:val="nil"/>
              <w:left w:val="nil"/>
              <w:bottom w:val="single" w:sz="4" w:space="0" w:color="auto"/>
              <w:right w:val="nil"/>
            </w:tcBorders>
            <w:shd w:val="clear" w:color="FFFFFF" w:fill="FFFFFF"/>
            <w:noWrap/>
            <w:vAlign w:val="bottom"/>
            <w:hideMark/>
          </w:tcPr>
          <w:p w:rsidR="003E6989" w:rsidRDefault="003E6989" w:rsidP="006A5410">
            <w:pPr>
              <w:jc w:val="right"/>
              <w:rPr>
                <w:rFonts w:cs="Calibri"/>
                <w:szCs w:val="18"/>
              </w:rPr>
            </w:pPr>
            <w:r>
              <w:rPr>
                <w:rFonts w:cs="Calibri"/>
                <w:szCs w:val="18"/>
              </w:rPr>
              <w:t>-</w:t>
            </w:r>
          </w:p>
        </w:tc>
      </w:tr>
    </w:tbl>
    <w:p w:rsidR="003E6989" w:rsidRPr="00CB16D1" w:rsidRDefault="003E6989" w:rsidP="003E6989">
      <w:pPr>
        <w:pStyle w:val="ReferenceText"/>
      </w:pPr>
      <w:bookmarkStart w:id="742" w:name="RANGE!D63:F109"/>
      <w:bookmarkStart w:id="743" w:name="RANGE!D61:F107"/>
      <w:bookmarkStart w:id="744" w:name="RANGE!D62:F108"/>
      <w:bookmarkStart w:id="745" w:name="RANGE!D7:J111"/>
      <w:bookmarkStart w:id="746" w:name="RANGE!D7:J109"/>
      <w:bookmarkStart w:id="747" w:name="RANGE!D7:J56"/>
      <w:bookmarkStart w:id="748" w:name="RANGE!D7:J52"/>
      <w:bookmarkStart w:id="749" w:name="RANGE!D7:J25"/>
      <w:bookmarkStart w:id="750" w:name="RANGE!D6:K7"/>
      <w:bookmarkStart w:id="751" w:name="RANGE!D6:L7"/>
      <w:bookmarkEnd w:id="742"/>
      <w:bookmarkEnd w:id="743"/>
      <w:bookmarkEnd w:id="744"/>
      <w:bookmarkEnd w:id="745"/>
      <w:bookmarkEnd w:id="746"/>
      <w:bookmarkEnd w:id="747"/>
      <w:bookmarkEnd w:id="748"/>
      <w:bookmarkEnd w:id="749"/>
      <w:bookmarkEnd w:id="750"/>
      <w:bookmarkEnd w:id="751"/>
      <w:r w:rsidRPr="00CB16D1">
        <w:rPr>
          <w:vertAlign w:val="superscript"/>
        </w:rPr>
        <w:t>1</w:t>
      </w:r>
      <w:r w:rsidRPr="00CB16D1">
        <w:t>The Early Childhood Education and Care functions transferred to Department of Social Services following the Administrative Arrangement Orders of 23 December 2014.</w:t>
      </w:r>
    </w:p>
    <w:p w:rsidR="003E6989" w:rsidRPr="00CB16D1" w:rsidRDefault="003E6989" w:rsidP="003E6989">
      <w:pPr>
        <w:pStyle w:val="ReferenceText"/>
      </w:pPr>
      <w:r w:rsidRPr="00CB16D1">
        <w:rPr>
          <w:vertAlign w:val="superscript"/>
        </w:rPr>
        <w:t>2</w:t>
      </w:r>
      <w:r w:rsidRPr="00CB16D1">
        <w:t xml:space="preserve"> The Skills and Training functions were acquired from the Department of Industry and Science following the Administrative Arrangement Orders of 23 December 2014. </w:t>
      </w:r>
    </w:p>
    <w:p w:rsidR="003E6989" w:rsidRPr="00CB16D1" w:rsidRDefault="003E6989" w:rsidP="003E6989">
      <w:r w:rsidRPr="00CB16D1">
        <w:t>The net assets assumed from all entities total $24.557 million.</w:t>
      </w:r>
    </w:p>
    <w:p w:rsidR="003E6989" w:rsidRPr="00CB16D1" w:rsidRDefault="003E6989" w:rsidP="003E6989">
      <w:r w:rsidRPr="00CB16D1">
        <w:t>The net assets relinquished to all entities total $7.021 million.</w:t>
      </w:r>
    </w:p>
    <w:p w:rsidR="003E6989" w:rsidRDefault="003E6989" w:rsidP="003E6989">
      <w:pPr>
        <w:sectPr w:rsidR="003E6989" w:rsidSect="006A5410">
          <w:pgSz w:w="11906" w:h="16838"/>
          <w:pgMar w:top="1134" w:right="1134" w:bottom="1134" w:left="1134" w:header="958" w:footer="737" w:gutter="0"/>
          <w:cols w:space="720"/>
          <w:docGrid w:linePitch="245"/>
        </w:sectPr>
      </w:pPr>
      <w:r w:rsidRPr="00CB16D1">
        <w:t>The net book value of the assets and liabilities were transferred to the department for no consideration</w:t>
      </w:r>
      <w:r>
        <w:t>.</w:t>
      </w:r>
    </w:p>
    <w:tbl>
      <w:tblPr>
        <w:tblW w:w="9087" w:type="dxa"/>
        <w:tblInd w:w="80" w:type="dxa"/>
        <w:tblLayout w:type="fixed"/>
        <w:tblCellMar>
          <w:left w:w="6" w:type="dxa"/>
          <w:right w:w="6" w:type="dxa"/>
        </w:tblCellMar>
        <w:tblLook w:val="04A0" w:firstRow="1" w:lastRow="0" w:firstColumn="1" w:lastColumn="0" w:noHBand="0" w:noVBand="1"/>
      </w:tblPr>
      <w:tblGrid>
        <w:gridCol w:w="4555"/>
        <w:gridCol w:w="4532"/>
      </w:tblGrid>
      <w:tr w:rsidR="003E6989" w:rsidTr="006A5410">
        <w:trPr>
          <w:trHeight w:val="227"/>
        </w:trPr>
        <w:tc>
          <w:tcPr>
            <w:tcW w:w="7772" w:type="dxa"/>
            <w:gridSpan w:val="2"/>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u w:val="single"/>
              </w:rPr>
            </w:pPr>
            <w:bookmarkStart w:id="752" w:name="Note_AESTABLE1" w:colFirst="0" w:colLast="0"/>
            <w:r>
              <w:rPr>
                <w:rFonts w:cs="Calibri"/>
                <w:b/>
                <w:bCs/>
                <w:szCs w:val="18"/>
                <w:u w:val="single"/>
              </w:rPr>
              <w:t>8.1B: Administered restructuring</w:t>
            </w:r>
          </w:p>
        </w:tc>
      </w:tr>
      <w:bookmarkEnd w:id="752"/>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3876"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center"/>
              <w:rPr>
                <w:rFonts w:cs="Calibri"/>
                <w:b/>
                <w:bCs/>
                <w:szCs w:val="18"/>
              </w:rPr>
            </w:pPr>
            <w:r>
              <w:rPr>
                <w:rFonts w:cs="Calibri"/>
                <w:b/>
                <w:bCs/>
                <w:szCs w:val="18"/>
              </w:rPr>
              <w:t>2016</w:t>
            </w:r>
          </w:p>
        </w:tc>
      </w:tr>
      <w:tr w:rsidR="003E6989" w:rsidTr="006A5410">
        <w:trPr>
          <w:trHeight w:val="227"/>
        </w:trPr>
        <w:tc>
          <w:tcPr>
            <w:tcW w:w="3896" w:type="dxa"/>
            <w:tcBorders>
              <w:top w:val="nil"/>
              <w:left w:val="nil"/>
              <w:bottom w:val="nil"/>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Function</w:t>
            </w:r>
          </w:p>
        </w:tc>
        <w:tc>
          <w:tcPr>
            <w:tcW w:w="3876" w:type="dxa"/>
            <w:tcBorders>
              <w:top w:val="nil"/>
              <w:left w:val="nil"/>
              <w:bottom w:val="nil"/>
              <w:right w:val="nil"/>
            </w:tcBorders>
            <w:shd w:val="clear" w:color="000000" w:fill="D9D9D9"/>
            <w:hideMark/>
          </w:tcPr>
          <w:p w:rsidR="003E6989" w:rsidRDefault="003E6989" w:rsidP="006A5410">
            <w:pPr>
              <w:spacing w:line="240" w:lineRule="auto"/>
              <w:jc w:val="right"/>
              <w:rPr>
                <w:rFonts w:cs="Calibri"/>
                <w:b/>
                <w:bCs/>
                <w:szCs w:val="18"/>
              </w:rPr>
            </w:pPr>
            <w:r>
              <w:rPr>
                <w:rFonts w:cs="Calibri"/>
                <w:b/>
                <w:bCs/>
                <w:szCs w:val="18"/>
              </w:rPr>
              <w:t>Early Education: Early Childhood and Child Care</w:t>
            </w:r>
          </w:p>
        </w:tc>
      </w:tr>
      <w:tr w:rsidR="003E6989" w:rsidTr="006A5410">
        <w:trPr>
          <w:trHeight w:val="227"/>
        </w:trPr>
        <w:tc>
          <w:tcPr>
            <w:tcW w:w="3896" w:type="dxa"/>
            <w:tcBorders>
              <w:top w:val="nil"/>
              <w:left w:val="nil"/>
              <w:bottom w:val="nil"/>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Entity</w:t>
            </w:r>
          </w:p>
        </w:tc>
        <w:tc>
          <w:tcPr>
            <w:tcW w:w="3876" w:type="dxa"/>
            <w:tcBorders>
              <w:top w:val="nil"/>
              <w:left w:val="nil"/>
              <w:bottom w:val="nil"/>
              <w:right w:val="nil"/>
            </w:tcBorders>
            <w:shd w:val="clear" w:color="000000" w:fill="D9D9D9"/>
            <w:hideMark/>
          </w:tcPr>
          <w:p w:rsidR="003E6989" w:rsidRDefault="003E6989" w:rsidP="006A5410">
            <w:pPr>
              <w:spacing w:line="240" w:lineRule="auto"/>
              <w:jc w:val="right"/>
              <w:rPr>
                <w:rFonts w:cs="Calibri"/>
                <w:b/>
                <w:bCs/>
                <w:szCs w:val="18"/>
              </w:rPr>
            </w:pPr>
            <w:r>
              <w:rPr>
                <w:rFonts w:cs="Calibri"/>
                <w:b/>
                <w:bCs/>
                <w:szCs w:val="18"/>
              </w:rPr>
              <w:t>Department of Social Services</w:t>
            </w:r>
            <w:r>
              <w:rPr>
                <w:rFonts w:cs="Calibri"/>
                <w:b/>
                <w:bCs/>
                <w:szCs w:val="18"/>
                <w:vertAlign w:val="superscript"/>
              </w:rPr>
              <w:t>1</w:t>
            </w:r>
          </w:p>
        </w:tc>
      </w:tr>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3876"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b/>
                <w:bCs/>
                <w:szCs w:val="18"/>
              </w:rPr>
            </w:pPr>
            <w:r>
              <w:rPr>
                <w:rFonts w:cs="Calibri"/>
                <w:b/>
                <w:bCs/>
                <w:szCs w:val="18"/>
              </w:rPr>
              <w:t>$’000</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FUNCTIONS ASSUMED</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Assets recognised</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Cash and cash equivalents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102,070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Trade and other receivables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406,541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Advances and loans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339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Other non-financial assets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4,169 </w:t>
            </w:r>
          </w:p>
        </w:tc>
      </w:tr>
      <w:tr w:rsidR="003E6989" w:rsidTr="006A5410">
        <w:trPr>
          <w:trHeight w:val="227"/>
        </w:trPr>
        <w:tc>
          <w:tcPr>
            <w:tcW w:w="389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assets recognised</w:t>
            </w:r>
          </w:p>
        </w:tc>
        <w:tc>
          <w:tcPr>
            <w:tcW w:w="38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513,119</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 </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Liabilities recognised</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Suppliers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95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Personal benefits payable</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197,991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Grants payable</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2,583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Provision for personal benefits</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746,777 </w:t>
            </w:r>
          </w:p>
        </w:tc>
      </w:tr>
      <w:tr w:rsidR="003E6989" w:rsidTr="006A5410">
        <w:trPr>
          <w:trHeight w:val="227"/>
        </w:trPr>
        <w:tc>
          <w:tcPr>
            <w:tcW w:w="389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liabilities recognised</w:t>
            </w:r>
          </w:p>
        </w:tc>
        <w:tc>
          <w:tcPr>
            <w:tcW w:w="38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947,446</w:t>
            </w:r>
          </w:p>
        </w:tc>
      </w:tr>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Net assets recognised</w:t>
            </w:r>
          </w:p>
        </w:tc>
        <w:tc>
          <w:tcPr>
            <w:tcW w:w="387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(434,327)</w:t>
            </w:r>
          </w:p>
        </w:tc>
      </w:tr>
      <w:tr w:rsidR="003E6989" w:rsidTr="006A5410">
        <w:trPr>
          <w:trHeight w:val="227"/>
        </w:trPr>
        <w:tc>
          <w:tcPr>
            <w:tcW w:w="3896" w:type="dxa"/>
            <w:tcBorders>
              <w:top w:val="nil"/>
              <w:left w:val="nil"/>
              <w:bottom w:val="single" w:sz="4" w:space="0" w:color="auto"/>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 </w:t>
            </w:r>
          </w:p>
        </w:tc>
        <w:tc>
          <w:tcPr>
            <w:tcW w:w="3876"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b/>
                <w:bCs/>
                <w:szCs w:val="18"/>
              </w:rPr>
            </w:pPr>
            <w:r>
              <w:rPr>
                <w:rFonts w:cs="Calibri"/>
                <w:b/>
                <w:bCs/>
                <w:szCs w:val="18"/>
              </w:rPr>
              <w:t> </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Income assumed</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Recognised by the receiving entity</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5,226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Recognised by the losing entity</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408 </w:t>
            </w:r>
          </w:p>
        </w:tc>
      </w:tr>
      <w:tr w:rsidR="003E6989" w:rsidTr="006A5410">
        <w:trPr>
          <w:trHeight w:val="227"/>
        </w:trPr>
        <w:tc>
          <w:tcPr>
            <w:tcW w:w="389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income assumed</w:t>
            </w:r>
          </w:p>
        </w:tc>
        <w:tc>
          <w:tcPr>
            <w:tcW w:w="3876"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5,634</w:t>
            </w:r>
          </w:p>
        </w:tc>
      </w:tr>
      <w:tr w:rsidR="003E6989" w:rsidTr="006A5410">
        <w:trPr>
          <w:trHeight w:val="227"/>
        </w:trPr>
        <w:tc>
          <w:tcPr>
            <w:tcW w:w="3896"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c>
          <w:tcPr>
            <w:tcW w:w="3876"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r>
      <w:tr w:rsidR="003E6989" w:rsidTr="006A5410">
        <w:trPr>
          <w:trHeight w:val="227"/>
        </w:trPr>
        <w:tc>
          <w:tcPr>
            <w:tcW w:w="3896"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Expenses assumed</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896" w:type="dxa"/>
            <w:tcBorders>
              <w:top w:val="nil"/>
              <w:left w:val="nil"/>
              <w:bottom w:val="nil"/>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Recognised by the receiving entity</w:t>
            </w:r>
          </w:p>
        </w:tc>
        <w:tc>
          <w:tcPr>
            <w:tcW w:w="3876"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4,670,116 </w:t>
            </w:r>
          </w:p>
        </w:tc>
      </w:tr>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3E6989">
            <w:pPr>
              <w:spacing w:line="240" w:lineRule="auto"/>
              <w:ind w:firstLineChars="100" w:firstLine="180"/>
              <w:rPr>
                <w:rFonts w:cs="Calibri"/>
                <w:szCs w:val="18"/>
              </w:rPr>
            </w:pPr>
            <w:r>
              <w:rPr>
                <w:rFonts w:cs="Calibri"/>
                <w:szCs w:val="18"/>
              </w:rPr>
              <w:t>Recognised by losing entity</w:t>
            </w:r>
          </w:p>
        </w:tc>
        <w:tc>
          <w:tcPr>
            <w:tcW w:w="387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 xml:space="preserve">2,098,320 </w:t>
            </w:r>
          </w:p>
        </w:tc>
      </w:tr>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expenses assumed</w:t>
            </w:r>
          </w:p>
        </w:tc>
        <w:tc>
          <w:tcPr>
            <w:tcW w:w="387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b/>
                <w:bCs/>
                <w:szCs w:val="18"/>
              </w:rPr>
            </w:pPr>
            <w:r>
              <w:rPr>
                <w:rFonts w:cs="Calibri"/>
                <w:b/>
                <w:bCs/>
                <w:szCs w:val="18"/>
              </w:rPr>
              <w:t>6,768,436</w:t>
            </w:r>
          </w:p>
        </w:tc>
      </w:tr>
      <w:tr w:rsidR="003E6989" w:rsidTr="006A5410">
        <w:trPr>
          <w:trHeight w:val="227"/>
        </w:trPr>
        <w:tc>
          <w:tcPr>
            <w:tcW w:w="3896"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 </w:t>
            </w:r>
          </w:p>
        </w:tc>
        <w:tc>
          <w:tcPr>
            <w:tcW w:w="3876"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b/>
                <w:bCs/>
                <w:szCs w:val="18"/>
              </w:rPr>
            </w:pPr>
            <w:r>
              <w:rPr>
                <w:rFonts w:cs="Calibri"/>
                <w:b/>
                <w:bCs/>
                <w:szCs w:val="18"/>
              </w:rPr>
              <w:t> </w:t>
            </w:r>
          </w:p>
        </w:tc>
      </w:tr>
    </w:tbl>
    <w:p w:rsidR="003E6989" w:rsidRDefault="003E6989" w:rsidP="003E6989">
      <w:pPr>
        <w:pStyle w:val="ReferenceText"/>
      </w:pPr>
      <w:bookmarkStart w:id="753" w:name="RANGE!D7:E52"/>
      <w:bookmarkStart w:id="754" w:name="RANGE!D7:F48"/>
      <w:bookmarkStart w:id="755" w:name="RANGE!D7:F52"/>
      <w:bookmarkStart w:id="756" w:name="RANGE!D7:F60"/>
      <w:bookmarkEnd w:id="753"/>
      <w:bookmarkEnd w:id="754"/>
      <w:bookmarkEnd w:id="755"/>
      <w:bookmarkEnd w:id="756"/>
    </w:p>
    <w:p w:rsidR="003E6989" w:rsidRDefault="003E6989" w:rsidP="003E6989">
      <w:pPr>
        <w:pStyle w:val="ReferenceText"/>
      </w:pPr>
      <w:r>
        <w:t>Notes:</w:t>
      </w:r>
    </w:p>
    <w:p w:rsidR="003E6989" w:rsidRDefault="003E6989" w:rsidP="003E6989">
      <w:pPr>
        <w:pStyle w:val="ReferenceText"/>
      </w:pPr>
      <w:r w:rsidRPr="00DF5B46">
        <w:rPr>
          <w:vertAlign w:val="superscript"/>
        </w:rPr>
        <w:t>1</w:t>
      </w:r>
      <w:r>
        <w:rPr>
          <w:vertAlign w:val="superscript"/>
        </w:rPr>
        <w:t xml:space="preserve"> </w:t>
      </w:r>
      <w:r>
        <w:t xml:space="preserve">The Early Childhood Education and Care functions transferred from the Department of Social Services following the </w:t>
      </w:r>
      <w:r w:rsidRPr="00DC68A9">
        <w:t>Administrative</w:t>
      </w:r>
      <w:r>
        <w:t xml:space="preserve"> Arrangement Orders of 21 September 2015. </w:t>
      </w:r>
    </w:p>
    <w:p w:rsidR="003E6989" w:rsidRDefault="003E6989" w:rsidP="003E6989">
      <w:r>
        <w:t>The net assets assumed from all entities total ($434.327) million.</w:t>
      </w:r>
    </w:p>
    <w:p w:rsidR="003E6989" w:rsidRDefault="003E6989" w:rsidP="003E6989">
      <w:pPr>
        <w:pStyle w:val="ReferenceText"/>
        <w:sectPr w:rsidR="003E6989" w:rsidSect="006A5410">
          <w:pgSz w:w="11906" w:h="16838"/>
          <w:pgMar w:top="1134" w:right="1134" w:bottom="1134" w:left="1134" w:header="958" w:footer="737" w:gutter="0"/>
          <w:cols w:space="720"/>
          <w:docGrid w:linePitch="245"/>
        </w:sectPr>
      </w:pPr>
      <w:r>
        <w:t>The net book value of the assets and liabilities were transferred to the department for no consideration.</w:t>
      </w:r>
    </w:p>
    <w:tbl>
      <w:tblPr>
        <w:tblW w:w="9087" w:type="dxa"/>
        <w:tblInd w:w="80" w:type="dxa"/>
        <w:tblLayout w:type="fixed"/>
        <w:tblCellMar>
          <w:left w:w="6" w:type="dxa"/>
          <w:right w:w="6" w:type="dxa"/>
        </w:tblCellMar>
        <w:tblLook w:val="04A0" w:firstRow="1" w:lastRow="0" w:firstColumn="1" w:lastColumn="0" w:noHBand="0" w:noVBand="1"/>
      </w:tblPr>
      <w:tblGrid>
        <w:gridCol w:w="3179"/>
        <w:gridCol w:w="3163"/>
        <w:gridCol w:w="2745"/>
      </w:tblGrid>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bookmarkStart w:id="757" w:name="Note_AESTABLE2" w:colFirst="0" w:colLast="0"/>
            <w:r>
              <w:rPr>
                <w:rFonts w:ascii="Arial" w:hAnsi="Arial" w:cs="Arial"/>
                <w:sz w:val="16"/>
                <w:szCs w:val="16"/>
              </w:rPr>
              <w:t> </w:t>
            </w:r>
          </w:p>
        </w:tc>
        <w:tc>
          <w:tcPr>
            <w:tcW w:w="5904" w:type="dxa"/>
            <w:gridSpan w:val="2"/>
            <w:tcBorders>
              <w:top w:val="single" w:sz="4" w:space="0" w:color="auto"/>
              <w:left w:val="nil"/>
              <w:bottom w:val="single" w:sz="4" w:space="0" w:color="auto"/>
              <w:right w:val="nil"/>
            </w:tcBorders>
            <w:shd w:val="clear" w:color="000000" w:fill="D9D9D9"/>
            <w:vAlign w:val="bottom"/>
            <w:hideMark/>
          </w:tcPr>
          <w:p w:rsidR="003E6989" w:rsidRDefault="003E6989" w:rsidP="006A5410">
            <w:pPr>
              <w:spacing w:line="240" w:lineRule="auto"/>
              <w:jc w:val="center"/>
              <w:rPr>
                <w:rFonts w:cs="Calibri"/>
                <w:szCs w:val="18"/>
              </w:rPr>
            </w:pPr>
            <w:r>
              <w:rPr>
                <w:rFonts w:cs="Calibri"/>
                <w:szCs w:val="18"/>
              </w:rPr>
              <w:t>2015</w:t>
            </w:r>
          </w:p>
        </w:tc>
      </w:tr>
      <w:bookmarkEnd w:id="757"/>
      <w:tr w:rsidR="003E6989" w:rsidTr="006A5410">
        <w:trPr>
          <w:trHeight w:val="227"/>
        </w:trPr>
        <w:tc>
          <w:tcPr>
            <w:tcW w:w="3177" w:type="dxa"/>
            <w:tcBorders>
              <w:top w:val="nil"/>
              <w:left w:val="nil"/>
              <w:bottom w:val="nil"/>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Function</w:t>
            </w:r>
          </w:p>
        </w:tc>
        <w:tc>
          <w:tcPr>
            <w:tcW w:w="3161" w:type="dxa"/>
            <w:tcBorders>
              <w:top w:val="nil"/>
              <w:left w:val="nil"/>
              <w:bottom w:val="nil"/>
              <w:right w:val="nil"/>
            </w:tcBorders>
            <w:shd w:val="clear" w:color="000000" w:fill="D9D9D9"/>
            <w:hideMark/>
          </w:tcPr>
          <w:p w:rsidR="003E6989" w:rsidRDefault="003E6989" w:rsidP="006A5410">
            <w:pPr>
              <w:spacing w:line="240" w:lineRule="auto"/>
              <w:jc w:val="right"/>
              <w:rPr>
                <w:rFonts w:cs="Calibri"/>
                <w:szCs w:val="18"/>
              </w:rPr>
            </w:pPr>
            <w:r>
              <w:rPr>
                <w:rFonts w:cs="Calibri"/>
                <w:szCs w:val="18"/>
              </w:rPr>
              <w:t>Early Education: Early Childhood and Child Care</w:t>
            </w:r>
          </w:p>
        </w:tc>
        <w:tc>
          <w:tcPr>
            <w:tcW w:w="2743" w:type="dxa"/>
            <w:tcBorders>
              <w:top w:val="nil"/>
              <w:left w:val="nil"/>
              <w:bottom w:val="nil"/>
              <w:right w:val="nil"/>
            </w:tcBorders>
            <w:shd w:val="clear" w:color="000000" w:fill="D9D9D9"/>
            <w:hideMark/>
          </w:tcPr>
          <w:p w:rsidR="003E6989" w:rsidRDefault="003E6989" w:rsidP="006A5410">
            <w:pPr>
              <w:spacing w:line="240" w:lineRule="auto"/>
              <w:jc w:val="right"/>
              <w:rPr>
                <w:rFonts w:cs="Calibri"/>
                <w:szCs w:val="18"/>
              </w:rPr>
            </w:pPr>
            <w:r>
              <w:rPr>
                <w:rFonts w:cs="Calibri"/>
                <w:szCs w:val="18"/>
              </w:rPr>
              <w:t>Skills and Training</w:t>
            </w:r>
          </w:p>
        </w:tc>
      </w:tr>
      <w:tr w:rsidR="003E6989" w:rsidTr="006A5410">
        <w:trPr>
          <w:trHeight w:val="227"/>
        </w:trPr>
        <w:tc>
          <w:tcPr>
            <w:tcW w:w="3177" w:type="dxa"/>
            <w:tcBorders>
              <w:top w:val="nil"/>
              <w:left w:val="nil"/>
              <w:bottom w:val="nil"/>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Entity</w:t>
            </w:r>
          </w:p>
        </w:tc>
        <w:tc>
          <w:tcPr>
            <w:tcW w:w="3161" w:type="dxa"/>
            <w:tcBorders>
              <w:top w:val="nil"/>
              <w:left w:val="nil"/>
              <w:bottom w:val="nil"/>
              <w:right w:val="nil"/>
            </w:tcBorders>
            <w:shd w:val="clear" w:color="000000" w:fill="D9D9D9"/>
            <w:hideMark/>
          </w:tcPr>
          <w:p w:rsidR="003E6989" w:rsidRDefault="003E6989" w:rsidP="006A5410">
            <w:pPr>
              <w:spacing w:line="240" w:lineRule="auto"/>
              <w:jc w:val="right"/>
              <w:rPr>
                <w:rFonts w:cs="Calibri"/>
                <w:szCs w:val="18"/>
              </w:rPr>
            </w:pPr>
            <w:r>
              <w:rPr>
                <w:rFonts w:cs="Calibri"/>
                <w:szCs w:val="18"/>
              </w:rPr>
              <w:t>Department of Social Services</w:t>
            </w:r>
            <w:r>
              <w:rPr>
                <w:rFonts w:cs="Calibri"/>
                <w:szCs w:val="18"/>
                <w:vertAlign w:val="superscript"/>
              </w:rPr>
              <w:t>1</w:t>
            </w:r>
          </w:p>
        </w:tc>
        <w:tc>
          <w:tcPr>
            <w:tcW w:w="2743" w:type="dxa"/>
            <w:tcBorders>
              <w:top w:val="nil"/>
              <w:left w:val="nil"/>
              <w:bottom w:val="nil"/>
              <w:right w:val="nil"/>
            </w:tcBorders>
            <w:shd w:val="clear" w:color="000000" w:fill="D9D9D9"/>
            <w:hideMark/>
          </w:tcPr>
          <w:p w:rsidR="003E6989" w:rsidRDefault="003E6989" w:rsidP="006A5410">
            <w:pPr>
              <w:spacing w:line="240" w:lineRule="auto"/>
              <w:jc w:val="right"/>
              <w:rPr>
                <w:rFonts w:cs="Calibri"/>
                <w:szCs w:val="18"/>
              </w:rPr>
            </w:pPr>
            <w:r>
              <w:rPr>
                <w:rFonts w:cs="Calibri"/>
                <w:szCs w:val="18"/>
              </w:rPr>
              <w:t>Department of Industry and Science</w:t>
            </w:r>
            <w:r>
              <w:rPr>
                <w:rFonts w:cs="Calibri"/>
                <w:szCs w:val="18"/>
                <w:vertAlign w:val="superscript"/>
              </w:rPr>
              <w:t>2</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3161"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$’000</w:t>
            </w:r>
          </w:p>
        </w:tc>
        <w:tc>
          <w:tcPr>
            <w:tcW w:w="2743"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$’000</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FUNCTIONS ASSUMED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Assets recognised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Cash and cash equivalents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737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Trade and other receivables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1,449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Advances and loans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23,850 </w:t>
            </w:r>
          </w:p>
        </w:tc>
      </w:tr>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assets recognised</w:t>
            </w:r>
          </w:p>
        </w:tc>
        <w:tc>
          <w:tcPr>
            <w:tcW w:w="316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c>
          <w:tcPr>
            <w:tcW w:w="274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26,036</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 </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Liabilities recognised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Suppliers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34,605 </w:t>
            </w:r>
          </w:p>
        </w:tc>
      </w:tr>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liabilities recognised</w:t>
            </w:r>
          </w:p>
        </w:tc>
        <w:tc>
          <w:tcPr>
            <w:tcW w:w="316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c>
          <w:tcPr>
            <w:tcW w:w="274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34,605</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Net assets recognised</w:t>
            </w:r>
          </w:p>
        </w:tc>
        <w:tc>
          <w:tcPr>
            <w:tcW w:w="3161"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c>
          <w:tcPr>
            <w:tcW w:w="2743"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(8,569)</w:t>
            </w:r>
          </w:p>
        </w:tc>
      </w:tr>
      <w:tr w:rsidR="003E6989" w:rsidTr="006A5410">
        <w:trPr>
          <w:trHeight w:val="227"/>
        </w:trPr>
        <w:tc>
          <w:tcPr>
            <w:tcW w:w="3177" w:type="dxa"/>
            <w:tcBorders>
              <w:top w:val="nil"/>
              <w:left w:val="nil"/>
              <w:bottom w:val="single" w:sz="4" w:space="0" w:color="auto"/>
              <w:right w:val="nil"/>
            </w:tcBorders>
            <w:shd w:val="clear" w:color="000000" w:fill="D9D9D9"/>
            <w:noWrap/>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 </w:t>
            </w:r>
          </w:p>
        </w:tc>
        <w:tc>
          <w:tcPr>
            <w:tcW w:w="3161"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 </w:t>
            </w:r>
          </w:p>
        </w:tc>
        <w:tc>
          <w:tcPr>
            <w:tcW w:w="2743"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Income assumed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Recognised by the receiving entity</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3,610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Recognised by the losing entity</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8,912 </w:t>
            </w:r>
          </w:p>
        </w:tc>
      </w:tr>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income assumed</w:t>
            </w:r>
          </w:p>
        </w:tc>
        <w:tc>
          <w:tcPr>
            <w:tcW w:w="316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c>
          <w:tcPr>
            <w:tcW w:w="274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12,522</w:t>
            </w:r>
          </w:p>
        </w:tc>
      </w:tr>
      <w:tr w:rsidR="003E6989" w:rsidTr="006A5410">
        <w:trPr>
          <w:trHeight w:val="227"/>
        </w:trPr>
        <w:tc>
          <w:tcPr>
            <w:tcW w:w="3177"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c>
          <w:tcPr>
            <w:tcW w:w="3161"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c>
          <w:tcPr>
            <w:tcW w:w="2743"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Expenses assumed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ascii="Arial" w:hAnsi="Arial" w:cs="Arial"/>
                <w:sz w:val="16"/>
                <w:szCs w:val="16"/>
              </w:rPr>
            </w:pPr>
            <w:r>
              <w:rPr>
                <w:rFonts w:ascii="Arial" w:hAnsi="Arial" w:cs="Arial"/>
                <w:sz w:val="16"/>
                <w:szCs w:val="16"/>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Recognised by the receiving entity</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414,257 </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Recognised by losing entity</w:t>
            </w:r>
          </w:p>
        </w:tc>
        <w:tc>
          <w:tcPr>
            <w:tcW w:w="3161"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c>
          <w:tcPr>
            <w:tcW w:w="2743"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853,436 </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expenses assumed</w:t>
            </w:r>
          </w:p>
        </w:tc>
        <w:tc>
          <w:tcPr>
            <w:tcW w:w="3161"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c>
          <w:tcPr>
            <w:tcW w:w="2743"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1,267,693</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ascii="Arial" w:hAnsi="Arial" w:cs="Arial"/>
                <w:b/>
                <w:bCs/>
                <w:sz w:val="16"/>
                <w:szCs w:val="16"/>
              </w:rPr>
            </w:pPr>
            <w:r>
              <w:rPr>
                <w:rFonts w:ascii="Arial" w:hAnsi="Arial" w:cs="Arial"/>
                <w:b/>
                <w:bCs/>
                <w:sz w:val="16"/>
                <w:szCs w:val="16"/>
              </w:rPr>
              <w:t> </w:t>
            </w:r>
          </w:p>
        </w:tc>
        <w:tc>
          <w:tcPr>
            <w:tcW w:w="3161"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 </w:t>
            </w:r>
          </w:p>
        </w:tc>
        <w:tc>
          <w:tcPr>
            <w:tcW w:w="2743" w:type="dxa"/>
            <w:tcBorders>
              <w:top w:val="nil"/>
              <w:left w:val="nil"/>
              <w:bottom w:val="single" w:sz="4" w:space="0" w:color="auto"/>
              <w:right w:val="nil"/>
            </w:tcBorders>
            <w:shd w:val="clear" w:color="000000" w:fill="D9D9D9"/>
            <w:vAlign w:val="bottom"/>
            <w:hideMark/>
          </w:tcPr>
          <w:p w:rsidR="003E6989" w:rsidRDefault="003E6989" w:rsidP="006A5410">
            <w:pPr>
              <w:spacing w:line="240" w:lineRule="auto"/>
              <w:jc w:val="right"/>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FUNCTIONS RELINQUISHED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Assets relinquished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Cash and cash equivalents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25,109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Trade and other receivables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(917)</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Personal benefits receivable</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355,471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Advances and loans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609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assets relinquished</w:t>
            </w:r>
          </w:p>
        </w:tc>
        <w:tc>
          <w:tcPr>
            <w:tcW w:w="316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380,272</w:t>
            </w:r>
          </w:p>
        </w:tc>
        <w:tc>
          <w:tcPr>
            <w:tcW w:w="274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3177"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c>
          <w:tcPr>
            <w:tcW w:w="3161"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c>
          <w:tcPr>
            <w:tcW w:w="2743" w:type="dxa"/>
            <w:tcBorders>
              <w:top w:val="nil"/>
              <w:left w:val="nil"/>
              <w:bottom w:val="single" w:sz="4" w:space="0" w:color="D9D9D9"/>
              <w:right w:val="nil"/>
            </w:tcBorders>
            <w:shd w:val="clear" w:color="000000" w:fill="D9D9D9"/>
            <w:noWrap/>
            <w:vAlign w:val="bottom"/>
            <w:hideMark/>
          </w:tcPr>
          <w:p w:rsidR="003E6989" w:rsidRDefault="003E6989" w:rsidP="006A5410">
            <w:pPr>
              <w:spacing w:line="240" w:lineRule="auto"/>
              <w:rPr>
                <w:rFonts w:cs="Calibri"/>
                <w:sz w:val="16"/>
                <w:szCs w:val="16"/>
              </w:rPr>
            </w:pPr>
            <w:r>
              <w:rPr>
                <w:rFonts w:cs="Calibri"/>
                <w:sz w:val="16"/>
                <w:szCs w:val="16"/>
              </w:rPr>
              <w:t> </w:t>
            </w:r>
          </w:p>
        </w:tc>
      </w:tr>
      <w:tr w:rsidR="003E6989" w:rsidTr="006A5410">
        <w:trPr>
          <w:trHeight w:val="227"/>
        </w:trPr>
        <w:tc>
          <w:tcPr>
            <w:tcW w:w="3177" w:type="dxa"/>
            <w:tcBorders>
              <w:top w:val="nil"/>
              <w:left w:val="nil"/>
              <w:bottom w:val="nil"/>
              <w:right w:val="nil"/>
            </w:tcBorders>
            <w:shd w:val="clear" w:color="000000" w:fill="D9D9D9"/>
            <w:vAlign w:val="bottom"/>
            <w:hideMark/>
          </w:tcPr>
          <w:p w:rsidR="003E6989" w:rsidRDefault="003E6989" w:rsidP="006A5410">
            <w:pPr>
              <w:spacing w:line="240" w:lineRule="auto"/>
              <w:rPr>
                <w:rFonts w:cs="Calibri"/>
                <w:b/>
                <w:bCs/>
                <w:szCs w:val="18"/>
              </w:rPr>
            </w:pPr>
            <w:r>
              <w:rPr>
                <w:rFonts w:cs="Calibri"/>
                <w:b/>
                <w:bCs/>
                <w:szCs w:val="18"/>
              </w:rPr>
              <w:t>Liabilities relinquished</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rPr>
                <w:rFonts w:cs="Calibri"/>
                <w:szCs w:val="18"/>
              </w:rPr>
            </w:pPr>
            <w:r>
              <w:rPr>
                <w:rFonts w:cs="Calibri"/>
                <w:szCs w:val="18"/>
              </w:rPr>
              <w:t>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Suppliers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3,797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Personal benefits payable</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193,101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Grants payable</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22,429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nil"/>
              <w:left w:val="nil"/>
              <w:bottom w:val="nil"/>
              <w:right w:val="nil"/>
            </w:tcBorders>
            <w:shd w:val="clear" w:color="000000" w:fill="D9D9D9"/>
            <w:noWrap/>
            <w:vAlign w:val="bottom"/>
            <w:hideMark/>
          </w:tcPr>
          <w:p w:rsidR="003E6989" w:rsidRDefault="003E6989" w:rsidP="003E6989">
            <w:pPr>
              <w:spacing w:line="240" w:lineRule="auto"/>
              <w:ind w:leftChars="100" w:left="180"/>
              <w:rPr>
                <w:rFonts w:cs="Calibri"/>
                <w:szCs w:val="18"/>
              </w:rPr>
            </w:pPr>
            <w:r>
              <w:rPr>
                <w:rFonts w:cs="Calibri"/>
                <w:szCs w:val="18"/>
              </w:rPr>
              <w:t>Provision for personal benefits</w:t>
            </w:r>
          </w:p>
        </w:tc>
        <w:tc>
          <w:tcPr>
            <w:tcW w:w="3161"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703,289 </w:t>
            </w:r>
          </w:p>
        </w:tc>
        <w:tc>
          <w:tcPr>
            <w:tcW w:w="2743" w:type="dxa"/>
            <w:tcBorders>
              <w:top w:val="nil"/>
              <w:left w:val="nil"/>
              <w:bottom w:val="nil"/>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 xml:space="preserve"> -</w:t>
            </w:r>
          </w:p>
        </w:tc>
      </w:tr>
      <w:tr w:rsidR="003E6989" w:rsidTr="006A5410">
        <w:trPr>
          <w:trHeight w:val="227"/>
        </w:trPr>
        <w:tc>
          <w:tcPr>
            <w:tcW w:w="3177"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Total liabilities relinquished</w:t>
            </w:r>
          </w:p>
        </w:tc>
        <w:tc>
          <w:tcPr>
            <w:tcW w:w="3161"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922,616</w:t>
            </w:r>
          </w:p>
        </w:tc>
        <w:tc>
          <w:tcPr>
            <w:tcW w:w="2743" w:type="dxa"/>
            <w:tcBorders>
              <w:top w:val="single" w:sz="4" w:space="0" w:color="auto"/>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r>
      <w:tr w:rsidR="003E6989" w:rsidTr="006A5410">
        <w:trPr>
          <w:trHeight w:val="227"/>
        </w:trPr>
        <w:tc>
          <w:tcPr>
            <w:tcW w:w="3177"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rPr>
                <w:rFonts w:cs="Calibri"/>
                <w:b/>
                <w:bCs/>
                <w:szCs w:val="18"/>
              </w:rPr>
            </w:pPr>
            <w:r>
              <w:rPr>
                <w:rFonts w:cs="Calibri"/>
                <w:b/>
                <w:bCs/>
                <w:szCs w:val="18"/>
              </w:rPr>
              <w:t>Net assets relinquished</w:t>
            </w:r>
          </w:p>
        </w:tc>
        <w:tc>
          <w:tcPr>
            <w:tcW w:w="3161"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(542,344)</w:t>
            </w:r>
          </w:p>
        </w:tc>
        <w:tc>
          <w:tcPr>
            <w:tcW w:w="2743" w:type="dxa"/>
            <w:tcBorders>
              <w:top w:val="nil"/>
              <w:left w:val="nil"/>
              <w:bottom w:val="single" w:sz="4" w:space="0" w:color="auto"/>
              <w:right w:val="nil"/>
            </w:tcBorders>
            <w:shd w:val="clear" w:color="000000" w:fill="D9D9D9"/>
            <w:noWrap/>
            <w:vAlign w:val="bottom"/>
            <w:hideMark/>
          </w:tcPr>
          <w:p w:rsidR="003E6989" w:rsidRDefault="003E6989" w:rsidP="006A5410">
            <w:pPr>
              <w:spacing w:line="240" w:lineRule="auto"/>
              <w:jc w:val="right"/>
              <w:rPr>
                <w:rFonts w:cs="Calibri"/>
                <w:szCs w:val="18"/>
              </w:rPr>
            </w:pPr>
            <w:r>
              <w:rPr>
                <w:rFonts w:cs="Calibri"/>
                <w:szCs w:val="18"/>
              </w:rPr>
              <w:t>-</w:t>
            </w:r>
          </w:p>
        </w:tc>
      </w:tr>
    </w:tbl>
    <w:p w:rsidR="003E6989" w:rsidRDefault="003E6989" w:rsidP="003E6989">
      <w:bookmarkStart w:id="758" w:name="RANGE!D63:F103"/>
      <w:bookmarkStart w:id="759" w:name="RANGE!D59:F99"/>
      <w:bookmarkEnd w:id="758"/>
      <w:bookmarkEnd w:id="759"/>
    </w:p>
    <w:p w:rsidR="003E6989" w:rsidRPr="00BD1CD9" w:rsidRDefault="003E6989" w:rsidP="003E6989">
      <w:pPr>
        <w:autoSpaceDE w:val="0"/>
        <w:autoSpaceDN w:val="0"/>
        <w:adjustRightInd w:val="0"/>
        <w:spacing w:line="240" w:lineRule="auto"/>
        <w:rPr>
          <w:rFonts w:cs="Calibri"/>
          <w:color w:val="000000"/>
          <w:szCs w:val="18"/>
          <w:lang w:eastAsia="en-AU"/>
        </w:rPr>
      </w:pPr>
      <w:bookmarkStart w:id="760" w:name="RANGE!D59:G108"/>
      <w:bookmarkStart w:id="761" w:name="RANGE!D59:G104"/>
      <w:bookmarkStart w:id="762" w:name="RANGE!D63:G114"/>
      <w:bookmarkStart w:id="763" w:name="RANGE!D71:G122"/>
      <w:bookmarkStart w:id="764" w:name="RANGE!D71:G129"/>
      <w:bookmarkStart w:id="765" w:name="RANGE!D71:G127"/>
      <w:bookmarkStart w:id="766" w:name="RANGE!D71:G123"/>
      <w:bookmarkStart w:id="767" w:name="RANGE!D7:D118"/>
      <w:bookmarkStart w:id="768" w:name="RANGE!D7:D119"/>
      <w:bookmarkStart w:id="769" w:name="RANGE!D7:D120"/>
      <w:bookmarkStart w:id="770" w:name="RANGE!D7:D62"/>
      <w:bookmarkStart w:id="771" w:name="RANGE!D7:G57"/>
      <w:bookmarkStart w:id="772" w:name="RANGE!D7:G58"/>
      <w:bookmarkStart w:id="773" w:name="RANGE!D7:G59"/>
      <w:bookmarkStart w:id="774" w:name="RANGE!D7:G56"/>
      <w:bookmarkStart w:id="775" w:name="RANGE!D7:G30"/>
      <w:bookmarkStart w:id="776" w:name="RANGE!D7:G26"/>
      <w:bookmarkStart w:id="777" w:name="RANGE!D6:I41"/>
      <w:bookmarkStart w:id="778" w:name="RANGE!D6:D18"/>
      <w:bookmarkStart w:id="779" w:name="RANGE!D6:G18"/>
      <w:bookmarkStart w:id="780" w:name="RANGE!D7:F17"/>
      <w:bookmarkStart w:id="781" w:name="RANGE!D7:F16"/>
      <w:bookmarkStart w:id="782" w:name="RANGE!D18:G26"/>
      <w:bookmarkStart w:id="783" w:name="RANGE!D18:G27"/>
      <w:bookmarkStart w:id="784" w:name="RANGE!D18:G25"/>
      <w:bookmarkStart w:id="785" w:name="RANGE!E6:H38"/>
      <w:bookmarkStart w:id="786" w:name="RANGE!E6:E39"/>
      <w:bookmarkStart w:id="787" w:name="RANGE!E6:H39"/>
      <w:bookmarkStart w:id="788" w:name="RANGE!D7:J24"/>
      <w:bookmarkStart w:id="789" w:name="RANGE!D6:J23"/>
      <w:bookmarkStart w:id="790" w:name="RANGE!D6:J29"/>
      <w:bookmarkStart w:id="791" w:name="RANGE!D6:D30"/>
      <w:bookmarkStart w:id="792" w:name="RANGE!D6:J30"/>
      <w:bookmarkStart w:id="793" w:name="RANGE!D7:G9"/>
      <w:bookmarkStart w:id="794" w:name="RANGE!D6:G32"/>
      <w:bookmarkStart w:id="795" w:name="RANGE!D6:D33"/>
      <w:bookmarkStart w:id="796" w:name="RANGE!D6:G33"/>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BD1CD9">
        <w:rPr>
          <w:rFonts w:cs="Calibri"/>
          <w:color w:val="000000"/>
          <w:szCs w:val="18"/>
          <w:lang w:eastAsia="en-AU"/>
        </w:rPr>
        <w:t xml:space="preserve">Notes: </w:t>
      </w:r>
    </w:p>
    <w:p w:rsidR="003E6989" w:rsidRPr="00BD1CD9" w:rsidRDefault="003E6989" w:rsidP="003E6989">
      <w:pPr>
        <w:autoSpaceDE w:val="0"/>
        <w:autoSpaceDN w:val="0"/>
        <w:adjustRightInd w:val="0"/>
        <w:spacing w:line="240" w:lineRule="auto"/>
        <w:rPr>
          <w:rFonts w:cs="Calibri"/>
          <w:color w:val="000000"/>
          <w:szCs w:val="18"/>
          <w:lang w:eastAsia="en-AU"/>
        </w:rPr>
      </w:pPr>
      <w:r w:rsidRPr="00BD1CD9">
        <w:rPr>
          <w:rFonts w:cs="Calibri"/>
          <w:color w:val="000000"/>
          <w:sz w:val="12"/>
          <w:szCs w:val="12"/>
          <w:lang w:eastAsia="en-AU"/>
        </w:rPr>
        <w:t xml:space="preserve">1 </w:t>
      </w:r>
      <w:r w:rsidRPr="00BD1CD9">
        <w:rPr>
          <w:rFonts w:cs="Calibri"/>
          <w:color w:val="000000"/>
          <w:szCs w:val="18"/>
          <w:lang w:eastAsia="en-AU"/>
        </w:rPr>
        <w:t xml:space="preserve">The Early Childhood Education and Care functions transferred to the Department of Social Services following the Administrative Arrangement Orders of 23 December 2014. </w:t>
      </w:r>
    </w:p>
    <w:p w:rsidR="003E6989" w:rsidRPr="00BD1CD9" w:rsidRDefault="003E6989" w:rsidP="003E6989">
      <w:pPr>
        <w:autoSpaceDE w:val="0"/>
        <w:autoSpaceDN w:val="0"/>
        <w:adjustRightInd w:val="0"/>
        <w:spacing w:line="240" w:lineRule="auto"/>
        <w:rPr>
          <w:rFonts w:cs="Calibri"/>
          <w:color w:val="000000"/>
          <w:szCs w:val="18"/>
          <w:lang w:eastAsia="en-AU"/>
        </w:rPr>
      </w:pPr>
      <w:r w:rsidRPr="00BD1CD9">
        <w:rPr>
          <w:rFonts w:cs="Calibri"/>
          <w:color w:val="000000"/>
          <w:sz w:val="12"/>
          <w:szCs w:val="12"/>
          <w:lang w:eastAsia="en-AU"/>
        </w:rPr>
        <w:t xml:space="preserve">2 </w:t>
      </w:r>
      <w:r w:rsidRPr="00BD1CD9">
        <w:rPr>
          <w:rFonts w:cs="Calibri"/>
          <w:color w:val="000000"/>
          <w:szCs w:val="18"/>
          <w:lang w:eastAsia="en-AU"/>
        </w:rPr>
        <w:t xml:space="preserve">The Skills and Training functions were acquired from the Department of Industry and Science following the Administrative Arrangement Orders of 23 December 2014. </w:t>
      </w:r>
    </w:p>
    <w:p w:rsidR="003E6989" w:rsidRPr="00BD1CD9" w:rsidRDefault="003E6989" w:rsidP="003E6989">
      <w:pPr>
        <w:autoSpaceDE w:val="0"/>
        <w:autoSpaceDN w:val="0"/>
        <w:adjustRightInd w:val="0"/>
        <w:spacing w:line="240" w:lineRule="auto"/>
        <w:rPr>
          <w:rFonts w:cs="Calibri"/>
          <w:color w:val="000000"/>
          <w:szCs w:val="18"/>
          <w:lang w:eastAsia="en-AU"/>
        </w:rPr>
      </w:pPr>
      <w:r w:rsidRPr="00BD1CD9">
        <w:rPr>
          <w:rFonts w:cs="Calibri"/>
          <w:color w:val="000000"/>
          <w:szCs w:val="18"/>
          <w:lang w:eastAsia="en-AU"/>
        </w:rPr>
        <w:t xml:space="preserve">The net assets assumed from all entities total ($8.569) million. </w:t>
      </w:r>
    </w:p>
    <w:p w:rsidR="003E6989" w:rsidRDefault="003E6989" w:rsidP="003E6989">
      <w:pPr>
        <w:autoSpaceDE w:val="0"/>
        <w:autoSpaceDN w:val="0"/>
        <w:adjustRightInd w:val="0"/>
        <w:spacing w:line="240" w:lineRule="auto"/>
        <w:rPr>
          <w:rFonts w:cs="Calibri"/>
          <w:color w:val="000000"/>
          <w:szCs w:val="18"/>
          <w:lang w:eastAsia="en-AU"/>
        </w:rPr>
      </w:pPr>
      <w:r w:rsidRPr="00BD1CD9">
        <w:rPr>
          <w:rFonts w:cs="Calibri"/>
          <w:color w:val="000000"/>
          <w:szCs w:val="18"/>
          <w:lang w:eastAsia="en-AU"/>
        </w:rPr>
        <w:t xml:space="preserve">The net assets relinquished to all entities total ($542.344) million. </w:t>
      </w:r>
    </w:p>
    <w:p w:rsidR="003E6989" w:rsidRDefault="003E6989" w:rsidP="003E6989">
      <w:pPr>
        <w:autoSpaceDE w:val="0"/>
        <w:autoSpaceDN w:val="0"/>
        <w:adjustRightInd w:val="0"/>
        <w:spacing w:line="240" w:lineRule="auto"/>
        <w:rPr>
          <w:rFonts w:cs="Calibri"/>
          <w:color w:val="000000"/>
          <w:szCs w:val="18"/>
          <w:lang w:eastAsia="en-AU"/>
        </w:rPr>
        <w:sectPr w:rsidR="003E6989" w:rsidSect="006A5410">
          <w:headerReference w:type="default" r:id="rId31"/>
          <w:pgSz w:w="11906" w:h="16838"/>
          <w:pgMar w:top="1440" w:right="1440" w:bottom="1440" w:left="1440" w:header="708" w:footer="708" w:gutter="0"/>
          <w:cols w:space="720"/>
          <w:docGrid w:linePitch="245"/>
        </w:sectPr>
      </w:pPr>
    </w:p>
    <w:p w:rsidR="003E6989" w:rsidRDefault="003E6989" w:rsidP="003E6989">
      <w:pPr>
        <w:pStyle w:val="SubHeading"/>
      </w:pPr>
      <w:bookmarkStart w:id="797" w:name="_Toc455416761"/>
      <w:bookmarkStart w:id="798" w:name="_Toc464726652"/>
      <w:r>
        <w:t>Reporting of Outcomes</w:t>
      </w:r>
      <w:bookmarkEnd w:id="797"/>
      <w:bookmarkEnd w:id="798"/>
    </w:p>
    <w:p w:rsidR="003E6989" w:rsidRDefault="003E6989" w:rsidP="003E6989">
      <w:pPr>
        <w:pStyle w:val="AdminBlankGreyShade"/>
      </w:pPr>
      <w:bookmarkStart w:id="799" w:name="RANGE!D7:P29"/>
      <w:bookmarkStart w:id="800" w:name="RANGE!D7:L29"/>
      <w:bookmarkStart w:id="801" w:name="RANGE!D6:L39"/>
      <w:bookmarkStart w:id="802" w:name="RANGE!D6:L40"/>
      <w:bookmarkStart w:id="803" w:name="RANGE!D6:L41"/>
      <w:bookmarkStart w:id="804" w:name="RANGE!D6:L32"/>
      <w:bookmarkStart w:id="805" w:name="RANGE!D6:L33"/>
      <w:bookmarkStart w:id="806" w:name="RANGE!D22:L32"/>
      <w:bookmarkStart w:id="807" w:name="RANGE!D37:L62"/>
      <w:bookmarkEnd w:id="799"/>
      <w:bookmarkEnd w:id="800"/>
      <w:bookmarkEnd w:id="801"/>
      <w:bookmarkEnd w:id="802"/>
      <w:bookmarkEnd w:id="803"/>
      <w:bookmarkEnd w:id="804"/>
      <w:bookmarkEnd w:id="805"/>
      <w:bookmarkEnd w:id="806"/>
      <w:bookmarkEnd w:id="807"/>
      <w:r>
        <w:t>Outcomes 1 and 2 are described in the Overview. Net costs shown include intra-government costs that are eliminated in calculating the actual Budget Outcome. The annual report details Agency resource statements and resources. The department uses a cost allocation model to determine the attribution of its shared items.</w:t>
      </w:r>
    </w:p>
    <w:p w:rsidR="003E6989" w:rsidRDefault="003E6989" w:rsidP="003E6989">
      <w:pPr>
        <w:pStyle w:val="AdminBlankGreyShade"/>
        <w:rPr>
          <w:vertAlign w:val="superscript"/>
        </w:rPr>
      </w:pPr>
      <w:bookmarkStart w:id="808" w:name="RANGE!D34:P97"/>
      <w:bookmarkStart w:id="809" w:name="RANGE!D34:P96"/>
      <w:bookmarkStart w:id="810" w:name="RANGE!D34:P101"/>
      <w:bookmarkStart w:id="811" w:name="RANGE!D34:N105"/>
      <w:bookmarkStart w:id="812" w:name="RANGE!D34:N106"/>
      <w:bookmarkStart w:id="813" w:name="RANGE!D34:P106"/>
      <w:bookmarkStart w:id="814" w:name="RANGE!D34:J106"/>
      <w:bookmarkStart w:id="815" w:name="RANGE!D34:J105"/>
      <w:bookmarkStart w:id="816" w:name="RANGE!D34:L105"/>
      <w:bookmarkStart w:id="817" w:name="RANGE!D34:L101"/>
      <w:bookmarkStart w:id="818" w:name="RANGE!D34:L104"/>
      <w:bookmarkStart w:id="819" w:name="RANGE!D34:L103"/>
      <w:bookmarkStart w:id="820" w:name="RANGE!D34:L102"/>
      <w:bookmarkStart w:id="821" w:name="RANGE!D44:L76"/>
      <w:bookmarkStart w:id="822" w:name="RANGE!D33:L101"/>
      <w:bookmarkStart w:id="823" w:name="RANGE!D33:L102"/>
      <w:bookmarkStart w:id="824" w:name="RANGE!D33:L103"/>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tbl>
      <w:tblPr>
        <w:tblW w:w="13991" w:type="dxa"/>
        <w:tblInd w:w="80" w:type="dxa"/>
        <w:tblLayout w:type="fixed"/>
        <w:tblCellMar>
          <w:left w:w="6" w:type="dxa"/>
          <w:right w:w="6" w:type="dxa"/>
        </w:tblCellMar>
        <w:tblLook w:val="04A0" w:firstRow="1" w:lastRow="0" w:firstColumn="1" w:lastColumn="0" w:noHBand="0" w:noVBand="1"/>
      </w:tblPr>
      <w:tblGrid>
        <w:gridCol w:w="4023"/>
        <w:gridCol w:w="955"/>
        <w:gridCol w:w="955"/>
        <w:gridCol w:w="953"/>
        <w:gridCol w:w="954"/>
        <w:gridCol w:w="1168"/>
        <w:gridCol w:w="1168"/>
        <w:gridCol w:w="954"/>
        <w:gridCol w:w="953"/>
        <w:gridCol w:w="954"/>
        <w:gridCol w:w="954"/>
      </w:tblGrid>
      <w:tr w:rsidR="003E6989" w:rsidTr="006A5410">
        <w:trPr>
          <w:trHeight w:val="57"/>
        </w:trPr>
        <w:tc>
          <w:tcPr>
            <w:tcW w:w="12076" w:type="dxa"/>
            <w:gridSpan w:val="9"/>
            <w:tcBorders>
              <w:top w:val="nil"/>
              <w:left w:val="nil"/>
              <w:bottom w:val="nil"/>
              <w:right w:val="nil"/>
            </w:tcBorders>
            <w:shd w:val="clear" w:color="FFFFFF" w:fill="FFFFFF"/>
            <w:noWrap/>
            <w:vAlign w:val="bottom"/>
            <w:hideMark/>
          </w:tcPr>
          <w:p w:rsidR="003E6989" w:rsidRDefault="003E6989" w:rsidP="006A5410">
            <w:pPr>
              <w:spacing w:line="240" w:lineRule="auto"/>
              <w:rPr>
                <w:rFonts w:cs="Calibri"/>
                <w:b/>
                <w:bCs/>
                <w:szCs w:val="18"/>
                <w:u w:val="single"/>
              </w:rPr>
            </w:pPr>
            <w:bookmarkStart w:id="825" w:name="RANGE!D34:D67"/>
            <w:bookmarkStart w:id="826" w:name="Note_ROOTABLE2" w:colFirst="0" w:colLast="0"/>
            <w:r>
              <w:rPr>
                <w:rFonts w:cs="Calibri"/>
                <w:b/>
                <w:bCs/>
                <w:szCs w:val="18"/>
                <w:u w:val="single"/>
              </w:rPr>
              <w:t>8.2A: Major classes of expenses, income, assets and liabilities by outcome</w:t>
            </w:r>
            <w:bookmarkEnd w:id="825"/>
          </w:p>
        </w:tc>
        <w:tc>
          <w:tcPr>
            <w:tcW w:w="954" w:type="dxa"/>
            <w:tcBorders>
              <w:top w:val="nil"/>
              <w:left w:val="nil"/>
              <w:bottom w:val="nil"/>
              <w:right w:val="nil"/>
            </w:tcBorders>
            <w:shd w:val="clear" w:color="000000" w:fill="FFFFFF"/>
            <w:noWrap/>
            <w:vAlign w:val="bottom"/>
            <w:hideMark/>
          </w:tcPr>
          <w:p w:rsidR="003E6989" w:rsidRDefault="003E6989" w:rsidP="006A5410">
            <w:pPr>
              <w:spacing w:line="240" w:lineRule="auto"/>
              <w:rPr>
                <w:rFonts w:cs="Calibri"/>
                <w:sz w:val="20"/>
              </w:rPr>
            </w:pPr>
            <w:r>
              <w:rPr>
                <w:rFonts w:cs="Calibri"/>
                <w:sz w:val="20"/>
              </w:rPr>
              <w:t> </w:t>
            </w:r>
          </w:p>
        </w:tc>
        <w:tc>
          <w:tcPr>
            <w:tcW w:w="954" w:type="dxa"/>
            <w:tcBorders>
              <w:top w:val="nil"/>
              <w:left w:val="nil"/>
              <w:bottom w:val="nil"/>
              <w:right w:val="nil"/>
            </w:tcBorders>
            <w:shd w:val="clear" w:color="000000" w:fill="FFFFFF"/>
            <w:noWrap/>
            <w:vAlign w:val="bottom"/>
            <w:hideMark/>
          </w:tcPr>
          <w:p w:rsidR="003E6989" w:rsidRDefault="003E6989" w:rsidP="006A5410">
            <w:pPr>
              <w:spacing w:line="240" w:lineRule="auto"/>
              <w:rPr>
                <w:rFonts w:cs="Calibri"/>
                <w:sz w:val="20"/>
              </w:rPr>
            </w:pPr>
            <w:r>
              <w:rPr>
                <w:rFonts w:cs="Calibri"/>
                <w:sz w:val="20"/>
              </w:rPr>
              <w:t> </w:t>
            </w:r>
          </w:p>
        </w:tc>
      </w:tr>
      <w:bookmarkEnd w:id="826"/>
      <w:tr w:rsidR="003E6989" w:rsidTr="006A5410">
        <w:trPr>
          <w:trHeight w:val="57"/>
        </w:trPr>
        <w:tc>
          <w:tcPr>
            <w:tcW w:w="4020" w:type="dxa"/>
            <w:tcBorders>
              <w:top w:val="single" w:sz="4" w:space="0" w:color="auto"/>
              <w:left w:val="single" w:sz="4" w:space="0" w:color="auto"/>
              <w:bottom w:val="nil"/>
              <w:right w:val="nil"/>
            </w:tcBorders>
            <w:shd w:val="clear" w:color="FFFFFF" w:fill="FFFFFF"/>
            <w:noWrap/>
            <w:hideMark/>
          </w:tcPr>
          <w:p w:rsidR="003E6989" w:rsidRDefault="003E6989" w:rsidP="006A5410">
            <w:pPr>
              <w:spacing w:line="240" w:lineRule="auto"/>
              <w:rPr>
                <w:rFonts w:cs="Calibri"/>
                <w:sz w:val="16"/>
                <w:szCs w:val="16"/>
              </w:rPr>
            </w:pPr>
            <w:r>
              <w:rPr>
                <w:rFonts w:cs="Calibri"/>
                <w:sz w:val="16"/>
                <w:szCs w:val="16"/>
              </w:rPr>
              <w:t> </w:t>
            </w:r>
          </w:p>
        </w:tc>
        <w:tc>
          <w:tcPr>
            <w:tcW w:w="1908" w:type="dxa"/>
            <w:gridSpan w:val="2"/>
            <w:tcBorders>
              <w:top w:val="single" w:sz="4" w:space="0" w:color="auto"/>
              <w:left w:val="single" w:sz="4" w:space="0" w:color="auto"/>
              <w:bottom w:val="single" w:sz="4" w:space="0" w:color="auto"/>
              <w:right w:val="single" w:sz="4" w:space="0" w:color="000000"/>
            </w:tcBorders>
            <w:shd w:val="clear" w:color="FFFFFF" w:fill="FFFFFF"/>
            <w:vAlign w:val="center"/>
            <w:hideMark/>
          </w:tcPr>
          <w:p w:rsidR="003E6989" w:rsidRDefault="003E6989" w:rsidP="006A5410">
            <w:pPr>
              <w:spacing w:line="240" w:lineRule="auto"/>
              <w:jc w:val="center"/>
              <w:rPr>
                <w:rFonts w:cs="Calibri"/>
                <w:b/>
                <w:bCs/>
                <w:sz w:val="16"/>
                <w:szCs w:val="16"/>
              </w:rPr>
            </w:pPr>
            <w:r>
              <w:rPr>
                <w:rFonts w:cs="Calibri"/>
                <w:b/>
                <w:bCs/>
                <w:sz w:val="16"/>
                <w:szCs w:val="16"/>
              </w:rPr>
              <w:t>Outcome 1</w:t>
            </w:r>
          </w:p>
        </w:tc>
        <w:tc>
          <w:tcPr>
            <w:tcW w:w="1907" w:type="dxa"/>
            <w:gridSpan w:val="2"/>
            <w:tcBorders>
              <w:top w:val="single" w:sz="4" w:space="0" w:color="auto"/>
              <w:left w:val="nil"/>
              <w:bottom w:val="single" w:sz="4" w:space="0" w:color="auto"/>
              <w:right w:val="single" w:sz="4" w:space="0" w:color="000000"/>
            </w:tcBorders>
            <w:shd w:val="clear" w:color="FFFFFF" w:fill="FFFFFF"/>
            <w:vAlign w:val="center"/>
            <w:hideMark/>
          </w:tcPr>
          <w:p w:rsidR="003E6989" w:rsidRDefault="003E6989" w:rsidP="006A5410">
            <w:pPr>
              <w:spacing w:line="240" w:lineRule="auto"/>
              <w:jc w:val="center"/>
              <w:rPr>
                <w:rFonts w:cs="Calibri"/>
                <w:b/>
                <w:bCs/>
                <w:sz w:val="16"/>
                <w:szCs w:val="16"/>
              </w:rPr>
            </w:pPr>
            <w:r>
              <w:rPr>
                <w:rFonts w:cs="Calibri"/>
                <w:b/>
                <w:bCs/>
                <w:sz w:val="16"/>
                <w:szCs w:val="16"/>
              </w:rPr>
              <w:t>Outcome 2</w:t>
            </w:r>
          </w:p>
        </w:tc>
        <w:tc>
          <w:tcPr>
            <w:tcW w:w="2334" w:type="dxa"/>
            <w:gridSpan w:val="2"/>
            <w:tcBorders>
              <w:top w:val="single" w:sz="4" w:space="0" w:color="auto"/>
              <w:left w:val="nil"/>
              <w:bottom w:val="single" w:sz="4" w:space="0" w:color="auto"/>
              <w:right w:val="single" w:sz="4" w:space="0" w:color="000000"/>
            </w:tcBorders>
            <w:shd w:val="clear" w:color="FFFFFF" w:fill="FFFFFF"/>
            <w:vAlign w:val="center"/>
            <w:hideMark/>
          </w:tcPr>
          <w:p w:rsidR="003E6989" w:rsidRDefault="003E6989" w:rsidP="006A5410">
            <w:pPr>
              <w:spacing w:line="240" w:lineRule="auto"/>
              <w:jc w:val="center"/>
              <w:rPr>
                <w:rFonts w:cs="Calibri"/>
                <w:b/>
                <w:bCs/>
                <w:sz w:val="16"/>
                <w:szCs w:val="16"/>
              </w:rPr>
            </w:pPr>
            <w:r>
              <w:rPr>
                <w:rFonts w:cs="Calibri"/>
                <w:b/>
                <w:bCs/>
                <w:sz w:val="16"/>
                <w:szCs w:val="16"/>
              </w:rPr>
              <w:t>Payment to Corporate Commonwealth Entities</w:t>
            </w:r>
          </w:p>
        </w:tc>
        <w:tc>
          <w:tcPr>
            <w:tcW w:w="1907" w:type="dxa"/>
            <w:gridSpan w:val="2"/>
            <w:tcBorders>
              <w:top w:val="single" w:sz="4" w:space="0" w:color="auto"/>
              <w:left w:val="nil"/>
              <w:bottom w:val="single" w:sz="4" w:space="0" w:color="auto"/>
              <w:right w:val="single" w:sz="4" w:space="0" w:color="000000"/>
            </w:tcBorders>
            <w:shd w:val="clear" w:color="FFFFFF" w:fill="FFFFFF"/>
            <w:vAlign w:val="center"/>
            <w:hideMark/>
          </w:tcPr>
          <w:p w:rsidR="003E6989" w:rsidRDefault="003E6989" w:rsidP="006A5410">
            <w:pPr>
              <w:spacing w:line="240" w:lineRule="auto"/>
              <w:jc w:val="center"/>
              <w:rPr>
                <w:rFonts w:cs="Calibri"/>
                <w:b/>
                <w:bCs/>
                <w:sz w:val="16"/>
                <w:szCs w:val="16"/>
              </w:rPr>
            </w:pPr>
            <w:r>
              <w:rPr>
                <w:rFonts w:cs="Calibri"/>
                <w:b/>
                <w:bCs/>
                <w:sz w:val="16"/>
                <w:szCs w:val="16"/>
              </w:rPr>
              <w:t>Not attributed</w:t>
            </w:r>
            <w:r>
              <w:rPr>
                <w:rFonts w:cs="Calibri"/>
                <w:b/>
                <w:bCs/>
                <w:sz w:val="16"/>
                <w:szCs w:val="16"/>
                <w:vertAlign w:val="superscript"/>
              </w:rPr>
              <w:t>1</w:t>
            </w:r>
          </w:p>
        </w:tc>
        <w:tc>
          <w:tcPr>
            <w:tcW w:w="1908" w:type="dxa"/>
            <w:gridSpan w:val="2"/>
            <w:tcBorders>
              <w:top w:val="single" w:sz="4" w:space="0" w:color="auto"/>
              <w:left w:val="nil"/>
              <w:bottom w:val="single" w:sz="4" w:space="0" w:color="auto"/>
              <w:right w:val="single" w:sz="4" w:space="0" w:color="000000"/>
            </w:tcBorders>
            <w:shd w:val="clear" w:color="FFFFFF" w:fill="FFFFFF"/>
            <w:vAlign w:val="center"/>
            <w:hideMark/>
          </w:tcPr>
          <w:p w:rsidR="003E6989" w:rsidRDefault="003E6989" w:rsidP="006A5410">
            <w:pPr>
              <w:spacing w:line="240" w:lineRule="auto"/>
              <w:jc w:val="center"/>
              <w:rPr>
                <w:rFonts w:cs="Calibri"/>
                <w:b/>
                <w:bCs/>
                <w:sz w:val="16"/>
                <w:szCs w:val="16"/>
              </w:rPr>
            </w:pPr>
            <w:r>
              <w:rPr>
                <w:rFonts w:cs="Calibri"/>
                <w:b/>
                <w:bCs/>
                <w:sz w:val="16"/>
                <w:szCs w:val="16"/>
              </w:rPr>
              <w:t>Total</w:t>
            </w:r>
          </w:p>
        </w:tc>
      </w:tr>
      <w:tr w:rsidR="003E6989" w:rsidTr="006A5410">
        <w:trPr>
          <w:trHeight w:val="57"/>
        </w:trPr>
        <w:tc>
          <w:tcPr>
            <w:tcW w:w="4020" w:type="dxa"/>
            <w:tcBorders>
              <w:top w:val="nil"/>
              <w:left w:val="single" w:sz="4" w:space="0" w:color="auto"/>
              <w:bottom w:val="nil"/>
              <w:right w:val="nil"/>
            </w:tcBorders>
            <w:shd w:val="clear" w:color="FFFFFF" w:fill="FFFFFF"/>
            <w:noWrap/>
            <w:hideMark/>
          </w:tcPr>
          <w:p w:rsidR="003E6989" w:rsidRDefault="003E6989" w:rsidP="006A5410">
            <w:pPr>
              <w:spacing w:line="240" w:lineRule="auto"/>
              <w:rPr>
                <w:rFonts w:cs="Calibri"/>
                <w:sz w:val="16"/>
                <w:szCs w:val="16"/>
              </w:rPr>
            </w:pPr>
            <w:r>
              <w:rPr>
                <w:rFonts w:cs="Calibri"/>
                <w:sz w:val="16"/>
                <w:szCs w:val="16"/>
              </w:rPr>
              <w:t> </w:t>
            </w:r>
          </w:p>
        </w:tc>
        <w:tc>
          <w:tcPr>
            <w:tcW w:w="954"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2016</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2015</w:t>
            </w:r>
          </w:p>
        </w:tc>
        <w:tc>
          <w:tcPr>
            <w:tcW w:w="953"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2016</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2015</w:t>
            </w:r>
          </w:p>
        </w:tc>
        <w:tc>
          <w:tcPr>
            <w:tcW w:w="1167"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2016</w:t>
            </w:r>
          </w:p>
        </w:tc>
        <w:tc>
          <w:tcPr>
            <w:tcW w:w="1167"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2015</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2016</w:t>
            </w:r>
          </w:p>
        </w:tc>
        <w:tc>
          <w:tcPr>
            <w:tcW w:w="953"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2015</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2016</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2015</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noWrap/>
            <w:hideMark/>
          </w:tcPr>
          <w:p w:rsidR="003E6989" w:rsidRDefault="003E6989" w:rsidP="006A5410">
            <w:pPr>
              <w:spacing w:line="240" w:lineRule="auto"/>
              <w:rPr>
                <w:rFonts w:cs="Calibri"/>
                <w:sz w:val="16"/>
                <w:szCs w:val="16"/>
              </w:rPr>
            </w:pPr>
            <w:r>
              <w:rPr>
                <w:rFonts w:cs="Calibri"/>
                <w:sz w:val="16"/>
                <w:szCs w:val="16"/>
              </w:rPr>
              <w:t> </w:t>
            </w:r>
          </w:p>
        </w:tc>
        <w:tc>
          <w:tcPr>
            <w:tcW w:w="954" w:type="dxa"/>
            <w:tcBorders>
              <w:top w:val="nil"/>
              <w:left w:val="single" w:sz="4" w:space="0" w:color="auto"/>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3"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1167"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1167"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3"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4" w:type="dxa"/>
            <w:tcBorders>
              <w:top w:val="nil"/>
              <w:left w:val="nil"/>
              <w:bottom w:val="single" w:sz="4" w:space="0" w:color="auto"/>
              <w:right w:val="single" w:sz="4" w:space="0" w:color="auto"/>
            </w:tcBorders>
            <w:shd w:val="clear" w:color="FFFFFF" w:fill="FFFFFF"/>
            <w:vAlign w:val="bottom"/>
            <w:hideMark/>
          </w:tcPr>
          <w:p w:rsidR="003E6989" w:rsidRDefault="003E6989" w:rsidP="006A5410">
            <w:pPr>
              <w:spacing w:line="240" w:lineRule="auto"/>
              <w:jc w:val="center"/>
              <w:rPr>
                <w:rFonts w:cs="Calibri"/>
                <w:sz w:val="16"/>
                <w:szCs w:val="16"/>
              </w:rPr>
            </w:pPr>
            <w:r>
              <w:rPr>
                <w:rFonts w:cs="Calibri"/>
                <w:sz w:val="16"/>
                <w:szCs w:val="16"/>
              </w:rPr>
              <w:t>$'000</w:t>
            </w:r>
          </w:p>
        </w:tc>
      </w:tr>
      <w:tr w:rsidR="003E6989" w:rsidTr="006A5410">
        <w:trPr>
          <w:trHeight w:val="57"/>
        </w:trPr>
        <w:tc>
          <w:tcPr>
            <w:tcW w:w="13984" w:type="dxa"/>
            <w:gridSpan w:val="11"/>
            <w:tcBorders>
              <w:top w:val="single" w:sz="4" w:space="0" w:color="auto"/>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Expenses</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Employee benefits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88,410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104,832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127,420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101,729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215,830</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206,561</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Suppliers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48,417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48,221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79,506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52,958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127,923</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101,179</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Depreciation</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10,109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13,831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15,059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13,087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25,168</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26,918</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Grants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100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25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529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232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629</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257</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217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264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2,791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2,653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3,008</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2,917</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Total expenses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147,253</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167,173</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225,305</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170,659</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372,558</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337,832</w:t>
            </w:r>
          </w:p>
        </w:tc>
      </w:tr>
      <w:tr w:rsidR="003E6989" w:rsidTr="006A5410">
        <w:trPr>
          <w:trHeight w:val="57"/>
        </w:trPr>
        <w:tc>
          <w:tcPr>
            <w:tcW w:w="13984" w:type="dxa"/>
            <w:gridSpan w:val="11"/>
            <w:tcBorders>
              <w:top w:val="single" w:sz="4" w:space="0" w:color="auto"/>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Own-Source Income</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Sale of goods and rendering of services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10,540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13,846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19,196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16,539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29,736</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30,385</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Income from government</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122,236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142,651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190,891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134,203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313,127</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276,854</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1,684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1,390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6,956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5,608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8,640</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6,998</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Total own-source income</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134,460</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157,887</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217,043</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156,350</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351,503</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314,237</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Net cost/(contribution) of outcome delivery</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12,793</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9,286</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8,262</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14,309</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Cs w:val="18"/>
              </w:rPr>
            </w:pPr>
            <w:r>
              <w:rPr>
                <w:rFonts w:cs="Calibri"/>
                <w:szCs w:val="18"/>
              </w:rPr>
              <w:t>-</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Cs w:val="18"/>
              </w:rPr>
            </w:pPr>
            <w:r>
              <w:rPr>
                <w:rFonts w:cs="Calibri"/>
                <w:szCs w:val="18"/>
              </w:rPr>
              <w:t>-</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21,055</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23,595</w:t>
            </w:r>
          </w:p>
        </w:tc>
      </w:tr>
      <w:tr w:rsidR="003E6989" w:rsidTr="006A5410">
        <w:trPr>
          <w:trHeight w:val="57"/>
        </w:trPr>
        <w:tc>
          <w:tcPr>
            <w:tcW w:w="13984" w:type="dxa"/>
            <w:gridSpan w:val="11"/>
            <w:tcBorders>
              <w:top w:val="single" w:sz="4" w:space="0" w:color="auto"/>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Assets</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Cash and cash equivalents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3,536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2,286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2,596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7,531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6,132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9,817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Trade and other receivables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38,449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16,031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46,796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35,798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85,245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51,829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 financial assets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900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1,013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1,096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2,263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1,996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3,276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Land and buildings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16,750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13,027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20,387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29,091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37,137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42,118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Infrastructure, plant and equipment</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5,710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3,504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6,949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7,823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12,659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11,327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Intangibles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31,653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28,157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43,936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42,246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75,589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70,403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 non-financial assets</w:t>
            </w:r>
          </w:p>
        </w:tc>
        <w:tc>
          <w:tcPr>
            <w:tcW w:w="954" w:type="dxa"/>
            <w:tcBorders>
              <w:top w:val="nil"/>
              <w:left w:val="single" w:sz="4" w:space="0" w:color="auto"/>
              <w:bottom w:val="single" w:sz="4" w:space="0" w:color="auto"/>
              <w:right w:val="single" w:sz="4" w:space="0" w:color="auto"/>
            </w:tcBorders>
            <w:shd w:val="clear" w:color="FFFFFF" w:fill="FFFFFF"/>
            <w:noWrap/>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4,567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3,318 </w:t>
            </w:r>
          </w:p>
        </w:tc>
        <w:tc>
          <w:tcPr>
            <w:tcW w:w="953" w:type="dxa"/>
            <w:tcBorders>
              <w:top w:val="nil"/>
              <w:left w:val="nil"/>
              <w:bottom w:val="single" w:sz="4" w:space="0" w:color="auto"/>
              <w:right w:val="single" w:sz="4" w:space="0" w:color="auto"/>
            </w:tcBorders>
            <w:shd w:val="clear" w:color="FFFFFF" w:fill="FFFFFF"/>
            <w:noWrap/>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5,559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7,410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10,126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10,728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Total assets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98,029</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65,050</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128,259</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126,917</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2,596</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7,531</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228,884</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199,498</w:t>
            </w:r>
          </w:p>
        </w:tc>
      </w:tr>
      <w:tr w:rsidR="003E6989" w:rsidTr="006A5410">
        <w:trPr>
          <w:trHeight w:val="57"/>
        </w:trPr>
        <w:tc>
          <w:tcPr>
            <w:tcW w:w="13984" w:type="dxa"/>
            <w:gridSpan w:val="11"/>
            <w:tcBorders>
              <w:top w:val="single" w:sz="4" w:space="0" w:color="auto"/>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Liabilities</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Suppliers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14,281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7,267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17,382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16,228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31,663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23,495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 payables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9,169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8,958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11,160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20,005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20,329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28,963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Employee provisions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32,102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16,943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39,071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37,835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71,173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54,778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sz w:val="16"/>
                <w:szCs w:val="16"/>
              </w:rPr>
            </w:pPr>
            <w:r>
              <w:rPr>
                <w:rFonts w:cs="Calibri"/>
                <w:sz w:val="16"/>
                <w:szCs w:val="16"/>
              </w:rPr>
              <w:t>Other provisions</w:t>
            </w:r>
          </w:p>
        </w:tc>
        <w:tc>
          <w:tcPr>
            <w:tcW w:w="954" w:type="dxa"/>
            <w:tcBorders>
              <w:top w:val="nil"/>
              <w:left w:val="single" w:sz="4" w:space="0" w:color="auto"/>
              <w:bottom w:val="single" w:sz="4" w:space="0" w:color="auto"/>
              <w:right w:val="single" w:sz="4" w:space="0" w:color="auto"/>
            </w:tcBorders>
            <w:shd w:val="clear" w:color="FFFFFF" w:fill="FFFFFF"/>
            <w:noWrap/>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784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961 </w:t>
            </w:r>
          </w:p>
        </w:tc>
        <w:tc>
          <w:tcPr>
            <w:tcW w:w="953" w:type="dxa"/>
            <w:tcBorders>
              <w:top w:val="nil"/>
              <w:left w:val="nil"/>
              <w:bottom w:val="single" w:sz="4" w:space="0" w:color="auto"/>
              <w:right w:val="single" w:sz="4" w:space="0" w:color="auto"/>
            </w:tcBorders>
            <w:shd w:val="clear" w:color="FFFFFF" w:fill="FFFFFF"/>
            <w:noWrap/>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955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2,145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 xml:space="preserve">1,739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 xml:space="preserve">3,106 </w:t>
            </w:r>
          </w:p>
        </w:tc>
      </w:tr>
      <w:tr w:rsidR="003E6989" w:rsidTr="006A5410">
        <w:trPr>
          <w:trHeight w:val="57"/>
        </w:trPr>
        <w:tc>
          <w:tcPr>
            <w:tcW w:w="4020" w:type="dxa"/>
            <w:tcBorders>
              <w:top w:val="nil"/>
              <w:left w:val="single" w:sz="4" w:space="0" w:color="auto"/>
              <w:bottom w:val="single" w:sz="4" w:space="0" w:color="auto"/>
              <w:right w:val="nil"/>
            </w:tcBorders>
            <w:shd w:val="clear" w:color="FFFFFF" w:fill="FFFFFF"/>
            <w:vAlign w:val="bottom"/>
            <w:hideMark/>
          </w:tcPr>
          <w:p w:rsidR="003E6989" w:rsidRDefault="003E6989" w:rsidP="006A5410">
            <w:pPr>
              <w:spacing w:line="240" w:lineRule="auto"/>
              <w:rPr>
                <w:rFonts w:cs="Calibri"/>
                <w:b/>
                <w:bCs/>
                <w:sz w:val="16"/>
                <w:szCs w:val="16"/>
              </w:rPr>
            </w:pPr>
            <w:r>
              <w:rPr>
                <w:rFonts w:cs="Calibri"/>
                <w:b/>
                <w:bCs/>
                <w:sz w:val="16"/>
                <w:szCs w:val="16"/>
              </w:rPr>
              <w:t>Total liabilities</w:t>
            </w:r>
          </w:p>
        </w:tc>
        <w:tc>
          <w:tcPr>
            <w:tcW w:w="954" w:type="dxa"/>
            <w:tcBorders>
              <w:top w:val="nil"/>
              <w:left w:val="single" w:sz="4" w:space="0" w:color="auto"/>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56,336</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34,129</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68,568</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76,213</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1167"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rPr>
                <w:rFonts w:cs="Calibri"/>
                <w:sz w:val="16"/>
                <w:szCs w:val="16"/>
              </w:rPr>
            </w:pPr>
            <w:r>
              <w:rPr>
                <w:rFonts w:cs="Calibri"/>
                <w:sz w:val="16"/>
                <w:szCs w:val="16"/>
              </w:rPr>
              <w:t> </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w:t>
            </w:r>
          </w:p>
        </w:tc>
        <w:tc>
          <w:tcPr>
            <w:tcW w:w="953"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b/>
                <w:bCs/>
                <w:sz w:val="16"/>
                <w:szCs w:val="16"/>
              </w:rPr>
            </w:pPr>
            <w:r>
              <w:rPr>
                <w:rFonts w:cs="Calibri"/>
                <w:b/>
                <w:bCs/>
                <w:sz w:val="16"/>
                <w:szCs w:val="16"/>
              </w:rPr>
              <w:t>124,904</w:t>
            </w:r>
          </w:p>
        </w:tc>
        <w:tc>
          <w:tcPr>
            <w:tcW w:w="954" w:type="dxa"/>
            <w:tcBorders>
              <w:top w:val="nil"/>
              <w:left w:val="nil"/>
              <w:bottom w:val="single" w:sz="4" w:space="0" w:color="auto"/>
              <w:right w:val="single" w:sz="4" w:space="0" w:color="auto"/>
            </w:tcBorders>
            <w:shd w:val="clear" w:color="FFFFFF" w:fill="FFFFFF"/>
            <w:noWrap/>
            <w:vAlign w:val="bottom"/>
            <w:hideMark/>
          </w:tcPr>
          <w:p w:rsidR="003E6989" w:rsidRDefault="003E6989" w:rsidP="006A5410">
            <w:pPr>
              <w:spacing w:line="240" w:lineRule="auto"/>
              <w:ind w:right="84"/>
              <w:jc w:val="right"/>
              <w:rPr>
                <w:rFonts w:cs="Calibri"/>
                <w:sz w:val="16"/>
                <w:szCs w:val="16"/>
              </w:rPr>
            </w:pPr>
            <w:r>
              <w:rPr>
                <w:rFonts w:cs="Calibri"/>
                <w:sz w:val="16"/>
                <w:szCs w:val="16"/>
              </w:rPr>
              <w:t>110,342</w:t>
            </w:r>
          </w:p>
        </w:tc>
      </w:tr>
    </w:tbl>
    <w:p w:rsidR="003E6989" w:rsidRDefault="003E6989" w:rsidP="003E6989">
      <w:pPr>
        <w:pStyle w:val="AdminBlankGreyShade"/>
        <w:rPr>
          <w:vertAlign w:val="superscript"/>
        </w:rPr>
      </w:pPr>
      <w:bookmarkStart w:id="827" w:name="RANGE!D34:P67"/>
      <w:bookmarkEnd w:id="827"/>
    </w:p>
    <w:p w:rsidR="003E6989" w:rsidRDefault="003E6989" w:rsidP="003E6989">
      <w:pPr>
        <w:pStyle w:val="AdminBlankGreyShade"/>
      </w:pPr>
      <w:r w:rsidRPr="000F62A2">
        <w:rPr>
          <w:vertAlign w:val="superscript"/>
        </w:rPr>
        <w:t>1</w:t>
      </w:r>
      <w:r>
        <w:t xml:space="preserve"> Assets and liabilities that could not be reliably attributed to outcomes.</w:t>
      </w:r>
    </w:p>
    <w:p w:rsidR="001F2C80" w:rsidRDefault="001F2C80">
      <w:pPr>
        <w:spacing w:line="240" w:lineRule="auto"/>
        <w:rPr>
          <w:rFonts w:asciiTheme="minorHAnsi" w:hAnsiTheme="minorHAnsi" w:cstheme="minorHAnsi"/>
          <w:szCs w:val="18"/>
          <w:lang w:eastAsia="en-AU"/>
        </w:rPr>
      </w:pPr>
      <w:bookmarkStart w:id="828" w:name="RANGE!D45:L77"/>
      <w:bookmarkStart w:id="829" w:name="RANGE!D46:L79"/>
      <w:bookmarkEnd w:id="828"/>
      <w:bookmarkEnd w:id="829"/>
      <w:r>
        <w:br w:type="page"/>
      </w:r>
    </w:p>
    <w:tbl>
      <w:tblPr>
        <w:tblW w:w="13991" w:type="dxa"/>
        <w:tblInd w:w="80" w:type="dxa"/>
        <w:tblLayout w:type="fixed"/>
        <w:tblCellMar>
          <w:left w:w="57" w:type="dxa"/>
          <w:right w:w="57" w:type="dxa"/>
        </w:tblCellMar>
        <w:tblLook w:val="04A0" w:firstRow="1" w:lastRow="0" w:firstColumn="1" w:lastColumn="0" w:noHBand="0" w:noVBand="1"/>
      </w:tblPr>
      <w:tblGrid>
        <w:gridCol w:w="4018"/>
        <w:gridCol w:w="953"/>
        <w:gridCol w:w="954"/>
        <w:gridCol w:w="955"/>
        <w:gridCol w:w="955"/>
        <w:gridCol w:w="1168"/>
        <w:gridCol w:w="1169"/>
        <w:gridCol w:w="954"/>
        <w:gridCol w:w="955"/>
        <w:gridCol w:w="955"/>
        <w:gridCol w:w="955"/>
      </w:tblGrid>
      <w:tr w:rsidR="003E6989" w:rsidTr="001F2C80">
        <w:trPr>
          <w:trHeight w:val="57"/>
        </w:trPr>
        <w:tc>
          <w:tcPr>
            <w:tcW w:w="4018"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bookmarkStart w:id="830" w:name="Note_ROOTABLE3" w:colFirst="0" w:colLast="0"/>
            <w:r>
              <w:rPr>
                <w:rFonts w:cs="Calibri"/>
                <w:b/>
                <w:bCs/>
                <w:sz w:val="16"/>
                <w:szCs w:val="16"/>
              </w:rPr>
              <w:t> </w:t>
            </w:r>
          </w:p>
        </w:tc>
        <w:tc>
          <w:tcPr>
            <w:tcW w:w="1907" w:type="dxa"/>
            <w:gridSpan w:val="2"/>
            <w:tcBorders>
              <w:top w:val="single" w:sz="4" w:space="0" w:color="auto"/>
              <w:left w:val="nil"/>
              <w:bottom w:val="single" w:sz="4" w:space="0" w:color="auto"/>
              <w:right w:val="single" w:sz="4" w:space="0" w:color="000000"/>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Outcome 1</w:t>
            </w:r>
          </w:p>
        </w:tc>
        <w:tc>
          <w:tcPr>
            <w:tcW w:w="1910" w:type="dxa"/>
            <w:gridSpan w:val="2"/>
            <w:tcBorders>
              <w:top w:val="single" w:sz="4" w:space="0" w:color="auto"/>
              <w:left w:val="nil"/>
              <w:bottom w:val="single" w:sz="4" w:space="0" w:color="auto"/>
              <w:right w:val="nil"/>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Outcome 2</w:t>
            </w:r>
          </w:p>
        </w:tc>
        <w:tc>
          <w:tcPr>
            <w:tcW w:w="2337" w:type="dxa"/>
            <w:gridSpan w:val="2"/>
            <w:tcBorders>
              <w:top w:val="single" w:sz="4" w:space="0" w:color="auto"/>
              <w:left w:val="nil"/>
              <w:bottom w:val="single" w:sz="4" w:space="0" w:color="auto"/>
              <w:right w:val="nil"/>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Payment to Corporate Commonwealth Entities</w:t>
            </w:r>
          </w:p>
        </w:tc>
        <w:tc>
          <w:tcPr>
            <w:tcW w:w="1909"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Not attributed</w:t>
            </w:r>
          </w:p>
        </w:tc>
        <w:tc>
          <w:tcPr>
            <w:tcW w:w="1910" w:type="dxa"/>
            <w:gridSpan w:val="2"/>
            <w:tcBorders>
              <w:top w:val="single" w:sz="4" w:space="0" w:color="auto"/>
              <w:left w:val="nil"/>
              <w:bottom w:val="single" w:sz="4" w:space="0" w:color="auto"/>
              <w:right w:val="single" w:sz="4" w:space="0" w:color="000000"/>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Total</w:t>
            </w:r>
          </w:p>
        </w:tc>
      </w:tr>
      <w:bookmarkEnd w:id="830"/>
      <w:tr w:rsidR="003E6989" w:rsidTr="001F2C80">
        <w:trPr>
          <w:trHeight w:val="57"/>
        </w:trPr>
        <w:tc>
          <w:tcPr>
            <w:tcW w:w="4018" w:type="dxa"/>
            <w:vMerge/>
            <w:tcBorders>
              <w:top w:val="single" w:sz="4" w:space="0" w:color="auto"/>
              <w:left w:val="single" w:sz="4" w:space="0" w:color="auto"/>
              <w:bottom w:val="single" w:sz="4" w:space="0" w:color="000000"/>
              <w:right w:val="single" w:sz="4" w:space="0" w:color="auto"/>
            </w:tcBorders>
            <w:vAlign w:val="center"/>
            <w:hideMark/>
          </w:tcPr>
          <w:p w:rsidR="003E6989" w:rsidRDefault="003E6989" w:rsidP="006A5410">
            <w:pPr>
              <w:spacing w:line="240" w:lineRule="auto"/>
              <w:rPr>
                <w:rFonts w:cs="Calibri"/>
                <w:b/>
                <w:bCs/>
                <w:sz w:val="16"/>
                <w:szCs w:val="16"/>
              </w:rPr>
            </w:pP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b/>
                <w:bCs/>
                <w:sz w:val="16"/>
                <w:szCs w:val="16"/>
              </w:rPr>
            </w:pPr>
            <w:r>
              <w:rPr>
                <w:rFonts w:ascii="Arial" w:hAnsi="Arial" w:cs="Arial"/>
                <w:b/>
                <w:bCs/>
                <w:sz w:val="16"/>
                <w:szCs w:val="16"/>
              </w:rPr>
              <w:t>2016</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sz w:val="16"/>
                <w:szCs w:val="16"/>
              </w:rPr>
            </w:pPr>
            <w:r>
              <w:rPr>
                <w:rFonts w:ascii="Arial" w:hAnsi="Arial" w:cs="Arial"/>
                <w:sz w:val="16"/>
                <w:szCs w:val="16"/>
              </w:rPr>
              <w:t>2015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b/>
                <w:bCs/>
                <w:sz w:val="16"/>
                <w:szCs w:val="16"/>
              </w:rPr>
            </w:pPr>
            <w:r>
              <w:rPr>
                <w:rFonts w:ascii="Arial" w:hAnsi="Arial" w:cs="Arial"/>
                <w:b/>
                <w:bCs/>
                <w:sz w:val="16"/>
                <w:szCs w:val="16"/>
              </w:rPr>
              <w:t>2016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sz w:val="16"/>
                <w:szCs w:val="16"/>
              </w:rPr>
            </w:pPr>
            <w:r>
              <w:rPr>
                <w:rFonts w:ascii="Arial" w:hAnsi="Arial" w:cs="Arial"/>
                <w:sz w:val="16"/>
                <w:szCs w:val="16"/>
              </w:rPr>
              <w:t>2015</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b/>
                <w:bCs/>
                <w:sz w:val="16"/>
                <w:szCs w:val="16"/>
              </w:rPr>
            </w:pPr>
            <w:r>
              <w:rPr>
                <w:rFonts w:ascii="Arial" w:hAnsi="Arial" w:cs="Arial"/>
                <w:b/>
                <w:bCs/>
                <w:sz w:val="16"/>
                <w:szCs w:val="16"/>
              </w:rPr>
              <w:t>2016</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sz w:val="16"/>
                <w:szCs w:val="16"/>
              </w:rPr>
            </w:pPr>
            <w:r>
              <w:rPr>
                <w:rFonts w:ascii="Arial" w:hAnsi="Arial" w:cs="Arial"/>
                <w:sz w:val="16"/>
                <w:szCs w:val="16"/>
              </w:rPr>
              <w:t>2015</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b/>
                <w:bCs/>
                <w:sz w:val="16"/>
                <w:szCs w:val="16"/>
              </w:rPr>
            </w:pPr>
            <w:r>
              <w:rPr>
                <w:rFonts w:ascii="Arial" w:hAnsi="Arial" w:cs="Arial"/>
                <w:b/>
                <w:bCs/>
                <w:sz w:val="16"/>
                <w:szCs w:val="16"/>
              </w:rPr>
              <w:t>2016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sz w:val="16"/>
                <w:szCs w:val="16"/>
              </w:rPr>
            </w:pPr>
            <w:r>
              <w:rPr>
                <w:rFonts w:ascii="Arial" w:hAnsi="Arial" w:cs="Arial"/>
                <w:sz w:val="16"/>
                <w:szCs w:val="16"/>
              </w:rPr>
              <w:t>2015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b/>
                <w:bCs/>
                <w:sz w:val="16"/>
                <w:szCs w:val="16"/>
              </w:rPr>
            </w:pPr>
            <w:r>
              <w:rPr>
                <w:rFonts w:ascii="Arial" w:hAnsi="Arial" w:cs="Arial"/>
                <w:b/>
                <w:bCs/>
                <w:sz w:val="16"/>
                <w:szCs w:val="16"/>
              </w:rPr>
              <w:t>2016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center"/>
              <w:rPr>
                <w:rFonts w:ascii="Arial" w:hAnsi="Arial" w:cs="Arial"/>
                <w:sz w:val="16"/>
                <w:szCs w:val="16"/>
              </w:rPr>
            </w:pPr>
            <w:r>
              <w:rPr>
                <w:rFonts w:ascii="Arial" w:hAnsi="Arial" w:cs="Arial"/>
                <w:sz w:val="16"/>
                <w:szCs w:val="16"/>
              </w:rPr>
              <w:t>2015</w:t>
            </w:r>
          </w:p>
        </w:tc>
      </w:tr>
      <w:tr w:rsidR="003E6989" w:rsidTr="001F2C80">
        <w:trPr>
          <w:trHeight w:val="57"/>
        </w:trPr>
        <w:tc>
          <w:tcPr>
            <w:tcW w:w="4018" w:type="dxa"/>
            <w:vMerge/>
            <w:tcBorders>
              <w:top w:val="single" w:sz="4" w:space="0" w:color="auto"/>
              <w:left w:val="single" w:sz="4" w:space="0" w:color="auto"/>
              <w:bottom w:val="single" w:sz="4" w:space="0" w:color="000000"/>
              <w:right w:val="single" w:sz="4" w:space="0" w:color="auto"/>
            </w:tcBorders>
            <w:vAlign w:val="center"/>
            <w:hideMark/>
          </w:tcPr>
          <w:p w:rsidR="003E6989" w:rsidRDefault="003E6989" w:rsidP="006A5410">
            <w:pPr>
              <w:spacing w:line="240" w:lineRule="auto"/>
              <w:rPr>
                <w:rFonts w:cs="Calibri"/>
                <w:b/>
                <w:bCs/>
                <w:sz w:val="16"/>
                <w:szCs w:val="16"/>
              </w:rPr>
            </w:pPr>
          </w:p>
        </w:tc>
        <w:tc>
          <w:tcPr>
            <w:tcW w:w="953"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4"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5"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5"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1168"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1169"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4"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5"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sz w:val="16"/>
                <w:szCs w:val="16"/>
              </w:rPr>
            </w:pPr>
            <w:r>
              <w:rPr>
                <w:rFonts w:cs="Calibri"/>
                <w:sz w:val="16"/>
                <w:szCs w:val="16"/>
              </w:rPr>
              <w:t>$'000</w:t>
            </w:r>
          </w:p>
        </w:tc>
        <w:tc>
          <w:tcPr>
            <w:tcW w:w="955"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b/>
                <w:bCs/>
                <w:sz w:val="16"/>
                <w:szCs w:val="16"/>
              </w:rPr>
            </w:pPr>
            <w:r>
              <w:rPr>
                <w:rFonts w:cs="Calibri"/>
                <w:b/>
                <w:bCs/>
                <w:sz w:val="16"/>
                <w:szCs w:val="16"/>
              </w:rPr>
              <w:t>$'000</w:t>
            </w:r>
          </w:p>
        </w:tc>
        <w:tc>
          <w:tcPr>
            <w:tcW w:w="955" w:type="dxa"/>
            <w:tcBorders>
              <w:top w:val="nil"/>
              <w:left w:val="nil"/>
              <w:bottom w:val="single" w:sz="4" w:space="0" w:color="auto"/>
              <w:right w:val="single" w:sz="4" w:space="0" w:color="auto"/>
            </w:tcBorders>
            <w:shd w:val="clear" w:color="000000" w:fill="D9D9D9"/>
            <w:vAlign w:val="bottom"/>
            <w:hideMark/>
          </w:tcPr>
          <w:p w:rsidR="003E6989" w:rsidRDefault="003E6989" w:rsidP="006A5410">
            <w:pPr>
              <w:spacing w:line="240" w:lineRule="auto"/>
              <w:jc w:val="center"/>
              <w:rPr>
                <w:rFonts w:cs="Calibri"/>
                <w:sz w:val="16"/>
                <w:szCs w:val="16"/>
              </w:rPr>
            </w:pPr>
            <w:r>
              <w:rPr>
                <w:rFonts w:cs="Calibri"/>
                <w:sz w:val="16"/>
                <w:szCs w:val="16"/>
              </w:rPr>
              <w:t>$'000</w:t>
            </w:r>
          </w:p>
        </w:tc>
      </w:tr>
      <w:tr w:rsidR="003E6989" w:rsidTr="001F2C80">
        <w:trPr>
          <w:trHeight w:val="57"/>
        </w:trPr>
        <w:tc>
          <w:tcPr>
            <w:tcW w:w="13991" w:type="dxa"/>
            <w:gridSpan w:val="11"/>
            <w:tcBorders>
              <w:top w:val="single" w:sz="4" w:space="0" w:color="auto"/>
              <w:left w:val="single" w:sz="4" w:space="0" w:color="auto"/>
              <w:bottom w:val="single" w:sz="4" w:space="0" w:color="auto"/>
              <w:right w:val="nil"/>
            </w:tcBorders>
            <w:shd w:val="clear" w:color="000000" w:fill="D9D9D9"/>
            <w:vAlign w:val="bottom"/>
            <w:hideMark/>
          </w:tcPr>
          <w:p w:rsidR="003E6989" w:rsidRDefault="003E6989" w:rsidP="006A5410">
            <w:pPr>
              <w:spacing w:line="240" w:lineRule="auto"/>
              <w:rPr>
                <w:rFonts w:cs="Calibri"/>
                <w:b/>
                <w:bCs/>
                <w:sz w:val="16"/>
                <w:szCs w:val="16"/>
              </w:rPr>
            </w:pPr>
            <w:r>
              <w:rPr>
                <w:rFonts w:cs="Calibri"/>
                <w:b/>
                <w:bCs/>
                <w:sz w:val="16"/>
                <w:szCs w:val="16"/>
              </w:rPr>
              <w:t>Expenses</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Personal benefits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5,028,009</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3,443,917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64,265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91,179</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5,092,274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3,535,096</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Subsidies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693</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327,117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144,309</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327,810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144,309</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Grants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15,932,767</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15,150,944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9,792,553</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9,259,152</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25,725,320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24,410,096</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Suppliers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44,824</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115,912</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554,003</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222,665</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598,827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338,577</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Other</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18,461</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25,342</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1,694,717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2,064,226</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15,009</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13,370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1,728,187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2,102,938</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hideMark/>
          </w:tcPr>
          <w:p w:rsidR="003E6989" w:rsidRDefault="003E6989" w:rsidP="006A5410">
            <w:pPr>
              <w:spacing w:line="240" w:lineRule="auto"/>
              <w:rPr>
                <w:rFonts w:cs="Calibri"/>
                <w:b/>
                <w:bCs/>
                <w:i/>
                <w:iCs/>
                <w:sz w:val="16"/>
                <w:szCs w:val="16"/>
              </w:rPr>
            </w:pPr>
            <w:r>
              <w:rPr>
                <w:rFonts w:cs="Calibri"/>
                <w:b/>
                <w:bCs/>
                <w:i/>
                <w:iCs/>
                <w:sz w:val="16"/>
                <w:szCs w:val="16"/>
              </w:rPr>
              <w:t>Total expenses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21,024,754</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18,736,115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12,432,655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11,781,531</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15,009</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13,370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33,472,418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30,531,016</w:t>
            </w:r>
          </w:p>
        </w:tc>
      </w:tr>
      <w:tr w:rsidR="003E6989" w:rsidTr="001F2C80">
        <w:trPr>
          <w:trHeight w:val="57"/>
        </w:trPr>
        <w:tc>
          <w:tcPr>
            <w:tcW w:w="13991" w:type="dxa"/>
            <w:gridSpan w:val="11"/>
            <w:tcBorders>
              <w:top w:val="single" w:sz="4" w:space="0" w:color="auto"/>
              <w:left w:val="single" w:sz="4" w:space="0" w:color="auto"/>
              <w:bottom w:val="single" w:sz="4" w:space="0" w:color="auto"/>
              <w:right w:val="nil"/>
            </w:tcBorders>
            <w:shd w:val="clear" w:color="000000" w:fill="D9D9D9"/>
            <w:hideMark/>
          </w:tcPr>
          <w:p w:rsidR="003E6989" w:rsidRDefault="003E6989" w:rsidP="006A5410">
            <w:pPr>
              <w:spacing w:line="240" w:lineRule="auto"/>
              <w:rPr>
                <w:rFonts w:cs="Calibri"/>
                <w:b/>
                <w:bCs/>
                <w:sz w:val="16"/>
                <w:szCs w:val="16"/>
              </w:rPr>
            </w:pPr>
            <w:r>
              <w:rPr>
                <w:rFonts w:cs="Calibri"/>
                <w:b/>
                <w:bCs/>
                <w:sz w:val="16"/>
                <w:szCs w:val="16"/>
              </w:rPr>
              <w:t>Income</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Interest</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336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529,335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582,798</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529,337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583,134</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Levies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10,144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8,576</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10,144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8,576</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Non taxation revenue - Other</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5,972</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42,677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807,205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806,610</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554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813,177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849,841</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Gains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1,200,250</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1,200,266</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hideMark/>
          </w:tcPr>
          <w:p w:rsidR="003E6989" w:rsidRDefault="003E6989" w:rsidP="006A5410">
            <w:pPr>
              <w:spacing w:line="240" w:lineRule="auto"/>
              <w:rPr>
                <w:rFonts w:cs="Calibri"/>
                <w:b/>
                <w:bCs/>
                <w:i/>
                <w:iCs/>
                <w:sz w:val="16"/>
                <w:szCs w:val="16"/>
              </w:rPr>
            </w:pPr>
            <w:r>
              <w:rPr>
                <w:rFonts w:cs="Calibri"/>
                <w:b/>
                <w:bCs/>
                <w:i/>
                <w:iCs/>
                <w:sz w:val="16"/>
                <w:szCs w:val="16"/>
              </w:rPr>
              <w:t>Total income</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5,974</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43,029</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1,346,684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2,598,234</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554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1,352,658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2,641,817</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hideMark/>
          </w:tcPr>
          <w:p w:rsidR="003E6989" w:rsidRDefault="003E6989" w:rsidP="006A5410">
            <w:pPr>
              <w:spacing w:line="240" w:lineRule="auto"/>
              <w:rPr>
                <w:rFonts w:cs="Calibri"/>
                <w:b/>
                <w:bCs/>
                <w:sz w:val="16"/>
                <w:szCs w:val="16"/>
              </w:rPr>
            </w:pPr>
            <w:r>
              <w:rPr>
                <w:rFonts w:cs="Calibri"/>
                <w:b/>
                <w:bCs/>
                <w:sz w:val="16"/>
                <w:szCs w:val="16"/>
              </w:rPr>
              <w:t>Net cost/(contribution) of outcome delivery</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21,018,780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18,693,086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11,085,971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9,183,297</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15,009</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13,370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(554)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32,119,760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27,889,199</w:t>
            </w:r>
          </w:p>
        </w:tc>
      </w:tr>
      <w:tr w:rsidR="003E6989" w:rsidTr="001F2C80">
        <w:trPr>
          <w:trHeight w:val="57"/>
        </w:trPr>
        <w:tc>
          <w:tcPr>
            <w:tcW w:w="13991" w:type="dxa"/>
            <w:gridSpan w:val="11"/>
            <w:tcBorders>
              <w:top w:val="single" w:sz="4" w:space="0" w:color="auto"/>
              <w:left w:val="single" w:sz="4" w:space="0" w:color="auto"/>
              <w:bottom w:val="single" w:sz="4" w:space="0" w:color="auto"/>
              <w:right w:val="nil"/>
            </w:tcBorders>
            <w:shd w:val="clear" w:color="000000" w:fill="D9D9D9"/>
            <w:hideMark/>
          </w:tcPr>
          <w:p w:rsidR="003E6989" w:rsidRDefault="003E6989" w:rsidP="006A5410">
            <w:pPr>
              <w:spacing w:line="240" w:lineRule="auto"/>
              <w:rPr>
                <w:rFonts w:cs="Calibri"/>
                <w:b/>
                <w:bCs/>
                <w:sz w:val="16"/>
                <w:szCs w:val="16"/>
              </w:rPr>
            </w:pPr>
            <w:r>
              <w:rPr>
                <w:rFonts w:cs="Calibri"/>
                <w:b/>
                <w:bCs/>
                <w:sz w:val="16"/>
                <w:szCs w:val="16"/>
              </w:rPr>
              <w:t>Assets</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Cash and cash equivalents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37,360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5,146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34,732</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21,382</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72,092</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26,528</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Receivables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471,413</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4,339</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37,398,987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30,923,635</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37,870,400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30,927,974</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Investments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5,336</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6,795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2,113,001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2,143,135</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2,118,337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2,149,930</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Other non-financial assets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240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240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hideMark/>
          </w:tcPr>
          <w:p w:rsidR="003E6989" w:rsidRDefault="003E6989" w:rsidP="006A5410">
            <w:pPr>
              <w:spacing w:line="240" w:lineRule="auto"/>
              <w:rPr>
                <w:rFonts w:cs="Calibri"/>
                <w:b/>
                <w:bCs/>
                <w:i/>
                <w:iCs/>
                <w:sz w:val="16"/>
                <w:szCs w:val="16"/>
              </w:rPr>
            </w:pPr>
            <w:r>
              <w:rPr>
                <w:rFonts w:cs="Calibri"/>
                <w:b/>
                <w:bCs/>
                <w:i/>
                <w:iCs/>
                <w:sz w:val="16"/>
                <w:szCs w:val="16"/>
              </w:rPr>
              <w:t>Total assets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514,109</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16,280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39,546,960</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33,088,152</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40,061,069</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33,104,432</w:t>
            </w:r>
          </w:p>
        </w:tc>
      </w:tr>
      <w:tr w:rsidR="003E6989" w:rsidTr="001F2C80">
        <w:trPr>
          <w:trHeight w:val="57"/>
        </w:trPr>
        <w:tc>
          <w:tcPr>
            <w:tcW w:w="13991" w:type="dxa"/>
            <w:gridSpan w:val="11"/>
            <w:tcBorders>
              <w:top w:val="single" w:sz="4" w:space="0" w:color="auto"/>
              <w:left w:val="single" w:sz="4" w:space="0" w:color="auto"/>
              <w:bottom w:val="single" w:sz="4" w:space="0" w:color="auto"/>
              <w:right w:val="nil"/>
            </w:tcBorders>
            <w:shd w:val="clear" w:color="000000" w:fill="D9D9D9"/>
            <w:hideMark/>
          </w:tcPr>
          <w:p w:rsidR="003E6989" w:rsidRDefault="003E6989" w:rsidP="006A5410">
            <w:pPr>
              <w:spacing w:line="240" w:lineRule="auto"/>
              <w:rPr>
                <w:rFonts w:cs="Calibri"/>
                <w:b/>
                <w:bCs/>
                <w:sz w:val="16"/>
                <w:szCs w:val="16"/>
              </w:rPr>
            </w:pPr>
            <w:r>
              <w:rPr>
                <w:rFonts w:cs="Calibri"/>
                <w:b/>
                <w:bCs/>
                <w:sz w:val="16"/>
                <w:szCs w:val="16"/>
              </w:rPr>
              <w:t>Liabilities</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Suppliers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13,670</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3,886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43,193</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50,253</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761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96</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57,624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54,235</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Personal benefits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149,271</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149,271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Grants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15,743</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3,318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20,503</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3,318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36,246</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Other payables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13,748</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2,118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23,333</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15,571</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12</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37,081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17,701</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Provision for personal benefits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872,819</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872,819</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noWrap/>
            <w:hideMark/>
          </w:tcPr>
          <w:p w:rsidR="003E6989" w:rsidRDefault="003E6989" w:rsidP="006A5410">
            <w:pPr>
              <w:spacing w:line="240" w:lineRule="auto"/>
              <w:rPr>
                <w:rFonts w:cs="Calibri"/>
                <w:sz w:val="16"/>
                <w:szCs w:val="16"/>
              </w:rPr>
            </w:pPr>
            <w:r>
              <w:rPr>
                <w:rFonts w:cs="Calibri"/>
                <w:sz w:val="16"/>
                <w:szCs w:val="16"/>
              </w:rPr>
              <w:t>Provision for grants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6,959,011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6,068,013</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6,959,011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6,068,013</w:t>
            </w:r>
          </w:p>
        </w:tc>
      </w:tr>
      <w:tr w:rsidR="003E6989" w:rsidTr="001F2C80">
        <w:trPr>
          <w:trHeight w:val="57"/>
        </w:trPr>
        <w:tc>
          <w:tcPr>
            <w:tcW w:w="4018" w:type="dxa"/>
            <w:tcBorders>
              <w:top w:val="nil"/>
              <w:left w:val="single" w:sz="4" w:space="0" w:color="auto"/>
              <w:bottom w:val="single" w:sz="4" w:space="0" w:color="auto"/>
              <w:right w:val="single" w:sz="4" w:space="0" w:color="auto"/>
            </w:tcBorders>
            <w:shd w:val="clear" w:color="000000" w:fill="D9D9D9"/>
            <w:hideMark/>
          </w:tcPr>
          <w:p w:rsidR="003E6989" w:rsidRDefault="003E6989" w:rsidP="006A5410">
            <w:pPr>
              <w:spacing w:line="240" w:lineRule="auto"/>
              <w:rPr>
                <w:rFonts w:cs="Calibri"/>
                <w:b/>
                <w:bCs/>
                <w:i/>
                <w:iCs/>
                <w:sz w:val="16"/>
                <w:szCs w:val="16"/>
              </w:rPr>
            </w:pPr>
            <w:r>
              <w:rPr>
                <w:rFonts w:cs="Calibri"/>
                <w:b/>
                <w:bCs/>
                <w:i/>
                <w:iCs/>
                <w:sz w:val="16"/>
                <w:szCs w:val="16"/>
              </w:rPr>
              <w:t>Total liabilities</w:t>
            </w:r>
          </w:p>
        </w:tc>
        <w:tc>
          <w:tcPr>
            <w:tcW w:w="953"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1,049,508</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21,747</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7,028,855</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6,154,340</w:t>
            </w:r>
          </w:p>
        </w:tc>
        <w:tc>
          <w:tcPr>
            <w:tcW w:w="1168"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w:t>
            </w:r>
          </w:p>
        </w:tc>
        <w:tc>
          <w:tcPr>
            <w:tcW w:w="1169"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w:t>
            </w:r>
          </w:p>
        </w:tc>
        <w:tc>
          <w:tcPr>
            <w:tcW w:w="954"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761</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108</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b/>
                <w:bCs/>
                <w:sz w:val="16"/>
                <w:szCs w:val="16"/>
              </w:rPr>
            </w:pPr>
            <w:r>
              <w:rPr>
                <w:rFonts w:cs="Calibri"/>
                <w:b/>
                <w:bCs/>
                <w:sz w:val="16"/>
                <w:szCs w:val="16"/>
              </w:rPr>
              <w:t>8,079,124</w:t>
            </w:r>
          </w:p>
        </w:tc>
        <w:tc>
          <w:tcPr>
            <w:tcW w:w="955" w:type="dxa"/>
            <w:tcBorders>
              <w:top w:val="nil"/>
              <w:left w:val="nil"/>
              <w:bottom w:val="single" w:sz="4" w:space="0" w:color="auto"/>
              <w:right w:val="single" w:sz="4" w:space="0" w:color="auto"/>
            </w:tcBorders>
            <w:shd w:val="clear" w:color="000000" w:fill="D9D9D9"/>
            <w:noWrap/>
            <w:vAlign w:val="bottom"/>
            <w:hideMark/>
          </w:tcPr>
          <w:p w:rsidR="003E6989" w:rsidRDefault="003E6989" w:rsidP="006A5410">
            <w:pPr>
              <w:spacing w:line="240" w:lineRule="auto"/>
              <w:jc w:val="right"/>
              <w:rPr>
                <w:rFonts w:cs="Calibri"/>
                <w:sz w:val="16"/>
                <w:szCs w:val="16"/>
              </w:rPr>
            </w:pPr>
            <w:r>
              <w:rPr>
                <w:rFonts w:cs="Calibri"/>
                <w:sz w:val="16"/>
                <w:szCs w:val="16"/>
              </w:rPr>
              <w:t>6,176,195</w:t>
            </w:r>
          </w:p>
        </w:tc>
      </w:tr>
    </w:tbl>
    <w:p w:rsidR="003E6989" w:rsidRDefault="003E6989" w:rsidP="00E011FB">
      <w:pPr>
        <w:pStyle w:val="12line"/>
        <w:rPr>
          <w:lang w:eastAsia="en-AU"/>
        </w:rPr>
      </w:pPr>
    </w:p>
    <w:sectPr w:rsidR="003E6989" w:rsidSect="006A5410">
      <w:pgSz w:w="16838" w:h="11906" w:orient="landscape"/>
      <w:pgMar w:top="1440" w:right="1440" w:bottom="1440" w:left="1440" w:header="708" w:footer="708"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4F" w:rsidRDefault="00A47F4F">
      <w:pPr>
        <w:spacing w:line="240" w:lineRule="auto"/>
      </w:pPr>
      <w:r>
        <w:separator/>
      </w:r>
    </w:p>
  </w:endnote>
  <w:endnote w:type="continuationSeparator" w:id="0">
    <w:p w:rsidR="00A47F4F" w:rsidRDefault="00A47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Swiss 721 BT">
    <w:altName w:val="Swiss 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88485"/>
      <w:docPartObj>
        <w:docPartGallery w:val="Page Numbers (Bottom of Page)"/>
        <w:docPartUnique/>
      </w:docPartObj>
    </w:sdtPr>
    <w:sdtEndPr>
      <w:rPr>
        <w:noProof/>
      </w:rPr>
    </w:sdtEndPr>
    <w:sdtContent>
      <w:p w:rsidR="00A47F4F" w:rsidRDefault="00A47F4F">
        <w:pPr>
          <w:pStyle w:val="Footer"/>
          <w:jc w:val="right"/>
        </w:pPr>
        <w:r>
          <w:fldChar w:fldCharType="begin"/>
        </w:r>
        <w:r>
          <w:instrText xml:space="preserve"> PAGE   \* MERGEFORMAT </w:instrText>
        </w:r>
        <w:r>
          <w:fldChar w:fldCharType="separate"/>
        </w:r>
        <w:r w:rsidR="005E7B95">
          <w:rPr>
            <w:noProof/>
          </w:rPr>
          <w:t>4</w:t>
        </w:r>
        <w:r>
          <w:rPr>
            <w:noProof/>
          </w:rPr>
          <w:fldChar w:fldCharType="end"/>
        </w:r>
      </w:p>
    </w:sdtContent>
  </w:sdt>
  <w:p w:rsidR="00A47F4F" w:rsidRDefault="00A47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Default="00A47F4F" w:rsidP="008468D3">
    <w:pPr>
      <w:autoSpaceDE w:val="0"/>
      <w:autoSpaceDN w:val="0"/>
      <w:adjustRightInd w:val="0"/>
      <w:spacing w:line="240" w:lineRule="auto"/>
      <w:ind w:left="5670"/>
      <w:rPr>
        <w:rFonts w:ascii="Arial" w:hAnsi="Arial" w:cs="Arial"/>
        <w:color w:val="525756"/>
        <w:sz w:val="13"/>
        <w:szCs w:val="13"/>
      </w:rPr>
    </w:pPr>
    <w:r>
      <w:rPr>
        <w:rFonts w:ascii="Arial" w:hAnsi="Arial" w:cs="Arial"/>
        <w:color w:val="525756"/>
        <w:sz w:val="13"/>
        <w:szCs w:val="13"/>
      </w:rPr>
      <w:t>GPO B</w:t>
    </w:r>
    <w:r>
      <w:rPr>
        <w:rFonts w:ascii="Arial" w:hAnsi="Arial" w:cs="Arial"/>
        <w:color w:val="6C6E6E"/>
        <w:sz w:val="13"/>
        <w:szCs w:val="13"/>
      </w:rPr>
      <w:t xml:space="preserve">ox </w:t>
    </w:r>
    <w:r>
      <w:rPr>
        <w:rFonts w:ascii="Arial" w:hAnsi="Arial" w:cs="Arial"/>
        <w:color w:val="525756"/>
        <w:sz w:val="13"/>
        <w:szCs w:val="13"/>
      </w:rPr>
      <w:t>7</w:t>
    </w:r>
    <w:r>
      <w:rPr>
        <w:rFonts w:ascii="Arial" w:hAnsi="Arial" w:cs="Arial"/>
        <w:color w:val="6C6E6E"/>
        <w:sz w:val="13"/>
        <w:szCs w:val="13"/>
      </w:rPr>
      <w:t>0</w:t>
    </w:r>
    <w:r>
      <w:rPr>
        <w:rFonts w:ascii="Arial" w:hAnsi="Arial" w:cs="Arial"/>
        <w:color w:val="525756"/>
        <w:sz w:val="13"/>
        <w:szCs w:val="13"/>
      </w:rPr>
      <w:t>7 CANB</w:t>
    </w:r>
    <w:r>
      <w:rPr>
        <w:rFonts w:ascii="Arial" w:hAnsi="Arial" w:cs="Arial"/>
        <w:color w:val="6C6E6E"/>
        <w:sz w:val="13"/>
        <w:szCs w:val="13"/>
      </w:rPr>
      <w:t>E</w:t>
    </w:r>
    <w:r>
      <w:rPr>
        <w:rFonts w:ascii="Arial" w:hAnsi="Arial" w:cs="Arial"/>
        <w:color w:val="525756"/>
        <w:sz w:val="13"/>
        <w:szCs w:val="13"/>
      </w:rPr>
      <w:t>RRA AC</w:t>
    </w:r>
    <w:r>
      <w:rPr>
        <w:rFonts w:ascii="Arial" w:hAnsi="Arial" w:cs="Arial"/>
        <w:color w:val="6C6E6E"/>
        <w:sz w:val="13"/>
        <w:szCs w:val="13"/>
      </w:rPr>
      <w:t xml:space="preserve">T </w:t>
    </w:r>
    <w:r>
      <w:rPr>
        <w:rFonts w:ascii="Arial" w:hAnsi="Arial" w:cs="Arial"/>
        <w:color w:val="525756"/>
        <w:sz w:val="13"/>
        <w:szCs w:val="13"/>
      </w:rPr>
      <w:t>2601</w:t>
    </w:r>
  </w:p>
  <w:p w:rsidR="00A47F4F" w:rsidRDefault="00A47F4F" w:rsidP="008468D3">
    <w:pPr>
      <w:autoSpaceDE w:val="0"/>
      <w:autoSpaceDN w:val="0"/>
      <w:adjustRightInd w:val="0"/>
      <w:spacing w:line="240" w:lineRule="auto"/>
      <w:ind w:left="5670"/>
      <w:rPr>
        <w:rFonts w:ascii="Arial" w:hAnsi="Arial" w:cs="Arial"/>
        <w:color w:val="525756"/>
        <w:sz w:val="13"/>
        <w:szCs w:val="13"/>
      </w:rPr>
    </w:pPr>
    <w:r>
      <w:rPr>
        <w:rFonts w:ascii="Arial" w:hAnsi="Arial" w:cs="Arial"/>
        <w:color w:val="525756"/>
        <w:sz w:val="13"/>
        <w:szCs w:val="13"/>
      </w:rPr>
      <w:t>19 Nat</w:t>
    </w:r>
    <w:r>
      <w:rPr>
        <w:rFonts w:ascii="Arial" w:hAnsi="Arial" w:cs="Arial"/>
        <w:color w:val="6C6E6E"/>
        <w:sz w:val="13"/>
        <w:szCs w:val="13"/>
      </w:rPr>
      <w:t xml:space="preserve">ional </w:t>
    </w:r>
    <w:r>
      <w:rPr>
        <w:rFonts w:ascii="Arial" w:hAnsi="Arial" w:cs="Arial"/>
        <w:color w:val="525756"/>
        <w:sz w:val="13"/>
        <w:szCs w:val="13"/>
      </w:rPr>
      <w:t>Circ</w:t>
    </w:r>
    <w:r>
      <w:rPr>
        <w:rFonts w:ascii="Arial" w:hAnsi="Arial" w:cs="Arial"/>
        <w:color w:val="6C6E6E"/>
        <w:sz w:val="13"/>
        <w:szCs w:val="13"/>
      </w:rPr>
      <w:t>ui</w:t>
    </w:r>
    <w:r>
      <w:rPr>
        <w:rFonts w:ascii="Arial" w:hAnsi="Arial" w:cs="Arial"/>
        <w:color w:val="525756"/>
        <w:sz w:val="13"/>
        <w:szCs w:val="13"/>
      </w:rPr>
      <w:t>t BARTON ACT</w:t>
    </w:r>
  </w:p>
  <w:p w:rsidR="00A47F4F" w:rsidRDefault="00A47F4F" w:rsidP="008468D3">
    <w:pPr>
      <w:autoSpaceDE w:val="0"/>
      <w:autoSpaceDN w:val="0"/>
      <w:adjustRightInd w:val="0"/>
      <w:spacing w:line="240" w:lineRule="auto"/>
      <w:ind w:left="5670"/>
      <w:rPr>
        <w:rFonts w:ascii="Arial" w:hAnsi="Arial" w:cs="Arial"/>
        <w:color w:val="525756"/>
        <w:sz w:val="13"/>
        <w:szCs w:val="13"/>
      </w:rPr>
    </w:pPr>
    <w:r>
      <w:rPr>
        <w:rFonts w:ascii="Arial" w:hAnsi="Arial" w:cs="Arial"/>
        <w:color w:val="6C6E6E"/>
        <w:sz w:val="13"/>
        <w:szCs w:val="13"/>
      </w:rPr>
      <w:t>Ph</w:t>
    </w:r>
    <w:r>
      <w:rPr>
        <w:rFonts w:ascii="Arial" w:hAnsi="Arial" w:cs="Arial"/>
        <w:color w:val="525756"/>
        <w:sz w:val="13"/>
        <w:szCs w:val="13"/>
      </w:rPr>
      <w:t xml:space="preserve">one </w:t>
    </w:r>
    <w:r>
      <w:rPr>
        <w:rFonts w:ascii="Arial" w:hAnsi="Arial" w:cs="Arial"/>
        <w:color w:val="6C6E6E"/>
        <w:sz w:val="13"/>
        <w:szCs w:val="13"/>
      </w:rPr>
      <w:t>(</w:t>
    </w:r>
    <w:r>
      <w:rPr>
        <w:rFonts w:ascii="Arial" w:hAnsi="Arial" w:cs="Arial"/>
        <w:color w:val="525756"/>
        <w:sz w:val="13"/>
        <w:szCs w:val="13"/>
      </w:rPr>
      <w:t>0</w:t>
    </w:r>
    <w:r>
      <w:rPr>
        <w:rFonts w:ascii="Arial" w:hAnsi="Arial" w:cs="Arial"/>
        <w:color w:val="6C6E6E"/>
        <w:sz w:val="13"/>
        <w:szCs w:val="13"/>
      </w:rPr>
      <w:t xml:space="preserve">2} </w:t>
    </w:r>
    <w:r>
      <w:rPr>
        <w:rFonts w:ascii="Arial" w:hAnsi="Arial" w:cs="Arial"/>
        <w:color w:val="525756"/>
        <w:sz w:val="13"/>
        <w:szCs w:val="13"/>
      </w:rPr>
      <w:t xml:space="preserve">6203 7300 Fax </w:t>
    </w:r>
    <w:r>
      <w:rPr>
        <w:rFonts w:ascii="Arial" w:hAnsi="Arial" w:cs="Arial"/>
        <w:color w:val="6C6E6E"/>
        <w:sz w:val="13"/>
        <w:szCs w:val="13"/>
      </w:rPr>
      <w:t>(</w:t>
    </w:r>
    <w:r>
      <w:rPr>
        <w:rFonts w:ascii="Arial" w:hAnsi="Arial" w:cs="Arial"/>
        <w:color w:val="525756"/>
        <w:sz w:val="13"/>
        <w:szCs w:val="13"/>
      </w:rPr>
      <w:t>02} 6203 7777</w:t>
    </w:r>
  </w:p>
  <w:sdt>
    <w:sdtPr>
      <w:id w:val="-780342695"/>
      <w:docPartObj>
        <w:docPartGallery w:val="Page Numbers (Bottom of Page)"/>
        <w:docPartUnique/>
      </w:docPartObj>
    </w:sdtPr>
    <w:sdtEndPr>
      <w:rPr>
        <w:noProof/>
      </w:rPr>
    </w:sdtEndPr>
    <w:sdtContent>
      <w:p w:rsidR="00A47F4F" w:rsidRPr="00C94244" w:rsidRDefault="00C94244" w:rsidP="00C94244">
        <w:pPr>
          <w:pStyle w:val="Footer"/>
          <w:jc w:val="right"/>
          <w:rPr>
            <w:rFonts w:ascii="Calibri" w:hAnsi="Calibri"/>
            <w:noProof/>
            <w:sz w:val="18"/>
            <w:lang w:eastAsia="en-US"/>
          </w:rPr>
        </w:pPr>
        <w:r>
          <w:fldChar w:fldCharType="begin"/>
        </w:r>
        <w:r>
          <w:instrText xml:space="preserve"> PAGE   \* MERGEFORMAT </w:instrText>
        </w:r>
        <w:r>
          <w:fldChar w:fldCharType="separate"/>
        </w:r>
        <w:r w:rsidR="005E7B9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498579858"/>
      <w:docPartObj>
        <w:docPartGallery w:val="Page Numbers (Bottom of Page)"/>
        <w:docPartUnique/>
      </w:docPartObj>
    </w:sdtPr>
    <w:sdtEndPr/>
    <w:sdtContent>
      <w:p w:rsidR="00A47F4F" w:rsidRDefault="00A47F4F">
        <w:pPr>
          <w:pStyle w:val="Footer"/>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5E7B95">
          <w:rPr>
            <w:rFonts w:asciiTheme="minorHAnsi" w:hAnsiTheme="minorHAnsi" w:cstheme="minorHAnsi"/>
            <w:noProof/>
          </w:rPr>
          <w:t>15</w:t>
        </w:r>
        <w:r>
          <w:rPr>
            <w:rFonts w:asciiTheme="minorHAnsi" w:hAnsiTheme="minorHAnsi" w:cstheme="minorHAnsi"/>
          </w:rPr>
          <w:fldChar w:fldCharType="end"/>
        </w:r>
      </w:p>
    </w:sdtContent>
  </w:sdt>
  <w:p w:rsidR="00A47F4F" w:rsidRDefault="00A47F4F">
    <w:pPr>
      <w:pStyle w:val="Footer"/>
      <w:rPr>
        <w:rFonts w:asciiTheme="minorHAnsi" w:hAnsiTheme="minorHAnsi" w:cstheme="minorHAnsi"/>
      </w:rPr>
    </w:pPr>
    <w:r>
      <w:rPr>
        <w:rFonts w:asciiTheme="minorHAnsi" w:hAnsiTheme="minorHAnsi" w:cstheme="minorHAnsi"/>
      </w:rPr>
      <w:t>The above schedule should be read in conjunction with the accompanying notes.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545046"/>
      <w:docPartObj>
        <w:docPartGallery w:val="Page Numbers (Bottom of Page)"/>
        <w:docPartUnique/>
      </w:docPartObj>
    </w:sdtPr>
    <w:sdtEndPr/>
    <w:sdtContent>
      <w:p w:rsidR="00A47F4F" w:rsidRDefault="00A47F4F">
        <w:pPr>
          <w:pStyle w:val="Footer"/>
          <w:jc w:val="right"/>
        </w:pPr>
        <w:r>
          <w:rPr>
            <w:rFonts w:asciiTheme="minorHAnsi" w:hAnsiTheme="minorHAnsi" w:cstheme="minorHAnsi"/>
          </w:rPr>
          <w:fldChar w:fldCharType="begin"/>
        </w:r>
        <w:r>
          <w:rPr>
            <w:rFonts w:asciiTheme="minorHAnsi" w:hAnsiTheme="minorHAnsi" w:cstheme="minorHAnsi"/>
          </w:rPr>
          <w:instrText xml:space="preserve"> PAGE  \* Arabic  \* MERGEFORMAT </w:instrText>
        </w:r>
        <w:r>
          <w:rPr>
            <w:rFonts w:asciiTheme="minorHAnsi" w:hAnsiTheme="minorHAnsi" w:cstheme="minorHAnsi"/>
          </w:rPr>
          <w:fldChar w:fldCharType="separate"/>
        </w:r>
        <w:r w:rsidR="005E7B95">
          <w:rPr>
            <w:rFonts w:asciiTheme="minorHAnsi" w:hAnsiTheme="minorHAnsi" w:cstheme="minorHAnsi"/>
            <w:noProof/>
          </w:rPr>
          <w:t>41</w:t>
        </w:r>
        <w:r>
          <w:rPr>
            <w:rFonts w:asciiTheme="minorHAnsi" w:hAnsiTheme="minorHAnsi" w:cstheme="minorHAnsi"/>
          </w:rPr>
          <w:fldChar w:fldCharType="end"/>
        </w:r>
      </w:p>
    </w:sdtContent>
  </w:sdt>
  <w:p w:rsidR="00A47F4F" w:rsidRDefault="00A47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4F" w:rsidRDefault="00A47F4F">
      <w:pPr>
        <w:spacing w:line="240" w:lineRule="auto"/>
      </w:pPr>
      <w:r>
        <w:separator/>
      </w:r>
    </w:p>
  </w:footnote>
  <w:footnote w:type="continuationSeparator" w:id="0">
    <w:p w:rsidR="00A47F4F" w:rsidRDefault="00A47F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E73CE0" w:rsidRDefault="00A47F4F" w:rsidP="00E73CE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F4F" w:rsidRPr="00403CAE" w:rsidRDefault="00A47F4F" w:rsidP="00403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0ED7E0"/>
    <w:lvl w:ilvl="0">
      <w:start w:val="1"/>
      <w:numFmt w:val="decimal"/>
      <w:lvlText w:val="%1."/>
      <w:lvlJc w:val="left"/>
      <w:pPr>
        <w:tabs>
          <w:tab w:val="num" w:pos="1492"/>
        </w:tabs>
        <w:ind w:left="1492" w:hanging="360"/>
      </w:pPr>
    </w:lvl>
  </w:abstractNum>
  <w:abstractNum w:abstractNumId="1">
    <w:nsid w:val="FFFFFF7D"/>
    <w:multiLevelType w:val="singleLevel"/>
    <w:tmpl w:val="744C2566"/>
    <w:lvl w:ilvl="0">
      <w:start w:val="1"/>
      <w:numFmt w:val="decimal"/>
      <w:lvlText w:val="%1."/>
      <w:lvlJc w:val="left"/>
      <w:pPr>
        <w:tabs>
          <w:tab w:val="num" w:pos="1209"/>
        </w:tabs>
        <w:ind w:left="1209" w:hanging="360"/>
      </w:pPr>
    </w:lvl>
  </w:abstractNum>
  <w:abstractNum w:abstractNumId="2">
    <w:nsid w:val="FFFFFF7E"/>
    <w:multiLevelType w:val="singleLevel"/>
    <w:tmpl w:val="0380B410"/>
    <w:lvl w:ilvl="0">
      <w:start w:val="1"/>
      <w:numFmt w:val="decimal"/>
      <w:lvlText w:val="%1."/>
      <w:lvlJc w:val="left"/>
      <w:pPr>
        <w:tabs>
          <w:tab w:val="num" w:pos="926"/>
        </w:tabs>
        <w:ind w:left="926" w:hanging="360"/>
      </w:pPr>
    </w:lvl>
  </w:abstractNum>
  <w:abstractNum w:abstractNumId="3">
    <w:nsid w:val="FFFFFF7F"/>
    <w:multiLevelType w:val="singleLevel"/>
    <w:tmpl w:val="7D800650"/>
    <w:lvl w:ilvl="0">
      <w:start w:val="1"/>
      <w:numFmt w:val="decimal"/>
      <w:lvlText w:val="%1."/>
      <w:lvlJc w:val="left"/>
      <w:pPr>
        <w:tabs>
          <w:tab w:val="num" w:pos="643"/>
        </w:tabs>
        <w:ind w:left="643" w:hanging="360"/>
      </w:pPr>
    </w:lvl>
  </w:abstractNum>
  <w:abstractNum w:abstractNumId="4">
    <w:nsid w:val="FFFFFF80"/>
    <w:multiLevelType w:val="singleLevel"/>
    <w:tmpl w:val="1174EA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0FE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E1E04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909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A22AF0"/>
    <w:lvl w:ilvl="0">
      <w:start w:val="1"/>
      <w:numFmt w:val="decimal"/>
      <w:lvlText w:val="%1."/>
      <w:lvlJc w:val="left"/>
      <w:pPr>
        <w:tabs>
          <w:tab w:val="num" w:pos="360"/>
        </w:tabs>
        <w:ind w:left="360" w:hanging="360"/>
      </w:pPr>
    </w:lvl>
  </w:abstractNum>
  <w:abstractNum w:abstractNumId="9">
    <w:nsid w:val="FFFFFF89"/>
    <w:multiLevelType w:val="singleLevel"/>
    <w:tmpl w:val="A468C774"/>
    <w:lvl w:ilvl="0">
      <w:start w:val="1"/>
      <w:numFmt w:val="bullet"/>
      <w:lvlText w:val=""/>
      <w:lvlJc w:val="left"/>
      <w:pPr>
        <w:tabs>
          <w:tab w:val="num" w:pos="360"/>
        </w:tabs>
        <w:ind w:left="360" w:hanging="360"/>
      </w:pPr>
      <w:rPr>
        <w:rFonts w:ascii="Symbol" w:hAnsi="Symbol" w:hint="default"/>
      </w:rPr>
    </w:lvl>
  </w:abstractNum>
  <w:abstractNum w:abstractNumId="1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6D84F41"/>
    <w:multiLevelType w:val="hybridMultilevel"/>
    <w:tmpl w:val="5630D544"/>
    <w:lvl w:ilvl="0" w:tplc="35AA1066">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C9618C6"/>
    <w:multiLevelType w:val="hybridMultilevel"/>
    <w:tmpl w:val="5784B5EC"/>
    <w:lvl w:ilvl="0" w:tplc="04241E30">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13E6000B"/>
    <w:multiLevelType w:val="multilevel"/>
    <w:tmpl w:val="D7D49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3B1BF4"/>
    <w:multiLevelType w:val="multilevel"/>
    <w:tmpl w:val="1AB2610A"/>
    <w:lvl w:ilvl="0">
      <w:start w:val="1"/>
      <w:numFmt w:val="decimal"/>
      <w:lvlText w:val="%1"/>
      <w:lvlJc w:val="left"/>
      <w:pPr>
        <w:ind w:left="360" w:hanging="360"/>
      </w:pPr>
      <w:rPr>
        <w:rFonts w:hint="default"/>
      </w:rPr>
    </w:lvl>
    <w:lvl w:ilvl="1">
      <w:start w:val="1"/>
      <w:numFmt w:val="decimal"/>
      <w:pStyle w:val="subcategoryheading"/>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1B775712"/>
    <w:multiLevelType w:val="hybridMultilevel"/>
    <w:tmpl w:val="225EE774"/>
    <w:lvl w:ilvl="0" w:tplc="992E13E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690174C"/>
    <w:multiLevelType w:val="hybridMultilevel"/>
    <w:tmpl w:val="6F36C828"/>
    <w:lvl w:ilvl="0" w:tplc="264A4B6E">
      <w:start w:val="1"/>
      <w:numFmt w:val="bullet"/>
      <w:lvlText w:val=""/>
      <w:lvlJc w:val="left"/>
      <w:pPr>
        <w:ind w:left="360" w:hanging="360"/>
      </w:pPr>
      <w:rPr>
        <w:rFonts w:ascii="Symbol" w:hAnsi="Symbol"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6997AF8"/>
    <w:multiLevelType w:val="hybridMultilevel"/>
    <w:tmpl w:val="87AA1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71345BE"/>
    <w:multiLevelType w:val="singleLevel"/>
    <w:tmpl w:val="EB825A20"/>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27331AAE"/>
    <w:multiLevelType w:val="singleLevel"/>
    <w:tmpl w:val="E19A81B4"/>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2CEA4481"/>
    <w:multiLevelType w:val="multilevel"/>
    <w:tmpl w:val="0DFE1A6A"/>
    <w:lvl w:ilvl="0">
      <w:start w:val="1"/>
      <w:numFmt w:val="bullet"/>
      <w:lvlRestart w:val="0"/>
      <w:pStyle w:val="AR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2D84699B"/>
    <w:multiLevelType w:val="singleLevel"/>
    <w:tmpl w:val="D9729EF2"/>
    <w:lvl w:ilvl="0">
      <w:start w:val="1"/>
      <w:numFmt w:val="bullet"/>
      <w:lvlText w:val=""/>
      <w:lvlJc w:val="left"/>
      <w:pPr>
        <w:tabs>
          <w:tab w:val="num" w:pos="340"/>
        </w:tabs>
        <w:ind w:left="340" w:hanging="340"/>
      </w:pPr>
      <w:rPr>
        <w:rFonts w:ascii="Symbol" w:hAnsi="Symbol" w:hint="default"/>
        <w:color w:val="auto"/>
        <w:sz w:val="22"/>
      </w:rPr>
    </w:lvl>
  </w:abstractNum>
  <w:abstractNum w:abstractNumId="24">
    <w:nsid w:val="2F657F4D"/>
    <w:multiLevelType w:val="singleLevel"/>
    <w:tmpl w:val="B7A02DA8"/>
    <w:lvl w:ilvl="0">
      <w:start w:val="1"/>
      <w:numFmt w:val="bullet"/>
      <w:pStyle w:val="Policytextdeptbulletpoint"/>
      <w:lvlText w:val=""/>
      <w:lvlJc w:val="left"/>
      <w:pPr>
        <w:tabs>
          <w:tab w:val="num" w:pos="340"/>
        </w:tabs>
        <w:ind w:left="340" w:hanging="340"/>
      </w:pPr>
      <w:rPr>
        <w:rFonts w:ascii="Symbol" w:hAnsi="Symbol" w:hint="default"/>
        <w:color w:val="auto"/>
        <w:sz w:val="22"/>
      </w:rPr>
    </w:lvl>
  </w:abstractNum>
  <w:abstractNum w:abstractNumId="25">
    <w:nsid w:val="30C93988"/>
    <w:multiLevelType w:val="singleLevel"/>
    <w:tmpl w:val="B46E5814"/>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363601A1"/>
    <w:multiLevelType w:val="singleLevel"/>
    <w:tmpl w:val="6388C652"/>
    <w:lvl w:ilvl="0">
      <w:start w:val="1"/>
      <w:numFmt w:val="bullet"/>
      <w:pStyle w:val="PolicyTextadminbullets"/>
      <w:lvlText w:val=""/>
      <w:lvlJc w:val="left"/>
      <w:pPr>
        <w:tabs>
          <w:tab w:val="num" w:pos="340"/>
        </w:tabs>
        <w:ind w:left="340" w:hanging="340"/>
      </w:pPr>
      <w:rPr>
        <w:rFonts w:ascii="Symbol" w:hAnsi="Symbol" w:hint="default"/>
        <w:color w:val="auto"/>
        <w:sz w:val="22"/>
      </w:rPr>
    </w:lvl>
  </w:abstractNum>
  <w:abstractNum w:abstractNumId="27">
    <w:nsid w:val="381952E6"/>
    <w:multiLevelType w:val="hybridMultilevel"/>
    <w:tmpl w:val="07942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9FE05B2"/>
    <w:multiLevelType w:val="multilevel"/>
    <w:tmpl w:val="D5DA8C3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30">
    <w:nsid w:val="3FB65D04"/>
    <w:multiLevelType w:val="singleLevel"/>
    <w:tmpl w:val="BC4400C2"/>
    <w:lvl w:ilvl="0">
      <w:start w:val="1"/>
      <w:numFmt w:val="bullet"/>
      <w:lvlText w:val=""/>
      <w:lvlJc w:val="left"/>
      <w:pPr>
        <w:tabs>
          <w:tab w:val="num" w:pos="340"/>
        </w:tabs>
        <w:ind w:left="340" w:hanging="340"/>
      </w:pPr>
      <w:rPr>
        <w:rFonts w:ascii="Symbol" w:hAnsi="Symbol" w:hint="default"/>
        <w:color w:val="auto"/>
        <w:sz w:val="22"/>
      </w:rPr>
    </w:lvl>
  </w:abstractNum>
  <w:abstractNum w:abstractNumId="31">
    <w:nsid w:val="401B1C11"/>
    <w:multiLevelType w:val="singleLevel"/>
    <w:tmpl w:val="1CAA26B6"/>
    <w:lvl w:ilvl="0">
      <w:start w:val="1"/>
      <w:numFmt w:val="bullet"/>
      <w:lvlText w:val=""/>
      <w:lvlJc w:val="left"/>
      <w:pPr>
        <w:tabs>
          <w:tab w:val="num" w:pos="340"/>
        </w:tabs>
        <w:ind w:left="340" w:hanging="340"/>
      </w:pPr>
      <w:rPr>
        <w:rFonts w:ascii="Symbol" w:hAnsi="Symbol" w:hint="default"/>
        <w:color w:val="auto"/>
        <w:sz w:val="22"/>
      </w:rPr>
    </w:lvl>
  </w:abstractNum>
  <w:abstractNum w:abstractNumId="32">
    <w:nsid w:val="435E3B80"/>
    <w:multiLevelType w:val="hybridMultilevel"/>
    <w:tmpl w:val="C3B2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4">
    <w:nsid w:val="51992686"/>
    <w:multiLevelType w:val="hybridMultilevel"/>
    <w:tmpl w:val="6414C56A"/>
    <w:lvl w:ilvl="0" w:tplc="BA60A9B4">
      <w:start w:val="1"/>
      <w:numFmt w:val="decimal"/>
      <w:lvlText w:val="%1."/>
      <w:lvlJc w:val="left"/>
      <w:pPr>
        <w:ind w:left="720" w:hanging="360"/>
      </w:pPr>
      <w:rPr>
        <w:rFonts w:hint="default"/>
      </w:rPr>
    </w:lvl>
    <w:lvl w:ilvl="1" w:tplc="270ECA08">
      <w:start w:val="1"/>
      <w:numFmt w:val="decimal"/>
      <w:suff w:val="space"/>
      <w:lvlText w:val="%2.1"/>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2485DFA"/>
    <w:multiLevelType w:val="hybridMultilevel"/>
    <w:tmpl w:val="E08CE8A0"/>
    <w:lvl w:ilvl="0" w:tplc="9B940478">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6">
    <w:nsid w:val="53134884"/>
    <w:multiLevelType w:val="multilevel"/>
    <w:tmpl w:val="57F47E3C"/>
    <w:lvl w:ilvl="0">
      <w:start w:val="1"/>
      <w:numFmt w:val="decimal"/>
      <w:pStyle w:val="SectionHeading"/>
      <w:lvlText w:val="%1."/>
      <w:lvlJc w:val="left"/>
      <w:pPr>
        <w:ind w:left="360" w:hanging="360"/>
      </w:pPr>
      <w:rPr>
        <w:rFonts w:hint="default"/>
      </w:rPr>
    </w:lvl>
    <w:lvl w:ilvl="1">
      <w:start w:val="1"/>
      <w:numFmt w:val="decimal"/>
      <w:pStyle w:val="SubHeading"/>
      <w:suff w:val="space"/>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8">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5D276BA2"/>
    <w:multiLevelType w:val="hybridMultilevel"/>
    <w:tmpl w:val="52166F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0670E23"/>
    <w:multiLevelType w:val="singleLevel"/>
    <w:tmpl w:val="FC8C2572"/>
    <w:lvl w:ilvl="0">
      <w:start w:val="1"/>
      <w:numFmt w:val="bullet"/>
      <w:lvlText w:val=""/>
      <w:lvlJc w:val="left"/>
      <w:pPr>
        <w:tabs>
          <w:tab w:val="num" w:pos="360"/>
        </w:tabs>
        <w:ind w:left="357" w:hanging="357"/>
      </w:pPr>
      <w:rPr>
        <w:rFonts w:ascii="Symbol" w:hAnsi="Symbol" w:hint="default"/>
      </w:rPr>
    </w:lvl>
  </w:abstractNum>
  <w:abstractNum w:abstractNumId="41">
    <w:nsid w:val="66A34EFD"/>
    <w:multiLevelType w:val="singleLevel"/>
    <w:tmpl w:val="3A7E6798"/>
    <w:lvl w:ilvl="0">
      <w:start w:val="1"/>
      <w:numFmt w:val="bullet"/>
      <w:lvlText w:val=""/>
      <w:lvlJc w:val="left"/>
      <w:pPr>
        <w:tabs>
          <w:tab w:val="num" w:pos="340"/>
        </w:tabs>
        <w:ind w:left="340" w:hanging="340"/>
      </w:pPr>
      <w:rPr>
        <w:rFonts w:ascii="Symbol" w:hAnsi="Symbol" w:hint="default"/>
        <w:color w:val="auto"/>
        <w:sz w:val="22"/>
      </w:rPr>
    </w:lvl>
  </w:abstractNum>
  <w:abstractNum w:abstractNumId="42">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3">
    <w:nsid w:val="6A38338E"/>
    <w:multiLevelType w:val="singleLevel"/>
    <w:tmpl w:val="2922866A"/>
    <w:lvl w:ilvl="0">
      <w:start w:val="1"/>
      <w:numFmt w:val="bullet"/>
      <w:pStyle w:val="NotesHeading-Level1GreyShade"/>
      <w:lvlText w:val=""/>
      <w:lvlJc w:val="left"/>
      <w:pPr>
        <w:tabs>
          <w:tab w:val="num" w:pos="360"/>
        </w:tabs>
        <w:ind w:left="360" w:hanging="360"/>
      </w:pPr>
      <w:rPr>
        <w:rFonts w:ascii="Symbol" w:hAnsi="Symbol" w:cs="Times New Roman" w:hint="default"/>
      </w:rPr>
    </w:lvl>
  </w:abstractNum>
  <w:abstractNum w:abstractNumId="44">
    <w:nsid w:val="70804040"/>
    <w:multiLevelType w:val="hybridMultilevel"/>
    <w:tmpl w:val="4D7E47AC"/>
    <w:lvl w:ilvl="0" w:tplc="8E780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273732F"/>
    <w:multiLevelType w:val="singleLevel"/>
    <w:tmpl w:val="340C18A6"/>
    <w:lvl w:ilvl="0">
      <w:start w:val="1"/>
      <w:numFmt w:val="bullet"/>
      <w:lvlText w:val=""/>
      <w:lvlJc w:val="left"/>
      <w:pPr>
        <w:tabs>
          <w:tab w:val="num" w:pos="340"/>
        </w:tabs>
        <w:ind w:left="340" w:hanging="340"/>
      </w:pPr>
      <w:rPr>
        <w:rFonts w:ascii="Symbol" w:hAnsi="Symbol" w:hint="default"/>
        <w:color w:val="auto"/>
        <w:sz w:val="22"/>
      </w:rPr>
    </w:lvl>
  </w:abstractNum>
  <w:abstractNum w:abstractNumId="46">
    <w:nsid w:val="72E921FA"/>
    <w:multiLevelType w:val="multilevel"/>
    <w:tmpl w:val="C3BED586"/>
    <w:lvl w:ilvl="0">
      <w:start w:val="1"/>
      <w:numFmt w:val="decimal"/>
      <w:pStyle w:val="NotesHeading-Level1"/>
      <w:lvlText w:val="Note %1: "/>
      <w:lvlJc w:val="left"/>
      <w:pPr>
        <w:tabs>
          <w:tab w:val="num" w:pos="851"/>
        </w:tabs>
        <w:ind w:left="1134" w:hanging="1134"/>
      </w:pPr>
      <w:rPr>
        <w:rFonts w:asciiTheme="minorHAnsi" w:hAnsiTheme="minorHAnsi" w:cstheme="minorHAnsi" w:hint="default"/>
        <w:b/>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heme="minorHAnsi" w:eastAsia="Times New Roman" w:hAnsiTheme="minorHAnsi" w:cstheme="minorHAnsi"/>
        <w:vertAlign w:val="superscript"/>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8">
    <w:nsid w:val="7AA135C9"/>
    <w:multiLevelType w:val="singleLevel"/>
    <w:tmpl w:val="C94041CE"/>
    <w:lvl w:ilvl="0">
      <w:start w:val="1"/>
      <w:numFmt w:val="bullet"/>
      <w:lvlText w:val=""/>
      <w:lvlJc w:val="left"/>
      <w:pPr>
        <w:tabs>
          <w:tab w:val="num" w:pos="340"/>
        </w:tabs>
        <w:ind w:left="340" w:hanging="340"/>
      </w:pPr>
      <w:rPr>
        <w:rFonts w:ascii="Symbol" w:hAnsi="Symbol" w:hint="default"/>
        <w:color w:val="auto"/>
        <w:sz w:val="22"/>
      </w:rPr>
    </w:lvl>
  </w:abstractNum>
  <w:num w:numId="1">
    <w:abstractNumId w:val="33"/>
  </w:num>
  <w:num w:numId="2">
    <w:abstractNumId w:val="37"/>
  </w:num>
  <w:num w:numId="3">
    <w:abstractNumId w:val="29"/>
    <w:lvlOverride w:ilvl="0">
      <w:startOverride w:val="1"/>
    </w:lvlOverride>
  </w:num>
  <w:num w:numId="4">
    <w:abstractNumId w:val="42"/>
  </w:num>
  <w:num w:numId="5">
    <w:abstractNumId w:val="13"/>
  </w:num>
  <w:num w:numId="6">
    <w:abstractNumId w:val="47"/>
  </w:num>
  <w:num w:numId="7">
    <w:abstractNumId w:val="22"/>
  </w:num>
  <w:num w:numId="8">
    <w:abstractNumId w:val="22"/>
  </w:num>
  <w:num w:numId="9">
    <w:abstractNumId w:val="18"/>
  </w:num>
  <w:num w:numId="10">
    <w:abstractNumId w:val="46"/>
  </w:num>
  <w:num w:numId="11">
    <w:abstractNumId w:val="43"/>
  </w:num>
  <w:num w:numId="12">
    <w:abstractNumId w:val="40"/>
  </w:num>
  <w:num w:numId="13">
    <w:abstractNumId w:val="10"/>
  </w:num>
  <w:num w:numId="14">
    <w:abstractNumId w:val="17"/>
  </w:num>
  <w:num w:numId="15">
    <w:abstractNumId w:val="38"/>
  </w:num>
  <w:num w:numId="16">
    <w:abstractNumId w:val="32"/>
  </w:num>
  <w:num w:numId="17">
    <w:abstractNumId w:val="19"/>
  </w:num>
  <w:num w:numId="18">
    <w:abstractNumId w:val="35"/>
  </w:num>
  <w:num w:numId="19">
    <w:abstractNumId w:val="11"/>
  </w:num>
  <w:num w:numId="20">
    <w:abstractNumId w:val="15"/>
  </w:num>
  <w:num w:numId="21">
    <w:abstractNumId w:val="36"/>
  </w:num>
  <w:num w:numId="22">
    <w:abstractNumId w:val="14"/>
  </w:num>
  <w:num w:numId="23">
    <w:abstractNumId w:val="45"/>
  </w:num>
  <w:num w:numId="24">
    <w:abstractNumId w:val="25"/>
  </w:num>
  <w:num w:numId="25">
    <w:abstractNumId w:val="31"/>
  </w:num>
  <w:num w:numId="26">
    <w:abstractNumId w:val="21"/>
  </w:num>
  <w:num w:numId="27">
    <w:abstractNumId w:val="41"/>
  </w:num>
  <w:num w:numId="28">
    <w:abstractNumId w:val="23"/>
  </w:num>
  <w:num w:numId="29">
    <w:abstractNumId w:val="16"/>
  </w:num>
  <w:num w:numId="30">
    <w:abstractNumId w:val="34"/>
  </w:num>
  <w:num w:numId="31">
    <w:abstractNumId w:val="28"/>
  </w:num>
  <w:num w:numId="32">
    <w:abstractNumId w:val="48"/>
  </w:num>
  <w:num w:numId="33">
    <w:abstractNumId w:val="20"/>
  </w:num>
  <w:num w:numId="34">
    <w:abstractNumId w:val="24"/>
  </w:num>
  <w:num w:numId="35">
    <w:abstractNumId w:val="30"/>
  </w:num>
  <w:num w:numId="36">
    <w:abstractNumId w:val="8"/>
  </w:num>
  <w:num w:numId="37">
    <w:abstractNumId w:val="26"/>
  </w:num>
  <w:num w:numId="38">
    <w:abstractNumId w:val="39"/>
  </w:num>
  <w:num w:numId="39">
    <w:abstractNumId w:val="12"/>
  </w:num>
  <w:num w:numId="40">
    <w:abstractNumId w:val="27"/>
  </w:num>
  <w:num w:numId="41">
    <w:abstractNumId w:val="44"/>
  </w:num>
  <w:num w:numId="42">
    <w:abstractNumId w:val="9"/>
  </w:num>
  <w:num w:numId="43">
    <w:abstractNumId w:val="7"/>
  </w:num>
  <w:num w:numId="44">
    <w:abstractNumId w:val="6"/>
  </w:num>
  <w:num w:numId="45">
    <w:abstractNumId w:val="5"/>
  </w:num>
  <w:num w:numId="46">
    <w:abstractNumId w:val="4"/>
  </w:num>
  <w:num w:numId="47">
    <w:abstractNumId w:val="3"/>
  </w:num>
  <w:num w:numId="48">
    <w:abstractNumId w:val="2"/>
  </w:num>
  <w:num w:numId="49">
    <w:abstractNumId w:val="1"/>
  </w:num>
  <w:num w:numId="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16"/>
    <w:rsid w:val="00036A81"/>
    <w:rsid w:val="00064A80"/>
    <w:rsid w:val="00087C4C"/>
    <w:rsid w:val="000A3647"/>
    <w:rsid w:val="00140B35"/>
    <w:rsid w:val="00161F3A"/>
    <w:rsid w:val="001E4A63"/>
    <w:rsid w:val="001F2C80"/>
    <w:rsid w:val="00200175"/>
    <w:rsid w:val="00204618"/>
    <w:rsid w:val="002135AE"/>
    <w:rsid w:val="002233E3"/>
    <w:rsid w:val="00232425"/>
    <w:rsid w:val="002633BC"/>
    <w:rsid w:val="00271ADC"/>
    <w:rsid w:val="00373F61"/>
    <w:rsid w:val="003B65F3"/>
    <w:rsid w:val="003E3EE9"/>
    <w:rsid w:val="003E6989"/>
    <w:rsid w:val="00403CAE"/>
    <w:rsid w:val="004C4AB7"/>
    <w:rsid w:val="004E30B3"/>
    <w:rsid w:val="004F64D7"/>
    <w:rsid w:val="0052366A"/>
    <w:rsid w:val="0052716D"/>
    <w:rsid w:val="00562EDF"/>
    <w:rsid w:val="005863AA"/>
    <w:rsid w:val="005937AA"/>
    <w:rsid w:val="005E7B95"/>
    <w:rsid w:val="00601F44"/>
    <w:rsid w:val="006A3FE8"/>
    <w:rsid w:val="006A5410"/>
    <w:rsid w:val="00700551"/>
    <w:rsid w:val="007628B2"/>
    <w:rsid w:val="008468D3"/>
    <w:rsid w:val="008B7B7E"/>
    <w:rsid w:val="0091724D"/>
    <w:rsid w:val="00A12DF6"/>
    <w:rsid w:val="00A20A18"/>
    <w:rsid w:val="00A47038"/>
    <w:rsid w:val="00A47F4F"/>
    <w:rsid w:val="00A639C5"/>
    <w:rsid w:val="00AB5210"/>
    <w:rsid w:val="00AF2758"/>
    <w:rsid w:val="00AF5FDF"/>
    <w:rsid w:val="00AF7E92"/>
    <w:rsid w:val="00B204AD"/>
    <w:rsid w:val="00B91AF3"/>
    <w:rsid w:val="00BC6152"/>
    <w:rsid w:val="00C21DC5"/>
    <w:rsid w:val="00C5489A"/>
    <w:rsid w:val="00C548B1"/>
    <w:rsid w:val="00C7001F"/>
    <w:rsid w:val="00C90F32"/>
    <w:rsid w:val="00C94244"/>
    <w:rsid w:val="00CB7F40"/>
    <w:rsid w:val="00CC7B16"/>
    <w:rsid w:val="00D1404A"/>
    <w:rsid w:val="00D21804"/>
    <w:rsid w:val="00D266F3"/>
    <w:rsid w:val="00D64A08"/>
    <w:rsid w:val="00DC7175"/>
    <w:rsid w:val="00E011FB"/>
    <w:rsid w:val="00E62F3C"/>
    <w:rsid w:val="00E73CE0"/>
    <w:rsid w:val="00E91E04"/>
    <w:rsid w:val="00E96268"/>
    <w:rsid w:val="00EB3A47"/>
    <w:rsid w:val="00EB78F3"/>
    <w:rsid w:val="00ED3E62"/>
    <w:rsid w:val="00F161B2"/>
    <w:rsid w:val="00F25D1B"/>
    <w:rsid w:val="00FA1739"/>
    <w:rsid w:val="00FB3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89"/>
    <w:pPr>
      <w:spacing w:line="260" w:lineRule="atLeast"/>
    </w:pPr>
    <w:rPr>
      <w:rFonts w:ascii="Calibri" w:hAnsi="Calibri"/>
      <w:sz w:val="18"/>
    </w:rPr>
  </w:style>
  <w:style w:type="paragraph" w:styleId="Heading1">
    <w:name w:val="heading 1"/>
    <w:aliases w:val="Heading 1 do not use,Section heading 1,Front Page Title,1.,Para 1,Para 11"/>
    <w:basedOn w:val="HeadingBase"/>
    <w:next w:val="Normal"/>
    <w:link w:val="Heading1Char"/>
    <w:qFormat/>
    <w:rsid w:val="00064A80"/>
    <w:pPr>
      <w:spacing w:after="240"/>
      <w:jc w:val="center"/>
      <w:outlineLvl w:val="0"/>
    </w:pPr>
    <w:rPr>
      <w:b/>
      <w:smallCaps/>
      <w:kern w:val="28"/>
      <w:sz w:val="34"/>
    </w:rPr>
  </w:style>
  <w:style w:type="paragraph" w:styleId="Heading2">
    <w:name w:val="heading 2"/>
    <w:aliases w:val="Heading 2 do not use,Front Page List of Sections"/>
    <w:basedOn w:val="HeadingBase"/>
    <w:next w:val="Normal"/>
    <w:link w:val="Heading2Char"/>
    <w:qFormat/>
    <w:rsid w:val="00064A80"/>
    <w:pPr>
      <w:spacing w:before="360" w:after="360"/>
      <w:outlineLvl w:val="1"/>
    </w:pPr>
    <w:rPr>
      <w:sz w:val="30"/>
    </w:rPr>
  </w:style>
  <w:style w:type="paragraph" w:styleId="Heading3">
    <w:name w:val="heading 3"/>
    <w:aliases w:val="Heading 3 do not use"/>
    <w:basedOn w:val="HeadingBase"/>
    <w:next w:val="Normal"/>
    <w:link w:val="Heading3Char"/>
    <w:qFormat/>
    <w:rsid w:val="00064A80"/>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064A80"/>
    <w:pPr>
      <w:tabs>
        <w:tab w:val="left" w:pos="709"/>
      </w:tabs>
      <w:spacing w:before="120" w:after="120"/>
      <w:outlineLvl w:val="3"/>
    </w:pPr>
    <w:rPr>
      <w:b/>
      <w:sz w:val="22"/>
    </w:rPr>
  </w:style>
  <w:style w:type="paragraph" w:styleId="Heading5">
    <w:name w:val="heading 5"/>
    <w:basedOn w:val="HeadingBase"/>
    <w:next w:val="Normal"/>
    <w:link w:val="Heading5Char"/>
    <w:qFormat/>
    <w:rsid w:val="00064A80"/>
    <w:pPr>
      <w:spacing w:after="120"/>
      <w:outlineLvl w:val="4"/>
    </w:pPr>
    <w:rPr>
      <w:b/>
      <w:bCs/>
      <w:iCs/>
      <w:sz w:val="20"/>
      <w:szCs w:val="26"/>
    </w:rPr>
  </w:style>
  <w:style w:type="paragraph" w:styleId="Heading6">
    <w:name w:val="heading 6"/>
    <w:basedOn w:val="HeadingBase"/>
    <w:next w:val="Normal"/>
    <w:link w:val="Heading6Char"/>
    <w:qFormat/>
    <w:rsid w:val="00064A80"/>
    <w:pPr>
      <w:spacing w:after="120"/>
      <w:outlineLvl w:val="5"/>
    </w:pPr>
    <w:rPr>
      <w:bCs/>
      <w:sz w:val="20"/>
      <w:szCs w:val="22"/>
    </w:rPr>
  </w:style>
  <w:style w:type="paragraph" w:styleId="Heading7">
    <w:name w:val="heading 7"/>
    <w:aliases w:val="Section Sub-Heading 4"/>
    <w:basedOn w:val="HeadingBase"/>
    <w:next w:val="Normal"/>
    <w:link w:val="Heading7Char"/>
    <w:qFormat/>
    <w:rsid w:val="00064A80"/>
    <w:pPr>
      <w:spacing w:after="100"/>
      <w:outlineLvl w:val="6"/>
    </w:pPr>
    <w:rPr>
      <w:sz w:val="18"/>
      <w:szCs w:val="24"/>
    </w:rPr>
  </w:style>
  <w:style w:type="paragraph" w:styleId="Heading8">
    <w:name w:val="heading 8"/>
    <w:basedOn w:val="HeadingBase"/>
    <w:next w:val="Normal"/>
    <w:link w:val="Heading8Char"/>
    <w:qFormat/>
    <w:rsid w:val="00064A8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3E69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064A80"/>
    <w:rPr>
      <w:rFonts w:ascii="Swiss 721 BT" w:hAnsi="Swiss 721 BT" w:cs="Swiss 721 BT" w:hint="default"/>
      <w:color w:val="000000"/>
      <w:sz w:val="20"/>
      <w:szCs w:val="20"/>
    </w:rPr>
  </w:style>
  <w:style w:type="paragraph" w:customStyle="1" w:styleId="AlphaParagraph">
    <w:name w:val="Alpha Paragraph"/>
    <w:basedOn w:val="Normal"/>
    <w:rsid w:val="00064A80"/>
    <w:pPr>
      <w:numPr>
        <w:numId w:val="1"/>
      </w:numPr>
    </w:pPr>
  </w:style>
  <w:style w:type="paragraph" w:customStyle="1" w:styleId="HeadingBase">
    <w:name w:val="Heading Base"/>
    <w:link w:val="HeadingBaseChar"/>
    <w:rsid w:val="00064A80"/>
    <w:pPr>
      <w:keepNext/>
    </w:pPr>
    <w:rPr>
      <w:rFonts w:ascii="Arial" w:hAnsi="Arial"/>
      <w:sz w:val="24"/>
      <w:lang w:eastAsia="en-AU"/>
    </w:rPr>
  </w:style>
  <w:style w:type="character" w:customStyle="1" w:styleId="HeadingBaseChar">
    <w:name w:val="Heading Base Char"/>
    <w:link w:val="HeadingBase"/>
    <w:rsid w:val="00064A80"/>
    <w:rPr>
      <w:rFonts w:ascii="Arial" w:hAnsi="Arial" w:cs="Times New Roman"/>
      <w:sz w:val="24"/>
      <w:szCs w:val="20"/>
      <w:lang w:eastAsia="en-AU"/>
    </w:rPr>
  </w:style>
  <w:style w:type="paragraph" w:customStyle="1" w:styleId="AppendixHeading">
    <w:name w:val="Appendix Heading"/>
    <w:basedOn w:val="HeadingBase"/>
    <w:semiHidden/>
    <w:rsid w:val="00064A80"/>
    <w:pPr>
      <w:spacing w:after="240"/>
      <w:jc w:val="center"/>
      <w:outlineLvl w:val="3"/>
    </w:pPr>
    <w:rPr>
      <w:b/>
      <w:smallCaps/>
      <w:sz w:val="30"/>
    </w:rPr>
  </w:style>
  <w:style w:type="paragraph" w:styleId="BalloonText">
    <w:name w:val="Balloon Text"/>
    <w:basedOn w:val="Normal"/>
    <w:link w:val="BalloonTextChar"/>
    <w:semiHidden/>
    <w:rsid w:val="00064A80"/>
    <w:rPr>
      <w:rFonts w:ascii="Tahoma" w:hAnsi="Tahoma" w:cs="Tahoma"/>
      <w:sz w:val="16"/>
      <w:szCs w:val="16"/>
    </w:rPr>
  </w:style>
  <w:style w:type="character" w:customStyle="1" w:styleId="BalloonTextChar">
    <w:name w:val="Balloon Text Char"/>
    <w:basedOn w:val="DefaultParagraphFont"/>
    <w:link w:val="BalloonText"/>
    <w:rsid w:val="00064A80"/>
    <w:rPr>
      <w:rFonts w:ascii="Tahoma" w:hAnsi="Tahoma" w:cs="Tahoma"/>
      <w:sz w:val="16"/>
      <w:szCs w:val="16"/>
      <w:lang w:eastAsia="en-AU"/>
    </w:rPr>
  </w:style>
  <w:style w:type="paragraph" w:customStyle="1" w:styleId="BlockedQuotation">
    <w:name w:val="Blocked Quotation"/>
    <w:basedOn w:val="Normal"/>
    <w:semiHidden/>
    <w:rsid w:val="00064A80"/>
    <w:pPr>
      <w:ind w:left="567"/>
    </w:pPr>
  </w:style>
  <w:style w:type="paragraph" w:customStyle="1" w:styleId="BoxTextBase">
    <w:name w:val="Box Text Base"/>
    <w:basedOn w:val="Normal"/>
    <w:rsid w:val="00064A80"/>
    <w:pPr>
      <w:spacing w:after="120"/>
    </w:pPr>
    <w:rPr>
      <w:color w:val="000000"/>
    </w:rPr>
  </w:style>
  <w:style w:type="paragraph" w:customStyle="1" w:styleId="BoxText">
    <w:name w:val="Box Text"/>
    <w:basedOn w:val="BoxTextBase"/>
    <w:rsid w:val="00064A80"/>
  </w:style>
  <w:style w:type="paragraph" w:customStyle="1" w:styleId="BoxBullet">
    <w:name w:val="Box Bullet"/>
    <w:basedOn w:val="BoxText"/>
    <w:rsid w:val="00064A80"/>
    <w:pPr>
      <w:numPr>
        <w:numId w:val="2"/>
      </w:numPr>
    </w:pPr>
  </w:style>
  <w:style w:type="paragraph" w:customStyle="1" w:styleId="BoxDash">
    <w:name w:val="Box Dash"/>
    <w:basedOn w:val="Normal"/>
    <w:rsid w:val="00064A80"/>
    <w:pPr>
      <w:numPr>
        <w:ilvl w:val="1"/>
        <w:numId w:val="2"/>
      </w:numPr>
    </w:pPr>
    <w:rPr>
      <w:color w:val="000000"/>
    </w:rPr>
  </w:style>
  <w:style w:type="paragraph" w:customStyle="1" w:styleId="BoxDoubleDot">
    <w:name w:val="Box Double Dot"/>
    <w:basedOn w:val="BoxTextBase"/>
    <w:rsid w:val="00064A80"/>
    <w:pPr>
      <w:numPr>
        <w:ilvl w:val="2"/>
        <w:numId w:val="2"/>
      </w:numPr>
    </w:pPr>
  </w:style>
  <w:style w:type="paragraph" w:customStyle="1" w:styleId="BoxHeading">
    <w:name w:val="Box Heading"/>
    <w:basedOn w:val="HeadingBase"/>
    <w:next w:val="BoxText"/>
    <w:rsid w:val="00064A80"/>
    <w:pPr>
      <w:spacing w:before="120" w:after="120"/>
    </w:pPr>
    <w:rPr>
      <w:b/>
      <w:sz w:val="20"/>
    </w:rPr>
  </w:style>
  <w:style w:type="paragraph" w:customStyle="1" w:styleId="BoxHeadinglevel2">
    <w:name w:val="Box Heading level 2"/>
    <w:basedOn w:val="BoxHeading"/>
    <w:rsid w:val="00064A80"/>
    <w:pPr>
      <w:spacing w:before="0"/>
    </w:pPr>
    <w:rPr>
      <w:sz w:val="18"/>
    </w:rPr>
  </w:style>
  <w:style w:type="paragraph" w:customStyle="1" w:styleId="Bullet">
    <w:name w:val="Bullet"/>
    <w:basedOn w:val="Normal"/>
    <w:link w:val="BulletChar"/>
    <w:rsid w:val="00064A80"/>
    <w:pPr>
      <w:numPr>
        <w:numId w:val="5"/>
      </w:numPr>
    </w:pPr>
  </w:style>
  <w:style w:type="character" w:customStyle="1" w:styleId="BulletChar">
    <w:name w:val="Bullet Char"/>
    <w:link w:val="Bullet"/>
    <w:rsid w:val="00064A80"/>
    <w:rPr>
      <w:rFonts w:ascii="Book Antiqua" w:hAnsi="Book Antiqua" w:cs="Times New Roman"/>
      <w:sz w:val="20"/>
      <w:szCs w:val="20"/>
      <w:lang w:eastAsia="en-AU"/>
    </w:rPr>
  </w:style>
  <w:style w:type="paragraph" w:styleId="Caption">
    <w:name w:val="caption"/>
    <w:basedOn w:val="Normal"/>
    <w:next w:val="Normal"/>
    <w:qFormat/>
    <w:rsid w:val="00064A80"/>
    <w:rPr>
      <w:b/>
      <w:bCs/>
    </w:rPr>
  </w:style>
  <w:style w:type="paragraph" w:customStyle="1" w:styleId="ChartandTableFootnote">
    <w:name w:val="Chart and Table Footnote"/>
    <w:basedOn w:val="HeadingBase"/>
    <w:next w:val="Normal"/>
    <w:link w:val="ChartandTableFootnoteChar"/>
    <w:rsid w:val="00064A80"/>
    <w:pPr>
      <w:tabs>
        <w:tab w:val="left" w:pos="284"/>
      </w:tabs>
      <w:ind w:left="284" w:hanging="284"/>
      <w:jc w:val="both"/>
    </w:pPr>
    <w:rPr>
      <w:sz w:val="16"/>
    </w:rPr>
  </w:style>
  <w:style w:type="character" w:customStyle="1" w:styleId="ChartandTableFootnoteChar">
    <w:name w:val="Chart and Table Footnote Char"/>
    <w:link w:val="ChartandTableFootnote"/>
    <w:rsid w:val="00064A80"/>
    <w:rPr>
      <w:rFonts w:ascii="Arial" w:hAnsi="Arial" w:cs="Times New Roman"/>
      <w:sz w:val="16"/>
      <w:szCs w:val="20"/>
      <w:lang w:eastAsia="en-AU"/>
    </w:rPr>
  </w:style>
  <w:style w:type="paragraph" w:customStyle="1" w:styleId="ChartandTableFootnoteAlpha">
    <w:name w:val="Chart and Table Footnote Alpha"/>
    <w:basedOn w:val="HeadingBase"/>
    <w:next w:val="Normal"/>
    <w:rsid w:val="00064A80"/>
    <w:pPr>
      <w:numPr>
        <w:numId w:val="3"/>
      </w:numPr>
      <w:jc w:val="both"/>
    </w:pPr>
    <w:rPr>
      <w:sz w:val="16"/>
    </w:rPr>
  </w:style>
  <w:style w:type="paragraph" w:customStyle="1" w:styleId="ChartandTableFootnoteAlphaSmall">
    <w:name w:val="Chart and Table Footnote Alpha Small"/>
    <w:basedOn w:val="HeadingBase"/>
    <w:next w:val="Normal"/>
    <w:rsid w:val="00064A80"/>
    <w:pPr>
      <w:numPr>
        <w:numId w:val="4"/>
      </w:numPr>
      <w:jc w:val="both"/>
    </w:pPr>
    <w:rPr>
      <w:sz w:val="15"/>
    </w:rPr>
  </w:style>
  <w:style w:type="paragraph" w:customStyle="1" w:styleId="ChartandTableFootnoteSmall">
    <w:name w:val="Chart and Table Footnote Small"/>
    <w:basedOn w:val="HeadingBase"/>
    <w:next w:val="Normal"/>
    <w:rsid w:val="00064A80"/>
    <w:pPr>
      <w:tabs>
        <w:tab w:val="left" w:pos="284"/>
      </w:tabs>
      <w:jc w:val="both"/>
    </w:pPr>
    <w:rPr>
      <w:sz w:val="15"/>
    </w:rPr>
  </w:style>
  <w:style w:type="paragraph" w:customStyle="1" w:styleId="ChartGraphic">
    <w:name w:val="Chart Graphic"/>
    <w:basedOn w:val="HeadingBase"/>
    <w:rsid w:val="00064A80"/>
    <w:pPr>
      <w:jc w:val="center"/>
    </w:pPr>
    <w:rPr>
      <w:sz w:val="20"/>
    </w:rPr>
  </w:style>
  <w:style w:type="paragraph" w:customStyle="1" w:styleId="ChartMainHeading">
    <w:name w:val="Chart Main Heading"/>
    <w:basedOn w:val="Normal"/>
    <w:next w:val="ChartGraphic"/>
    <w:rsid w:val="00064A80"/>
    <w:pPr>
      <w:keepNext/>
      <w:spacing w:before="120" w:after="20"/>
      <w:jc w:val="center"/>
    </w:pPr>
    <w:rPr>
      <w:rFonts w:ascii="Arial" w:hAnsi="Arial"/>
      <w:b/>
    </w:rPr>
  </w:style>
  <w:style w:type="paragraph" w:customStyle="1" w:styleId="ChartSecondHeading">
    <w:name w:val="Chart Second Heading"/>
    <w:basedOn w:val="HeadingBase"/>
    <w:next w:val="ChartGraphic"/>
    <w:rsid w:val="00064A80"/>
    <w:pPr>
      <w:spacing w:before="60"/>
      <w:jc w:val="center"/>
    </w:pPr>
    <w:rPr>
      <w:sz w:val="20"/>
    </w:rPr>
  </w:style>
  <w:style w:type="paragraph" w:customStyle="1" w:styleId="Classification">
    <w:name w:val="Classification"/>
    <w:basedOn w:val="HeadingBase"/>
    <w:rsid w:val="00064A80"/>
    <w:pPr>
      <w:jc w:val="center"/>
    </w:pPr>
    <w:rPr>
      <w:b/>
      <w:smallCaps/>
    </w:rPr>
  </w:style>
  <w:style w:type="character" w:styleId="CommentReference">
    <w:name w:val="annotation reference"/>
    <w:uiPriority w:val="99"/>
    <w:semiHidden/>
    <w:rsid w:val="00064A80"/>
    <w:rPr>
      <w:sz w:val="16"/>
      <w:szCs w:val="16"/>
    </w:rPr>
  </w:style>
  <w:style w:type="paragraph" w:styleId="CommentText">
    <w:name w:val="annotation text"/>
    <w:basedOn w:val="Normal"/>
    <w:link w:val="CommentTextChar"/>
    <w:uiPriority w:val="99"/>
    <w:semiHidden/>
    <w:rsid w:val="00064A80"/>
    <w:rPr>
      <w:lang w:val="x-none" w:eastAsia="x-none"/>
    </w:rPr>
  </w:style>
  <w:style w:type="character" w:customStyle="1" w:styleId="CommentTextChar">
    <w:name w:val="Comment Text Char"/>
    <w:link w:val="CommentText"/>
    <w:uiPriority w:val="99"/>
    <w:rsid w:val="00064A80"/>
    <w:rPr>
      <w:rFonts w:ascii="Book Antiqua"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064A80"/>
    <w:rPr>
      <w:b/>
      <w:bCs/>
    </w:rPr>
  </w:style>
  <w:style w:type="character" w:customStyle="1" w:styleId="CommentSubjectChar">
    <w:name w:val="Comment Subject Char"/>
    <w:basedOn w:val="CommentTextChar"/>
    <w:link w:val="CommentSubject"/>
    <w:rsid w:val="00064A80"/>
    <w:rPr>
      <w:rFonts w:ascii="Book Antiqua" w:hAnsi="Book Antiqua" w:cs="Times New Roman"/>
      <w:b/>
      <w:bCs/>
      <w:sz w:val="20"/>
      <w:szCs w:val="20"/>
      <w:lang w:val="x-none" w:eastAsia="x-none"/>
    </w:rPr>
  </w:style>
  <w:style w:type="paragraph" w:customStyle="1" w:styleId="ContentsHeading">
    <w:name w:val="Contents Heading"/>
    <w:basedOn w:val="HeadingBase"/>
    <w:next w:val="Normal"/>
    <w:rsid w:val="00064A80"/>
    <w:pPr>
      <w:spacing w:after="360"/>
      <w:jc w:val="center"/>
    </w:pPr>
    <w:rPr>
      <w:b/>
      <w:smallCaps/>
      <w:sz w:val="34"/>
    </w:rPr>
  </w:style>
  <w:style w:type="paragraph" w:customStyle="1" w:styleId="Crest">
    <w:name w:val="Crest"/>
    <w:basedOn w:val="Normal"/>
    <w:next w:val="Normal"/>
    <w:rsid w:val="00064A80"/>
    <w:pPr>
      <w:jc w:val="center"/>
    </w:pPr>
  </w:style>
  <w:style w:type="paragraph" w:customStyle="1" w:styleId="Dash">
    <w:name w:val="Dash"/>
    <w:basedOn w:val="Normal"/>
    <w:rsid w:val="00064A80"/>
    <w:pPr>
      <w:numPr>
        <w:ilvl w:val="1"/>
        <w:numId w:val="5"/>
      </w:numPr>
    </w:pPr>
  </w:style>
  <w:style w:type="paragraph" w:customStyle="1" w:styleId="Department">
    <w:name w:val="Department"/>
    <w:basedOn w:val="Normal"/>
    <w:rsid w:val="00064A80"/>
    <w:pPr>
      <w:jc w:val="center"/>
    </w:pPr>
    <w:rPr>
      <w:rFonts w:ascii="Arial" w:hAnsi="Arial"/>
      <w:b/>
      <w:sz w:val="52"/>
    </w:rPr>
  </w:style>
  <w:style w:type="paragraph" w:customStyle="1" w:styleId="DepartmentSubtitle">
    <w:name w:val="Department Subtitle"/>
    <w:basedOn w:val="Department"/>
    <w:rsid w:val="00064A80"/>
    <w:rPr>
      <w:sz w:val="44"/>
    </w:rPr>
  </w:style>
  <w:style w:type="paragraph" w:styleId="DocumentMap">
    <w:name w:val="Document Map"/>
    <w:basedOn w:val="Normal"/>
    <w:link w:val="DocumentMapChar"/>
    <w:semiHidden/>
    <w:rsid w:val="00064A80"/>
    <w:pPr>
      <w:shd w:val="clear" w:color="auto" w:fill="000080"/>
    </w:pPr>
    <w:rPr>
      <w:rFonts w:ascii="Tahoma" w:hAnsi="Tahoma" w:cs="Tahoma"/>
    </w:rPr>
  </w:style>
  <w:style w:type="character" w:customStyle="1" w:styleId="DocumentMapChar">
    <w:name w:val="Document Map Char"/>
    <w:basedOn w:val="DefaultParagraphFont"/>
    <w:link w:val="DocumentMap"/>
    <w:rsid w:val="00064A80"/>
    <w:rPr>
      <w:rFonts w:ascii="Tahoma" w:hAnsi="Tahoma" w:cs="Tahoma"/>
      <w:sz w:val="20"/>
      <w:szCs w:val="20"/>
      <w:shd w:val="clear" w:color="auto" w:fill="000080"/>
      <w:lang w:eastAsia="en-AU"/>
    </w:rPr>
  </w:style>
  <w:style w:type="paragraph" w:customStyle="1" w:styleId="DoubleDot">
    <w:name w:val="Double Dot"/>
    <w:basedOn w:val="Normal"/>
    <w:rsid w:val="00064A80"/>
    <w:pPr>
      <w:numPr>
        <w:ilvl w:val="2"/>
        <w:numId w:val="5"/>
      </w:numPr>
    </w:pPr>
  </w:style>
  <w:style w:type="character" w:styleId="EndnoteReference">
    <w:name w:val="endnote reference"/>
    <w:rsid w:val="00064A80"/>
    <w:rPr>
      <w:vertAlign w:val="superscript"/>
    </w:rPr>
  </w:style>
  <w:style w:type="paragraph" w:styleId="EndnoteText">
    <w:name w:val="endnote text"/>
    <w:basedOn w:val="Normal"/>
    <w:link w:val="EndnoteTextChar"/>
    <w:rsid w:val="00064A80"/>
  </w:style>
  <w:style w:type="character" w:customStyle="1" w:styleId="EndnoteTextChar">
    <w:name w:val="Endnote Text Char"/>
    <w:basedOn w:val="DefaultParagraphFont"/>
    <w:link w:val="EndnoteText"/>
    <w:rsid w:val="00064A80"/>
    <w:rPr>
      <w:rFonts w:ascii="Book Antiqua" w:hAnsi="Book Antiqua" w:cs="Times New Roman"/>
      <w:sz w:val="20"/>
      <w:szCs w:val="20"/>
      <w:lang w:eastAsia="en-AU"/>
    </w:rPr>
  </w:style>
  <w:style w:type="paragraph" w:customStyle="1" w:styleId="Exampletext">
    <w:name w:val="Example text"/>
    <w:basedOn w:val="Normal"/>
    <w:link w:val="ExampletextCharChar"/>
    <w:rsid w:val="00064A80"/>
    <w:rPr>
      <w:i/>
      <w:color w:val="FF0000"/>
    </w:rPr>
  </w:style>
  <w:style w:type="character" w:customStyle="1" w:styleId="ExampletextCharChar">
    <w:name w:val="Example text Char Char"/>
    <w:link w:val="Exampletext"/>
    <w:rsid w:val="00064A80"/>
    <w:rPr>
      <w:rFonts w:ascii="Book Antiqua" w:hAnsi="Book Antiqua" w:cs="Times New Roman"/>
      <w:i/>
      <w:color w:val="FF0000"/>
      <w:sz w:val="20"/>
      <w:szCs w:val="20"/>
      <w:lang w:eastAsia="en-AU"/>
    </w:rPr>
  </w:style>
  <w:style w:type="paragraph" w:customStyle="1" w:styleId="ExampleText0">
    <w:name w:val="Example Text"/>
    <w:basedOn w:val="Normal"/>
    <w:rsid w:val="00064A80"/>
    <w:rPr>
      <w:i/>
      <w:color w:val="FF0000"/>
    </w:rPr>
  </w:style>
  <w:style w:type="paragraph" w:customStyle="1" w:styleId="Exampletextbullet">
    <w:name w:val="Example text bullet"/>
    <w:basedOn w:val="Exampletext"/>
    <w:rsid w:val="00064A80"/>
    <w:pPr>
      <w:numPr>
        <w:numId w:val="6"/>
      </w:numPr>
    </w:pPr>
  </w:style>
  <w:style w:type="paragraph" w:customStyle="1" w:styleId="Exampletextdash">
    <w:name w:val="Example text dash"/>
    <w:basedOn w:val="Exampletextbullet"/>
    <w:rsid w:val="00064A80"/>
    <w:pPr>
      <w:numPr>
        <w:ilvl w:val="1"/>
      </w:numPr>
    </w:pPr>
  </w:style>
  <w:style w:type="paragraph" w:customStyle="1" w:styleId="FigureHeading">
    <w:name w:val="Figure Heading"/>
    <w:basedOn w:val="HeadingBase"/>
    <w:next w:val="ChartGraphic"/>
    <w:rsid w:val="00064A80"/>
    <w:pPr>
      <w:spacing w:after="120"/>
      <w:jc w:val="center"/>
    </w:pPr>
    <w:rPr>
      <w:b/>
      <w:sz w:val="20"/>
    </w:rPr>
  </w:style>
  <w:style w:type="paragraph" w:customStyle="1" w:styleId="FileProperties">
    <w:name w:val="File Properties"/>
    <w:basedOn w:val="Normal"/>
    <w:semiHidden/>
    <w:rsid w:val="00064A80"/>
    <w:rPr>
      <w:i/>
    </w:rPr>
  </w:style>
  <w:style w:type="character" w:styleId="FollowedHyperlink">
    <w:name w:val="FollowedHyperlink"/>
    <w:uiPriority w:val="99"/>
    <w:rsid w:val="00064A80"/>
    <w:rPr>
      <w:color w:val="800080"/>
      <w:u w:val="single"/>
    </w:rPr>
  </w:style>
  <w:style w:type="paragraph" w:customStyle="1" w:styleId="FooterBase">
    <w:name w:val="Footer Base"/>
    <w:rsid w:val="00064A80"/>
    <w:pPr>
      <w:jc w:val="center"/>
    </w:pPr>
    <w:rPr>
      <w:rFonts w:ascii="Arial" w:hAnsi="Arial"/>
      <w:lang w:eastAsia="en-AU"/>
    </w:rPr>
  </w:style>
  <w:style w:type="paragraph" w:styleId="Footer">
    <w:name w:val="footer"/>
    <w:basedOn w:val="FooterBase"/>
    <w:link w:val="FooterChar"/>
    <w:uiPriority w:val="99"/>
    <w:rsid w:val="00064A80"/>
    <w:pPr>
      <w:tabs>
        <w:tab w:val="center" w:pos="4153"/>
        <w:tab w:val="right" w:pos="8306"/>
      </w:tabs>
    </w:pPr>
  </w:style>
  <w:style w:type="character" w:customStyle="1" w:styleId="FooterChar">
    <w:name w:val="Footer Char"/>
    <w:basedOn w:val="DefaultParagraphFont"/>
    <w:link w:val="Footer"/>
    <w:uiPriority w:val="99"/>
    <w:rsid w:val="00064A80"/>
    <w:rPr>
      <w:rFonts w:ascii="Arial" w:hAnsi="Arial" w:cs="Times New Roman"/>
      <w:sz w:val="20"/>
      <w:szCs w:val="20"/>
      <w:lang w:eastAsia="en-AU"/>
    </w:rPr>
  </w:style>
  <w:style w:type="character" w:styleId="FootnoteReference">
    <w:name w:val="footnote reference"/>
    <w:uiPriority w:val="99"/>
    <w:rsid w:val="00064A80"/>
    <w:rPr>
      <w:vertAlign w:val="superscript"/>
    </w:rPr>
  </w:style>
  <w:style w:type="paragraph" w:styleId="FootnoteText">
    <w:name w:val="footnote text"/>
    <w:basedOn w:val="Normal"/>
    <w:link w:val="FootnoteTextChar"/>
    <w:rsid w:val="00064A80"/>
    <w:pPr>
      <w:tabs>
        <w:tab w:val="left" w:pos="284"/>
      </w:tabs>
      <w:ind w:left="284" w:hanging="284"/>
    </w:pPr>
  </w:style>
  <w:style w:type="character" w:customStyle="1" w:styleId="FootnoteTextChar">
    <w:name w:val="Footnote Text Char"/>
    <w:basedOn w:val="DefaultParagraphFont"/>
    <w:link w:val="FootnoteText"/>
    <w:rsid w:val="00064A80"/>
    <w:rPr>
      <w:rFonts w:ascii="Book Antiqua" w:hAnsi="Book Antiqua" w:cs="Times New Roman"/>
      <w:sz w:val="18"/>
      <w:szCs w:val="20"/>
      <w:lang w:eastAsia="en-AU"/>
    </w:rPr>
  </w:style>
  <w:style w:type="character" w:customStyle="1" w:styleId="FramedHeader">
    <w:name w:val="Framed Header"/>
    <w:rsid w:val="00064A80"/>
    <w:rPr>
      <w:rFonts w:ascii="Book Antiqua" w:hAnsi="Book Antiqua"/>
      <w:i/>
      <w:dstrike w:val="0"/>
      <w:color w:val="auto"/>
      <w:sz w:val="18"/>
      <w:vertAlign w:val="baseline"/>
    </w:rPr>
  </w:style>
  <w:style w:type="paragraph" w:customStyle="1" w:styleId="HeaderBase">
    <w:name w:val="Header Base"/>
    <w:rsid w:val="00064A80"/>
    <w:rPr>
      <w:rFonts w:ascii="Book Antiqua" w:hAnsi="Book Antiqua"/>
      <w:i/>
      <w:lang w:eastAsia="en-AU"/>
    </w:rPr>
  </w:style>
  <w:style w:type="paragraph" w:styleId="Header">
    <w:name w:val="header"/>
    <w:basedOn w:val="HeaderBase"/>
    <w:link w:val="HeaderChar"/>
    <w:uiPriority w:val="99"/>
    <w:rsid w:val="00064A80"/>
    <w:pPr>
      <w:tabs>
        <w:tab w:val="center" w:pos="4153"/>
        <w:tab w:val="right" w:pos="8306"/>
      </w:tabs>
    </w:pPr>
    <w:rPr>
      <w:lang w:val="x-none" w:eastAsia="x-none"/>
    </w:rPr>
  </w:style>
  <w:style w:type="character" w:customStyle="1" w:styleId="HeaderChar">
    <w:name w:val="Header Char"/>
    <w:link w:val="Header"/>
    <w:uiPriority w:val="99"/>
    <w:rsid w:val="00064A80"/>
    <w:rPr>
      <w:rFonts w:ascii="Book Antiqua" w:hAnsi="Book Antiqua" w:cs="Times New Roman"/>
      <w:i/>
      <w:sz w:val="20"/>
      <w:szCs w:val="20"/>
      <w:lang w:val="x-none" w:eastAsia="x-none"/>
    </w:rPr>
  </w:style>
  <w:style w:type="paragraph" w:customStyle="1" w:styleId="HeaderEven">
    <w:name w:val="Header Even"/>
    <w:basedOn w:val="HeaderBase"/>
    <w:rsid w:val="00064A80"/>
  </w:style>
  <w:style w:type="paragraph" w:customStyle="1" w:styleId="HeaderOdd">
    <w:name w:val="Header Odd"/>
    <w:basedOn w:val="HeaderBase"/>
    <w:rsid w:val="00064A80"/>
    <w:pPr>
      <w:jc w:val="right"/>
    </w:pPr>
  </w:style>
  <w:style w:type="character" w:customStyle="1" w:styleId="Heading1Char">
    <w:name w:val="Heading 1 Char"/>
    <w:aliases w:val="Heading 1 do not use Char,Section heading 1 Char,Front Page Title Char,1. Char,Para 1 Char,Para 11 Char"/>
    <w:basedOn w:val="DefaultParagraphFont"/>
    <w:link w:val="Heading1"/>
    <w:rsid w:val="00F25D1B"/>
    <w:rPr>
      <w:rFonts w:ascii="Arial" w:hAnsi="Arial" w:cs="Times New Roman"/>
      <w:b/>
      <w:smallCaps/>
      <w:kern w:val="28"/>
      <w:sz w:val="34"/>
      <w:szCs w:val="20"/>
      <w:lang w:eastAsia="en-AU"/>
    </w:rPr>
  </w:style>
  <w:style w:type="paragraph" w:customStyle="1" w:styleId="Heading1noTOC">
    <w:name w:val="Heading 1 no TOC"/>
    <w:basedOn w:val="Heading1"/>
    <w:rsid w:val="00064A80"/>
  </w:style>
  <w:style w:type="character" w:customStyle="1" w:styleId="Heading2Char">
    <w:name w:val="Heading 2 Char"/>
    <w:aliases w:val="Heading 2 do not use Char,Front Page List of Sections Char"/>
    <w:basedOn w:val="DefaultParagraphFont"/>
    <w:link w:val="Heading2"/>
    <w:rsid w:val="00F25D1B"/>
    <w:rPr>
      <w:rFonts w:ascii="Arial" w:hAnsi="Arial" w:cs="Times New Roman"/>
      <w:sz w:val="30"/>
      <w:szCs w:val="20"/>
      <w:lang w:eastAsia="en-AU"/>
    </w:rPr>
  </w:style>
  <w:style w:type="character" w:customStyle="1" w:styleId="Heading3Char">
    <w:name w:val="Heading 3 Char"/>
    <w:aliases w:val="Heading 3 do not use Char"/>
    <w:link w:val="Heading3"/>
    <w:rsid w:val="00064A80"/>
    <w:rPr>
      <w:rFonts w:ascii="Arial" w:hAnsi="Arial" w:cs="Times New Roman"/>
      <w:b/>
      <w:smallCaps/>
      <w:sz w:val="26"/>
      <w:szCs w:val="20"/>
      <w:lang w:eastAsia="en-AU"/>
    </w:rPr>
  </w:style>
  <w:style w:type="character" w:customStyle="1" w:styleId="Heading4Char">
    <w:name w:val="Heading 4 Char"/>
    <w:basedOn w:val="DefaultParagraphFont"/>
    <w:link w:val="Heading4"/>
    <w:rsid w:val="00F25D1B"/>
    <w:rPr>
      <w:rFonts w:ascii="Arial" w:hAnsi="Arial" w:cs="Times New Roman"/>
      <w:b/>
      <w:szCs w:val="20"/>
      <w:lang w:eastAsia="en-AU"/>
    </w:rPr>
  </w:style>
  <w:style w:type="character" w:customStyle="1" w:styleId="Heading5Char">
    <w:name w:val="Heading 5 Char"/>
    <w:basedOn w:val="DefaultParagraphFont"/>
    <w:link w:val="Heading5"/>
    <w:rsid w:val="00F25D1B"/>
    <w:rPr>
      <w:rFonts w:ascii="Arial" w:hAnsi="Arial" w:cs="Times New Roman"/>
      <w:b/>
      <w:bCs/>
      <w:iCs/>
      <w:sz w:val="20"/>
      <w:szCs w:val="26"/>
      <w:lang w:eastAsia="en-AU"/>
    </w:rPr>
  </w:style>
  <w:style w:type="character" w:customStyle="1" w:styleId="Heading6Char">
    <w:name w:val="Heading 6 Char"/>
    <w:basedOn w:val="DefaultParagraphFont"/>
    <w:link w:val="Heading6"/>
    <w:rsid w:val="00F25D1B"/>
    <w:rPr>
      <w:rFonts w:ascii="Arial" w:hAnsi="Arial" w:cs="Times New Roman"/>
      <w:bCs/>
      <w:sz w:val="20"/>
      <w:lang w:eastAsia="en-AU"/>
    </w:rPr>
  </w:style>
  <w:style w:type="character" w:customStyle="1" w:styleId="Heading7Char">
    <w:name w:val="Heading 7 Char"/>
    <w:aliases w:val="Section Sub-Heading 4 Char"/>
    <w:basedOn w:val="DefaultParagraphFont"/>
    <w:link w:val="Heading7"/>
    <w:rsid w:val="00F25D1B"/>
    <w:rPr>
      <w:rFonts w:ascii="Arial" w:hAnsi="Arial" w:cs="Times New Roman"/>
      <w:sz w:val="18"/>
      <w:szCs w:val="24"/>
      <w:lang w:eastAsia="en-AU"/>
    </w:rPr>
  </w:style>
  <w:style w:type="character" w:customStyle="1" w:styleId="Heading8Char">
    <w:name w:val="Heading 8 Char"/>
    <w:basedOn w:val="DefaultParagraphFont"/>
    <w:link w:val="Heading8"/>
    <w:rsid w:val="00F25D1B"/>
    <w:rPr>
      <w:rFonts w:ascii="Times New Roman" w:hAnsi="Times New Roman" w:cs="Times New Roman"/>
      <w:i/>
      <w:iCs/>
      <w:sz w:val="16"/>
      <w:szCs w:val="24"/>
      <w:lang w:eastAsia="en-AU"/>
    </w:rPr>
  </w:style>
  <w:style w:type="character" w:customStyle="1" w:styleId="HiddenSequenceCode">
    <w:name w:val="Hidden Sequence Code"/>
    <w:semiHidden/>
    <w:rsid w:val="00064A80"/>
    <w:rPr>
      <w:rFonts w:ascii="Times New Roman" w:hAnsi="Times New Roman"/>
      <w:vanish/>
      <w:sz w:val="16"/>
    </w:rPr>
  </w:style>
  <w:style w:type="character" w:styleId="Hyperlink">
    <w:name w:val="Hyperlink"/>
    <w:uiPriority w:val="99"/>
    <w:rsid w:val="00064A80"/>
    <w:rPr>
      <w:color w:val="0000FF"/>
      <w:u w:val="single"/>
    </w:rPr>
  </w:style>
  <w:style w:type="paragraph" w:styleId="Index1">
    <w:name w:val="index 1"/>
    <w:basedOn w:val="Normal"/>
    <w:next w:val="Normal"/>
    <w:autoRedefine/>
    <w:semiHidden/>
    <w:rsid w:val="00064A80"/>
    <w:pPr>
      <w:ind w:left="200" w:hanging="200"/>
    </w:pPr>
  </w:style>
  <w:style w:type="paragraph" w:styleId="Index2">
    <w:name w:val="index 2"/>
    <w:basedOn w:val="Normal"/>
    <w:next w:val="Normal"/>
    <w:autoRedefine/>
    <w:semiHidden/>
    <w:rsid w:val="00064A80"/>
    <w:pPr>
      <w:ind w:left="400" w:hanging="200"/>
    </w:pPr>
  </w:style>
  <w:style w:type="paragraph" w:styleId="Index3">
    <w:name w:val="index 3"/>
    <w:basedOn w:val="Normal"/>
    <w:next w:val="Normal"/>
    <w:autoRedefine/>
    <w:semiHidden/>
    <w:rsid w:val="00064A80"/>
    <w:pPr>
      <w:ind w:left="600" w:hanging="200"/>
    </w:pPr>
  </w:style>
  <w:style w:type="paragraph" w:styleId="Index4">
    <w:name w:val="index 4"/>
    <w:basedOn w:val="Normal"/>
    <w:next w:val="Normal"/>
    <w:autoRedefine/>
    <w:semiHidden/>
    <w:rsid w:val="00064A80"/>
    <w:pPr>
      <w:ind w:left="800" w:hanging="200"/>
    </w:pPr>
  </w:style>
  <w:style w:type="paragraph" w:styleId="Index5">
    <w:name w:val="index 5"/>
    <w:basedOn w:val="Normal"/>
    <w:next w:val="Normal"/>
    <w:autoRedefine/>
    <w:semiHidden/>
    <w:rsid w:val="00064A80"/>
    <w:pPr>
      <w:ind w:left="1000" w:hanging="200"/>
    </w:pPr>
  </w:style>
  <w:style w:type="paragraph" w:styleId="Index6">
    <w:name w:val="index 6"/>
    <w:basedOn w:val="Normal"/>
    <w:next w:val="Normal"/>
    <w:autoRedefine/>
    <w:semiHidden/>
    <w:rsid w:val="00064A80"/>
    <w:pPr>
      <w:ind w:left="1200" w:hanging="200"/>
    </w:pPr>
  </w:style>
  <w:style w:type="paragraph" w:styleId="Index7">
    <w:name w:val="index 7"/>
    <w:basedOn w:val="Normal"/>
    <w:next w:val="Normal"/>
    <w:autoRedefine/>
    <w:semiHidden/>
    <w:rsid w:val="00064A80"/>
    <w:pPr>
      <w:ind w:left="1400" w:hanging="200"/>
    </w:pPr>
  </w:style>
  <w:style w:type="paragraph" w:styleId="Index8">
    <w:name w:val="index 8"/>
    <w:basedOn w:val="Normal"/>
    <w:next w:val="Normal"/>
    <w:autoRedefine/>
    <w:semiHidden/>
    <w:rsid w:val="00064A80"/>
    <w:pPr>
      <w:ind w:left="1600" w:hanging="200"/>
    </w:pPr>
  </w:style>
  <w:style w:type="paragraph" w:styleId="Index9">
    <w:name w:val="index 9"/>
    <w:basedOn w:val="Normal"/>
    <w:next w:val="Normal"/>
    <w:autoRedefine/>
    <w:semiHidden/>
    <w:rsid w:val="00064A80"/>
    <w:pPr>
      <w:ind w:left="1800" w:hanging="200"/>
    </w:pPr>
  </w:style>
  <w:style w:type="paragraph" w:styleId="IndexHeading">
    <w:name w:val="index heading"/>
    <w:basedOn w:val="Normal"/>
    <w:next w:val="Index1"/>
    <w:semiHidden/>
    <w:rsid w:val="00064A80"/>
    <w:rPr>
      <w:rFonts w:ascii="Arial" w:hAnsi="Arial" w:cs="Arial"/>
      <w:b/>
      <w:bCs/>
    </w:rPr>
  </w:style>
  <w:style w:type="paragraph" w:styleId="ListParagraph">
    <w:name w:val="List Paragraph"/>
    <w:basedOn w:val="Normal"/>
    <w:link w:val="ListParagraphChar"/>
    <w:qFormat/>
    <w:rsid w:val="00064A80"/>
    <w:pPr>
      <w:spacing w:after="200" w:line="276" w:lineRule="auto"/>
      <w:ind w:left="720"/>
      <w:contextualSpacing/>
    </w:pPr>
    <w:rPr>
      <w:rFonts w:eastAsia="Calibri"/>
      <w:sz w:val="22"/>
      <w:szCs w:val="22"/>
      <w:lang w:val="en-US"/>
    </w:rPr>
  </w:style>
  <w:style w:type="paragraph" w:styleId="MacroText">
    <w:name w:val="macro"/>
    <w:link w:val="MacroTextChar"/>
    <w:semiHidden/>
    <w:rsid w:val="00064A8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character" w:customStyle="1" w:styleId="MacroTextChar">
    <w:name w:val="Macro Text Char"/>
    <w:basedOn w:val="DefaultParagraphFont"/>
    <w:link w:val="MacroText"/>
    <w:rsid w:val="00064A80"/>
    <w:rPr>
      <w:rFonts w:ascii="Courier New" w:hAnsi="Courier New" w:cs="Courier New"/>
      <w:sz w:val="20"/>
      <w:szCs w:val="20"/>
      <w:lang w:eastAsia="en-AU"/>
    </w:rPr>
  </w:style>
  <w:style w:type="paragraph" w:styleId="NoSpacing">
    <w:name w:val="No Spacing"/>
    <w:uiPriority w:val="1"/>
    <w:qFormat/>
    <w:rsid w:val="00064A80"/>
    <w:pPr>
      <w:jc w:val="both"/>
    </w:pPr>
    <w:rPr>
      <w:rFonts w:ascii="Book Antiqua" w:hAnsi="Book Antiqua"/>
      <w:lang w:eastAsia="en-AU"/>
    </w:rPr>
  </w:style>
  <w:style w:type="paragraph" w:styleId="NormalWeb">
    <w:name w:val="Normal (Web)"/>
    <w:basedOn w:val="Normal"/>
    <w:uiPriority w:val="99"/>
    <w:unhideWhenUsed/>
    <w:rsid w:val="00064A80"/>
    <w:pPr>
      <w:spacing w:before="100" w:beforeAutospacing="1" w:after="100" w:afterAutospacing="1"/>
    </w:pPr>
    <w:rPr>
      <w:rFonts w:eastAsiaTheme="minorEastAsia"/>
      <w:sz w:val="24"/>
      <w:szCs w:val="24"/>
    </w:rPr>
  </w:style>
  <w:style w:type="paragraph" w:styleId="NormalIndent">
    <w:name w:val="Normal Indent"/>
    <w:basedOn w:val="Normal"/>
    <w:rsid w:val="00064A80"/>
    <w:pPr>
      <w:ind w:left="567"/>
    </w:pPr>
  </w:style>
  <w:style w:type="paragraph" w:customStyle="1" w:styleId="NoteTableHeading">
    <w:name w:val="Note Table Heading"/>
    <w:basedOn w:val="HeadingBase"/>
    <w:next w:val="Normal"/>
    <w:semiHidden/>
    <w:rsid w:val="00064A80"/>
    <w:pPr>
      <w:spacing w:before="240"/>
    </w:pPr>
    <w:rPr>
      <w:b/>
      <w:sz w:val="20"/>
    </w:rPr>
  </w:style>
  <w:style w:type="paragraph" w:customStyle="1" w:styleId="Outcome">
    <w:name w:val="Outcome"/>
    <w:basedOn w:val="Normal"/>
    <w:rsid w:val="00064A80"/>
    <w:pPr>
      <w:spacing w:before="120" w:after="120" w:line="280" w:lineRule="exact"/>
    </w:pPr>
    <w:rPr>
      <w:rFonts w:ascii="Arial" w:hAnsi="Arial" w:cs="Arial"/>
      <w:b/>
    </w:rPr>
  </w:style>
  <w:style w:type="paragraph" w:customStyle="1" w:styleId="OverviewParagraph">
    <w:name w:val="Overview Paragraph"/>
    <w:basedOn w:val="Normal"/>
    <w:semiHidden/>
    <w:rsid w:val="00064A80"/>
    <w:pPr>
      <w:spacing w:before="120" w:after="120"/>
    </w:pPr>
  </w:style>
  <w:style w:type="character" w:styleId="PageNumber">
    <w:name w:val="page number"/>
    <w:uiPriority w:val="99"/>
    <w:rsid w:val="00064A80"/>
    <w:rPr>
      <w:rFonts w:ascii="Arial" w:hAnsi="Arial" w:cs="Arial"/>
    </w:rPr>
  </w:style>
  <w:style w:type="paragraph" w:styleId="Title">
    <w:name w:val="Title"/>
    <w:basedOn w:val="Normal"/>
    <w:link w:val="TitleChar"/>
    <w:qFormat/>
    <w:rsid w:val="00064A80"/>
    <w:pPr>
      <w:jc w:val="center"/>
      <w:outlineLvl w:val="0"/>
    </w:pPr>
    <w:rPr>
      <w:rFonts w:ascii="Arial" w:hAnsi="Arial" w:cs="Arial"/>
      <w:b/>
      <w:bCs/>
      <w:caps/>
      <w:kern w:val="28"/>
      <w:sz w:val="52"/>
      <w:szCs w:val="32"/>
    </w:rPr>
  </w:style>
  <w:style w:type="character" w:customStyle="1" w:styleId="TitleChar">
    <w:name w:val="Title Char"/>
    <w:basedOn w:val="DefaultParagraphFont"/>
    <w:link w:val="Title"/>
    <w:rsid w:val="00064A80"/>
    <w:rPr>
      <w:rFonts w:ascii="Arial" w:hAnsi="Arial" w:cs="Arial"/>
      <w:b/>
      <w:bCs/>
      <w:caps/>
      <w:kern w:val="28"/>
      <w:sz w:val="52"/>
      <w:szCs w:val="32"/>
      <w:lang w:eastAsia="en-AU"/>
    </w:rPr>
  </w:style>
  <w:style w:type="paragraph" w:customStyle="1" w:styleId="Part">
    <w:name w:val="Part"/>
    <w:basedOn w:val="Title"/>
    <w:next w:val="Normal"/>
    <w:rsid w:val="00064A80"/>
    <w:rPr>
      <w:caps w:val="0"/>
      <w:smallCaps/>
    </w:rPr>
  </w:style>
  <w:style w:type="paragraph" w:customStyle="1" w:styleId="PartHeading">
    <w:name w:val="Part Heading"/>
    <w:basedOn w:val="Part"/>
    <w:next w:val="Normal"/>
    <w:rsid w:val="00064A80"/>
  </w:style>
  <w:style w:type="paragraph" w:customStyle="1" w:styleId="ProgramHeading">
    <w:name w:val="Program Heading"/>
    <w:basedOn w:val="HeadingBase"/>
    <w:rsid w:val="00064A80"/>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064A80"/>
  </w:style>
  <w:style w:type="paragraph" w:customStyle="1" w:styleId="SingleParagraph">
    <w:name w:val="Single Paragraph"/>
    <w:basedOn w:val="Normal"/>
    <w:rsid w:val="00064A80"/>
  </w:style>
  <w:style w:type="paragraph" w:customStyle="1" w:styleId="Source">
    <w:name w:val="Source"/>
    <w:basedOn w:val="Normal"/>
    <w:rsid w:val="00064A80"/>
    <w:pPr>
      <w:tabs>
        <w:tab w:val="left" w:pos="284"/>
      </w:tabs>
    </w:pPr>
    <w:rPr>
      <w:rFonts w:ascii="Arial" w:hAnsi="Arial"/>
      <w:sz w:val="16"/>
    </w:rPr>
  </w:style>
  <w:style w:type="paragraph" w:customStyle="1" w:styleId="TableColumnHeadingBase">
    <w:name w:val="Table Column Heading Base"/>
    <w:basedOn w:val="Normal"/>
    <w:rsid w:val="00064A80"/>
    <w:pPr>
      <w:spacing w:before="60" w:after="60"/>
    </w:pPr>
    <w:rPr>
      <w:rFonts w:ascii="Arial" w:hAnsi="Arial"/>
      <w:b/>
    </w:rPr>
  </w:style>
  <w:style w:type="paragraph" w:customStyle="1" w:styleId="TableColumnHeadingCentred">
    <w:name w:val="Table Column Heading Centred"/>
    <w:basedOn w:val="TableColumnHeadingBase"/>
    <w:next w:val="Normal"/>
    <w:rsid w:val="00064A80"/>
    <w:pPr>
      <w:jc w:val="center"/>
    </w:pPr>
  </w:style>
  <w:style w:type="paragraph" w:customStyle="1" w:styleId="TableColumnHeadingLeft">
    <w:name w:val="Table Column Heading Left"/>
    <w:basedOn w:val="TableColumnHeadingBase"/>
    <w:next w:val="Normal"/>
    <w:rsid w:val="00064A80"/>
  </w:style>
  <w:style w:type="paragraph" w:customStyle="1" w:styleId="TableColumnHeadingRight">
    <w:name w:val="Table Column Heading Right"/>
    <w:basedOn w:val="TableColumnHeadingBase"/>
    <w:next w:val="Normal"/>
    <w:rsid w:val="00064A80"/>
    <w:pPr>
      <w:jc w:val="right"/>
    </w:pPr>
  </w:style>
  <w:style w:type="paragraph" w:customStyle="1" w:styleId="TableColumnOutgroupHeading">
    <w:name w:val="Table Column Outgroup Heading"/>
    <w:basedOn w:val="Normal"/>
    <w:rsid w:val="00064A80"/>
    <w:pPr>
      <w:spacing w:before="60" w:after="120"/>
    </w:pPr>
    <w:rPr>
      <w:b/>
      <w:sz w:val="22"/>
    </w:rPr>
  </w:style>
  <w:style w:type="paragraph" w:customStyle="1" w:styleId="TableColumnOutgroupSubheading">
    <w:name w:val="Table Column Outgroup Subheading"/>
    <w:basedOn w:val="Normal"/>
    <w:rsid w:val="00064A80"/>
    <w:pPr>
      <w:spacing w:before="60" w:after="120"/>
      <w:jc w:val="center"/>
    </w:pPr>
  </w:style>
  <w:style w:type="paragraph" w:customStyle="1" w:styleId="TableGraphic">
    <w:name w:val="Table Graphic"/>
    <w:basedOn w:val="Normal"/>
    <w:next w:val="Normal"/>
    <w:rsid w:val="00064A80"/>
    <w:pPr>
      <w:ind w:right="-113"/>
    </w:pPr>
  </w:style>
  <w:style w:type="table" w:styleId="TableGrid">
    <w:name w:val="Table Grid"/>
    <w:basedOn w:val="TableNormal"/>
    <w:uiPriority w:val="59"/>
    <w:rsid w:val="00064A80"/>
    <w:pPr>
      <w:spacing w:after="240" w:line="260" w:lineRule="exact"/>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rsid w:val="00064A80"/>
    <w:pPr>
      <w:spacing w:before="120" w:after="20"/>
    </w:pPr>
    <w:rPr>
      <w:b/>
    </w:rPr>
  </w:style>
  <w:style w:type="character" w:customStyle="1" w:styleId="TableHeadingChar">
    <w:name w:val="Table Heading Char"/>
    <w:link w:val="TableHeading"/>
    <w:rsid w:val="00064A80"/>
    <w:rPr>
      <w:rFonts w:ascii="Arial" w:hAnsi="Arial" w:cs="Times New Roman"/>
      <w:b/>
      <w:sz w:val="24"/>
      <w:szCs w:val="20"/>
      <w:lang w:eastAsia="en-AU"/>
    </w:rPr>
  </w:style>
  <w:style w:type="paragraph" w:customStyle="1" w:styleId="TableHeadingcontinued">
    <w:name w:val="Table Heading continued"/>
    <w:basedOn w:val="HeadingBase"/>
    <w:next w:val="TableGraphic"/>
    <w:rsid w:val="00064A80"/>
    <w:pPr>
      <w:spacing w:before="120" w:after="20"/>
    </w:pPr>
    <w:rPr>
      <w:rFonts w:ascii="Arial Bold" w:hAnsi="Arial Bold"/>
      <w:b/>
      <w:sz w:val="20"/>
    </w:rPr>
  </w:style>
  <w:style w:type="paragraph" w:customStyle="1" w:styleId="TableHeadingNoTable">
    <w:name w:val="Table Heading No Table"/>
    <w:basedOn w:val="TableHeading"/>
    <w:next w:val="Normal"/>
    <w:rsid w:val="00064A80"/>
    <w:pPr>
      <w:spacing w:after="240"/>
    </w:pPr>
  </w:style>
  <w:style w:type="paragraph" w:styleId="TableofAuthorities">
    <w:name w:val="table of authorities"/>
    <w:basedOn w:val="Normal"/>
    <w:next w:val="Normal"/>
    <w:semiHidden/>
    <w:rsid w:val="00064A80"/>
    <w:pPr>
      <w:ind w:left="200" w:hanging="200"/>
    </w:pPr>
  </w:style>
  <w:style w:type="paragraph" w:styleId="TableofFigures">
    <w:name w:val="table of figures"/>
    <w:basedOn w:val="Normal"/>
    <w:next w:val="Normal"/>
    <w:semiHidden/>
    <w:rsid w:val="00064A80"/>
  </w:style>
  <w:style w:type="paragraph" w:customStyle="1" w:styleId="TableTextBase">
    <w:name w:val="Table Text Base"/>
    <w:basedOn w:val="Normal"/>
    <w:link w:val="TableTextBaseChar"/>
    <w:rsid w:val="00064A80"/>
    <w:pPr>
      <w:spacing w:before="60" w:after="60"/>
    </w:pPr>
    <w:rPr>
      <w:rFonts w:ascii="Arial" w:hAnsi="Arial"/>
    </w:rPr>
  </w:style>
  <w:style w:type="character" w:customStyle="1" w:styleId="TableTextBaseChar">
    <w:name w:val="Table Text Base Char"/>
    <w:link w:val="TableTextBase"/>
    <w:rsid w:val="00064A80"/>
    <w:rPr>
      <w:rFonts w:ascii="Arial" w:hAnsi="Arial" w:cs="Times New Roman"/>
      <w:sz w:val="18"/>
      <w:szCs w:val="20"/>
      <w:lang w:eastAsia="en-AU"/>
    </w:rPr>
  </w:style>
  <w:style w:type="paragraph" w:customStyle="1" w:styleId="TableTextBullet">
    <w:name w:val="Table Text Bullet"/>
    <w:basedOn w:val="TableTextBase"/>
    <w:rsid w:val="00064A80"/>
  </w:style>
  <w:style w:type="paragraph" w:customStyle="1" w:styleId="TableTextCentred">
    <w:name w:val="Table Text Centred"/>
    <w:basedOn w:val="TableTextBase"/>
    <w:rsid w:val="00064A80"/>
    <w:pPr>
      <w:jc w:val="center"/>
    </w:pPr>
  </w:style>
  <w:style w:type="paragraph" w:customStyle="1" w:styleId="TableTextDash">
    <w:name w:val="Table Text Dash"/>
    <w:basedOn w:val="TableTextBase"/>
    <w:rsid w:val="00064A80"/>
    <w:pPr>
      <w:numPr>
        <w:ilvl w:val="1"/>
        <w:numId w:val="8"/>
      </w:numPr>
    </w:pPr>
  </w:style>
  <w:style w:type="paragraph" w:customStyle="1" w:styleId="TableTextIndented">
    <w:name w:val="Table Text Indented"/>
    <w:basedOn w:val="TableTextBase"/>
    <w:rsid w:val="00064A80"/>
    <w:pPr>
      <w:ind w:left="284"/>
    </w:pPr>
  </w:style>
  <w:style w:type="paragraph" w:customStyle="1" w:styleId="TableTextJustified">
    <w:name w:val="Table Text Justified"/>
    <w:basedOn w:val="TableTextBase"/>
    <w:rsid w:val="00064A80"/>
    <w:pPr>
      <w:jc w:val="both"/>
    </w:pPr>
  </w:style>
  <w:style w:type="paragraph" w:customStyle="1" w:styleId="TableTextLeft">
    <w:name w:val="Table Text Left"/>
    <w:basedOn w:val="TableTextBase"/>
    <w:link w:val="TableTextLeftChar"/>
    <w:rsid w:val="00064A80"/>
  </w:style>
  <w:style w:type="character" w:customStyle="1" w:styleId="TableTextLeftChar">
    <w:name w:val="Table Text Left Char"/>
    <w:basedOn w:val="TableTextBaseChar"/>
    <w:link w:val="TableTextLeft"/>
    <w:rsid w:val="00064A80"/>
    <w:rPr>
      <w:rFonts w:ascii="Arial" w:hAnsi="Arial" w:cs="Times New Roman"/>
      <w:sz w:val="18"/>
      <w:szCs w:val="20"/>
      <w:lang w:eastAsia="en-AU"/>
    </w:rPr>
  </w:style>
  <w:style w:type="paragraph" w:customStyle="1" w:styleId="TableTextRight">
    <w:name w:val="Table Text Right"/>
    <w:basedOn w:val="TableTextBase"/>
    <w:rsid w:val="00064A80"/>
    <w:pPr>
      <w:jc w:val="right"/>
    </w:pPr>
  </w:style>
  <w:style w:type="paragraph" w:customStyle="1" w:styleId="Title2ndLevel">
    <w:name w:val="Title 2nd Level"/>
    <w:basedOn w:val="Title"/>
    <w:rsid w:val="00064A80"/>
    <w:rPr>
      <w:sz w:val="24"/>
    </w:rPr>
  </w:style>
  <w:style w:type="paragraph" w:customStyle="1" w:styleId="Title3rdLevel">
    <w:name w:val="Title 3rd Level"/>
    <w:basedOn w:val="Normal"/>
    <w:next w:val="Title"/>
    <w:rsid w:val="00064A80"/>
    <w:pPr>
      <w:jc w:val="center"/>
    </w:pPr>
    <w:rPr>
      <w:rFonts w:ascii="Arial" w:hAnsi="Arial"/>
      <w:caps/>
    </w:rPr>
  </w:style>
  <w:style w:type="paragraph" w:styleId="TOAHeading">
    <w:name w:val="toa heading"/>
    <w:basedOn w:val="Normal"/>
    <w:next w:val="Normal"/>
    <w:semiHidden/>
    <w:rsid w:val="00064A80"/>
    <w:pPr>
      <w:spacing w:before="120"/>
    </w:pPr>
    <w:rPr>
      <w:rFonts w:ascii="Arial" w:hAnsi="Arial" w:cs="Arial"/>
      <w:b/>
      <w:bCs/>
      <w:sz w:val="24"/>
      <w:szCs w:val="24"/>
    </w:rPr>
  </w:style>
  <w:style w:type="paragraph" w:styleId="TOC1">
    <w:name w:val="toc 1"/>
    <w:basedOn w:val="HeaderBase"/>
    <w:next w:val="Normal"/>
    <w:uiPriority w:val="39"/>
    <w:rsid w:val="00064A80"/>
    <w:pPr>
      <w:spacing w:before="240" w:after="120" w:line="260" w:lineRule="atLeast"/>
    </w:pPr>
    <w:rPr>
      <w:rFonts w:asciiTheme="minorHAnsi" w:hAnsiTheme="minorHAnsi" w:cstheme="minorHAnsi"/>
      <w:b/>
      <w:bCs/>
      <w:i w:val="0"/>
      <w:lang w:eastAsia="en-US"/>
    </w:rPr>
  </w:style>
  <w:style w:type="paragraph" w:styleId="TOC2">
    <w:name w:val="toc 2"/>
    <w:basedOn w:val="HeadingBase"/>
    <w:next w:val="Normal"/>
    <w:uiPriority w:val="39"/>
    <w:rsid w:val="00064A80"/>
    <w:pPr>
      <w:keepNext w:val="0"/>
      <w:spacing w:before="120" w:line="260" w:lineRule="atLeast"/>
      <w:ind w:left="180"/>
    </w:pPr>
    <w:rPr>
      <w:rFonts w:asciiTheme="minorHAnsi" w:hAnsiTheme="minorHAnsi" w:cstheme="minorHAnsi"/>
      <w:i/>
      <w:iCs/>
      <w:sz w:val="20"/>
      <w:lang w:eastAsia="en-US"/>
    </w:rPr>
  </w:style>
  <w:style w:type="paragraph" w:styleId="TOC3">
    <w:name w:val="toc 3"/>
    <w:basedOn w:val="HeadingBase"/>
    <w:next w:val="Normal"/>
    <w:uiPriority w:val="39"/>
    <w:rsid w:val="00064A80"/>
    <w:pPr>
      <w:keepNext w:val="0"/>
      <w:spacing w:line="260" w:lineRule="atLeast"/>
      <w:ind w:left="360"/>
    </w:pPr>
    <w:rPr>
      <w:rFonts w:asciiTheme="minorHAnsi" w:hAnsiTheme="minorHAnsi" w:cstheme="minorHAnsi"/>
      <w:sz w:val="20"/>
      <w:lang w:eastAsia="en-US"/>
    </w:rPr>
  </w:style>
  <w:style w:type="paragraph" w:styleId="TOC4">
    <w:name w:val="toc 4"/>
    <w:basedOn w:val="HeadingBase"/>
    <w:next w:val="Normal"/>
    <w:rsid w:val="00064A80"/>
    <w:pPr>
      <w:keepNext w:val="0"/>
      <w:spacing w:line="260" w:lineRule="atLeast"/>
      <w:ind w:left="540"/>
    </w:pPr>
    <w:rPr>
      <w:rFonts w:asciiTheme="minorHAnsi" w:hAnsiTheme="minorHAnsi" w:cstheme="minorHAnsi"/>
      <w:sz w:val="20"/>
      <w:lang w:eastAsia="en-US"/>
    </w:rPr>
  </w:style>
  <w:style w:type="paragraph" w:styleId="TOC5">
    <w:name w:val="toc 5"/>
    <w:basedOn w:val="Normal"/>
    <w:next w:val="Normal"/>
    <w:autoRedefine/>
    <w:semiHidden/>
    <w:rsid w:val="00064A80"/>
    <w:pPr>
      <w:ind w:left="720"/>
    </w:pPr>
    <w:rPr>
      <w:rFonts w:asciiTheme="minorHAnsi" w:hAnsiTheme="minorHAnsi" w:cstheme="minorHAnsi"/>
      <w:sz w:val="20"/>
    </w:rPr>
  </w:style>
  <w:style w:type="paragraph" w:styleId="TOC6">
    <w:name w:val="toc 6"/>
    <w:basedOn w:val="Normal"/>
    <w:next w:val="Normal"/>
    <w:autoRedefine/>
    <w:semiHidden/>
    <w:rsid w:val="00064A80"/>
    <w:pPr>
      <w:ind w:left="900"/>
    </w:pPr>
    <w:rPr>
      <w:rFonts w:asciiTheme="minorHAnsi" w:hAnsiTheme="minorHAnsi" w:cstheme="minorHAnsi"/>
      <w:sz w:val="20"/>
    </w:rPr>
  </w:style>
  <w:style w:type="paragraph" w:styleId="TOC7">
    <w:name w:val="toc 7"/>
    <w:basedOn w:val="Normal"/>
    <w:next w:val="Normal"/>
    <w:autoRedefine/>
    <w:semiHidden/>
    <w:rsid w:val="00064A80"/>
    <w:pPr>
      <w:ind w:left="1080"/>
    </w:pPr>
    <w:rPr>
      <w:rFonts w:asciiTheme="minorHAnsi" w:hAnsiTheme="minorHAnsi" w:cstheme="minorHAnsi"/>
      <w:sz w:val="20"/>
    </w:rPr>
  </w:style>
  <w:style w:type="paragraph" w:styleId="TOC8">
    <w:name w:val="toc 8"/>
    <w:basedOn w:val="Normal"/>
    <w:next w:val="Normal"/>
    <w:autoRedefine/>
    <w:semiHidden/>
    <w:rsid w:val="00064A80"/>
    <w:pPr>
      <w:ind w:left="1260"/>
    </w:pPr>
    <w:rPr>
      <w:rFonts w:asciiTheme="minorHAnsi" w:hAnsiTheme="minorHAnsi" w:cstheme="minorHAnsi"/>
      <w:sz w:val="20"/>
    </w:rPr>
  </w:style>
  <w:style w:type="paragraph" w:styleId="TOC9">
    <w:name w:val="toc 9"/>
    <w:basedOn w:val="Normal"/>
    <w:next w:val="Normal"/>
    <w:autoRedefine/>
    <w:semiHidden/>
    <w:rsid w:val="00064A80"/>
    <w:pPr>
      <w:ind w:left="1440"/>
    </w:pPr>
    <w:rPr>
      <w:rFonts w:asciiTheme="minorHAnsi" w:hAnsiTheme="minorHAnsi" w:cstheme="minorHAnsi"/>
      <w:sz w:val="20"/>
    </w:rPr>
  </w:style>
  <w:style w:type="paragraph" w:customStyle="1" w:styleId="TPHeading1">
    <w:name w:val="TP Heading 1"/>
    <w:basedOn w:val="HeadingBase"/>
    <w:rsid w:val="00064A80"/>
    <w:rPr>
      <w:b/>
      <w:caps/>
      <w:sz w:val="52"/>
    </w:rPr>
  </w:style>
  <w:style w:type="paragraph" w:customStyle="1" w:styleId="TPHeading2">
    <w:name w:val="TP Heading 2"/>
    <w:basedOn w:val="HeadingBase"/>
    <w:rsid w:val="00064A80"/>
    <w:pPr>
      <w:jc w:val="center"/>
    </w:pPr>
    <w:rPr>
      <w:rFonts w:ascii="Georgia" w:hAnsi="Georgia"/>
      <w:caps/>
    </w:rPr>
  </w:style>
  <w:style w:type="paragraph" w:customStyle="1" w:styleId="TPHeading3">
    <w:name w:val="TP Heading 3"/>
    <w:basedOn w:val="HeadingBase"/>
    <w:rsid w:val="00064A80"/>
    <w:rPr>
      <w:rFonts w:ascii="Georgia" w:hAnsi="Georgia"/>
      <w:caps/>
    </w:rPr>
  </w:style>
  <w:style w:type="paragraph" w:customStyle="1" w:styleId="TransmittalAddressee">
    <w:name w:val="Transmittal Addressee"/>
    <w:basedOn w:val="Normal"/>
    <w:rsid w:val="00064A80"/>
  </w:style>
  <w:style w:type="paragraph" w:customStyle="1" w:styleId="TransmittalStyle1">
    <w:name w:val="Transmittal Style 1"/>
    <w:basedOn w:val="HeadingBase"/>
    <w:rsid w:val="00064A80"/>
    <w:pPr>
      <w:spacing w:after="60"/>
      <w:jc w:val="right"/>
    </w:pPr>
    <w:rPr>
      <w:b/>
      <w:smallCaps/>
    </w:rPr>
  </w:style>
  <w:style w:type="paragraph" w:customStyle="1" w:styleId="TransmittalStyle2">
    <w:name w:val="Transmittal Style 2"/>
    <w:basedOn w:val="HeadingBase"/>
    <w:rsid w:val="00064A80"/>
    <w:pPr>
      <w:spacing w:before="60" w:after="60"/>
      <w:jc w:val="right"/>
    </w:pPr>
    <w:rPr>
      <w:rFonts w:ascii="Helvetica" w:hAnsi="Helvetica"/>
      <w:b/>
      <w:caps/>
      <w:sz w:val="16"/>
    </w:rPr>
  </w:style>
  <w:style w:type="paragraph" w:customStyle="1" w:styleId="UserGuidelevelTOC">
    <w:name w:val="UserGuide level TOC"/>
    <w:basedOn w:val="HeadingBase"/>
    <w:next w:val="Normal"/>
    <w:rsid w:val="00064A80"/>
    <w:pPr>
      <w:spacing w:before="360" w:after="360"/>
    </w:pPr>
    <w:rPr>
      <w:sz w:val="30"/>
    </w:rPr>
  </w:style>
  <w:style w:type="character" w:customStyle="1" w:styleId="ActTitleetc">
    <w:name w:val="Act_Title_etc"/>
    <w:basedOn w:val="DefaultParagraphFont"/>
    <w:uiPriority w:val="1"/>
    <w:qFormat/>
    <w:rsid w:val="00C21DC5"/>
    <w:rPr>
      <w:i/>
    </w:rPr>
  </w:style>
  <w:style w:type="paragraph" w:customStyle="1" w:styleId="ARImage">
    <w:name w:val="AR_Image"/>
    <w:next w:val="Normal"/>
    <w:link w:val="ARImageChar"/>
    <w:qFormat/>
    <w:rsid w:val="00D1404A"/>
    <w:pPr>
      <w:spacing w:before="120" w:after="120"/>
    </w:pPr>
    <w:rPr>
      <w:rFonts w:ascii="Arial" w:hAnsi="Arial"/>
      <w:b/>
      <w:smallCaps/>
      <w:noProof/>
      <w:sz w:val="30"/>
      <w:lang w:eastAsia="en-AU"/>
    </w:rPr>
  </w:style>
  <w:style w:type="character" w:customStyle="1" w:styleId="ARImageChar">
    <w:name w:val="AR_Image Char"/>
    <w:basedOn w:val="DefaultParagraphFont"/>
    <w:link w:val="ARImage"/>
    <w:rsid w:val="00D1404A"/>
    <w:rPr>
      <w:rFonts w:ascii="Arial" w:hAnsi="Arial" w:cs="Times New Roman"/>
      <w:b/>
      <w:smallCaps/>
      <w:noProof/>
      <w:sz w:val="30"/>
      <w:szCs w:val="20"/>
      <w:lang w:eastAsia="en-AU"/>
    </w:rPr>
  </w:style>
  <w:style w:type="paragraph" w:customStyle="1" w:styleId="TableSubHeading">
    <w:name w:val="Table_Sub_Heading"/>
    <w:basedOn w:val="Heading5"/>
    <w:qFormat/>
    <w:rsid w:val="00A12DF6"/>
    <w:pPr>
      <w:spacing w:before="60" w:after="20"/>
    </w:pPr>
  </w:style>
  <w:style w:type="paragraph" w:customStyle="1" w:styleId="ARTableColumnHeadingBase">
    <w:name w:val="AR Table Column Heading Base"/>
    <w:basedOn w:val="Normal"/>
    <w:link w:val="ARTableColumnHeadingBaseChar"/>
    <w:locked/>
    <w:rsid w:val="00200175"/>
    <w:pPr>
      <w:spacing w:before="60" w:after="60"/>
    </w:pPr>
    <w:rPr>
      <w:rFonts w:ascii="Arial" w:eastAsiaTheme="minorEastAsia" w:hAnsi="Arial" w:cstheme="minorBidi"/>
      <w:i/>
      <w:szCs w:val="18"/>
    </w:rPr>
  </w:style>
  <w:style w:type="character" w:customStyle="1" w:styleId="ARTableColumnHeadingBaseChar">
    <w:name w:val="AR Table Column Heading Base Char"/>
    <w:basedOn w:val="DefaultParagraphFont"/>
    <w:link w:val="ARTableColumnHeadingBase"/>
    <w:rsid w:val="00200175"/>
    <w:rPr>
      <w:rFonts w:ascii="Arial" w:eastAsiaTheme="minorEastAsia" w:hAnsi="Arial"/>
      <w:i/>
      <w:sz w:val="18"/>
      <w:szCs w:val="18"/>
    </w:rPr>
  </w:style>
  <w:style w:type="paragraph" w:customStyle="1" w:styleId="ARTableColumnHeadingCentred">
    <w:name w:val="AR Table Column Heading Centred"/>
    <w:basedOn w:val="ARTableTextCentred"/>
    <w:next w:val="Normal"/>
    <w:locked/>
    <w:rsid w:val="00200175"/>
    <w:rPr>
      <w:i/>
    </w:rPr>
  </w:style>
  <w:style w:type="paragraph" w:customStyle="1" w:styleId="ARTableTextBase">
    <w:name w:val="AR Table Text Base"/>
    <w:basedOn w:val="Normal"/>
    <w:link w:val="ARTableTextBaseChar"/>
    <w:locked/>
    <w:rsid w:val="00200175"/>
    <w:pPr>
      <w:spacing w:before="60" w:after="60"/>
    </w:pPr>
    <w:rPr>
      <w:rFonts w:ascii="Arial" w:eastAsiaTheme="minorEastAsia" w:hAnsi="Arial" w:cstheme="minorBidi"/>
      <w:szCs w:val="22"/>
    </w:rPr>
  </w:style>
  <w:style w:type="character" w:customStyle="1" w:styleId="ARTableTextBaseChar">
    <w:name w:val="AR Table Text Base Char"/>
    <w:link w:val="ARTableTextBase"/>
    <w:rsid w:val="00200175"/>
    <w:rPr>
      <w:rFonts w:ascii="Arial" w:eastAsiaTheme="minorEastAsia" w:hAnsi="Arial"/>
      <w:sz w:val="18"/>
    </w:rPr>
  </w:style>
  <w:style w:type="paragraph" w:customStyle="1" w:styleId="ARTableTextCentred">
    <w:name w:val="AR Table Text Centred"/>
    <w:basedOn w:val="ARTableTextBase"/>
    <w:rsid w:val="00200175"/>
    <w:pPr>
      <w:jc w:val="center"/>
    </w:pPr>
  </w:style>
  <w:style w:type="paragraph" w:customStyle="1" w:styleId="ARTableColumnHeadingLeft">
    <w:name w:val="AR Table Column Heading Left"/>
    <w:basedOn w:val="ARTableTextBase"/>
    <w:next w:val="Normal"/>
    <w:rsid w:val="00200175"/>
    <w:pPr>
      <w:keepNext/>
    </w:pPr>
    <w:rPr>
      <w:i/>
    </w:rPr>
  </w:style>
  <w:style w:type="paragraph" w:customStyle="1" w:styleId="ARTableTextRight">
    <w:name w:val="AR Table Text Right"/>
    <w:basedOn w:val="ARTableTextBase"/>
    <w:locked/>
    <w:rsid w:val="00200175"/>
    <w:pPr>
      <w:jc w:val="right"/>
    </w:pPr>
  </w:style>
  <w:style w:type="paragraph" w:customStyle="1" w:styleId="ARTableColumnHeadingRight">
    <w:name w:val="AR Table Column Heading Right"/>
    <w:basedOn w:val="ARTableTextRight"/>
    <w:next w:val="Normal"/>
    <w:locked/>
    <w:rsid w:val="00200175"/>
    <w:rPr>
      <w:i/>
    </w:rPr>
  </w:style>
  <w:style w:type="paragraph" w:customStyle="1" w:styleId="ARTableTextBullet">
    <w:name w:val="AR Table Text Bullet"/>
    <w:basedOn w:val="ARTableTextBase"/>
    <w:locked/>
    <w:rsid w:val="00200175"/>
    <w:pPr>
      <w:numPr>
        <w:numId w:val="8"/>
      </w:numPr>
    </w:pPr>
  </w:style>
  <w:style w:type="paragraph" w:customStyle="1" w:styleId="ARTableTextLeft">
    <w:name w:val="AR Table Text Left"/>
    <w:basedOn w:val="ARTableTextBase"/>
    <w:link w:val="ARTableTextLeftChar"/>
    <w:rsid w:val="00200175"/>
  </w:style>
  <w:style w:type="character" w:customStyle="1" w:styleId="ARTableTextLeftChar">
    <w:name w:val="AR Table Text Left Char"/>
    <w:basedOn w:val="ARTableTextBaseChar"/>
    <w:link w:val="ARTableTextLeft"/>
    <w:rsid w:val="00200175"/>
    <w:rPr>
      <w:rFonts w:ascii="Arial" w:eastAsiaTheme="minorEastAsia" w:hAnsi="Arial"/>
      <w:sz w:val="18"/>
    </w:rPr>
  </w:style>
  <w:style w:type="paragraph" w:customStyle="1" w:styleId="ARTableSubHeading">
    <w:name w:val="AR Table_Sub_Heading"/>
    <w:basedOn w:val="ARTableColumnHeadingBase"/>
    <w:autoRedefine/>
    <w:qFormat/>
    <w:rsid w:val="003B65F3"/>
    <w:pPr>
      <w:keepNext/>
    </w:pPr>
    <w:rPr>
      <w:b/>
      <w:i w:val="0"/>
      <w:sz w:val="20"/>
    </w:rPr>
  </w:style>
  <w:style w:type="paragraph" w:customStyle="1" w:styleId="ARTableFootnoteText">
    <w:name w:val="AR Table Footnote Text"/>
    <w:basedOn w:val="FootnoteText"/>
    <w:qFormat/>
    <w:rsid w:val="002233E3"/>
    <w:pPr>
      <w:tabs>
        <w:tab w:val="clear" w:pos="284"/>
      </w:tabs>
      <w:ind w:left="426"/>
    </w:pPr>
    <w:rPr>
      <w:rFonts w:asciiTheme="minorHAnsi" w:eastAsiaTheme="minorEastAsia" w:hAnsiTheme="minorHAnsi" w:cstheme="minorBidi"/>
      <w:szCs w:val="22"/>
    </w:rPr>
  </w:style>
  <w:style w:type="paragraph" w:customStyle="1" w:styleId="PBS16copyrightpageitalics">
    <w:name w:val="PBS16 copyright page italics"/>
    <w:basedOn w:val="Normal"/>
    <w:rsid w:val="00F161B2"/>
    <w:pPr>
      <w:ind w:firstLine="720"/>
    </w:pPr>
    <w:rPr>
      <w:i/>
      <w:iCs/>
    </w:rPr>
  </w:style>
  <w:style w:type="paragraph" w:customStyle="1" w:styleId="PBS16NormalLeft">
    <w:name w:val="PBS16 Normal Left"/>
    <w:basedOn w:val="Normal"/>
    <w:rsid w:val="00F161B2"/>
  </w:style>
  <w:style w:type="character" w:customStyle="1" w:styleId="PBS16Actsitalics">
    <w:name w:val="PBS16 Acts (italics)"/>
    <w:basedOn w:val="DefaultParagraphFont"/>
    <w:uiPriority w:val="1"/>
    <w:rsid w:val="00F161B2"/>
    <w:rPr>
      <w:i/>
    </w:rPr>
  </w:style>
  <w:style w:type="paragraph" w:customStyle="1" w:styleId="PBS16ChartGraphicLeft">
    <w:name w:val="PBS16 Chart Graphic Left"/>
    <w:basedOn w:val="ChartGraphic"/>
    <w:rsid w:val="00F161B2"/>
    <w:pPr>
      <w:spacing w:after="240" w:line="240" w:lineRule="atLeast"/>
      <w:jc w:val="left"/>
    </w:pPr>
    <w:rPr>
      <w:noProof/>
    </w:rPr>
  </w:style>
  <w:style w:type="paragraph" w:customStyle="1" w:styleId="PBS16copyrightpagebold">
    <w:name w:val="PBS16 copyright page bold"/>
    <w:basedOn w:val="Normal"/>
    <w:next w:val="Normal"/>
    <w:rsid w:val="00F161B2"/>
    <w:rPr>
      <w:b/>
    </w:rPr>
  </w:style>
  <w:style w:type="paragraph" w:customStyle="1" w:styleId="PBS16indentedlist">
    <w:name w:val="PBS16 indented list"/>
    <w:rsid w:val="00F161B2"/>
    <w:pPr>
      <w:tabs>
        <w:tab w:val="left" w:pos="2268"/>
      </w:tabs>
      <w:spacing w:after="240" w:line="260" w:lineRule="exact"/>
      <w:ind w:left="567"/>
    </w:pPr>
    <w:rPr>
      <w:rFonts w:ascii="Book Antiqua" w:hAnsi="Book Antiqua"/>
      <w:lang w:eastAsia="en-AU"/>
    </w:rPr>
  </w:style>
  <w:style w:type="paragraph" w:customStyle="1" w:styleId="PBS16BulletList">
    <w:name w:val="PBS16 Bullet List"/>
    <w:basedOn w:val="Normal"/>
    <w:link w:val="PBS16BulletListChar"/>
    <w:qFormat/>
    <w:rsid w:val="00F161B2"/>
    <w:pPr>
      <w:spacing w:before="120" w:after="120"/>
      <w:ind w:left="567" w:hanging="567"/>
    </w:pPr>
    <w:rPr>
      <w:rFonts w:cstheme="minorBidi"/>
      <w:sz w:val="22"/>
      <w:szCs w:val="22"/>
    </w:rPr>
  </w:style>
  <w:style w:type="character" w:customStyle="1" w:styleId="PBS16BulletListChar">
    <w:name w:val="PBS16 Bullet List Char"/>
    <w:basedOn w:val="DefaultParagraphFont"/>
    <w:link w:val="PBS16BulletList"/>
    <w:rsid w:val="00F161B2"/>
    <w:rPr>
      <w:rFonts w:ascii="Book Antiqua" w:hAnsi="Book Antiqua"/>
    </w:rPr>
  </w:style>
  <w:style w:type="paragraph" w:customStyle="1" w:styleId="PBS16PortHeadingCentre">
    <w:name w:val="PBS16 Port Heading Centre"/>
    <w:basedOn w:val="PBS16Port"/>
    <w:next w:val="PBS16Port"/>
    <w:rsid w:val="00F161B2"/>
    <w:pPr>
      <w:jc w:val="center"/>
    </w:pPr>
    <w:rPr>
      <w:b/>
    </w:rPr>
  </w:style>
  <w:style w:type="paragraph" w:customStyle="1" w:styleId="PBS16Port">
    <w:name w:val="PBS16 Port"/>
    <w:basedOn w:val="SingleParagraph"/>
    <w:rsid w:val="00F161B2"/>
    <w:pPr>
      <w:pBdr>
        <w:top w:val="single" w:sz="4" w:space="4" w:color="auto"/>
        <w:left w:val="single" w:sz="4" w:space="4" w:color="auto"/>
        <w:bottom w:val="single" w:sz="4" w:space="4" w:color="auto"/>
        <w:right w:val="single" w:sz="4" w:space="4" w:color="auto"/>
      </w:pBdr>
      <w:spacing w:after="120"/>
    </w:pPr>
    <w:rPr>
      <w:sz w:val="19"/>
      <w:szCs w:val="19"/>
    </w:rPr>
  </w:style>
  <w:style w:type="paragraph" w:customStyle="1" w:styleId="PBS16PortCentre">
    <w:name w:val="PBS16 Port Centre"/>
    <w:basedOn w:val="PBS16Port"/>
    <w:rsid w:val="00F161B2"/>
    <w:pPr>
      <w:jc w:val="center"/>
    </w:pPr>
  </w:style>
  <w:style w:type="paragraph" w:customStyle="1" w:styleId="PBS16Agencies">
    <w:name w:val="PBS16 Agencies"/>
    <w:basedOn w:val="Normal"/>
    <w:rsid w:val="00F161B2"/>
    <w:pPr>
      <w:spacing w:after="120"/>
    </w:pPr>
    <w:rPr>
      <w:sz w:val="19"/>
      <w:szCs w:val="19"/>
    </w:rPr>
  </w:style>
  <w:style w:type="character" w:customStyle="1" w:styleId="Heading9Char">
    <w:name w:val="Heading 9 Char"/>
    <w:basedOn w:val="DefaultParagraphFont"/>
    <w:link w:val="Heading9"/>
    <w:rsid w:val="003E6989"/>
    <w:rPr>
      <w:rFonts w:ascii="Calibri" w:hAnsi="Calibri"/>
      <w:sz w:val="18"/>
    </w:rPr>
  </w:style>
  <w:style w:type="paragraph" w:styleId="Signature">
    <w:name w:val="Signature"/>
    <w:basedOn w:val="Normal"/>
    <w:link w:val="SignatureChar"/>
    <w:rsid w:val="003E6989"/>
    <w:pPr>
      <w:spacing w:line="240" w:lineRule="auto"/>
    </w:pPr>
  </w:style>
  <w:style w:type="character" w:customStyle="1" w:styleId="SignatureChar">
    <w:name w:val="Signature Char"/>
    <w:basedOn w:val="DefaultParagraphFont"/>
    <w:link w:val="Signature"/>
    <w:rsid w:val="003E6989"/>
    <w:rPr>
      <w:rFonts w:ascii="Calibri" w:hAnsi="Calibri"/>
      <w:sz w:val="18"/>
    </w:rPr>
  </w:style>
  <w:style w:type="paragraph" w:styleId="Revision">
    <w:name w:val="Revision"/>
    <w:uiPriority w:val="99"/>
    <w:semiHidden/>
    <w:rsid w:val="003E6989"/>
    <w:rPr>
      <w:rFonts w:ascii="Calibri" w:hAnsi="Calibri"/>
      <w:sz w:val="18"/>
    </w:rPr>
  </w:style>
  <w:style w:type="character" w:customStyle="1" w:styleId="StatementNameChar">
    <w:name w:val="Statement Name Char"/>
    <w:basedOn w:val="DefaultParagraphFont"/>
    <w:link w:val="StatementName"/>
    <w:locked/>
    <w:rsid w:val="003E6989"/>
    <w:rPr>
      <w:rFonts w:ascii="Arial" w:hAnsi="Arial" w:cs="Arial"/>
      <w:b/>
      <w:sz w:val="24"/>
      <w:szCs w:val="24"/>
    </w:rPr>
  </w:style>
  <w:style w:type="paragraph" w:customStyle="1" w:styleId="StatementName">
    <w:name w:val="Statement Name"/>
    <w:basedOn w:val="Normal"/>
    <w:next w:val="Normal"/>
    <w:link w:val="StatementNameChar"/>
    <w:autoRedefine/>
    <w:rsid w:val="003E6989"/>
    <w:pPr>
      <w:pBdr>
        <w:bottom w:val="single" w:sz="4" w:space="1" w:color="auto"/>
      </w:pBdr>
    </w:pPr>
    <w:rPr>
      <w:rFonts w:ascii="Arial" w:hAnsi="Arial" w:cs="Arial"/>
      <w:b/>
      <w:sz w:val="24"/>
      <w:szCs w:val="24"/>
    </w:rPr>
  </w:style>
  <w:style w:type="paragraph" w:customStyle="1" w:styleId="StatementDateHeader">
    <w:name w:val="Statement Date Header"/>
    <w:basedOn w:val="Normal"/>
    <w:next w:val="Normal"/>
    <w:rsid w:val="003E6989"/>
    <w:pPr>
      <w:pBdr>
        <w:bottom w:val="single" w:sz="4" w:space="1" w:color="auto"/>
      </w:pBdr>
    </w:pPr>
    <w:rPr>
      <w:rFonts w:ascii="Arial" w:hAnsi="Arial"/>
      <w:i/>
      <w:sz w:val="24"/>
    </w:rPr>
  </w:style>
  <w:style w:type="paragraph" w:customStyle="1" w:styleId="StatementTextLevel3">
    <w:name w:val="Statement Text Level 3"/>
    <w:basedOn w:val="Normal"/>
    <w:next w:val="Normal"/>
    <w:rsid w:val="003E6989"/>
    <w:rPr>
      <w:rFonts w:ascii="Arial" w:hAnsi="Arial"/>
    </w:rPr>
  </w:style>
  <w:style w:type="paragraph" w:customStyle="1" w:styleId="TableHeaderLevel1">
    <w:name w:val="Table Header Level 1"/>
    <w:basedOn w:val="Normal"/>
    <w:semiHidden/>
    <w:rsid w:val="003E6989"/>
    <w:pPr>
      <w:jc w:val="center"/>
    </w:pPr>
    <w:rPr>
      <w:rFonts w:ascii="Arial" w:hAnsi="Arial"/>
      <w:b/>
      <w:szCs w:val="18"/>
    </w:rPr>
  </w:style>
  <w:style w:type="paragraph" w:customStyle="1" w:styleId="StatementTextLevel1bItalic">
    <w:name w:val="Statement Text Level 1(b) + Italic"/>
    <w:basedOn w:val="Normal"/>
    <w:rsid w:val="003E6989"/>
    <w:rPr>
      <w:rFonts w:ascii="Arial" w:hAnsi="Arial"/>
      <w:b/>
      <w:bCs/>
      <w:i/>
      <w:iCs/>
      <w:szCs w:val="18"/>
    </w:rPr>
  </w:style>
  <w:style w:type="paragraph" w:customStyle="1" w:styleId="Graphic">
    <w:name w:val="Graphic"/>
    <w:basedOn w:val="Signature"/>
    <w:rsid w:val="003E6989"/>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3E6989"/>
    <w:pPr>
      <w:ind w:left="139" w:right="57"/>
    </w:pPr>
    <w:rPr>
      <w:b/>
      <w:iCs/>
      <w:sz w:val="20"/>
    </w:rPr>
  </w:style>
  <w:style w:type="paragraph" w:customStyle="1" w:styleId="TitlePage">
    <w:name w:val="Title Page"/>
    <w:basedOn w:val="Normal"/>
    <w:autoRedefine/>
    <w:rsid w:val="003E6989"/>
    <w:pPr>
      <w:spacing w:before="1200" w:after="1200"/>
      <w:ind w:left="57" w:right="57"/>
      <w:jc w:val="right"/>
    </w:pPr>
    <w:rPr>
      <w:b/>
      <w:bCs/>
      <w:sz w:val="48"/>
    </w:rPr>
  </w:style>
  <w:style w:type="paragraph" w:customStyle="1" w:styleId="zcontents">
    <w:name w:val="zcontents"/>
    <w:basedOn w:val="Normal"/>
    <w:semiHidden/>
    <w:rsid w:val="003E6989"/>
    <w:pPr>
      <w:spacing w:after="260" w:line="240" w:lineRule="auto"/>
    </w:pPr>
    <w:rPr>
      <w:b/>
      <w:sz w:val="32"/>
    </w:rPr>
  </w:style>
  <w:style w:type="paragraph" w:customStyle="1" w:styleId="Normal10pt">
    <w:name w:val="Normal + 10 pt"/>
    <w:aliases w:val="Line spacing:  single"/>
    <w:basedOn w:val="Normal"/>
    <w:rsid w:val="003E6989"/>
    <w:pPr>
      <w:spacing w:before="130" w:after="130"/>
    </w:pPr>
    <w:rPr>
      <w:b/>
      <w:sz w:val="20"/>
    </w:rPr>
  </w:style>
  <w:style w:type="paragraph" w:customStyle="1" w:styleId="Normal8pt">
    <w:name w:val="Normal + 8 pt"/>
    <w:basedOn w:val="Normal"/>
    <w:rsid w:val="003E6989"/>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3E6989"/>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3E6989"/>
    <w:rPr>
      <w:rFonts w:asciiTheme="minorHAnsi" w:hAnsiTheme="minorHAnsi" w:cstheme="minorHAnsi"/>
      <w:sz w:val="18"/>
    </w:rPr>
  </w:style>
  <w:style w:type="paragraph" w:customStyle="1" w:styleId="ReferenceText">
    <w:name w:val="Reference Text"/>
    <w:basedOn w:val="Normal"/>
    <w:link w:val="ReferenceTextChar"/>
    <w:autoRedefine/>
    <w:uiPriority w:val="99"/>
    <w:qFormat/>
    <w:rsid w:val="003E6989"/>
    <w:pPr>
      <w:ind w:right="566"/>
    </w:pPr>
    <w:rPr>
      <w:rFonts w:asciiTheme="minorHAnsi" w:hAnsiTheme="minorHAnsi" w:cstheme="minorHAnsi"/>
    </w:rPr>
  </w:style>
  <w:style w:type="character" w:customStyle="1" w:styleId="NotesHeading-Level1Char">
    <w:name w:val="Notes Heading - Level 1 Char"/>
    <w:basedOn w:val="DefaultParagraphFont"/>
    <w:link w:val="NotesHeading-Level1"/>
    <w:locked/>
    <w:rsid w:val="003E6989"/>
    <w:rPr>
      <w:rFonts w:asciiTheme="minorHAnsi" w:hAnsiTheme="minorHAnsi"/>
      <w:b/>
    </w:rPr>
  </w:style>
  <w:style w:type="paragraph" w:customStyle="1" w:styleId="NotesHeading-Level1">
    <w:name w:val="Notes Heading - Level 1"/>
    <w:basedOn w:val="Normal"/>
    <w:link w:val="NotesHeading-Level1Char"/>
    <w:qFormat/>
    <w:rsid w:val="003E6989"/>
    <w:pPr>
      <w:numPr>
        <w:numId w:val="10"/>
      </w:numPr>
      <w:ind w:right="607"/>
      <w:outlineLvl w:val="0"/>
    </w:pPr>
    <w:rPr>
      <w:rFonts w:asciiTheme="minorHAnsi" w:hAnsiTheme="minorHAnsi"/>
      <w:b/>
      <w:sz w:val="20"/>
    </w:rPr>
  </w:style>
  <w:style w:type="paragraph" w:customStyle="1" w:styleId="NotesHeading-Level2">
    <w:name w:val="Notes Heading - Level 2"/>
    <w:basedOn w:val="NotesHeading-Level1"/>
    <w:rsid w:val="003E6989"/>
    <w:pPr>
      <w:framePr w:hSpace="180" w:wrap="around" w:vAnchor="text" w:hAnchor="margin" w:y="1"/>
      <w:numPr>
        <w:ilvl w:val="1"/>
      </w:numPr>
      <w:tabs>
        <w:tab w:val="clear" w:pos="851"/>
        <w:tab w:val="num" w:pos="567"/>
      </w:tabs>
      <w:ind w:left="567" w:hanging="567"/>
    </w:pPr>
    <w:rPr>
      <w:sz w:val="18"/>
    </w:rPr>
  </w:style>
  <w:style w:type="paragraph" w:customStyle="1" w:styleId="StatementHeading">
    <w:name w:val="Statement Heading"/>
    <w:basedOn w:val="Normal"/>
    <w:rsid w:val="003E6989"/>
    <w:rPr>
      <w:rFonts w:ascii="Arial" w:hAnsi="Arial"/>
      <w:b/>
      <w:sz w:val="24"/>
    </w:rPr>
  </w:style>
  <w:style w:type="paragraph" w:customStyle="1" w:styleId="GreyShadeTableBreak">
    <w:name w:val="Grey Shade Table Break"/>
    <w:basedOn w:val="Normal"/>
    <w:qFormat/>
    <w:rsid w:val="003E6989"/>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3E6989"/>
    <w:pPr>
      <w:shd w:val="clear" w:color="auto" w:fill="D9D9D9" w:themeFill="background1" w:themeFillShade="D9"/>
      <w:ind w:right="57"/>
    </w:pPr>
    <w:rPr>
      <w:sz w:val="22"/>
    </w:rPr>
  </w:style>
  <w:style w:type="paragraph" w:customStyle="1" w:styleId="ReferenceTextLetter">
    <w:name w:val="Reference Text Letter"/>
    <w:basedOn w:val="ReferenceText"/>
    <w:qFormat/>
    <w:rsid w:val="003E6989"/>
    <w:pPr>
      <w:spacing w:line="240" w:lineRule="auto"/>
      <w:ind w:left="567" w:right="567"/>
    </w:pPr>
    <w:rPr>
      <w:rFonts w:cs="Arial"/>
      <w:szCs w:val="18"/>
    </w:rPr>
  </w:style>
  <w:style w:type="paragraph" w:customStyle="1" w:styleId="NotesHeader">
    <w:name w:val="Notes Header"/>
    <w:basedOn w:val="Normal"/>
    <w:next w:val="Normal"/>
    <w:rsid w:val="003E6989"/>
    <w:pPr>
      <w:jc w:val="center"/>
    </w:pPr>
    <w:rPr>
      <w:rFonts w:ascii="Arial" w:hAnsi="Arial"/>
      <w:b/>
    </w:rPr>
  </w:style>
  <w:style w:type="paragraph" w:customStyle="1" w:styleId="NotesReferences">
    <w:name w:val="Notes References"/>
    <w:basedOn w:val="Normal"/>
    <w:next w:val="Normal"/>
    <w:rsid w:val="003E6989"/>
    <w:pPr>
      <w:jc w:val="center"/>
    </w:pPr>
    <w:rPr>
      <w:rFonts w:ascii="Arial" w:hAnsi="Arial"/>
    </w:rPr>
  </w:style>
  <w:style w:type="paragraph" w:customStyle="1" w:styleId="NotesData">
    <w:name w:val="Notes Data"/>
    <w:basedOn w:val="Normal"/>
    <w:rsid w:val="003E6989"/>
    <w:pPr>
      <w:framePr w:hSpace="180" w:wrap="around" w:vAnchor="text" w:hAnchor="margin" w:y="1"/>
      <w:jc w:val="center"/>
    </w:pPr>
    <w:rPr>
      <w:sz w:val="20"/>
    </w:rPr>
  </w:style>
  <w:style w:type="paragraph" w:customStyle="1" w:styleId="NotesTextLevel1">
    <w:name w:val="Notes Text Level 1"/>
    <w:basedOn w:val="Normal"/>
    <w:next w:val="Normal"/>
    <w:rsid w:val="003E6989"/>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3E6989"/>
    <w:rPr>
      <w:rFonts w:ascii="Arial" w:hAnsi="Arial" w:cs="Arial"/>
      <w:b/>
      <w:bCs/>
      <w:i/>
      <w:iCs/>
      <w:sz w:val="18"/>
    </w:rPr>
  </w:style>
  <w:style w:type="paragraph" w:customStyle="1" w:styleId="NotesTextLevel3aboldItalic">
    <w:name w:val="Notes Text Level 3(a) bold + Italic"/>
    <w:basedOn w:val="Normal"/>
    <w:link w:val="NotesTextLevel3aboldItalicChar"/>
    <w:rsid w:val="003E6989"/>
    <w:rPr>
      <w:rFonts w:ascii="Arial" w:hAnsi="Arial" w:cs="Arial"/>
      <w:b/>
      <w:bCs/>
      <w:i/>
      <w:iCs/>
    </w:rPr>
  </w:style>
  <w:style w:type="paragraph" w:customStyle="1" w:styleId="NotesHeading3">
    <w:name w:val="Notes Heading 3"/>
    <w:basedOn w:val="Normal"/>
    <w:autoRedefine/>
    <w:rsid w:val="003E6989"/>
    <w:pPr>
      <w:spacing w:before="80" w:after="40"/>
      <w:ind w:left="113" w:right="113"/>
    </w:pPr>
    <w:rPr>
      <w:u w:val="single"/>
      <w:lang w:val="en-US"/>
    </w:rPr>
  </w:style>
  <w:style w:type="paragraph" w:customStyle="1" w:styleId="NotesHeading3a">
    <w:name w:val="Notes Heading 3a"/>
    <w:basedOn w:val="Normal"/>
    <w:autoRedefine/>
    <w:rsid w:val="003E6989"/>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3E6989"/>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3E6989"/>
    <w:pPr>
      <w:ind w:left="34"/>
    </w:pPr>
    <w:rPr>
      <w:iCs/>
      <w:sz w:val="16"/>
      <w:szCs w:val="16"/>
      <w:lang w:eastAsia="en-AU"/>
    </w:rPr>
  </w:style>
  <w:style w:type="paragraph" w:customStyle="1" w:styleId="NoteText">
    <w:name w:val="Note Text"/>
    <w:basedOn w:val="Normal"/>
    <w:autoRedefine/>
    <w:rsid w:val="003E6989"/>
    <w:pPr>
      <w:tabs>
        <w:tab w:val="left" w:pos="284"/>
      </w:tabs>
      <w:spacing w:after="120"/>
      <w:ind w:left="567"/>
    </w:pPr>
    <w:rPr>
      <w:sz w:val="20"/>
    </w:rPr>
  </w:style>
  <w:style w:type="paragraph" w:customStyle="1" w:styleId="NotesHeading">
    <w:name w:val="'Notes' Heading"/>
    <w:basedOn w:val="Normal"/>
    <w:autoRedefine/>
    <w:rsid w:val="003E6989"/>
    <w:pPr>
      <w:ind w:left="57" w:right="57"/>
      <w:jc w:val="center"/>
    </w:pPr>
    <w:rPr>
      <w:b/>
      <w:sz w:val="20"/>
    </w:rPr>
  </w:style>
  <w:style w:type="paragraph" w:customStyle="1" w:styleId="NotesReference">
    <w:name w:val="'Notes' Reference"/>
    <w:basedOn w:val="Normal"/>
    <w:autoRedefine/>
    <w:rsid w:val="003E6989"/>
    <w:pPr>
      <w:ind w:left="57" w:right="57"/>
      <w:jc w:val="center"/>
    </w:pPr>
    <w:rPr>
      <w:sz w:val="20"/>
    </w:rPr>
  </w:style>
  <w:style w:type="paragraph" w:customStyle="1" w:styleId="NotesHeading4">
    <w:name w:val="Notes Heading 4"/>
    <w:basedOn w:val="NoteText"/>
    <w:autoRedefine/>
    <w:rsid w:val="003E6989"/>
    <w:pPr>
      <w:keepNext/>
      <w:spacing w:before="200" w:after="80"/>
      <w:ind w:right="57"/>
    </w:pPr>
  </w:style>
  <w:style w:type="paragraph" w:customStyle="1" w:styleId="NotesHeading3NumberingOff">
    <w:name w:val="Notes Heading 3 Numbering Off"/>
    <w:basedOn w:val="NotesHeading3"/>
    <w:autoRedefine/>
    <w:rsid w:val="003E6989"/>
    <w:pPr>
      <w:tabs>
        <w:tab w:val="left" w:pos="1132"/>
      </w:tabs>
    </w:pPr>
  </w:style>
  <w:style w:type="paragraph" w:customStyle="1" w:styleId="NotesHeadingPlain">
    <w:name w:val="'Notes' Heading Plain"/>
    <w:basedOn w:val="NotesHeading"/>
    <w:autoRedefine/>
    <w:rsid w:val="003E6989"/>
    <w:rPr>
      <w:b w:val="0"/>
    </w:rPr>
  </w:style>
  <w:style w:type="paragraph" w:customStyle="1" w:styleId="NotesHeading5">
    <w:name w:val="Notes Heading 5"/>
    <w:basedOn w:val="Normal"/>
    <w:autoRedefine/>
    <w:rsid w:val="003E6989"/>
    <w:pPr>
      <w:spacing w:before="120" w:after="40"/>
      <w:ind w:left="113" w:right="113"/>
      <w:jc w:val="both"/>
    </w:pPr>
    <w:rPr>
      <w:b/>
      <w:sz w:val="20"/>
    </w:rPr>
  </w:style>
  <w:style w:type="paragraph" w:customStyle="1" w:styleId="NoteTextBEFOREDotPoint">
    <w:name w:val="Note Text BEFORE Dot Point"/>
    <w:basedOn w:val="NoteText"/>
    <w:rsid w:val="003E6989"/>
    <w:pPr>
      <w:spacing w:after="0"/>
      <w:ind w:left="178" w:right="57"/>
    </w:pPr>
  </w:style>
  <w:style w:type="paragraph" w:customStyle="1" w:styleId="ItalicLineItem">
    <w:name w:val="Italic Line Item"/>
    <w:basedOn w:val="Normal"/>
    <w:rsid w:val="003E6989"/>
    <w:pPr>
      <w:tabs>
        <w:tab w:val="left" w:pos="566"/>
      </w:tabs>
      <w:ind w:left="284" w:right="113"/>
      <w:jc w:val="both"/>
    </w:pPr>
    <w:rPr>
      <w:i/>
      <w:sz w:val="20"/>
      <w:lang w:val="en-US"/>
    </w:rPr>
  </w:style>
  <w:style w:type="paragraph" w:customStyle="1" w:styleId="ItalicHeading">
    <w:name w:val="Italic Heading"/>
    <w:basedOn w:val="ItalicLineItem"/>
    <w:rsid w:val="003E6989"/>
    <w:pPr>
      <w:ind w:left="57" w:right="0"/>
    </w:pPr>
  </w:style>
  <w:style w:type="paragraph" w:customStyle="1" w:styleId="Notes">
    <w:name w:val="'Notes'"/>
    <w:basedOn w:val="Normal"/>
    <w:rsid w:val="003E6989"/>
    <w:pPr>
      <w:jc w:val="center"/>
    </w:pPr>
    <w:rPr>
      <w:b/>
    </w:rPr>
  </w:style>
  <w:style w:type="character" w:customStyle="1" w:styleId="LineitemsChar">
    <w:name w:val="Line items Char"/>
    <w:basedOn w:val="DefaultParagraphFont"/>
    <w:link w:val="Lineitems"/>
    <w:uiPriority w:val="99"/>
    <w:locked/>
    <w:rsid w:val="003E6989"/>
  </w:style>
  <w:style w:type="paragraph" w:customStyle="1" w:styleId="Lineitems">
    <w:name w:val="Line items"/>
    <w:basedOn w:val="Normal"/>
    <w:link w:val="LineitemsChar"/>
    <w:autoRedefine/>
    <w:uiPriority w:val="99"/>
    <w:rsid w:val="003E6989"/>
    <w:rPr>
      <w:rFonts w:ascii="Times New Roman" w:hAnsi="Times New Roman"/>
      <w:sz w:val="20"/>
    </w:rPr>
  </w:style>
  <w:style w:type="paragraph" w:customStyle="1" w:styleId="Notestext">
    <w:name w:val="Notes text"/>
    <w:basedOn w:val="Notes"/>
    <w:rsid w:val="003E6989"/>
    <w:rPr>
      <w:b w:val="0"/>
    </w:rPr>
  </w:style>
  <w:style w:type="paragraph" w:customStyle="1" w:styleId="Lineitemtable">
    <w:name w:val="Line item table"/>
    <w:basedOn w:val="Lineitems"/>
    <w:rsid w:val="003E6989"/>
  </w:style>
  <w:style w:type="paragraph" w:customStyle="1" w:styleId="12line">
    <w:name w:val="1/2 line"/>
    <w:basedOn w:val="Normal"/>
    <w:rsid w:val="003E6989"/>
    <w:pPr>
      <w:spacing w:before="10" w:after="10" w:line="240" w:lineRule="auto"/>
    </w:pPr>
    <w:rPr>
      <w:sz w:val="20"/>
    </w:rPr>
  </w:style>
  <w:style w:type="paragraph" w:customStyle="1" w:styleId="lineitemitalic">
    <w:name w:val="line item italic"/>
    <w:basedOn w:val="Normal"/>
    <w:rsid w:val="003E6989"/>
    <w:rPr>
      <w:i/>
    </w:rPr>
  </w:style>
  <w:style w:type="paragraph" w:customStyle="1" w:styleId="lineitembold">
    <w:name w:val="line item bold"/>
    <w:basedOn w:val="Normal"/>
    <w:rsid w:val="003E6989"/>
    <w:rPr>
      <w:b/>
      <w:sz w:val="20"/>
    </w:rPr>
  </w:style>
  <w:style w:type="paragraph" w:customStyle="1" w:styleId="Notesheading0">
    <w:name w:val="Notes heading"/>
    <w:basedOn w:val="Normal"/>
    <w:rsid w:val="003E6989"/>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3E6989"/>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3E6989"/>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3E6989"/>
    <w:pPr>
      <w:spacing w:line="240" w:lineRule="auto"/>
    </w:pPr>
    <w:rPr>
      <w:b/>
      <w:bCs/>
      <w:szCs w:val="18"/>
    </w:rPr>
  </w:style>
  <w:style w:type="character" w:customStyle="1" w:styleId="LineitemsTotalChar">
    <w:name w:val="Line items Total Char"/>
    <w:basedOn w:val="LineitemsChar"/>
    <w:link w:val="LineitemsTotal"/>
    <w:uiPriority w:val="99"/>
    <w:locked/>
    <w:rsid w:val="003E6989"/>
    <w:rPr>
      <w:b/>
      <w:i/>
    </w:rPr>
  </w:style>
  <w:style w:type="paragraph" w:customStyle="1" w:styleId="LineitemsTotal">
    <w:name w:val="Line items Total"/>
    <w:basedOn w:val="Lineitems"/>
    <w:link w:val="LineitemsTotalChar"/>
    <w:uiPriority w:val="99"/>
    <w:rsid w:val="003E6989"/>
    <w:pPr>
      <w:framePr w:hSpace="180" w:wrap="around" w:vAnchor="text" w:hAnchor="margin" w:y="1"/>
    </w:pPr>
    <w:rPr>
      <w:b/>
      <w:i/>
    </w:rPr>
  </w:style>
  <w:style w:type="paragraph" w:customStyle="1" w:styleId="SAPHeading-Level1">
    <w:name w:val="SAP Heading - Level 1"/>
    <w:basedOn w:val="NotesHeading-Level1"/>
    <w:rsid w:val="003E6989"/>
    <w:pPr>
      <w:numPr>
        <w:numId w:val="0"/>
      </w:numPr>
      <w:tabs>
        <w:tab w:val="num" w:pos="851"/>
      </w:tabs>
      <w:ind w:left="851" w:hanging="851"/>
    </w:pPr>
    <w:rPr>
      <w:rFonts w:cstheme="minorHAnsi"/>
    </w:rPr>
  </w:style>
  <w:style w:type="paragraph" w:customStyle="1" w:styleId="SAPHeading-Level2">
    <w:name w:val="SAP Heading - Level 2"/>
    <w:basedOn w:val="SAPHeading-Level1"/>
    <w:rsid w:val="003E6989"/>
    <w:pPr>
      <w:spacing w:before="100" w:after="100" w:line="240" w:lineRule="auto"/>
      <w:outlineLvl w:val="9"/>
    </w:pPr>
  </w:style>
  <w:style w:type="paragraph" w:customStyle="1" w:styleId="SAPHeading-Level3">
    <w:name w:val="SAP Heading - Level 3"/>
    <w:basedOn w:val="SAPHeading-Level2"/>
    <w:rsid w:val="003E6989"/>
  </w:style>
  <w:style w:type="character" w:customStyle="1" w:styleId="NotesTextChar">
    <w:name w:val="Notes Text Char"/>
    <w:basedOn w:val="ReferenceTextChar"/>
    <w:link w:val="NotesText0"/>
    <w:uiPriority w:val="99"/>
    <w:locked/>
    <w:rsid w:val="003E6989"/>
    <w:rPr>
      <w:rFonts w:asciiTheme="minorHAnsi" w:hAnsiTheme="minorHAnsi" w:cs="Arial"/>
      <w:sz w:val="18"/>
      <w:szCs w:val="18"/>
    </w:rPr>
  </w:style>
  <w:style w:type="paragraph" w:customStyle="1" w:styleId="NotesText0">
    <w:name w:val="Notes Text"/>
    <w:basedOn w:val="ReferenceText"/>
    <w:link w:val="NotesTextChar"/>
    <w:uiPriority w:val="99"/>
    <w:rsid w:val="003E6989"/>
    <w:pPr>
      <w:spacing w:before="100" w:after="100" w:line="240" w:lineRule="auto"/>
    </w:pPr>
    <w:rPr>
      <w:rFonts w:cs="Arial"/>
      <w:szCs w:val="18"/>
    </w:rPr>
  </w:style>
  <w:style w:type="paragraph" w:customStyle="1" w:styleId="NotesTextHeading">
    <w:name w:val="Notes Text Heading"/>
    <w:basedOn w:val="NotesText0"/>
    <w:uiPriority w:val="99"/>
    <w:rsid w:val="003E6989"/>
    <w:rPr>
      <w:b/>
      <w:i/>
    </w:rPr>
  </w:style>
  <w:style w:type="paragraph" w:customStyle="1" w:styleId="NoteHeading-Level1">
    <w:name w:val="Note Heading - Level 1"/>
    <w:basedOn w:val="Normal"/>
    <w:rsid w:val="003E6989"/>
  </w:style>
  <w:style w:type="paragraph" w:customStyle="1" w:styleId="NoteHeading-Level2">
    <w:name w:val="Note Heading - Level 2"/>
    <w:basedOn w:val="Normal"/>
    <w:rsid w:val="003E6989"/>
  </w:style>
  <w:style w:type="paragraph" w:customStyle="1" w:styleId="Notesreferencetext">
    <w:name w:val="Notes reference text"/>
    <w:basedOn w:val="Normal"/>
    <w:next w:val="Normal"/>
    <w:rsid w:val="003E6989"/>
    <w:pPr>
      <w:jc w:val="center"/>
    </w:pPr>
  </w:style>
  <w:style w:type="character" w:customStyle="1" w:styleId="StyleReferenceTextItalicChar">
    <w:name w:val="Style Reference Text + Italic Char"/>
    <w:basedOn w:val="ReferenceTextChar"/>
    <w:link w:val="StyleReferenceTextItalic"/>
    <w:uiPriority w:val="99"/>
    <w:locked/>
    <w:rsid w:val="003E6989"/>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3E6989"/>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3E6989"/>
    <w:rPr>
      <w:rFonts w:asciiTheme="minorHAnsi" w:hAnsiTheme="minorHAnsi" w:cs="Arial"/>
      <w:i/>
      <w:iCs/>
      <w:sz w:val="18"/>
      <w:szCs w:val="18"/>
      <w:u w:val="single"/>
    </w:rPr>
  </w:style>
  <w:style w:type="paragraph" w:customStyle="1" w:styleId="StyleNotesTextItalic">
    <w:name w:val="Style Notes Text + Italic"/>
    <w:basedOn w:val="NotesText0"/>
    <w:link w:val="StyleNotesTextItalicChar"/>
    <w:uiPriority w:val="99"/>
    <w:rsid w:val="003E6989"/>
    <w:pPr>
      <w:ind w:right="-54"/>
    </w:pPr>
    <w:rPr>
      <w:i/>
      <w:iCs/>
      <w:u w:val="single"/>
    </w:rPr>
  </w:style>
  <w:style w:type="paragraph" w:customStyle="1" w:styleId="StyleNotesTextPatternClearGray-25">
    <w:name w:val="Style Notes Text + Pattern: Clear (Gray-25%)"/>
    <w:basedOn w:val="NotesText0"/>
    <w:autoRedefine/>
    <w:uiPriority w:val="99"/>
    <w:rsid w:val="003E6989"/>
    <w:pPr>
      <w:shd w:val="clear" w:color="auto" w:fill="CCCCCC"/>
      <w:ind w:right="-54"/>
    </w:pPr>
    <w:rPr>
      <w:rFonts w:ascii="Calibri" w:hAnsi="Calibri"/>
      <w:sz w:val="20"/>
      <w:szCs w:val="20"/>
    </w:rPr>
  </w:style>
  <w:style w:type="paragraph" w:customStyle="1" w:styleId="BulletKPMG">
    <w:name w:val="Bullet KPMG"/>
    <w:basedOn w:val="Normal"/>
    <w:uiPriority w:val="99"/>
    <w:rsid w:val="003E6989"/>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3E6989"/>
    <w:rPr>
      <w:rFonts w:ascii="Calibri" w:hAnsi="Calibri" w:cs="Arial"/>
      <w:bCs/>
      <w:sz w:val="18"/>
      <w:szCs w:val="18"/>
    </w:rPr>
  </w:style>
  <w:style w:type="paragraph" w:customStyle="1" w:styleId="StyleNotesTextBold">
    <w:name w:val="Style Notes Text + Bold"/>
    <w:basedOn w:val="NotesText0"/>
    <w:link w:val="StyleNotesTextBoldChar"/>
    <w:uiPriority w:val="99"/>
    <w:rsid w:val="003E6989"/>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3E6989"/>
    <w:rPr>
      <w:rFonts w:ascii="Calibri" w:hAnsi="Calibri" w:cs="Arial"/>
      <w:bCs/>
      <w:sz w:val="18"/>
      <w:szCs w:val="18"/>
    </w:rPr>
  </w:style>
  <w:style w:type="paragraph" w:customStyle="1" w:styleId="StyleNotesTextBold1">
    <w:name w:val="Style Notes Text + Bold1"/>
    <w:basedOn w:val="NotesText0"/>
    <w:link w:val="StyleNotesTextBold1Char"/>
    <w:uiPriority w:val="99"/>
    <w:rsid w:val="003E6989"/>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3E6989"/>
    <w:rPr>
      <w:rFonts w:ascii="Arial" w:hAnsi="Arial" w:cs="Arial"/>
      <w:b/>
      <w:sz w:val="18"/>
      <w:szCs w:val="18"/>
    </w:rPr>
  </w:style>
  <w:style w:type="paragraph" w:customStyle="1" w:styleId="StatementTextLevel1b">
    <w:name w:val="Statement Text Level 1(b)"/>
    <w:basedOn w:val="Normal"/>
    <w:link w:val="StatementTextLevel1bChar"/>
    <w:uiPriority w:val="99"/>
    <w:rsid w:val="003E6989"/>
    <w:rPr>
      <w:rFonts w:ascii="Arial" w:hAnsi="Arial" w:cs="Arial"/>
      <w:b/>
      <w:szCs w:val="18"/>
    </w:rPr>
  </w:style>
  <w:style w:type="paragraph" w:customStyle="1" w:styleId="PrimaryStatementsHeading">
    <w:name w:val="Primary Statements Heading"/>
    <w:basedOn w:val="Normal"/>
    <w:autoRedefine/>
    <w:uiPriority w:val="99"/>
    <w:rsid w:val="003E6989"/>
    <w:pPr>
      <w:spacing w:line="300" w:lineRule="exact"/>
    </w:pPr>
    <w:rPr>
      <w:b/>
      <w:sz w:val="24"/>
      <w:lang w:val="en-US"/>
    </w:rPr>
  </w:style>
  <w:style w:type="paragraph" w:customStyle="1" w:styleId="PeriodHeading">
    <w:name w:val="Period Heading"/>
    <w:basedOn w:val="PrimaryStatementsHeading"/>
    <w:uiPriority w:val="99"/>
    <w:rsid w:val="003E6989"/>
    <w:rPr>
      <w:i/>
      <w:sz w:val="22"/>
    </w:rPr>
  </w:style>
  <w:style w:type="paragraph" w:customStyle="1" w:styleId="CurrentYearDataTotalLevel1">
    <w:name w:val="Current Year Data Total Level 1"/>
    <w:basedOn w:val="Normal"/>
    <w:next w:val="Normal"/>
    <w:autoRedefine/>
    <w:uiPriority w:val="99"/>
    <w:rsid w:val="003E6989"/>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3E6989"/>
    <w:rPr>
      <w:rFonts w:ascii="Calibri" w:hAnsi="Calibri" w:cs="Calibri"/>
      <w:b/>
      <w:sz w:val="18"/>
    </w:rPr>
  </w:style>
  <w:style w:type="paragraph" w:customStyle="1" w:styleId="LineitemsHeading">
    <w:name w:val="Line items Heading"/>
    <w:basedOn w:val="Lineitems"/>
    <w:link w:val="LineitemsHeadingChar"/>
    <w:uiPriority w:val="99"/>
    <w:rsid w:val="003E6989"/>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3E6989"/>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3E6989"/>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3E6989"/>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3E6989"/>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3E6989"/>
    <w:pPr>
      <w:pBdr>
        <w:top w:val="single" w:sz="4" w:space="1" w:color="auto"/>
        <w:bottom w:val="single" w:sz="4" w:space="1" w:color="auto"/>
      </w:pBdr>
      <w:jc w:val="right"/>
    </w:pPr>
    <w:rPr>
      <w:rFonts w:cs="Calibri"/>
    </w:rPr>
  </w:style>
  <w:style w:type="character" w:customStyle="1" w:styleId="CurrentYearDataTotalLevel2Char">
    <w:name w:val="Current Year Data Total Level 2 Char"/>
    <w:basedOn w:val="DefaultParagraphFont"/>
    <w:link w:val="CurrentYearDataTotalLevel2"/>
    <w:uiPriority w:val="99"/>
    <w:locked/>
    <w:rsid w:val="003E6989"/>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3E6989"/>
    <w:pPr>
      <w:pBdr>
        <w:top w:val="single" w:sz="4" w:space="1" w:color="auto"/>
        <w:bottom w:val="single" w:sz="4" w:space="1" w:color="auto"/>
      </w:pBdr>
      <w:jc w:val="right"/>
    </w:pPr>
    <w:rPr>
      <w:rFonts w:cs="Calibri"/>
      <w:b/>
    </w:rPr>
  </w:style>
  <w:style w:type="paragraph" w:customStyle="1" w:styleId="DeptCurrentYearHeader">
    <w:name w:val="Dept Current Year Header"/>
    <w:basedOn w:val="Normal"/>
    <w:qFormat/>
    <w:rsid w:val="003E6989"/>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3E6989"/>
    <w:pPr>
      <w:jc w:val="right"/>
    </w:pPr>
    <w:rPr>
      <w:rFonts w:asciiTheme="minorHAnsi" w:hAnsiTheme="minorHAnsi" w:cstheme="minorHAnsi"/>
      <w:sz w:val="18"/>
      <w:szCs w:val="18"/>
      <w:lang w:eastAsia="en-AU"/>
    </w:rPr>
  </w:style>
  <w:style w:type="paragraph" w:customStyle="1" w:styleId="DeptManualEntryCell">
    <w:name w:val="Dept Manual Entry Cell"/>
    <w:basedOn w:val="Normal"/>
    <w:qFormat/>
    <w:rsid w:val="003E6989"/>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3E6989"/>
    <w:rPr>
      <w:b w:val="0"/>
    </w:rPr>
  </w:style>
  <w:style w:type="paragraph" w:customStyle="1" w:styleId="DeptCurrentYearTotal">
    <w:name w:val="Dept Current Year Total"/>
    <w:qFormat/>
    <w:rsid w:val="003E6989"/>
    <w:pPr>
      <w:jc w:val="right"/>
    </w:pPr>
    <w:rPr>
      <w:rFonts w:asciiTheme="minorHAnsi" w:hAnsiTheme="minorHAnsi" w:cstheme="minorHAnsi"/>
      <w:b/>
      <w:sz w:val="18"/>
      <w:szCs w:val="18"/>
      <w:lang w:eastAsia="en-AU"/>
    </w:rPr>
  </w:style>
  <w:style w:type="paragraph" w:customStyle="1" w:styleId="DeptPreviousYearTotal">
    <w:name w:val="Dept Previous Year Total"/>
    <w:qFormat/>
    <w:rsid w:val="003E6989"/>
    <w:pPr>
      <w:jc w:val="right"/>
    </w:pPr>
    <w:rPr>
      <w:rFonts w:asciiTheme="minorHAnsi" w:hAnsiTheme="minorHAnsi" w:cstheme="minorHAnsi"/>
      <w:sz w:val="18"/>
      <w:szCs w:val="18"/>
      <w:lang w:eastAsia="en-AU"/>
    </w:rPr>
  </w:style>
  <w:style w:type="paragraph" w:customStyle="1" w:styleId="DeptRowText">
    <w:name w:val="Dept Row Text"/>
    <w:qFormat/>
    <w:rsid w:val="003E6989"/>
    <w:rPr>
      <w:rFonts w:asciiTheme="minorHAnsi" w:hAnsiTheme="minorHAnsi" w:cstheme="minorHAnsi"/>
      <w:sz w:val="18"/>
      <w:szCs w:val="18"/>
      <w:lang w:eastAsia="en-AU"/>
    </w:rPr>
  </w:style>
  <w:style w:type="paragraph" w:customStyle="1" w:styleId="DeptRowTextTotal">
    <w:name w:val="Dept Row Text Total"/>
    <w:qFormat/>
    <w:rsid w:val="003E6989"/>
    <w:rPr>
      <w:rFonts w:asciiTheme="minorHAnsi" w:hAnsiTheme="minorHAnsi" w:cstheme="minorHAnsi"/>
      <w:b/>
      <w:i/>
      <w:sz w:val="18"/>
      <w:szCs w:val="18"/>
    </w:rPr>
  </w:style>
  <w:style w:type="paragraph" w:customStyle="1" w:styleId="DeptBlankBlueShade">
    <w:name w:val="Dept Blank Blue Shade"/>
    <w:basedOn w:val="DeptRowTextTotal"/>
    <w:next w:val="12line"/>
    <w:qFormat/>
    <w:rsid w:val="003E6989"/>
  </w:style>
  <w:style w:type="paragraph" w:customStyle="1" w:styleId="DeptRowTextIndent">
    <w:name w:val="Dept Row Text Indent"/>
    <w:basedOn w:val="DeptRowText"/>
    <w:qFormat/>
    <w:rsid w:val="003E6989"/>
    <w:pPr>
      <w:ind w:left="204"/>
    </w:pPr>
  </w:style>
  <w:style w:type="paragraph" w:customStyle="1" w:styleId="AdminRowTextIndent">
    <w:name w:val="Admin Row Text Indent"/>
    <w:basedOn w:val="DeptRowTextIndent"/>
    <w:qFormat/>
    <w:rsid w:val="003E6989"/>
  </w:style>
  <w:style w:type="paragraph" w:customStyle="1" w:styleId="AdminRowTextIndentGrey">
    <w:name w:val="Admin Row Text Indent Grey"/>
    <w:basedOn w:val="AdminRowTextIndent"/>
    <w:qFormat/>
    <w:rsid w:val="003E6989"/>
  </w:style>
  <w:style w:type="paragraph" w:customStyle="1" w:styleId="AdminCurrentYearDataGrey">
    <w:name w:val="Admin Current Year Data Grey"/>
    <w:qFormat/>
    <w:rsid w:val="003E6989"/>
    <w:pPr>
      <w:jc w:val="right"/>
    </w:pPr>
    <w:rPr>
      <w:rFonts w:asciiTheme="minorHAnsi" w:hAnsiTheme="minorHAnsi" w:cstheme="minorHAnsi"/>
      <w:b/>
      <w:sz w:val="18"/>
      <w:szCs w:val="18"/>
      <w:lang w:eastAsia="en-AU"/>
    </w:rPr>
  </w:style>
  <w:style w:type="paragraph" w:customStyle="1" w:styleId="AdminCurrentYearDataNormal">
    <w:name w:val="Admin Current Year Data Normal"/>
    <w:qFormat/>
    <w:rsid w:val="003E6989"/>
    <w:pPr>
      <w:jc w:val="right"/>
    </w:pPr>
    <w:rPr>
      <w:rFonts w:asciiTheme="minorHAnsi" w:hAnsiTheme="minorHAnsi" w:cstheme="minorHAnsi"/>
      <w:b/>
      <w:sz w:val="18"/>
      <w:szCs w:val="18"/>
      <w:lang w:eastAsia="en-AU"/>
    </w:rPr>
  </w:style>
  <w:style w:type="paragraph" w:customStyle="1" w:styleId="AdminPreviousYearDataGrey">
    <w:name w:val="Admin Previous Year Data Grey"/>
    <w:qFormat/>
    <w:rsid w:val="003E6989"/>
    <w:pPr>
      <w:jc w:val="right"/>
    </w:pPr>
    <w:rPr>
      <w:rFonts w:asciiTheme="minorHAnsi" w:hAnsiTheme="minorHAnsi" w:cstheme="minorHAnsi"/>
      <w:sz w:val="18"/>
      <w:szCs w:val="18"/>
      <w:lang w:eastAsia="en-AU"/>
    </w:rPr>
  </w:style>
  <w:style w:type="paragraph" w:customStyle="1" w:styleId="AdminPreviousYearDataNormal">
    <w:name w:val="Admin Previous Year Data Normal"/>
    <w:qFormat/>
    <w:rsid w:val="003E6989"/>
    <w:pPr>
      <w:jc w:val="right"/>
    </w:pPr>
    <w:rPr>
      <w:rFonts w:asciiTheme="minorHAnsi" w:hAnsiTheme="minorHAnsi" w:cstheme="minorHAnsi"/>
      <w:sz w:val="18"/>
      <w:szCs w:val="18"/>
      <w:lang w:eastAsia="en-AU"/>
    </w:rPr>
  </w:style>
  <w:style w:type="paragraph" w:customStyle="1" w:styleId="AdminHeaderlineUnderlineGrey">
    <w:name w:val="Admin Headerline Underline Grey"/>
    <w:basedOn w:val="AdminPreviousYearDataNormal"/>
    <w:next w:val="12line"/>
    <w:qFormat/>
    <w:rsid w:val="003E6989"/>
  </w:style>
  <w:style w:type="paragraph" w:customStyle="1" w:styleId="AdminBlankGreyShade">
    <w:name w:val="Admin Blank Grey Shade"/>
    <w:next w:val="12line"/>
    <w:qFormat/>
    <w:rsid w:val="003E6989"/>
    <w:pPr>
      <w:ind w:right="566"/>
    </w:pPr>
    <w:rPr>
      <w:rFonts w:asciiTheme="minorHAnsi" w:hAnsiTheme="minorHAnsi" w:cstheme="minorHAnsi"/>
      <w:sz w:val="18"/>
      <w:szCs w:val="18"/>
      <w:lang w:eastAsia="en-AU"/>
    </w:rPr>
  </w:style>
  <w:style w:type="paragraph" w:customStyle="1" w:styleId="AdminRowTextGrey">
    <w:name w:val="Admin Row Text Grey"/>
    <w:qFormat/>
    <w:rsid w:val="003E6989"/>
    <w:rPr>
      <w:rFonts w:asciiTheme="minorHAnsi" w:hAnsiTheme="minorHAnsi" w:cstheme="minorHAnsi"/>
      <w:sz w:val="18"/>
      <w:szCs w:val="18"/>
      <w:lang w:eastAsia="en-AU"/>
    </w:rPr>
  </w:style>
  <w:style w:type="paragraph" w:customStyle="1" w:styleId="AdminCurrentYearTotalGrey">
    <w:name w:val="Admin Current Year Total Grey"/>
    <w:qFormat/>
    <w:rsid w:val="003E6989"/>
    <w:pPr>
      <w:jc w:val="right"/>
    </w:pPr>
    <w:rPr>
      <w:rFonts w:asciiTheme="minorHAnsi" w:hAnsiTheme="minorHAnsi" w:cstheme="minorHAnsi"/>
      <w:b/>
      <w:sz w:val="18"/>
      <w:szCs w:val="18"/>
      <w:lang w:eastAsia="en-AU"/>
    </w:rPr>
  </w:style>
  <w:style w:type="paragraph" w:customStyle="1" w:styleId="AdminPreviousYearTotalGrey">
    <w:name w:val="Admin Previous Year Total Grey"/>
    <w:qFormat/>
    <w:rsid w:val="003E6989"/>
    <w:pPr>
      <w:jc w:val="right"/>
    </w:pPr>
    <w:rPr>
      <w:rFonts w:asciiTheme="minorHAnsi" w:hAnsiTheme="minorHAnsi" w:cstheme="minorHAnsi"/>
      <w:sz w:val="18"/>
      <w:szCs w:val="18"/>
      <w:lang w:eastAsia="en-AU"/>
    </w:rPr>
  </w:style>
  <w:style w:type="paragraph" w:customStyle="1" w:styleId="AdminManualEntryCell">
    <w:name w:val="Admin Manual Entry Cell"/>
    <w:qFormat/>
    <w:rsid w:val="003E6989"/>
    <w:pPr>
      <w:jc w:val="right"/>
    </w:pPr>
    <w:rPr>
      <w:rFonts w:asciiTheme="minorHAnsi" w:hAnsiTheme="minorHAnsi" w:cstheme="minorHAnsi"/>
      <w:b/>
      <w:sz w:val="18"/>
      <w:szCs w:val="18"/>
      <w:lang w:eastAsia="en-AU"/>
    </w:rPr>
  </w:style>
  <w:style w:type="paragraph" w:customStyle="1" w:styleId="AdminManualEntryCellUnbold">
    <w:name w:val="Admin Manual Entry Cell Unbold"/>
    <w:qFormat/>
    <w:rsid w:val="003E6989"/>
    <w:pPr>
      <w:jc w:val="right"/>
    </w:pPr>
    <w:rPr>
      <w:rFonts w:asciiTheme="minorHAnsi" w:hAnsiTheme="minorHAnsi" w:cstheme="minorHAnsi"/>
      <w:sz w:val="18"/>
      <w:szCs w:val="18"/>
      <w:lang w:eastAsia="en-AU"/>
    </w:rPr>
  </w:style>
  <w:style w:type="paragraph" w:customStyle="1" w:styleId="AdminRowTextHeaderBoldGrey">
    <w:name w:val="Admin Row Text Header Bold Grey"/>
    <w:qFormat/>
    <w:rsid w:val="003E6989"/>
    <w:rPr>
      <w:rFonts w:asciiTheme="minorHAnsi" w:hAnsiTheme="minorHAnsi" w:cstheme="minorHAnsi"/>
      <w:b/>
      <w:sz w:val="18"/>
      <w:szCs w:val="18"/>
      <w:lang w:eastAsia="en-AU"/>
    </w:rPr>
  </w:style>
  <w:style w:type="paragraph" w:customStyle="1" w:styleId="DeptCurrentYearData">
    <w:name w:val="Dept Current Year Data"/>
    <w:qFormat/>
    <w:rsid w:val="003E6989"/>
    <w:pPr>
      <w:jc w:val="right"/>
    </w:pPr>
    <w:rPr>
      <w:rFonts w:asciiTheme="minorHAnsi" w:hAnsiTheme="minorHAnsi" w:cstheme="minorHAnsi"/>
      <w:b/>
      <w:sz w:val="18"/>
      <w:szCs w:val="18"/>
      <w:lang w:eastAsia="en-AU"/>
    </w:rPr>
  </w:style>
  <w:style w:type="paragraph" w:customStyle="1" w:styleId="DeptPreviousYearData">
    <w:name w:val="Dept Previous Year Data"/>
    <w:qFormat/>
    <w:rsid w:val="003E6989"/>
    <w:pPr>
      <w:jc w:val="right"/>
    </w:pPr>
    <w:rPr>
      <w:rFonts w:asciiTheme="minorHAnsi" w:hAnsiTheme="minorHAnsi" w:cstheme="minorHAnsi"/>
      <w:sz w:val="18"/>
      <w:szCs w:val="18"/>
      <w:lang w:eastAsia="en-AU"/>
    </w:rPr>
  </w:style>
  <w:style w:type="paragraph" w:customStyle="1" w:styleId="DeptNoteHeadingUnderlined">
    <w:name w:val="Dept Note Heading Underlined"/>
    <w:qFormat/>
    <w:rsid w:val="003E6989"/>
    <w:rPr>
      <w:rFonts w:asciiTheme="minorHAnsi" w:hAnsiTheme="minorHAnsi" w:cstheme="minorHAnsi"/>
      <w:b/>
      <w:sz w:val="18"/>
      <w:szCs w:val="18"/>
      <w:u w:val="single"/>
      <w:lang w:eastAsia="en-AU"/>
    </w:rPr>
  </w:style>
  <w:style w:type="paragraph" w:customStyle="1" w:styleId="DeptCurrentYearSubTotal">
    <w:name w:val="Dept Current Year SubTotal"/>
    <w:qFormat/>
    <w:rsid w:val="003E6989"/>
    <w:pPr>
      <w:jc w:val="right"/>
    </w:pPr>
    <w:rPr>
      <w:rFonts w:asciiTheme="minorHAnsi" w:hAnsiTheme="minorHAnsi" w:cstheme="minorHAnsi"/>
      <w:b/>
      <w:sz w:val="18"/>
      <w:szCs w:val="18"/>
      <w:lang w:eastAsia="en-AU"/>
    </w:rPr>
  </w:style>
  <w:style w:type="paragraph" w:customStyle="1" w:styleId="AdminCurrentYearSubTotal">
    <w:name w:val="Admin Current Year SubTotal"/>
    <w:qFormat/>
    <w:rsid w:val="003E6989"/>
    <w:pPr>
      <w:jc w:val="right"/>
    </w:pPr>
    <w:rPr>
      <w:rFonts w:asciiTheme="minorHAnsi" w:hAnsiTheme="minorHAnsi" w:cstheme="minorHAnsi"/>
      <w:b/>
      <w:sz w:val="18"/>
      <w:szCs w:val="18"/>
      <w:lang w:eastAsia="en-AU"/>
    </w:rPr>
  </w:style>
  <w:style w:type="paragraph" w:customStyle="1" w:styleId="DeptNoteReference">
    <w:name w:val="Dept Note Reference"/>
    <w:basedOn w:val="AdminCurrentYearSubTotal"/>
    <w:qFormat/>
    <w:rsid w:val="003E6989"/>
    <w:pPr>
      <w:jc w:val="center"/>
    </w:pPr>
    <w:rPr>
      <w:b w:val="0"/>
    </w:rPr>
  </w:style>
  <w:style w:type="paragraph" w:customStyle="1" w:styleId="DeptRowTextDoubleIndent">
    <w:name w:val="Dept Row Text Double Indent"/>
    <w:basedOn w:val="DeptNoteReference"/>
    <w:qFormat/>
    <w:rsid w:val="003E6989"/>
    <w:pPr>
      <w:tabs>
        <w:tab w:val="left" w:pos="204"/>
      </w:tabs>
      <w:ind w:left="487"/>
      <w:jc w:val="left"/>
    </w:pPr>
  </w:style>
  <w:style w:type="paragraph" w:customStyle="1" w:styleId="AdminRowTextSubTotal">
    <w:name w:val="Admin Row Text SubTotal"/>
    <w:qFormat/>
    <w:rsid w:val="003E6989"/>
    <w:rPr>
      <w:rFonts w:asciiTheme="minorHAnsi" w:hAnsiTheme="minorHAnsi" w:cstheme="minorHAnsi"/>
      <w:sz w:val="18"/>
      <w:szCs w:val="18"/>
      <w:lang w:eastAsia="en-AU"/>
    </w:rPr>
  </w:style>
  <w:style w:type="paragraph" w:customStyle="1" w:styleId="DeptRowTextHeader">
    <w:name w:val="Dept Row Text Header"/>
    <w:qFormat/>
    <w:rsid w:val="003E6989"/>
    <w:rPr>
      <w:rFonts w:asciiTheme="minorHAnsi" w:hAnsiTheme="minorHAnsi" w:cstheme="minorHAnsi"/>
      <w:b/>
      <w:sz w:val="18"/>
      <w:szCs w:val="18"/>
      <w:lang w:eastAsia="en-AU"/>
    </w:rPr>
  </w:style>
  <w:style w:type="paragraph" w:customStyle="1" w:styleId="DeptPreviousYearSubTotal">
    <w:name w:val="Dept Previous Year SubTotal"/>
    <w:qFormat/>
    <w:rsid w:val="003E6989"/>
    <w:pPr>
      <w:jc w:val="right"/>
    </w:pPr>
    <w:rPr>
      <w:rFonts w:asciiTheme="minorHAnsi" w:hAnsiTheme="minorHAnsi" w:cstheme="minorHAnsi"/>
      <w:sz w:val="18"/>
      <w:szCs w:val="18"/>
      <w:lang w:eastAsia="en-AU"/>
    </w:rPr>
  </w:style>
  <w:style w:type="paragraph" w:customStyle="1" w:styleId="AdminCurrentYearHeadersGrey">
    <w:name w:val="Admin Current Year Headers Grey"/>
    <w:qFormat/>
    <w:rsid w:val="003E6989"/>
    <w:pPr>
      <w:jc w:val="right"/>
    </w:pPr>
    <w:rPr>
      <w:rFonts w:asciiTheme="minorHAnsi" w:hAnsiTheme="minorHAnsi" w:cstheme="minorHAnsi"/>
      <w:b/>
      <w:sz w:val="18"/>
      <w:szCs w:val="18"/>
      <w:lang w:eastAsia="en-AU"/>
    </w:rPr>
  </w:style>
  <w:style w:type="paragraph" w:customStyle="1" w:styleId="AdminPreviousYearHeadersGrey">
    <w:name w:val="Admin Previous Year Headers Grey"/>
    <w:basedOn w:val="AdminCurrentYearHeadersGrey"/>
    <w:qFormat/>
    <w:rsid w:val="003E6989"/>
  </w:style>
  <w:style w:type="paragraph" w:customStyle="1" w:styleId="AdminHeaderUnderlineGrey">
    <w:name w:val="Admin Header Underline Grey"/>
    <w:qFormat/>
    <w:rsid w:val="003E6989"/>
    <w:rPr>
      <w:rFonts w:asciiTheme="minorHAnsi" w:hAnsiTheme="minorHAnsi" w:cstheme="minorHAnsi"/>
      <w:b/>
      <w:sz w:val="18"/>
      <w:szCs w:val="18"/>
      <w:u w:val="single"/>
      <w:lang w:eastAsia="en-AU"/>
    </w:rPr>
  </w:style>
  <w:style w:type="paragraph" w:customStyle="1" w:styleId="AdminPreviousYearHeaderGrey">
    <w:name w:val="Admin Previous Year Header Grey"/>
    <w:qFormat/>
    <w:rsid w:val="003E6989"/>
    <w:pPr>
      <w:jc w:val="right"/>
    </w:pPr>
    <w:rPr>
      <w:rFonts w:ascii="Calibri" w:hAnsi="Calibri" w:cs="Calibri"/>
      <w:sz w:val="18"/>
      <w:szCs w:val="18"/>
    </w:rPr>
  </w:style>
  <w:style w:type="paragraph" w:customStyle="1" w:styleId="AdminRowTextNormal">
    <w:name w:val="Admin Row Text Normal"/>
    <w:qFormat/>
    <w:rsid w:val="003E6989"/>
    <w:rPr>
      <w:rFonts w:ascii="Calibri" w:hAnsi="Calibri" w:cs="Calibri"/>
      <w:sz w:val="18"/>
      <w:szCs w:val="18"/>
    </w:rPr>
  </w:style>
  <w:style w:type="paragraph" w:customStyle="1" w:styleId="AdminRowTextTotal">
    <w:name w:val="Admin Row Text Total"/>
    <w:basedOn w:val="Normal"/>
    <w:qFormat/>
    <w:rsid w:val="003E6989"/>
    <w:rPr>
      <w:rFonts w:cs="Calibri"/>
      <w:b/>
      <w:bCs/>
      <w:i/>
      <w:iCs/>
      <w:szCs w:val="18"/>
    </w:rPr>
  </w:style>
  <w:style w:type="paragraph" w:customStyle="1" w:styleId="DeptRowTextSubTotal">
    <w:name w:val="Dept Row Text SubTotal"/>
    <w:basedOn w:val="Normal"/>
    <w:qFormat/>
    <w:rsid w:val="003E6989"/>
    <w:rPr>
      <w:rFonts w:cs="Calibri"/>
      <w:b/>
      <w:bCs/>
      <w:szCs w:val="18"/>
    </w:rPr>
  </w:style>
  <w:style w:type="paragraph" w:customStyle="1" w:styleId="DeptManualEntryBoldGreyShade">
    <w:name w:val="Dept Manual Entry Bold Grey Shade"/>
    <w:qFormat/>
    <w:rsid w:val="003E6989"/>
    <w:pPr>
      <w:jc w:val="right"/>
    </w:pPr>
    <w:rPr>
      <w:rFonts w:ascii="Calibri" w:hAnsi="Calibri" w:cs="Calibri"/>
      <w:b/>
      <w:bCs/>
      <w:sz w:val="18"/>
      <w:szCs w:val="18"/>
    </w:rPr>
  </w:style>
  <w:style w:type="paragraph" w:customStyle="1" w:styleId="DeptManualEntryCellUnboldGreyShade">
    <w:name w:val="Dept Manual Entry Cell Unbold Grey Shade"/>
    <w:basedOn w:val="DeptManualEntryBoldGreyShade"/>
    <w:qFormat/>
    <w:rsid w:val="003E6989"/>
    <w:rPr>
      <w:b w:val="0"/>
    </w:rPr>
  </w:style>
  <w:style w:type="paragraph" w:customStyle="1" w:styleId="AdminHeaderCentered">
    <w:name w:val="Admin Header Centered"/>
    <w:basedOn w:val="AdminRowTextHeaderBoldGrey"/>
    <w:qFormat/>
    <w:rsid w:val="003E6989"/>
    <w:pPr>
      <w:jc w:val="center"/>
    </w:pPr>
  </w:style>
  <w:style w:type="paragraph" w:customStyle="1" w:styleId="AdminNoteReferenceGrey">
    <w:name w:val="Admin Note Reference Grey"/>
    <w:qFormat/>
    <w:rsid w:val="003E6989"/>
    <w:pPr>
      <w:jc w:val="center"/>
    </w:pPr>
    <w:rPr>
      <w:rFonts w:ascii="Calibri" w:hAnsi="Calibri" w:cs="Calibri"/>
      <w:sz w:val="18"/>
      <w:szCs w:val="18"/>
    </w:rPr>
  </w:style>
  <w:style w:type="paragraph" w:customStyle="1" w:styleId="DeptHeaderCentered">
    <w:name w:val="Dept Header Centered"/>
    <w:qFormat/>
    <w:rsid w:val="003E6989"/>
    <w:pPr>
      <w:jc w:val="center"/>
    </w:pPr>
    <w:rPr>
      <w:rFonts w:asciiTheme="minorHAnsi" w:hAnsiTheme="minorHAnsi" w:cstheme="minorHAnsi"/>
      <w:b/>
      <w:sz w:val="18"/>
      <w:szCs w:val="18"/>
      <w:lang w:eastAsia="en-AU"/>
    </w:rPr>
  </w:style>
  <w:style w:type="paragraph" w:customStyle="1" w:styleId="NotesHeading-Level1GreyShade">
    <w:name w:val="Notes Heading - Level 1 Grey Shade"/>
    <w:basedOn w:val="NotesHeading-Level1"/>
    <w:qFormat/>
    <w:rsid w:val="003E6989"/>
    <w:pPr>
      <w:numPr>
        <w:numId w:val="11"/>
      </w:numPr>
      <w:shd w:val="clear" w:color="auto" w:fill="D9D9D9" w:themeFill="background1" w:themeFillShade="D9"/>
      <w:tabs>
        <w:tab w:val="clear" w:pos="360"/>
        <w:tab w:val="num" w:pos="283"/>
      </w:tabs>
      <w:ind w:left="283" w:hanging="283"/>
    </w:pPr>
    <w:rPr>
      <w:rFonts w:cstheme="minorHAnsi"/>
    </w:rPr>
  </w:style>
  <w:style w:type="paragraph" w:customStyle="1" w:styleId="UnderlineItalics">
    <w:name w:val="Underline Italics"/>
    <w:basedOn w:val="Normal"/>
    <w:qFormat/>
    <w:rsid w:val="003E6989"/>
    <w:rPr>
      <w:i/>
      <w:u w:val="single"/>
    </w:rPr>
  </w:style>
  <w:style w:type="paragraph" w:customStyle="1" w:styleId="Default">
    <w:name w:val="Default"/>
    <w:rsid w:val="003E6989"/>
    <w:pPr>
      <w:autoSpaceDE w:val="0"/>
      <w:autoSpaceDN w:val="0"/>
      <w:adjustRightInd w:val="0"/>
    </w:pPr>
    <w:rPr>
      <w:rFonts w:ascii="Arial" w:hAnsi="Arial" w:cs="Arial"/>
      <w:color w:val="000000"/>
      <w:sz w:val="24"/>
      <w:szCs w:val="24"/>
      <w:lang w:eastAsia="en-AU"/>
    </w:rPr>
  </w:style>
  <w:style w:type="character" w:customStyle="1" w:styleId="A18">
    <w:name w:val="A18"/>
    <w:uiPriority w:val="99"/>
    <w:rsid w:val="003E6989"/>
    <w:rPr>
      <w:i/>
      <w:iCs/>
      <w:color w:val="000000"/>
      <w:sz w:val="14"/>
      <w:szCs w:val="14"/>
      <w:u w:val="single"/>
    </w:rPr>
  </w:style>
  <w:style w:type="table" w:customStyle="1" w:styleId="TableGrid1">
    <w:name w:val="Table Grid1"/>
    <w:basedOn w:val="TableNormal"/>
    <w:rsid w:val="003E698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3E6989"/>
    <w:pPr>
      <w:numPr>
        <w:numId w:val="0"/>
      </w:numPr>
      <w:spacing w:line="240" w:lineRule="auto"/>
      <w:outlineLvl w:val="9"/>
    </w:pPr>
  </w:style>
  <w:style w:type="numbering" w:customStyle="1" w:styleId="CurrentList2">
    <w:name w:val="Current List2"/>
    <w:rsid w:val="003E6989"/>
    <w:pPr>
      <w:numPr>
        <w:numId w:val="13"/>
      </w:numPr>
    </w:pPr>
  </w:style>
  <w:style w:type="numbering" w:customStyle="1" w:styleId="Style2">
    <w:name w:val="Style2"/>
    <w:rsid w:val="003E6989"/>
    <w:pPr>
      <w:numPr>
        <w:numId w:val="14"/>
      </w:numPr>
    </w:pPr>
  </w:style>
  <w:style w:type="numbering" w:customStyle="1" w:styleId="CurrentList1">
    <w:name w:val="Current List1"/>
    <w:rsid w:val="003E6989"/>
    <w:pPr>
      <w:numPr>
        <w:numId w:val="15"/>
      </w:numPr>
    </w:pPr>
  </w:style>
  <w:style w:type="paragraph" w:customStyle="1" w:styleId="font5">
    <w:name w:val="font5"/>
    <w:basedOn w:val="Normal"/>
    <w:rsid w:val="003E6989"/>
    <w:pPr>
      <w:spacing w:before="100" w:beforeAutospacing="1" w:after="100" w:afterAutospacing="1" w:line="240" w:lineRule="auto"/>
    </w:pPr>
    <w:rPr>
      <w:b/>
      <w:bCs/>
      <w:szCs w:val="18"/>
      <w:lang w:eastAsia="en-AU"/>
    </w:rPr>
  </w:style>
  <w:style w:type="paragraph" w:customStyle="1" w:styleId="font6">
    <w:name w:val="font6"/>
    <w:basedOn w:val="Normal"/>
    <w:rsid w:val="003E6989"/>
    <w:pPr>
      <w:spacing w:before="100" w:beforeAutospacing="1" w:after="100" w:afterAutospacing="1" w:line="240" w:lineRule="auto"/>
    </w:pPr>
    <w:rPr>
      <w:szCs w:val="18"/>
      <w:lang w:eastAsia="en-AU"/>
    </w:rPr>
  </w:style>
  <w:style w:type="paragraph" w:customStyle="1" w:styleId="xl141">
    <w:name w:val="xl141"/>
    <w:basedOn w:val="Normal"/>
    <w:rsid w:val="003E6989"/>
    <w:pPr>
      <w:spacing w:before="100" w:beforeAutospacing="1" w:after="100" w:afterAutospacing="1" w:line="240" w:lineRule="auto"/>
    </w:pPr>
    <w:rPr>
      <w:rFonts w:ascii="Times New Roman" w:hAnsi="Times New Roman"/>
      <w:sz w:val="16"/>
      <w:szCs w:val="16"/>
      <w:lang w:eastAsia="en-AU"/>
    </w:rPr>
  </w:style>
  <w:style w:type="paragraph" w:customStyle="1" w:styleId="xl142">
    <w:name w:val="xl142"/>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right"/>
    </w:pPr>
    <w:rPr>
      <w:b/>
      <w:bCs/>
      <w:szCs w:val="18"/>
      <w:lang w:eastAsia="en-AU"/>
    </w:rPr>
  </w:style>
  <w:style w:type="paragraph" w:customStyle="1" w:styleId="xl143">
    <w:name w:val="xl143"/>
    <w:basedOn w:val="Normal"/>
    <w:rsid w:val="003E6989"/>
    <w:pPr>
      <w:shd w:val="clear" w:color="FFFFFF" w:fill="FFFFFF"/>
      <w:spacing w:before="100" w:beforeAutospacing="1" w:after="100" w:afterAutospacing="1" w:line="240" w:lineRule="auto"/>
      <w:ind w:firstLineChars="100" w:firstLine="100"/>
    </w:pPr>
    <w:rPr>
      <w:szCs w:val="18"/>
      <w:lang w:eastAsia="en-AU"/>
    </w:rPr>
  </w:style>
  <w:style w:type="paragraph" w:customStyle="1" w:styleId="xl144">
    <w:name w:val="xl144"/>
    <w:basedOn w:val="Normal"/>
    <w:rsid w:val="003E6989"/>
    <w:pPr>
      <w:pBdr>
        <w:bottom w:val="single" w:sz="4" w:space="0" w:color="auto"/>
      </w:pBdr>
      <w:shd w:val="clear" w:color="FFFFFF" w:fill="FFFFFF"/>
      <w:spacing w:before="100" w:beforeAutospacing="1" w:after="100" w:afterAutospacing="1" w:line="240" w:lineRule="auto"/>
      <w:jc w:val="right"/>
    </w:pPr>
    <w:rPr>
      <w:b/>
      <w:bCs/>
      <w:szCs w:val="18"/>
      <w:lang w:eastAsia="en-AU"/>
    </w:rPr>
  </w:style>
  <w:style w:type="paragraph" w:customStyle="1" w:styleId="xl145">
    <w:name w:val="xl145"/>
    <w:basedOn w:val="Normal"/>
    <w:rsid w:val="003E6989"/>
    <w:pPr>
      <w:shd w:val="clear" w:color="FFFFFF" w:fill="FFFFFF"/>
      <w:spacing w:before="100" w:beforeAutospacing="1" w:after="100" w:afterAutospacing="1" w:line="240" w:lineRule="auto"/>
    </w:pPr>
    <w:rPr>
      <w:b/>
      <w:bCs/>
      <w:szCs w:val="18"/>
      <w:lang w:eastAsia="en-AU"/>
    </w:rPr>
  </w:style>
  <w:style w:type="paragraph" w:customStyle="1" w:styleId="xl146">
    <w:name w:val="xl146"/>
    <w:basedOn w:val="Normal"/>
    <w:rsid w:val="003E6989"/>
    <w:pPr>
      <w:shd w:val="clear" w:color="FFFFFF" w:fill="FFFFFF"/>
      <w:spacing w:before="100" w:beforeAutospacing="1" w:after="100" w:afterAutospacing="1" w:line="240" w:lineRule="auto"/>
    </w:pPr>
    <w:rPr>
      <w:b/>
      <w:bCs/>
      <w:szCs w:val="18"/>
      <w:lang w:eastAsia="en-AU"/>
    </w:rPr>
  </w:style>
  <w:style w:type="paragraph" w:customStyle="1" w:styleId="xl147">
    <w:name w:val="xl147"/>
    <w:basedOn w:val="Normal"/>
    <w:rsid w:val="003E6989"/>
    <w:pPr>
      <w:shd w:val="clear" w:color="FFFFFF" w:fill="FFFFFF"/>
      <w:spacing w:before="100" w:beforeAutospacing="1" w:after="100" w:afterAutospacing="1" w:line="240" w:lineRule="auto"/>
    </w:pPr>
    <w:rPr>
      <w:rFonts w:ascii="Times New Roman" w:hAnsi="Times New Roman"/>
      <w:szCs w:val="18"/>
      <w:lang w:eastAsia="en-AU"/>
    </w:rPr>
  </w:style>
  <w:style w:type="paragraph" w:customStyle="1" w:styleId="xl148">
    <w:name w:val="xl148"/>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49">
    <w:name w:val="xl149"/>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rFonts w:ascii="Times New Roman" w:hAnsi="Times New Roman"/>
      <w:szCs w:val="18"/>
      <w:lang w:eastAsia="en-AU"/>
    </w:rPr>
  </w:style>
  <w:style w:type="paragraph" w:customStyle="1" w:styleId="xl150">
    <w:name w:val="xl150"/>
    <w:basedOn w:val="Normal"/>
    <w:rsid w:val="003E6989"/>
    <w:pPr>
      <w:pBdr>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51">
    <w:name w:val="xl151"/>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52">
    <w:name w:val="xl152"/>
    <w:basedOn w:val="Normal"/>
    <w:rsid w:val="003E6989"/>
    <w:pPr>
      <w:shd w:val="clear" w:color="FFFFFF" w:fill="FFFFFF"/>
      <w:spacing w:before="100" w:beforeAutospacing="1" w:after="100" w:afterAutospacing="1" w:line="240" w:lineRule="auto"/>
    </w:pPr>
    <w:rPr>
      <w:szCs w:val="18"/>
      <w:lang w:eastAsia="en-AU"/>
    </w:rPr>
  </w:style>
  <w:style w:type="paragraph" w:customStyle="1" w:styleId="xl153">
    <w:name w:val="xl153"/>
    <w:basedOn w:val="Normal"/>
    <w:rsid w:val="003E6989"/>
    <w:pPr>
      <w:shd w:val="clear" w:color="FFFFFF" w:fill="FFFFFF"/>
      <w:spacing w:before="100" w:beforeAutospacing="1" w:after="100" w:afterAutospacing="1" w:line="240" w:lineRule="auto"/>
      <w:jc w:val="right"/>
    </w:pPr>
    <w:rPr>
      <w:b/>
      <w:bCs/>
      <w:szCs w:val="18"/>
      <w:lang w:eastAsia="en-AU"/>
    </w:rPr>
  </w:style>
  <w:style w:type="paragraph" w:customStyle="1" w:styleId="xl154">
    <w:name w:val="xl154"/>
    <w:basedOn w:val="Normal"/>
    <w:rsid w:val="003E6989"/>
    <w:pPr>
      <w:shd w:val="clear" w:color="000000" w:fill="4F81BD"/>
      <w:spacing w:before="100" w:beforeAutospacing="1" w:after="100" w:afterAutospacing="1" w:line="240" w:lineRule="auto"/>
    </w:pPr>
    <w:rPr>
      <w:rFonts w:ascii="Times New Roman" w:hAnsi="Times New Roman"/>
      <w:color w:val="FFFFFF"/>
      <w:sz w:val="16"/>
      <w:szCs w:val="16"/>
      <w:lang w:eastAsia="en-AU"/>
    </w:rPr>
  </w:style>
  <w:style w:type="paragraph" w:customStyle="1" w:styleId="xl155">
    <w:name w:val="xl155"/>
    <w:basedOn w:val="Normal"/>
    <w:rsid w:val="003E6989"/>
    <w:pPr>
      <w:shd w:val="clear" w:color="FFFFFF" w:fill="FFFFFF"/>
      <w:spacing w:before="100" w:beforeAutospacing="1" w:after="100" w:afterAutospacing="1" w:line="240" w:lineRule="auto"/>
      <w:textAlignment w:val="top"/>
    </w:pPr>
    <w:rPr>
      <w:b/>
      <w:bCs/>
      <w:szCs w:val="18"/>
      <w:lang w:eastAsia="en-AU"/>
    </w:rPr>
  </w:style>
  <w:style w:type="paragraph" w:customStyle="1" w:styleId="xl156">
    <w:name w:val="xl156"/>
    <w:basedOn w:val="Normal"/>
    <w:rsid w:val="003E6989"/>
    <w:pPr>
      <w:shd w:val="clear" w:color="FFFFFF" w:fill="FFFFFF"/>
      <w:spacing w:before="100" w:beforeAutospacing="1" w:after="100" w:afterAutospacing="1" w:line="240" w:lineRule="auto"/>
      <w:textAlignment w:val="top"/>
    </w:pPr>
    <w:rPr>
      <w:rFonts w:ascii="Times New Roman" w:hAnsi="Times New Roman"/>
      <w:b/>
      <w:bCs/>
      <w:szCs w:val="18"/>
      <w:lang w:eastAsia="en-AU"/>
    </w:rPr>
  </w:style>
  <w:style w:type="paragraph" w:customStyle="1" w:styleId="xl157">
    <w:name w:val="xl157"/>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58">
    <w:name w:val="xl158"/>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59">
    <w:name w:val="xl159"/>
    <w:basedOn w:val="Normal"/>
    <w:rsid w:val="003E6989"/>
    <w:pPr>
      <w:shd w:val="clear" w:color="FFFFFF" w:fill="FFFFFF"/>
      <w:spacing w:before="100" w:beforeAutospacing="1" w:after="100" w:afterAutospacing="1" w:line="240" w:lineRule="auto"/>
    </w:pPr>
    <w:rPr>
      <w:rFonts w:cs="Calibri"/>
      <w:b/>
      <w:bCs/>
      <w:szCs w:val="18"/>
      <w:u w:val="single"/>
      <w:lang w:eastAsia="en-AU"/>
    </w:rPr>
  </w:style>
  <w:style w:type="paragraph" w:customStyle="1" w:styleId="xl160">
    <w:name w:val="xl160"/>
    <w:basedOn w:val="Normal"/>
    <w:rsid w:val="003E6989"/>
    <w:pPr>
      <w:shd w:val="clear" w:color="FFFFFF" w:fill="FFFFFF"/>
      <w:spacing w:before="100" w:beforeAutospacing="1" w:after="100" w:afterAutospacing="1" w:line="240" w:lineRule="auto"/>
    </w:pPr>
    <w:rPr>
      <w:rFonts w:cs="Calibri"/>
      <w:b/>
      <w:bCs/>
      <w:szCs w:val="18"/>
      <w:u w:val="single"/>
      <w:lang w:eastAsia="en-AU"/>
    </w:rPr>
  </w:style>
  <w:style w:type="paragraph" w:customStyle="1" w:styleId="xl161">
    <w:name w:val="xl161"/>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center"/>
    </w:pPr>
    <w:rPr>
      <w:rFonts w:cs="Calibri"/>
      <w:b/>
      <w:bCs/>
      <w:szCs w:val="18"/>
      <w:lang w:eastAsia="en-AU"/>
    </w:rPr>
  </w:style>
  <w:style w:type="paragraph" w:customStyle="1" w:styleId="xl162">
    <w:name w:val="xl162"/>
    <w:basedOn w:val="Normal"/>
    <w:rsid w:val="003E6989"/>
    <w:pPr>
      <w:shd w:val="clear" w:color="FFFFFF" w:fill="FFFFFF"/>
      <w:spacing w:before="100" w:beforeAutospacing="1" w:after="100" w:afterAutospacing="1" w:line="240" w:lineRule="auto"/>
      <w:jc w:val="right"/>
    </w:pPr>
    <w:rPr>
      <w:rFonts w:cs="Calibri"/>
      <w:szCs w:val="18"/>
      <w:lang w:eastAsia="en-AU"/>
    </w:rPr>
  </w:style>
  <w:style w:type="paragraph" w:customStyle="1" w:styleId="xl163">
    <w:name w:val="xl163"/>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right"/>
    </w:pPr>
    <w:rPr>
      <w:rFonts w:cs="Calibri"/>
      <w:szCs w:val="18"/>
      <w:lang w:eastAsia="en-AU"/>
    </w:rPr>
  </w:style>
  <w:style w:type="paragraph" w:styleId="TOCHeading">
    <w:name w:val="TOC Heading"/>
    <w:basedOn w:val="Heading1"/>
    <w:next w:val="Normal"/>
    <w:uiPriority w:val="39"/>
    <w:unhideWhenUsed/>
    <w:qFormat/>
    <w:rsid w:val="003E6989"/>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customStyle="1" w:styleId="xl164">
    <w:name w:val="xl164"/>
    <w:basedOn w:val="Normal"/>
    <w:rsid w:val="003E6989"/>
    <w:pPr>
      <w:shd w:val="clear" w:color="000000" w:fill="D9D9D9"/>
      <w:spacing w:before="100" w:beforeAutospacing="1" w:after="100" w:afterAutospacing="1" w:line="240" w:lineRule="auto"/>
    </w:pPr>
    <w:rPr>
      <w:rFonts w:ascii="Times New Roman" w:hAnsi="Times New Roman"/>
      <w:szCs w:val="18"/>
      <w:lang w:eastAsia="en-AU"/>
    </w:rPr>
  </w:style>
  <w:style w:type="paragraph" w:customStyle="1" w:styleId="subcategoryheading">
    <w:name w:val="subcategory heading"/>
    <w:basedOn w:val="ListParagraph"/>
    <w:link w:val="subcategoryheadingChar"/>
    <w:qFormat/>
    <w:rsid w:val="003E6989"/>
    <w:pPr>
      <w:numPr>
        <w:ilvl w:val="1"/>
        <w:numId w:val="20"/>
      </w:numPr>
      <w:spacing w:after="0" w:line="260" w:lineRule="atLeast"/>
      <w:ind w:right="566"/>
    </w:pPr>
  </w:style>
  <w:style w:type="paragraph" w:customStyle="1" w:styleId="SectionHeading">
    <w:name w:val="Section Heading"/>
    <w:basedOn w:val="NotesHeading-Level1"/>
    <w:link w:val="SectionHeadingChar"/>
    <w:qFormat/>
    <w:rsid w:val="003E6989"/>
    <w:pPr>
      <w:numPr>
        <w:numId w:val="21"/>
      </w:numPr>
      <w:shd w:val="clear" w:color="00CC99" w:fill="009560"/>
    </w:pPr>
    <w:rPr>
      <w:rFonts w:ascii="Arial" w:hAnsi="Arial"/>
      <w:color w:val="FFFFFF" w:themeColor="background1"/>
      <w:sz w:val="24"/>
    </w:rPr>
  </w:style>
  <w:style w:type="character" w:customStyle="1" w:styleId="ListParagraphChar">
    <w:name w:val="List Paragraph Char"/>
    <w:basedOn w:val="DefaultParagraphFont"/>
    <w:link w:val="ListParagraph"/>
    <w:uiPriority w:val="34"/>
    <w:rsid w:val="003E6989"/>
    <w:rPr>
      <w:rFonts w:ascii="Calibri" w:eastAsia="Calibri" w:hAnsi="Calibri"/>
      <w:sz w:val="22"/>
      <w:szCs w:val="22"/>
      <w:lang w:val="en-US"/>
    </w:rPr>
  </w:style>
  <w:style w:type="character" w:customStyle="1" w:styleId="subcategoryheadingChar">
    <w:name w:val="subcategory heading Char"/>
    <w:basedOn w:val="ListParagraphChar"/>
    <w:link w:val="subcategoryheading"/>
    <w:rsid w:val="003E6989"/>
    <w:rPr>
      <w:rFonts w:ascii="Calibri" w:eastAsia="Calibri" w:hAnsi="Calibri"/>
      <w:sz w:val="22"/>
      <w:szCs w:val="22"/>
      <w:lang w:val="en-US"/>
    </w:rPr>
  </w:style>
  <w:style w:type="character" w:customStyle="1" w:styleId="SectionHeadingChar">
    <w:name w:val="Section Heading Char"/>
    <w:basedOn w:val="DefaultParagraphFont"/>
    <w:link w:val="SectionHeading"/>
    <w:rsid w:val="003E6989"/>
    <w:rPr>
      <w:rFonts w:ascii="Arial" w:hAnsi="Arial"/>
      <w:b/>
      <w:color w:val="FFFFFF" w:themeColor="background1"/>
      <w:sz w:val="24"/>
      <w:shd w:val="clear" w:color="00CC99" w:fill="009560"/>
    </w:rPr>
  </w:style>
  <w:style w:type="paragraph" w:customStyle="1" w:styleId="SubHeading">
    <w:name w:val="Sub Heading"/>
    <w:basedOn w:val="SectionHeading"/>
    <w:next w:val="Normal"/>
    <w:link w:val="SubHeadingChar"/>
    <w:qFormat/>
    <w:rsid w:val="003E6989"/>
    <w:pPr>
      <w:numPr>
        <w:ilvl w:val="1"/>
      </w:numPr>
      <w:shd w:val="clear" w:color="auto" w:fill="000000" w:themeFill="text1"/>
      <w:ind w:left="0" w:firstLine="0"/>
      <w:outlineLvl w:val="1"/>
    </w:pPr>
    <w:rPr>
      <w:sz w:val="20"/>
    </w:rPr>
  </w:style>
  <w:style w:type="character" w:customStyle="1" w:styleId="SubHeadingChar">
    <w:name w:val="Sub Heading Char"/>
    <w:basedOn w:val="DefaultParagraphFont"/>
    <w:link w:val="SubHeading"/>
    <w:rsid w:val="003E6989"/>
    <w:rPr>
      <w:rFonts w:ascii="Arial" w:hAnsi="Arial"/>
      <w:b/>
      <w:color w:val="FFFFFF" w:themeColor="background1"/>
      <w:shd w:val="clear" w:color="auto" w:fill="000000" w:themeFill="text1"/>
    </w:rPr>
  </w:style>
  <w:style w:type="paragraph" w:customStyle="1" w:styleId="PolicyTextAdmin">
    <w:name w:val="Policy Text Admin"/>
    <w:basedOn w:val="GreyShadeTableBreak"/>
    <w:link w:val="PolicyTextAdminChar"/>
    <w:qFormat/>
    <w:rsid w:val="003E6989"/>
    <w:pPr>
      <w:pBdr>
        <w:top w:val="single" w:sz="4" w:space="1" w:color="009560"/>
        <w:left w:val="single" w:sz="4" w:space="0" w:color="009560"/>
        <w:bottom w:val="single" w:sz="4" w:space="6" w:color="009560"/>
        <w:right w:val="single" w:sz="4" w:space="0" w:color="009560"/>
      </w:pBdr>
      <w:shd w:val="clear" w:color="auto" w:fill="E5F4F3"/>
    </w:pPr>
  </w:style>
  <w:style w:type="character" w:customStyle="1" w:styleId="PolicyTextAdminChar">
    <w:name w:val="Policy Text Admin Char"/>
    <w:basedOn w:val="DefaultParagraphFont"/>
    <w:link w:val="PolicyTextAdmin"/>
    <w:rsid w:val="003E6989"/>
    <w:rPr>
      <w:rFonts w:ascii="Calibri" w:hAnsi="Calibri"/>
      <w:sz w:val="18"/>
      <w:shd w:val="clear" w:color="auto" w:fill="E5F4F3"/>
    </w:rPr>
  </w:style>
  <w:style w:type="paragraph" w:customStyle="1" w:styleId="PolicytextDept">
    <w:name w:val="Policy text Dept"/>
    <w:basedOn w:val="GreyShadeTableBreak"/>
    <w:link w:val="PolicytextDeptChar"/>
    <w:qFormat/>
    <w:rsid w:val="003E6989"/>
    <w:pPr>
      <w:pBdr>
        <w:top w:val="single" w:sz="4" w:space="1" w:color="009560"/>
        <w:left w:val="single" w:sz="4" w:space="0" w:color="009560"/>
        <w:bottom w:val="single" w:sz="4" w:space="1" w:color="009560"/>
        <w:right w:val="single" w:sz="4" w:space="0" w:color="009560"/>
      </w:pBdr>
      <w:shd w:val="clear" w:color="auto" w:fill="auto"/>
      <w:spacing w:after="120"/>
    </w:pPr>
  </w:style>
  <w:style w:type="character" w:customStyle="1" w:styleId="PolicytextDeptChar">
    <w:name w:val="Policy text Dept Char"/>
    <w:basedOn w:val="DefaultParagraphFont"/>
    <w:link w:val="PolicytextDept"/>
    <w:rsid w:val="003E6989"/>
    <w:rPr>
      <w:rFonts w:ascii="Calibri" w:hAnsi="Calibri"/>
      <w:sz w:val="18"/>
    </w:rPr>
  </w:style>
  <w:style w:type="paragraph" w:customStyle="1" w:styleId="SectionHeadingDescription">
    <w:name w:val="Section Heading Description"/>
    <w:basedOn w:val="SectionHeading"/>
    <w:next w:val="SubHeading"/>
    <w:qFormat/>
    <w:rsid w:val="003E6989"/>
    <w:pPr>
      <w:numPr>
        <w:numId w:val="0"/>
      </w:numPr>
      <w:outlineLvl w:val="9"/>
    </w:pPr>
    <w:rPr>
      <w:b w:val="0"/>
      <w:sz w:val="18"/>
      <w:szCs w:val="18"/>
    </w:rPr>
  </w:style>
  <w:style w:type="paragraph" w:customStyle="1" w:styleId="PolicyheadingAdmin">
    <w:name w:val="Policy heading Admin"/>
    <w:basedOn w:val="PolicyTextAdmin"/>
    <w:rsid w:val="003E6989"/>
    <w:pPr>
      <w:spacing w:line="120" w:lineRule="atLeast"/>
    </w:pPr>
    <w:rPr>
      <w:b/>
      <w:bCs/>
    </w:rPr>
  </w:style>
  <w:style w:type="paragraph" w:customStyle="1" w:styleId="PlicytextAdminUnderline">
    <w:name w:val="Plicy text Admin + Underline"/>
    <w:basedOn w:val="PolicyTextAdmin"/>
    <w:link w:val="PlicytextAdminUnderlineChar"/>
    <w:qFormat/>
    <w:rsid w:val="003E6989"/>
    <w:pPr>
      <w:spacing w:after="120"/>
    </w:pPr>
    <w:rPr>
      <w:u w:val="single"/>
    </w:rPr>
  </w:style>
  <w:style w:type="paragraph" w:customStyle="1" w:styleId="PolicyTextAdminbold">
    <w:name w:val="Policy Text Admin + bold"/>
    <w:basedOn w:val="PolicyTextAdmin"/>
    <w:link w:val="PolicyTextAdminboldChar"/>
    <w:qFormat/>
    <w:rsid w:val="003E6989"/>
    <w:pPr>
      <w:spacing w:after="120"/>
    </w:pPr>
    <w:rPr>
      <w:b/>
    </w:rPr>
  </w:style>
  <w:style w:type="character" w:customStyle="1" w:styleId="PlicytextAdminUnderlineChar">
    <w:name w:val="Plicy text Admin + Underline Char"/>
    <w:basedOn w:val="PolicyTextAdminChar"/>
    <w:link w:val="PlicytextAdminUnderline"/>
    <w:rsid w:val="003E6989"/>
    <w:rPr>
      <w:rFonts w:ascii="Calibri" w:hAnsi="Calibri"/>
      <w:sz w:val="18"/>
      <w:u w:val="single"/>
      <w:shd w:val="clear" w:color="auto" w:fill="E5F4F3"/>
    </w:rPr>
  </w:style>
  <w:style w:type="paragraph" w:customStyle="1" w:styleId="PolicyTextboxbold">
    <w:name w:val="Policy Text box + bold"/>
    <w:basedOn w:val="PolicytextDept"/>
    <w:link w:val="PolicyTextboxboldChar"/>
    <w:qFormat/>
    <w:rsid w:val="003E6989"/>
    <w:rPr>
      <w:b/>
    </w:rPr>
  </w:style>
  <w:style w:type="character" w:customStyle="1" w:styleId="PolicyTextAdminboldChar">
    <w:name w:val="Policy Text Admin + bold Char"/>
    <w:basedOn w:val="PolicyTextAdminChar"/>
    <w:link w:val="PolicyTextAdminbold"/>
    <w:rsid w:val="003E6989"/>
    <w:rPr>
      <w:rFonts w:ascii="Calibri" w:hAnsi="Calibri"/>
      <w:b/>
      <w:sz w:val="18"/>
      <w:shd w:val="clear" w:color="auto" w:fill="E5F4F3"/>
    </w:rPr>
  </w:style>
  <w:style w:type="paragraph" w:customStyle="1" w:styleId="PolicyTextdeptunderline">
    <w:name w:val="Policy Text dept + underline"/>
    <w:basedOn w:val="PolicytextDept"/>
    <w:link w:val="PolicyTextdeptunderlineChar"/>
    <w:qFormat/>
    <w:rsid w:val="003E6989"/>
    <w:rPr>
      <w:u w:val="single"/>
    </w:rPr>
  </w:style>
  <w:style w:type="character" w:customStyle="1" w:styleId="PolicyTextboxboldChar">
    <w:name w:val="Policy Text box + bold Char"/>
    <w:basedOn w:val="PolicytextDeptChar"/>
    <w:link w:val="PolicyTextboxbold"/>
    <w:rsid w:val="003E6989"/>
    <w:rPr>
      <w:rFonts w:ascii="Calibri" w:hAnsi="Calibri"/>
      <w:b/>
      <w:sz w:val="18"/>
    </w:rPr>
  </w:style>
  <w:style w:type="paragraph" w:customStyle="1" w:styleId="Policytextdeptbulletpoint">
    <w:name w:val="Policy text dept + bullet point"/>
    <w:basedOn w:val="PolicytextDept"/>
    <w:link w:val="PolicytextdeptbulletpointChar"/>
    <w:qFormat/>
    <w:rsid w:val="003E6989"/>
    <w:pPr>
      <w:numPr>
        <w:numId w:val="34"/>
      </w:numPr>
    </w:pPr>
  </w:style>
  <w:style w:type="character" w:customStyle="1" w:styleId="PolicyTextdeptunderlineChar">
    <w:name w:val="Policy Text dept + underline Char"/>
    <w:basedOn w:val="PolicytextDeptChar"/>
    <w:link w:val="PolicyTextdeptunderline"/>
    <w:rsid w:val="003E6989"/>
    <w:rPr>
      <w:rFonts w:ascii="Calibri" w:hAnsi="Calibri"/>
      <w:sz w:val="18"/>
      <w:u w:val="single"/>
    </w:rPr>
  </w:style>
  <w:style w:type="character" w:customStyle="1" w:styleId="PolicytextdeptbulletpointChar">
    <w:name w:val="Policy text dept + bullet point Char"/>
    <w:basedOn w:val="PolicytextDeptChar"/>
    <w:link w:val="Policytextdeptbulletpoint"/>
    <w:rsid w:val="003E6989"/>
    <w:rPr>
      <w:rFonts w:ascii="Calibri" w:hAnsi="Calibri"/>
      <w:sz w:val="18"/>
    </w:rPr>
  </w:style>
  <w:style w:type="paragraph" w:customStyle="1" w:styleId="Policytextboxtable">
    <w:name w:val="Policy text box table"/>
    <w:basedOn w:val="Normal"/>
    <w:link w:val="PolicytextboxtableChar"/>
    <w:qFormat/>
    <w:rsid w:val="003E6989"/>
    <w:rPr>
      <w:rFonts w:cs="Arial"/>
      <w:szCs w:val="18"/>
    </w:rPr>
  </w:style>
  <w:style w:type="paragraph" w:customStyle="1" w:styleId="PolicyTextadminbullets">
    <w:name w:val="Policy Text admin + bullets"/>
    <w:basedOn w:val="PolicyTextAdmin"/>
    <w:link w:val="PolicyTextadminbulletsChar"/>
    <w:qFormat/>
    <w:rsid w:val="003E6989"/>
    <w:pPr>
      <w:numPr>
        <w:numId w:val="37"/>
      </w:numPr>
    </w:pPr>
  </w:style>
  <w:style w:type="character" w:customStyle="1" w:styleId="PolicytextboxtableChar">
    <w:name w:val="Policy text box table Char"/>
    <w:basedOn w:val="DefaultParagraphFont"/>
    <w:link w:val="Policytextboxtable"/>
    <w:rsid w:val="003E6989"/>
    <w:rPr>
      <w:rFonts w:ascii="Calibri" w:hAnsi="Calibri" w:cs="Arial"/>
      <w:sz w:val="18"/>
      <w:szCs w:val="18"/>
    </w:rPr>
  </w:style>
  <w:style w:type="character" w:customStyle="1" w:styleId="PolicyTextadminbulletsChar">
    <w:name w:val="Policy Text admin + bullets Char"/>
    <w:basedOn w:val="PolicyTextAdminChar"/>
    <w:link w:val="PolicyTextadminbullets"/>
    <w:rsid w:val="003E6989"/>
    <w:rPr>
      <w:rFonts w:ascii="Calibri" w:hAnsi="Calibri"/>
      <w:sz w:val="18"/>
      <w:shd w:val="clear" w:color="auto" w:fill="E5F4F3"/>
    </w:rPr>
  </w:style>
  <w:style w:type="paragraph" w:customStyle="1" w:styleId="xl165">
    <w:name w:val="xl165"/>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66">
    <w:name w:val="xl166"/>
    <w:basedOn w:val="Normal"/>
    <w:rsid w:val="003E6989"/>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szCs w:val="18"/>
      <w:lang w:eastAsia="en-AU"/>
    </w:rPr>
  </w:style>
  <w:style w:type="paragraph" w:customStyle="1" w:styleId="xl167">
    <w:name w:val="xl167"/>
    <w:basedOn w:val="Normal"/>
    <w:rsid w:val="003E6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168">
    <w:name w:val="xl168"/>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69">
    <w:name w:val="xl169"/>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hAnsi="Times New Roman"/>
      <w:sz w:val="16"/>
      <w:szCs w:val="16"/>
      <w:lang w:eastAsia="en-AU"/>
    </w:rPr>
  </w:style>
  <w:style w:type="paragraph" w:customStyle="1" w:styleId="xl170">
    <w:name w:val="xl170"/>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Cs w:val="18"/>
      <w:lang w:eastAsia="en-AU"/>
    </w:rPr>
  </w:style>
  <w:style w:type="paragraph" w:customStyle="1" w:styleId="xl171">
    <w:name w:val="xl171"/>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i/>
      <w:iCs/>
      <w:szCs w:val="18"/>
      <w:lang w:eastAsia="en-AU"/>
    </w:rPr>
  </w:style>
  <w:style w:type="paragraph" w:customStyle="1" w:styleId="xl172">
    <w:name w:val="xl172"/>
    <w:basedOn w:val="Normal"/>
    <w:rsid w:val="003E698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szCs w:val="18"/>
      <w:lang w:eastAsia="en-AU"/>
    </w:rPr>
  </w:style>
  <w:style w:type="paragraph" w:customStyle="1" w:styleId="xl173">
    <w:name w:val="xl173"/>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4">
    <w:name w:val="xl174"/>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18"/>
      <w:lang w:eastAsia="en-AU"/>
    </w:rPr>
  </w:style>
  <w:style w:type="paragraph" w:customStyle="1" w:styleId="xl175">
    <w:name w:val="xl175"/>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lang w:eastAsia="en-AU"/>
    </w:rPr>
  </w:style>
  <w:style w:type="paragraph" w:customStyle="1" w:styleId="xl176">
    <w:name w:val="xl176"/>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7">
    <w:name w:val="xl177"/>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8">
    <w:name w:val="xl178"/>
    <w:basedOn w:val="Normal"/>
    <w:rsid w:val="003E698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79">
    <w:name w:val="xl179"/>
    <w:basedOn w:val="Normal"/>
    <w:rsid w:val="003E6989"/>
    <w:pPr>
      <w:pBdr>
        <w:top w:val="single" w:sz="4" w:space="0" w:color="auto"/>
        <w:bottom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80">
    <w:name w:val="xl180"/>
    <w:basedOn w:val="Normal"/>
    <w:rsid w:val="003E6989"/>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styleId="PlainText">
    <w:name w:val="Plain Text"/>
    <w:basedOn w:val="Normal"/>
    <w:link w:val="PlainTextChar"/>
    <w:uiPriority w:val="99"/>
    <w:semiHidden/>
    <w:unhideWhenUsed/>
    <w:rsid w:val="003E6989"/>
    <w:pPr>
      <w:spacing w:line="240" w:lineRule="auto"/>
    </w:pPr>
    <w:rPr>
      <w:rFonts w:eastAsiaTheme="minorHAnsi"/>
      <w:sz w:val="22"/>
      <w:szCs w:val="22"/>
    </w:rPr>
  </w:style>
  <w:style w:type="character" w:customStyle="1" w:styleId="PlainTextChar">
    <w:name w:val="Plain Text Char"/>
    <w:basedOn w:val="DefaultParagraphFont"/>
    <w:link w:val="PlainText"/>
    <w:uiPriority w:val="99"/>
    <w:semiHidden/>
    <w:rsid w:val="003E6989"/>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89"/>
    <w:pPr>
      <w:spacing w:line="260" w:lineRule="atLeast"/>
    </w:pPr>
    <w:rPr>
      <w:rFonts w:ascii="Calibri" w:hAnsi="Calibri"/>
      <w:sz w:val="18"/>
    </w:rPr>
  </w:style>
  <w:style w:type="paragraph" w:styleId="Heading1">
    <w:name w:val="heading 1"/>
    <w:aliases w:val="Heading 1 do not use,Section heading 1,Front Page Title,1.,Para 1,Para 11"/>
    <w:basedOn w:val="HeadingBase"/>
    <w:next w:val="Normal"/>
    <w:link w:val="Heading1Char"/>
    <w:qFormat/>
    <w:rsid w:val="00064A80"/>
    <w:pPr>
      <w:spacing w:after="240"/>
      <w:jc w:val="center"/>
      <w:outlineLvl w:val="0"/>
    </w:pPr>
    <w:rPr>
      <w:b/>
      <w:smallCaps/>
      <w:kern w:val="28"/>
      <w:sz w:val="34"/>
    </w:rPr>
  </w:style>
  <w:style w:type="paragraph" w:styleId="Heading2">
    <w:name w:val="heading 2"/>
    <w:aliases w:val="Heading 2 do not use,Front Page List of Sections"/>
    <w:basedOn w:val="HeadingBase"/>
    <w:next w:val="Normal"/>
    <w:link w:val="Heading2Char"/>
    <w:qFormat/>
    <w:rsid w:val="00064A80"/>
    <w:pPr>
      <w:spacing w:before="360" w:after="360"/>
      <w:outlineLvl w:val="1"/>
    </w:pPr>
    <w:rPr>
      <w:sz w:val="30"/>
    </w:rPr>
  </w:style>
  <w:style w:type="paragraph" w:styleId="Heading3">
    <w:name w:val="heading 3"/>
    <w:aliases w:val="Heading 3 do not use"/>
    <w:basedOn w:val="HeadingBase"/>
    <w:next w:val="Normal"/>
    <w:link w:val="Heading3Char"/>
    <w:qFormat/>
    <w:rsid w:val="00064A80"/>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064A80"/>
    <w:pPr>
      <w:tabs>
        <w:tab w:val="left" w:pos="709"/>
      </w:tabs>
      <w:spacing w:before="120" w:after="120"/>
      <w:outlineLvl w:val="3"/>
    </w:pPr>
    <w:rPr>
      <w:b/>
      <w:sz w:val="22"/>
    </w:rPr>
  </w:style>
  <w:style w:type="paragraph" w:styleId="Heading5">
    <w:name w:val="heading 5"/>
    <w:basedOn w:val="HeadingBase"/>
    <w:next w:val="Normal"/>
    <w:link w:val="Heading5Char"/>
    <w:qFormat/>
    <w:rsid w:val="00064A80"/>
    <w:pPr>
      <w:spacing w:after="120"/>
      <w:outlineLvl w:val="4"/>
    </w:pPr>
    <w:rPr>
      <w:b/>
      <w:bCs/>
      <w:iCs/>
      <w:sz w:val="20"/>
      <w:szCs w:val="26"/>
    </w:rPr>
  </w:style>
  <w:style w:type="paragraph" w:styleId="Heading6">
    <w:name w:val="heading 6"/>
    <w:basedOn w:val="HeadingBase"/>
    <w:next w:val="Normal"/>
    <w:link w:val="Heading6Char"/>
    <w:qFormat/>
    <w:rsid w:val="00064A80"/>
    <w:pPr>
      <w:spacing w:after="120"/>
      <w:outlineLvl w:val="5"/>
    </w:pPr>
    <w:rPr>
      <w:bCs/>
      <w:sz w:val="20"/>
      <w:szCs w:val="22"/>
    </w:rPr>
  </w:style>
  <w:style w:type="paragraph" w:styleId="Heading7">
    <w:name w:val="heading 7"/>
    <w:aliases w:val="Section Sub-Heading 4"/>
    <w:basedOn w:val="HeadingBase"/>
    <w:next w:val="Normal"/>
    <w:link w:val="Heading7Char"/>
    <w:qFormat/>
    <w:rsid w:val="00064A80"/>
    <w:pPr>
      <w:spacing w:after="100"/>
      <w:outlineLvl w:val="6"/>
    </w:pPr>
    <w:rPr>
      <w:sz w:val="18"/>
      <w:szCs w:val="24"/>
    </w:rPr>
  </w:style>
  <w:style w:type="paragraph" w:styleId="Heading8">
    <w:name w:val="heading 8"/>
    <w:basedOn w:val="HeadingBase"/>
    <w:next w:val="Normal"/>
    <w:link w:val="Heading8Char"/>
    <w:qFormat/>
    <w:rsid w:val="00064A8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qFormat/>
    <w:rsid w:val="003E69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064A80"/>
    <w:rPr>
      <w:rFonts w:ascii="Swiss 721 BT" w:hAnsi="Swiss 721 BT" w:cs="Swiss 721 BT" w:hint="default"/>
      <w:color w:val="000000"/>
      <w:sz w:val="20"/>
      <w:szCs w:val="20"/>
    </w:rPr>
  </w:style>
  <w:style w:type="paragraph" w:customStyle="1" w:styleId="AlphaParagraph">
    <w:name w:val="Alpha Paragraph"/>
    <w:basedOn w:val="Normal"/>
    <w:rsid w:val="00064A80"/>
    <w:pPr>
      <w:numPr>
        <w:numId w:val="1"/>
      </w:numPr>
    </w:pPr>
  </w:style>
  <w:style w:type="paragraph" w:customStyle="1" w:styleId="HeadingBase">
    <w:name w:val="Heading Base"/>
    <w:link w:val="HeadingBaseChar"/>
    <w:rsid w:val="00064A80"/>
    <w:pPr>
      <w:keepNext/>
    </w:pPr>
    <w:rPr>
      <w:rFonts w:ascii="Arial" w:hAnsi="Arial"/>
      <w:sz w:val="24"/>
      <w:lang w:eastAsia="en-AU"/>
    </w:rPr>
  </w:style>
  <w:style w:type="character" w:customStyle="1" w:styleId="HeadingBaseChar">
    <w:name w:val="Heading Base Char"/>
    <w:link w:val="HeadingBase"/>
    <w:rsid w:val="00064A80"/>
    <w:rPr>
      <w:rFonts w:ascii="Arial" w:hAnsi="Arial" w:cs="Times New Roman"/>
      <w:sz w:val="24"/>
      <w:szCs w:val="20"/>
      <w:lang w:eastAsia="en-AU"/>
    </w:rPr>
  </w:style>
  <w:style w:type="paragraph" w:customStyle="1" w:styleId="AppendixHeading">
    <w:name w:val="Appendix Heading"/>
    <w:basedOn w:val="HeadingBase"/>
    <w:semiHidden/>
    <w:rsid w:val="00064A80"/>
    <w:pPr>
      <w:spacing w:after="240"/>
      <w:jc w:val="center"/>
      <w:outlineLvl w:val="3"/>
    </w:pPr>
    <w:rPr>
      <w:b/>
      <w:smallCaps/>
      <w:sz w:val="30"/>
    </w:rPr>
  </w:style>
  <w:style w:type="paragraph" w:styleId="BalloonText">
    <w:name w:val="Balloon Text"/>
    <w:basedOn w:val="Normal"/>
    <w:link w:val="BalloonTextChar"/>
    <w:semiHidden/>
    <w:rsid w:val="00064A80"/>
    <w:rPr>
      <w:rFonts w:ascii="Tahoma" w:hAnsi="Tahoma" w:cs="Tahoma"/>
      <w:sz w:val="16"/>
      <w:szCs w:val="16"/>
    </w:rPr>
  </w:style>
  <w:style w:type="character" w:customStyle="1" w:styleId="BalloonTextChar">
    <w:name w:val="Balloon Text Char"/>
    <w:basedOn w:val="DefaultParagraphFont"/>
    <w:link w:val="BalloonText"/>
    <w:rsid w:val="00064A80"/>
    <w:rPr>
      <w:rFonts w:ascii="Tahoma" w:hAnsi="Tahoma" w:cs="Tahoma"/>
      <w:sz w:val="16"/>
      <w:szCs w:val="16"/>
      <w:lang w:eastAsia="en-AU"/>
    </w:rPr>
  </w:style>
  <w:style w:type="paragraph" w:customStyle="1" w:styleId="BlockedQuotation">
    <w:name w:val="Blocked Quotation"/>
    <w:basedOn w:val="Normal"/>
    <w:semiHidden/>
    <w:rsid w:val="00064A80"/>
    <w:pPr>
      <w:ind w:left="567"/>
    </w:pPr>
  </w:style>
  <w:style w:type="paragraph" w:customStyle="1" w:styleId="BoxTextBase">
    <w:name w:val="Box Text Base"/>
    <w:basedOn w:val="Normal"/>
    <w:rsid w:val="00064A80"/>
    <w:pPr>
      <w:spacing w:after="120"/>
    </w:pPr>
    <w:rPr>
      <w:color w:val="000000"/>
    </w:rPr>
  </w:style>
  <w:style w:type="paragraph" w:customStyle="1" w:styleId="BoxText">
    <w:name w:val="Box Text"/>
    <w:basedOn w:val="BoxTextBase"/>
    <w:rsid w:val="00064A80"/>
  </w:style>
  <w:style w:type="paragraph" w:customStyle="1" w:styleId="BoxBullet">
    <w:name w:val="Box Bullet"/>
    <w:basedOn w:val="BoxText"/>
    <w:rsid w:val="00064A80"/>
    <w:pPr>
      <w:numPr>
        <w:numId w:val="2"/>
      </w:numPr>
    </w:pPr>
  </w:style>
  <w:style w:type="paragraph" w:customStyle="1" w:styleId="BoxDash">
    <w:name w:val="Box Dash"/>
    <w:basedOn w:val="Normal"/>
    <w:rsid w:val="00064A80"/>
    <w:pPr>
      <w:numPr>
        <w:ilvl w:val="1"/>
        <w:numId w:val="2"/>
      </w:numPr>
    </w:pPr>
    <w:rPr>
      <w:color w:val="000000"/>
    </w:rPr>
  </w:style>
  <w:style w:type="paragraph" w:customStyle="1" w:styleId="BoxDoubleDot">
    <w:name w:val="Box Double Dot"/>
    <w:basedOn w:val="BoxTextBase"/>
    <w:rsid w:val="00064A80"/>
    <w:pPr>
      <w:numPr>
        <w:ilvl w:val="2"/>
        <w:numId w:val="2"/>
      </w:numPr>
    </w:pPr>
  </w:style>
  <w:style w:type="paragraph" w:customStyle="1" w:styleId="BoxHeading">
    <w:name w:val="Box Heading"/>
    <w:basedOn w:val="HeadingBase"/>
    <w:next w:val="BoxText"/>
    <w:rsid w:val="00064A80"/>
    <w:pPr>
      <w:spacing w:before="120" w:after="120"/>
    </w:pPr>
    <w:rPr>
      <w:b/>
      <w:sz w:val="20"/>
    </w:rPr>
  </w:style>
  <w:style w:type="paragraph" w:customStyle="1" w:styleId="BoxHeadinglevel2">
    <w:name w:val="Box Heading level 2"/>
    <w:basedOn w:val="BoxHeading"/>
    <w:rsid w:val="00064A80"/>
    <w:pPr>
      <w:spacing w:before="0"/>
    </w:pPr>
    <w:rPr>
      <w:sz w:val="18"/>
    </w:rPr>
  </w:style>
  <w:style w:type="paragraph" w:customStyle="1" w:styleId="Bullet">
    <w:name w:val="Bullet"/>
    <w:basedOn w:val="Normal"/>
    <w:link w:val="BulletChar"/>
    <w:rsid w:val="00064A80"/>
    <w:pPr>
      <w:numPr>
        <w:numId w:val="5"/>
      </w:numPr>
    </w:pPr>
  </w:style>
  <w:style w:type="character" w:customStyle="1" w:styleId="BulletChar">
    <w:name w:val="Bullet Char"/>
    <w:link w:val="Bullet"/>
    <w:rsid w:val="00064A80"/>
    <w:rPr>
      <w:rFonts w:ascii="Book Antiqua" w:hAnsi="Book Antiqua" w:cs="Times New Roman"/>
      <w:sz w:val="20"/>
      <w:szCs w:val="20"/>
      <w:lang w:eastAsia="en-AU"/>
    </w:rPr>
  </w:style>
  <w:style w:type="paragraph" w:styleId="Caption">
    <w:name w:val="caption"/>
    <w:basedOn w:val="Normal"/>
    <w:next w:val="Normal"/>
    <w:qFormat/>
    <w:rsid w:val="00064A80"/>
    <w:rPr>
      <w:b/>
      <w:bCs/>
    </w:rPr>
  </w:style>
  <w:style w:type="paragraph" w:customStyle="1" w:styleId="ChartandTableFootnote">
    <w:name w:val="Chart and Table Footnote"/>
    <w:basedOn w:val="HeadingBase"/>
    <w:next w:val="Normal"/>
    <w:link w:val="ChartandTableFootnoteChar"/>
    <w:rsid w:val="00064A80"/>
    <w:pPr>
      <w:tabs>
        <w:tab w:val="left" w:pos="284"/>
      </w:tabs>
      <w:ind w:left="284" w:hanging="284"/>
      <w:jc w:val="both"/>
    </w:pPr>
    <w:rPr>
      <w:sz w:val="16"/>
    </w:rPr>
  </w:style>
  <w:style w:type="character" w:customStyle="1" w:styleId="ChartandTableFootnoteChar">
    <w:name w:val="Chart and Table Footnote Char"/>
    <w:link w:val="ChartandTableFootnote"/>
    <w:rsid w:val="00064A80"/>
    <w:rPr>
      <w:rFonts w:ascii="Arial" w:hAnsi="Arial" w:cs="Times New Roman"/>
      <w:sz w:val="16"/>
      <w:szCs w:val="20"/>
      <w:lang w:eastAsia="en-AU"/>
    </w:rPr>
  </w:style>
  <w:style w:type="paragraph" w:customStyle="1" w:styleId="ChartandTableFootnoteAlpha">
    <w:name w:val="Chart and Table Footnote Alpha"/>
    <w:basedOn w:val="HeadingBase"/>
    <w:next w:val="Normal"/>
    <w:rsid w:val="00064A80"/>
    <w:pPr>
      <w:numPr>
        <w:numId w:val="3"/>
      </w:numPr>
      <w:jc w:val="both"/>
    </w:pPr>
    <w:rPr>
      <w:sz w:val="16"/>
    </w:rPr>
  </w:style>
  <w:style w:type="paragraph" w:customStyle="1" w:styleId="ChartandTableFootnoteAlphaSmall">
    <w:name w:val="Chart and Table Footnote Alpha Small"/>
    <w:basedOn w:val="HeadingBase"/>
    <w:next w:val="Normal"/>
    <w:rsid w:val="00064A80"/>
    <w:pPr>
      <w:numPr>
        <w:numId w:val="4"/>
      </w:numPr>
      <w:jc w:val="both"/>
    </w:pPr>
    <w:rPr>
      <w:sz w:val="15"/>
    </w:rPr>
  </w:style>
  <w:style w:type="paragraph" w:customStyle="1" w:styleId="ChartandTableFootnoteSmall">
    <w:name w:val="Chart and Table Footnote Small"/>
    <w:basedOn w:val="HeadingBase"/>
    <w:next w:val="Normal"/>
    <w:rsid w:val="00064A80"/>
    <w:pPr>
      <w:tabs>
        <w:tab w:val="left" w:pos="284"/>
      </w:tabs>
      <w:jc w:val="both"/>
    </w:pPr>
    <w:rPr>
      <w:sz w:val="15"/>
    </w:rPr>
  </w:style>
  <w:style w:type="paragraph" w:customStyle="1" w:styleId="ChartGraphic">
    <w:name w:val="Chart Graphic"/>
    <w:basedOn w:val="HeadingBase"/>
    <w:rsid w:val="00064A80"/>
    <w:pPr>
      <w:jc w:val="center"/>
    </w:pPr>
    <w:rPr>
      <w:sz w:val="20"/>
    </w:rPr>
  </w:style>
  <w:style w:type="paragraph" w:customStyle="1" w:styleId="ChartMainHeading">
    <w:name w:val="Chart Main Heading"/>
    <w:basedOn w:val="Normal"/>
    <w:next w:val="ChartGraphic"/>
    <w:rsid w:val="00064A80"/>
    <w:pPr>
      <w:keepNext/>
      <w:spacing w:before="120" w:after="20"/>
      <w:jc w:val="center"/>
    </w:pPr>
    <w:rPr>
      <w:rFonts w:ascii="Arial" w:hAnsi="Arial"/>
      <w:b/>
    </w:rPr>
  </w:style>
  <w:style w:type="paragraph" w:customStyle="1" w:styleId="ChartSecondHeading">
    <w:name w:val="Chart Second Heading"/>
    <w:basedOn w:val="HeadingBase"/>
    <w:next w:val="ChartGraphic"/>
    <w:rsid w:val="00064A80"/>
    <w:pPr>
      <w:spacing w:before="60"/>
      <w:jc w:val="center"/>
    </w:pPr>
    <w:rPr>
      <w:sz w:val="20"/>
    </w:rPr>
  </w:style>
  <w:style w:type="paragraph" w:customStyle="1" w:styleId="Classification">
    <w:name w:val="Classification"/>
    <w:basedOn w:val="HeadingBase"/>
    <w:rsid w:val="00064A80"/>
    <w:pPr>
      <w:jc w:val="center"/>
    </w:pPr>
    <w:rPr>
      <w:b/>
      <w:smallCaps/>
    </w:rPr>
  </w:style>
  <w:style w:type="character" w:styleId="CommentReference">
    <w:name w:val="annotation reference"/>
    <w:uiPriority w:val="99"/>
    <w:semiHidden/>
    <w:rsid w:val="00064A80"/>
    <w:rPr>
      <w:sz w:val="16"/>
      <w:szCs w:val="16"/>
    </w:rPr>
  </w:style>
  <w:style w:type="paragraph" w:styleId="CommentText">
    <w:name w:val="annotation text"/>
    <w:basedOn w:val="Normal"/>
    <w:link w:val="CommentTextChar"/>
    <w:uiPriority w:val="99"/>
    <w:semiHidden/>
    <w:rsid w:val="00064A80"/>
    <w:rPr>
      <w:lang w:val="x-none" w:eastAsia="x-none"/>
    </w:rPr>
  </w:style>
  <w:style w:type="character" w:customStyle="1" w:styleId="CommentTextChar">
    <w:name w:val="Comment Text Char"/>
    <w:link w:val="CommentText"/>
    <w:uiPriority w:val="99"/>
    <w:rsid w:val="00064A80"/>
    <w:rPr>
      <w:rFonts w:ascii="Book Antiqua"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064A80"/>
    <w:rPr>
      <w:b/>
      <w:bCs/>
    </w:rPr>
  </w:style>
  <w:style w:type="character" w:customStyle="1" w:styleId="CommentSubjectChar">
    <w:name w:val="Comment Subject Char"/>
    <w:basedOn w:val="CommentTextChar"/>
    <w:link w:val="CommentSubject"/>
    <w:rsid w:val="00064A80"/>
    <w:rPr>
      <w:rFonts w:ascii="Book Antiqua" w:hAnsi="Book Antiqua" w:cs="Times New Roman"/>
      <w:b/>
      <w:bCs/>
      <w:sz w:val="20"/>
      <w:szCs w:val="20"/>
      <w:lang w:val="x-none" w:eastAsia="x-none"/>
    </w:rPr>
  </w:style>
  <w:style w:type="paragraph" w:customStyle="1" w:styleId="ContentsHeading">
    <w:name w:val="Contents Heading"/>
    <w:basedOn w:val="HeadingBase"/>
    <w:next w:val="Normal"/>
    <w:rsid w:val="00064A80"/>
    <w:pPr>
      <w:spacing w:after="360"/>
      <w:jc w:val="center"/>
    </w:pPr>
    <w:rPr>
      <w:b/>
      <w:smallCaps/>
      <w:sz w:val="34"/>
    </w:rPr>
  </w:style>
  <w:style w:type="paragraph" w:customStyle="1" w:styleId="Crest">
    <w:name w:val="Crest"/>
    <w:basedOn w:val="Normal"/>
    <w:next w:val="Normal"/>
    <w:rsid w:val="00064A80"/>
    <w:pPr>
      <w:jc w:val="center"/>
    </w:pPr>
  </w:style>
  <w:style w:type="paragraph" w:customStyle="1" w:styleId="Dash">
    <w:name w:val="Dash"/>
    <w:basedOn w:val="Normal"/>
    <w:rsid w:val="00064A80"/>
    <w:pPr>
      <w:numPr>
        <w:ilvl w:val="1"/>
        <w:numId w:val="5"/>
      </w:numPr>
    </w:pPr>
  </w:style>
  <w:style w:type="paragraph" w:customStyle="1" w:styleId="Department">
    <w:name w:val="Department"/>
    <w:basedOn w:val="Normal"/>
    <w:rsid w:val="00064A80"/>
    <w:pPr>
      <w:jc w:val="center"/>
    </w:pPr>
    <w:rPr>
      <w:rFonts w:ascii="Arial" w:hAnsi="Arial"/>
      <w:b/>
      <w:sz w:val="52"/>
    </w:rPr>
  </w:style>
  <w:style w:type="paragraph" w:customStyle="1" w:styleId="DepartmentSubtitle">
    <w:name w:val="Department Subtitle"/>
    <w:basedOn w:val="Department"/>
    <w:rsid w:val="00064A80"/>
    <w:rPr>
      <w:sz w:val="44"/>
    </w:rPr>
  </w:style>
  <w:style w:type="paragraph" w:styleId="DocumentMap">
    <w:name w:val="Document Map"/>
    <w:basedOn w:val="Normal"/>
    <w:link w:val="DocumentMapChar"/>
    <w:semiHidden/>
    <w:rsid w:val="00064A80"/>
    <w:pPr>
      <w:shd w:val="clear" w:color="auto" w:fill="000080"/>
    </w:pPr>
    <w:rPr>
      <w:rFonts w:ascii="Tahoma" w:hAnsi="Tahoma" w:cs="Tahoma"/>
    </w:rPr>
  </w:style>
  <w:style w:type="character" w:customStyle="1" w:styleId="DocumentMapChar">
    <w:name w:val="Document Map Char"/>
    <w:basedOn w:val="DefaultParagraphFont"/>
    <w:link w:val="DocumentMap"/>
    <w:rsid w:val="00064A80"/>
    <w:rPr>
      <w:rFonts w:ascii="Tahoma" w:hAnsi="Tahoma" w:cs="Tahoma"/>
      <w:sz w:val="20"/>
      <w:szCs w:val="20"/>
      <w:shd w:val="clear" w:color="auto" w:fill="000080"/>
      <w:lang w:eastAsia="en-AU"/>
    </w:rPr>
  </w:style>
  <w:style w:type="paragraph" w:customStyle="1" w:styleId="DoubleDot">
    <w:name w:val="Double Dot"/>
    <w:basedOn w:val="Normal"/>
    <w:rsid w:val="00064A80"/>
    <w:pPr>
      <w:numPr>
        <w:ilvl w:val="2"/>
        <w:numId w:val="5"/>
      </w:numPr>
    </w:pPr>
  </w:style>
  <w:style w:type="character" w:styleId="EndnoteReference">
    <w:name w:val="endnote reference"/>
    <w:rsid w:val="00064A80"/>
    <w:rPr>
      <w:vertAlign w:val="superscript"/>
    </w:rPr>
  </w:style>
  <w:style w:type="paragraph" w:styleId="EndnoteText">
    <w:name w:val="endnote text"/>
    <w:basedOn w:val="Normal"/>
    <w:link w:val="EndnoteTextChar"/>
    <w:rsid w:val="00064A80"/>
  </w:style>
  <w:style w:type="character" w:customStyle="1" w:styleId="EndnoteTextChar">
    <w:name w:val="Endnote Text Char"/>
    <w:basedOn w:val="DefaultParagraphFont"/>
    <w:link w:val="EndnoteText"/>
    <w:rsid w:val="00064A80"/>
    <w:rPr>
      <w:rFonts w:ascii="Book Antiqua" w:hAnsi="Book Antiqua" w:cs="Times New Roman"/>
      <w:sz w:val="20"/>
      <w:szCs w:val="20"/>
      <w:lang w:eastAsia="en-AU"/>
    </w:rPr>
  </w:style>
  <w:style w:type="paragraph" w:customStyle="1" w:styleId="Exampletext">
    <w:name w:val="Example text"/>
    <w:basedOn w:val="Normal"/>
    <w:link w:val="ExampletextCharChar"/>
    <w:rsid w:val="00064A80"/>
    <w:rPr>
      <w:i/>
      <w:color w:val="FF0000"/>
    </w:rPr>
  </w:style>
  <w:style w:type="character" w:customStyle="1" w:styleId="ExampletextCharChar">
    <w:name w:val="Example text Char Char"/>
    <w:link w:val="Exampletext"/>
    <w:rsid w:val="00064A80"/>
    <w:rPr>
      <w:rFonts w:ascii="Book Antiqua" w:hAnsi="Book Antiqua" w:cs="Times New Roman"/>
      <w:i/>
      <w:color w:val="FF0000"/>
      <w:sz w:val="20"/>
      <w:szCs w:val="20"/>
      <w:lang w:eastAsia="en-AU"/>
    </w:rPr>
  </w:style>
  <w:style w:type="paragraph" w:customStyle="1" w:styleId="ExampleText0">
    <w:name w:val="Example Text"/>
    <w:basedOn w:val="Normal"/>
    <w:rsid w:val="00064A80"/>
    <w:rPr>
      <w:i/>
      <w:color w:val="FF0000"/>
    </w:rPr>
  </w:style>
  <w:style w:type="paragraph" w:customStyle="1" w:styleId="Exampletextbullet">
    <w:name w:val="Example text bullet"/>
    <w:basedOn w:val="Exampletext"/>
    <w:rsid w:val="00064A80"/>
    <w:pPr>
      <w:numPr>
        <w:numId w:val="6"/>
      </w:numPr>
    </w:pPr>
  </w:style>
  <w:style w:type="paragraph" w:customStyle="1" w:styleId="Exampletextdash">
    <w:name w:val="Example text dash"/>
    <w:basedOn w:val="Exampletextbullet"/>
    <w:rsid w:val="00064A80"/>
    <w:pPr>
      <w:numPr>
        <w:ilvl w:val="1"/>
      </w:numPr>
    </w:pPr>
  </w:style>
  <w:style w:type="paragraph" w:customStyle="1" w:styleId="FigureHeading">
    <w:name w:val="Figure Heading"/>
    <w:basedOn w:val="HeadingBase"/>
    <w:next w:val="ChartGraphic"/>
    <w:rsid w:val="00064A80"/>
    <w:pPr>
      <w:spacing w:after="120"/>
      <w:jc w:val="center"/>
    </w:pPr>
    <w:rPr>
      <w:b/>
      <w:sz w:val="20"/>
    </w:rPr>
  </w:style>
  <w:style w:type="paragraph" w:customStyle="1" w:styleId="FileProperties">
    <w:name w:val="File Properties"/>
    <w:basedOn w:val="Normal"/>
    <w:semiHidden/>
    <w:rsid w:val="00064A80"/>
    <w:rPr>
      <w:i/>
    </w:rPr>
  </w:style>
  <w:style w:type="character" w:styleId="FollowedHyperlink">
    <w:name w:val="FollowedHyperlink"/>
    <w:uiPriority w:val="99"/>
    <w:rsid w:val="00064A80"/>
    <w:rPr>
      <w:color w:val="800080"/>
      <w:u w:val="single"/>
    </w:rPr>
  </w:style>
  <w:style w:type="paragraph" w:customStyle="1" w:styleId="FooterBase">
    <w:name w:val="Footer Base"/>
    <w:rsid w:val="00064A80"/>
    <w:pPr>
      <w:jc w:val="center"/>
    </w:pPr>
    <w:rPr>
      <w:rFonts w:ascii="Arial" w:hAnsi="Arial"/>
      <w:lang w:eastAsia="en-AU"/>
    </w:rPr>
  </w:style>
  <w:style w:type="paragraph" w:styleId="Footer">
    <w:name w:val="footer"/>
    <w:basedOn w:val="FooterBase"/>
    <w:link w:val="FooterChar"/>
    <w:uiPriority w:val="99"/>
    <w:rsid w:val="00064A80"/>
    <w:pPr>
      <w:tabs>
        <w:tab w:val="center" w:pos="4153"/>
        <w:tab w:val="right" w:pos="8306"/>
      </w:tabs>
    </w:pPr>
  </w:style>
  <w:style w:type="character" w:customStyle="1" w:styleId="FooterChar">
    <w:name w:val="Footer Char"/>
    <w:basedOn w:val="DefaultParagraphFont"/>
    <w:link w:val="Footer"/>
    <w:uiPriority w:val="99"/>
    <w:rsid w:val="00064A80"/>
    <w:rPr>
      <w:rFonts w:ascii="Arial" w:hAnsi="Arial" w:cs="Times New Roman"/>
      <w:sz w:val="20"/>
      <w:szCs w:val="20"/>
      <w:lang w:eastAsia="en-AU"/>
    </w:rPr>
  </w:style>
  <w:style w:type="character" w:styleId="FootnoteReference">
    <w:name w:val="footnote reference"/>
    <w:uiPriority w:val="99"/>
    <w:rsid w:val="00064A80"/>
    <w:rPr>
      <w:vertAlign w:val="superscript"/>
    </w:rPr>
  </w:style>
  <w:style w:type="paragraph" w:styleId="FootnoteText">
    <w:name w:val="footnote text"/>
    <w:basedOn w:val="Normal"/>
    <w:link w:val="FootnoteTextChar"/>
    <w:rsid w:val="00064A80"/>
    <w:pPr>
      <w:tabs>
        <w:tab w:val="left" w:pos="284"/>
      </w:tabs>
      <w:ind w:left="284" w:hanging="284"/>
    </w:pPr>
  </w:style>
  <w:style w:type="character" w:customStyle="1" w:styleId="FootnoteTextChar">
    <w:name w:val="Footnote Text Char"/>
    <w:basedOn w:val="DefaultParagraphFont"/>
    <w:link w:val="FootnoteText"/>
    <w:rsid w:val="00064A80"/>
    <w:rPr>
      <w:rFonts w:ascii="Book Antiqua" w:hAnsi="Book Antiqua" w:cs="Times New Roman"/>
      <w:sz w:val="18"/>
      <w:szCs w:val="20"/>
      <w:lang w:eastAsia="en-AU"/>
    </w:rPr>
  </w:style>
  <w:style w:type="character" w:customStyle="1" w:styleId="FramedHeader">
    <w:name w:val="Framed Header"/>
    <w:rsid w:val="00064A80"/>
    <w:rPr>
      <w:rFonts w:ascii="Book Antiqua" w:hAnsi="Book Antiqua"/>
      <w:i/>
      <w:dstrike w:val="0"/>
      <w:color w:val="auto"/>
      <w:sz w:val="18"/>
      <w:vertAlign w:val="baseline"/>
    </w:rPr>
  </w:style>
  <w:style w:type="paragraph" w:customStyle="1" w:styleId="HeaderBase">
    <w:name w:val="Header Base"/>
    <w:rsid w:val="00064A80"/>
    <w:rPr>
      <w:rFonts w:ascii="Book Antiqua" w:hAnsi="Book Antiqua"/>
      <w:i/>
      <w:lang w:eastAsia="en-AU"/>
    </w:rPr>
  </w:style>
  <w:style w:type="paragraph" w:styleId="Header">
    <w:name w:val="header"/>
    <w:basedOn w:val="HeaderBase"/>
    <w:link w:val="HeaderChar"/>
    <w:uiPriority w:val="99"/>
    <w:rsid w:val="00064A80"/>
    <w:pPr>
      <w:tabs>
        <w:tab w:val="center" w:pos="4153"/>
        <w:tab w:val="right" w:pos="8306"/>
      </w:tabs>
    </w:pPr>
    <w:rPr>
      <w:lang w:val="x-none" w:eastAsia="x-none"/>
    </w:rPr>
  </w:style>
  <w:style w:type="character" w:customStyle="1" w:styleId="HeaderChar">
    <w:name w:val="Header Char"/>
    <w:link w:val="Header"/>
    <w:uiPriority w:val="99"/>
    <w:rsid w:val="00064A80"/>
    <w:rPr>
      <w:rFonts w:ascii="Book Antiqua" w:hAnsi="Book Antiqua" w:cs="Times New Roman"/>
      <w:i/>
      <w:sz w:val="20"/>
      <w:szCs w:val="20"/>
      <w:lang w:val="x-none" w:eastAsia="x-none"/>
    </w:rPr>
  </w:style>
  <w:style w:type="paragraph" w:customStyle="1" w:styleId="HeaderEven">
    <w:name w:val="Header Even"/>
    <w:basedOn w:val="HeaderBase"/>
    <w:rsid w:val="00064A80"/>
  </w:style>
  <w:style w:type="paragraph" w:customStyle="1" w:styleId="HeaderOdd">
    <w:name w:val="Header Odd"/>
    <w:basedOn w:val="HeaderBase"/>
    <w:rsid w:val="00064A80"/>
    <w:pPr>
      <w:jc w:val="right"/>
    </w:pPr>
  </w:style>
  <w:style w:type="character" w:customStyle="1" w:styleId="Heading1Char">
    <w:name w:val="Heading 1 Char"/>
    <w:aliases w:val="Heading 1 do not use Char,Section heading 1 Char,Front Page Title Char,1. Char,Para 1 Char,Para 11 Char"/>
    <w:basedOn w:val="DefaultParagraphFont"/>
    <w:link w:val="Heading1"/>
    <w:rsid w:val="00F25D1B"/>
    <w:rPr>
      <w:rFonts w:ascii="Arial" w:hAnsi="Arial" w:cs="Times New Roman"/>
      <w:b/>
      <w:smallCaps/>
      <w:kern w:val="28"/>
      <w:sz w:val="34"/>
      <w:szCs w:val="20"/>
      <w:lang w:eastAsia="en-AU"/>
    </w:rPr>
  </w:style>
  <w:style w:type="paragraph" w:customStyle="1" w:styleId="Heading1noTOC">
    <w:name w:val="Heading 1 no TOC"/>
    <w:basedOn w:val="Heading1"/>
    <w:rsid w:val="00064A80"/>
  </w:style>
  <w:style w:type="character" w:customStyle="1" w:styleId="Heading2Char">
    <w:name w:val="Heading 2 Char"/>
    <w:aliases w:val="Heading 2 do not use Char,Front Page List of Sections Char"/>
    <w:basedOn w:val="DefaultParagraphFont"/>
    <w:link w:val="Heading2"/>
    <w:rsid w:val="00F25D1B"/>
    <w:rPr>
      <w:rFonts w:ascii="Arial" w:hAnsi="Arial" w:cs="Times New Roman"/>
      <w:sz w:val="30"/>
      <w:szCs w:val="20"/>
      <w:lang w:eastAsia="en-AU"/>
    </w:rPr>
  </w:style>
  <w:style w:type="character" w:customStyle="1" w:styleId="Heading3Char">
    <w:name w:val="Heading 3 Char"/>
    <w:aliases w:val="Heading 3 do not use Char"/>
    <w:link w:val="Heading3"/>
    <w:rsid w:val="00064A80"/>
    <w:rPr>
      <w:rFonts w:ascii="Arial" w:hAnsi="Arial" w:cs="Times New Roman"/>
      <w:b/>
      <w:smallCaps/>
      <w:sz w:val="26"/>
      <w:szCs w:val="20"/>
      <w:lang w:eastAsia="en-AU"/>
    </w:rPr>
  </w:style>
  <w:style w:type="character" w:customStyle="1" w:styleId="Heading4Char">
    <w:name w:val="Heading 4 Char"/>
    <w:basedOn w:val="DefaultParagraphFont"/>
    <w:link w:val="Heading4"/>
    <w:rsid w:val="00F25D1B"/>
    <w:rPr>
      <w:rFonts w:ascii="Arial" w:hAnsi="Arial" w:cs="Times New Roman"/>
      <w:b/>
      <w:szCs w:val="20"/>
      <w:lang w:eastAsia="en-AU"/>
    </w:rPr>
  </w:style>
  <w:style w:type="character" w:customStyle="1" w:styleId="Heading5Char">
    <w:name w:val="Heading 5 Char"/>
    <w:basedOn w:val="DefaultParagraphFont"/>
    <w:link w:val="Heading5"/>
    <w:rsid w:val="00F25D1B"/>
    <w:rPr>
      <w:rFonts w:ascii="Arial" w:hAnsi="Arial" w:cs="Times New Roman"/>
      <w:b/>
      <w:bCs/>
      <w:iCs/>
      <w:sz w:val="20"/>
      <w:szCs w:val="26"/>
      <w:lang w:eastAsia="en-AU"/>
    </w:rPr>
  </w:style>
  <w:style w:type="character" w:customStyle="1" w:styleId="Heading6Char">
    <w:name w:val="Heading 6 Char"/>
    <w:basedOn w:val="DefaultParagraphFont"/>
    <w:link w:val="Heading6"/>
    <w:rsid w:val="00F25D1B"/>
    <w:rPr>
      <w:rFonts w:ascii="Arial" w:hAnsi="Arial" w:cs="Times New Roman"/>
      <w:bCs/>
      <w:sz w:val="20"/>
      <w:lang w:eastAsia="en-AU"/>
    </w:rPr>
  </w:style>
  <w:style w:type="character" w:customStyle="1" w:styleId="Heading7Char">
    <w:name w:val="Heading 7 Char"/>
    <w:aliases w:val="Section Sub-Heading 4 Char"/>
    <w:basedOn w:val="DefaultParagraphFont"/>
    <w:link w:val="Heading7"/>
    <w:rsid w:val="00F25D1B"/>
    <w:rPr>
      <w:rFonts w:ascii="Arial" w:hAnsi="Arial" w:cs="Times New Roman"/>
      <w:sz w:val="18"/>
      <w:szCs w:val="24"/>
      <w:lang w:eastAsia="en-AU"/>
    </w:rPr>
  </w:style>
  <w:style w:type="character" w:customStyle="1" w:styleId="Heading8Char">
    <w:name w:val="Heading 8 Char"/>
    <w:basedOn w:val="DefaultParagraphFont"/>
    <w:link w:val="Heading8"/>
    <w:rsid w:val="00F25D1B"/>
    <w:rPr>
      <w:rFonts w:ascii="Times New Roman" w:hAnsi="Times New Roman" w:cs="Times New Roman"/>
      <w:i/>
      <w:iCs/>
      <w:sz w:val="16"/>
      <w:szCs w:val="24"/>
      <w:lang w:eastAsia="en-AU"/>
    </w:rPr>
  </w:style>
  <w:style w:type="character" w:customStyle="1" w:styleId="HiddenSequenceCode">
    <w:name w:val="Hidden Sequence Code"/>
    <w:semiHidden/>
    <w:rsid w:val="00064A80"/>
    <w:rPr>
      <w:rFonts w:ascii="Times New Roman" w:hAnsi="Times New Roman"/>
      <w:vanish/>
      <w:sz w:val="16"/>
    </w:rPr>
  </w:style>
  <w:style w:type="character" w:styleId="Hyperlink">
    <w:name w:val="Hyperlink"/>
    <w:uiPriority w:val="99"/>
    <w:rsid w:val="00064A80"/>
    <w:rPr>
      <w:color w:val="0000FF"/>
      <w:u w:val="single"/>
    </w:rPr>
  </w:style>
  <w:style w:type="paragraph" w:styleId="Index1">
    <w:name w:val="index 1"/>
    <w:basedOn w:val="Normal"/>
    <w:next w:val="Normal"/>
    <w:autoRedefine/>
    <w:semiHidden/>
    <w:rsid w:val="00064A80"/>
    <w:pPr>
      <w:ind w:left="200" w:hanging="200"/>
    </w:pPr>
  </w:style>
  <w:style w:type="paragraph" w:styleId="Index2">
    <w:name w:val="index 2"/>
    <w:basedOn w:val="Normal"/>
    <w:next w:val="Normal"/>
    <w:autoRedefine/>
    <w:semiHidden/>
    <w:rsid w:val="00064A80"/>
    <w:pPr>
      <w:ind w:left="400" w:hanging="200"/>
    </w:pPr>
  </w:style>
  <w:style w:type="paragraph" w:styleId="Index3">
    <w:name w:val="index 3"/>
    <w:basedOn w:val="Normal"/>
    <w:next w:val="Normal"/>
    <w:autoRedefine/>
    <w:semiHidden/>
    <w:rsid w:val="00064A80"/>
    <w:pPr>
      <w:ind w:left="600" w:hanging="200"/>
    </w:pPr>
  </w:style>
  <w:style w:type="paragraph" w:styleId="Index4">
    <w:name w:val="index 4"/>
    <w:basedOn w:val="Normal"/>
    <w:next w:val="Normal"/>
    <w:autoRedefine/>
    <w:semiHidden/>
    <w:rsid w:val="00064A80"/>
    <w:pPr>
      <w:ind w:left="800" w:hanging="200"/>
    </w:pPr>
  </w:style>
  <w:style w:type="paragraph" w:styleId="Index5">
    <w:name w:val="index 5"/>
    <w:basedOn w:val="Normal"/>
    <w:next w:val="Normal"/>
    <w:autoRedefine/>
    <w:semiHidden/>
    <w:rsid w:val="00064A80"/>
    <w:pPr>
      <w:ind w:left="1000" w:hanging="200"/>
    </w:pPr>
  </w:style>
  <w:style w:type="paragraph" w:styleId="Index6">
    <w:name w:val="index 6"/>
    <w:basedOn w:val="Normal"/>
    <w:next w:val="Normal"/>
    <w:autoRedefine/>
    <w:semiHidden/>
    <w:rsid w:val="00064A80"/>
    <w:pPr>
      <w:ind w:left="1200" w:hanging="200"/>
    </w:pPr>
  </w:style>
  <w:style w:type="paragraph" w:styleId="Index7">
    <w:name w:val="index 7"/>
    <w:basedOn w:val="Normal"/>
    <w:next w:val="Normal"/>
    <w:autoRedefine/>
    <w:semiHidden/>
    <w:rsid w:val="00064A80"/>
    <w:pPr>
      <w:ind w:left="1400" w:hanging="200"/>
    </w:pPr>
  </w:style>
  <w:style w:type="paragraph" w:styleId="Index8">
    <w:name w:val="index 8"/>
    <w:basedOn w:val="Normal"/>
    <w:next w:val="Normal"/>
    <w:autoRedefine/>
    <w:semiHidden/>
    <w:rsid w:val="00064A80"/>
    <w:pPr>
      <w:ind w:left="1600" w:hanging="200"/>
    </w:pPr>
  </w:style>
  <w:style w:type="paragraph" w:styleId="Index9">
    <w:name w:val="index 9"/>
    <w:basedOn w:val="Normal"/>
    <w:next w:val="Normal"/>
    <w:autoRedefine/>
    <w:semiHidden/>
    <w:rsid w:val="00064A80"/>
    <w:pPr>
      <w:ind w:left="1800" w:hanging="200"/>
    </w:pPr>
  </w:style>
  <w:style w:type="paragraph" w:styleId="IndexHeading">
    <w:name w:val="index heading"/>
    <w:basedOn w:val="Normal"/>
    <w:next w:val="Index1"/>
    <w:semiHidden/>
    <w:rsid w:val="00064A80"/>
    <w:rPr>
      <w:rFonts w:ascii="Arial" w:hAnsi="Arial" w:cs="Arial"/>
      <w:b/>
      <w:bCs/>
    </w:rPr>
  </w:style>
  <w:style w:type="paragraph" w:styleId="ListParagraph">
    <w:name w:val="List Paragraph"/>
    <w:basedOn w:val="Normal"/>
    <w:link w:val="ListParagraphChar"/>
    <w:qFormat/>
    <w:rsid w:val="00064A80"/>
    <w:pPr>
      <w:spacing w:after="200" w:line="276" w:lineRule="auto"/>
      <w:ind w:left="720"/>
      <w:contextualSpacing/>
    </w:pPr>
    <w:rPr>
      <w:rFonts w:eastAsia="Calibri"/>
      <w:sz w:val="22"/>
      <w:szCs w:val="22"/>
      <w:lang w:val="en-US"/>
    </w:rPr>
  </w:style>
  <w:style w:type="paragraph" w:styleId="MacroText">
    <w:name w:val="macro"/>
    <w:link w:val="MacroTextChar"/>
    <w:semiHidden/>
    <w:rsid w:val="00064A8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character" w:customStyle="1" w:styleId="MacroTextChar">
    <w:name w:val="Macro Text Char"/>
    <w:basedOn w:val="DefaultParagraphFont"/>
    <w:link w:val="MacroText"/>
    <w:rsid w:val="00064A80"/>
    <w:rPr>
      <w:rFonts w:ascii="Courier New" w:hAnsi="Courier New" w:cs="Courier New"/>
      <w:sz w:val="20"/>
      <w:szCs w:val="20"/>
      <w:lang w:eastAsia="en-AU"/>
    </w:rPr>
  </w:style>
  <w:style w:type="paragraph" w:styleId="NoSpacing">
    <w:name w:val="No Spacing"/>
    <w:uiPriority w:val="1"/>
    <w:qFormat/>
    <w:rsid w:val="00064A80"/>
    <w:pPr>
      <w:jc w:val="both"/>
    </w:pPr>
    <w:rPr>
      <w:rFonts w:ascii="Book Antiqua" w:hAnsi="Book Antiqua"/>
      <w:lang w:eastAsia="en-AU"/>
    </w:rPr>
  </w:style>
  <w:style w:type="paragraph" w:styleId="NormalWeb">
    <w:name w:val="Normal (Web)"/>
    <w:basedOn w:val="Normal"/>
    <w:uiPriority w:val="99"/>
    <w:unhideWhenUsed/>
    <w:rsid w:val="00064A80"/>
    <w:pPr>
      <w:spacing w:before="100" w:beforeAutospacing="1" w:after="100" w:afterAutospacing="1"/>
    </w:pPr>
    <w:rPr>
      <w:rFonts w:eastAsiaTheme="minorEastAsia"/>
      <w:sz w:val="24"/>
      <w:szCs w:val="24"/>
    </w:rPr>
  </w:style>
  <w:style w:type="paragraph" w:styleId="NormalIndent">
    <w:name w:val="Normal Indent"/>
    <w:basedOn w:val="Normal"/>
    <w:rsid w:val="00064A80"/>
    <w:pPr>
      <w:ind w:left="567"/>
    </w:pPr>
  </w:style>
  <w:style w:type="paragraph" w:customStyle="1" w:styleId="NoteTableHeading">
    <w:name w:val="Note Table Heading"/>
    <w:basedOn w:val="HeadingBase"/>
    <w:next w:val="Normal"/>
    <w:semiHidden/>
    <w:rsid w:val="00064A80"/>
    <w:pPr>
      <w:spacing w:before="240"/>
    </w:pPr>
    <w:rPr>
      <w:b/>
      <w:sz w:val="20"/>
    </w:rPr>
  </w:style>
  <w:style w:type="paragraph" w:customStyle="1" w:styleId="Outcome">
    <w:name w:val="Outcome"/>
    <w:basedOn w:val="Normal"/>
    <w:rsid w:val="00064A80"/>
    <w:pPr>
      <w:spacing w:before="120" w:after="120" w:line="280" w:lineRule="exact"/>
    </w:pPr>
    <w:rPr>
      <w:rFonts w:ascii="Arial" w:hAnsi="Arial" w:cs="Arial"/>
      <w:b/>
    </w:rPr>
  </w:style>
  <w:style w:type="paragraph" w:customStyle="1" w:styleId="OverviewParagraph">
    <w:name w:val="Overview Paragraph"/>
    <w:basedOn w:val="Normal"/>
    <w:semiHidden/>
    <w:rsid w:val="00064A80"/>
    <w:pPr>
      <w:spacing w:before="120" w:after="120"/>
    </w:pPr>
  </w:style>
  <w:style w:type="character" w:styleId="PageNumber">
    <w:name w:val="page number"/>
    <w:uiPriority w:val="99"/>
    <w:rsid w:val="00064A80"/>
    <w:rPr>
      <w:rFonts w:ascii="Arial" w:hAnsi="Arial" w:cs="Arial"/>
    </w:rPr>
  </w:style>
  <w:style w:type="paragraph" w:styleId="Title">
    <w:name w:val="Title"/>
    <w:basedOn w:val="Normal"/>
    <w:link w:val="TitleChar"/>
    <w:qFormat/>
    <w:rsid w:val="00064A80"/>
    <w:pPr>
      <w:jc w:val="center"/>
      <w:outlineLvl w:val="0"/>
    </w:pPr>
    <w:rPr>
      <w:rFonts w:ascii="Arial" w:hAnsi="Arial" w:cs="Arial"/>
      <w:b/>
      <w:bCs/>
      <w:caps/>
      <w:kern w:val="28"/>
      <w:sz w:val="52"/>
      <w:szCs w:val="32"/>
    </w:rPr>
  </w:style>
  <w:style w:type="character" w:customStyle="1" w:styleId="TitleChar">
    <w:name w:val="Title Char"/>
    <w:basedOn w:val="DefaultParagraphFont"/>
    <w:link w:val="Title"/>
    <w:rsid w:val="00064A80"/>
    <w:rPr>
      <w:rFonts w:ascii="Arial" w:hAnsi="Arial" w:cs="Arial"/>
      <w:b/>
      <w:bCs/>
      <w:caps/>
      <w:kern w:val="28"/>
      <w:sz w:val="52"/>
      <w:szCs w:val="32"/>
      <w:lang w:eastAsia="en-AU"/>
    </w:rPr>
  </w:style>
  <w:style w:type="paragraph" w:customStyle="1" w:styleId="Part">
    <w:name w:val="Part"/>
    <w:basedOn w:val="Title"/>
    <w:next w:val="Normal"/>
    <w:rsid w:val="00064A80"/>
    <w:rPr>
      <w:caps w:val="0"/>
      <w:smallCaps/>
    </w:rPr>
  </w:style>
  <w:style w:type="paragraph" w:customStyle="1" w:styleId="PartHeading">
    <w:name w:val="Part Heading"/>
    <w:basedOn w:val="Part"/>
    <w:next w:val="Normal"/>
    <w:rsid w:val="00064A80"/>
  </w:style>
  <w:style w:type="paragraph" w:customStyle="1" w:styleId="ProgramHeading">
    <w:name w:val="Program Heading"/>
    <w:basedOn w:val="HeadingBase"/>
    <w:rsid w:val="00064A80"/>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064A80"/>
  </w:style>
  <w:style w:type="paragraph" w:customStyle="1" w:styleId="SingleParagraph">
    <w:name w:val="Single Paragraph"/>
    <w:basedOn w:val="Normal"/>
    <w:rsid w:val="00064A80"/>
  </w:style>
  <w:style w:type="paragraph" w:customStyle="1" w:styleId="Source">
    <w:name w:val="Source"/>
    <w:basedOn w:val="Normal"/>
    <w:rsid w:val="00064A80"/>
    <w:pPr>
      <w:tabs>
        <w:tab w:val="left" w:pos="284"/>
      </w:tabs>
    </w:pPr>
    <w:rPr>
      <w:rFonts w:ascii="Arial" w:hAnsi="Arial"/>
      <w:sz w:val="16"/>
    </w:rPr>
  </w:style>
  <w:style w:type="paragraph" w:customStyle="1" w:styleId="TableColumnHeadingBase">
    <w:name w:val="Table Column Heading Base"/>
    <w:basedOn w:val="Normal"/>
    <w:rsid w:val="00064A80"/>
    <w:pPr>
      <w:spacing w:before="60" w:after="60"/>
    </w:pPr>
    <w:rPr>
      <w:rFonts w:ascii="Arial" w:hAnsi="Arial"/>
      <w:b/>
    </w:rPr>
  </w:style>
  <w:style w:type="paragraph" w:customStyle="1" w:styleId="TableColumnHeadingCentred">
    <w:name w:val="Table Column Heading Centred"/>
    <w:basedOn w:val="TableColumnHeadingBase"/>
    <w:next w:val="Normal"/>
    <w:rsid w:val="00064A80"/>
    <w:pPr>
      <w:jc w:val="center"/>
    </w:pPr>
  </w:style>
  <w:style w:type="paragraph" w:customStyle="1" w:styleId="TableColumnHeadingLeft">
    <w:name w:val="Table Column Heading Left"/>
    <w:basedOn w:val="TableColumnHeadingBase"/>
    <w:next w:val="Normal"/>
    <w:rsid w:val="00064A80"/>
  </w:style>
  <w:style w:type="paragraph" w:customStyle="1" w:styleId="TableColumnHeadingRight">
    <w:name w:val="Table Column Heading Right"/>
    <w:basedOn w:val="TableColumnHeadingBase"/>
    <w:next w:val="Normal"/>
    <w:rsid w:val="00064A80"/>
    <w:pPr>
      <w:jc w:val="right"/>
    </w:pPr>
  </w:style>
  <w:style w:type="paragraph" w:customStyle="1" w:styleId="TableColumnOutgroupHeading">
    <w:name w:val="Table Column Outgroup Heading"/>
    <w:basedOn w:val="Normal"/>
    <w:rsid w:val="00064A80"/>
    <w:pPr>
      <w:spacing w:before="60" w:after="120"/>
    </w:pPr>
    <w:rPr>
      <w:b/>
      <w:sz w:val="22"/>
    </w:rPr>
  </w:style>
  <w:style w:type="paragraph" w:customStyle="1" w:styleId="TableColumnOutgroupSubheading">
    <w:name w:val="Table Column Outgroup Subheading"/>
    <w:basedOn w:val="Normal"/>
    <w:rsid w:val="00064A80"/>
    <w:pPr>
      <w:spacing w:before="60" w:after="120"/>
      <w:jc w:val="center"/>
    </w:pPr>
  </w:style>
  <w:style w:type="paragraph" w:customStyle="1" w:styleId="TableGraphic">
    <w:name w:val="Table Graphic"/>
    <w:basedOn w:val="Normal"/>
    <w:next w:val="Normal"/>
    <w:rsid w:val="00064A80"/>
    <w:pPr>
      <w:ind w:right="-113"/>
    </w:pPr>
  </w:style>
  <w:style w:type="table" w:styleId="TableGrid">
    <w:name w:val="Table Grid"/>
    <w:basedOn w:val="TableNormal"/>
    <w:uiPriority w:val="59"/>
    <w:rsid w:val="00064A80"/>
    <w:pPr>
      <w:spacing w:after="240" w:line="260" w:lineRule="exact"/>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rsid w:val="00064A80"/>
    <w:pPr>
      <w:spacing w:before="120" w:after="20"/>
    </w:pPr>
    <w:rPr>
      <w:b/>
    </w:rPr>
  </w:style>
  <w:style w:type="character" w:customStyle="1" w:styleId="TableHeadingChar">
    <w:name w:val="Table Heading Char"/>
    <w:link w:val="TableHeading"/>
    <w:rsid w:val="00064A80"/>
    <w:rPr>
      <w:rFonts w:ascii="Arial" w:hAnsi="Arial" w:cs="Times New Roman"/>
      <w:b/>
      <w:sz w:val="24"/>
      <w:szCs w:val="20"/>
      <w:lang w:eastAsia="en-AU"/>
    </w:rPr>
  </w:style>
  <w:style w:type="paragraph" w:customStyle="1" w:styleId="TableHeadingcontinued">
    <w:name w:val="Table Heading continued"/>
    <w:basedOn w:val="HeadingBase"/>
    <w:next w:val="TableGraphic"/>
    <w:rsid w:val="00064A80"/>
    <w:pPr>
      <w:spacing w:before="120" w:after="20"/>
    </w:pPr>
    <w:rPr>
      <w:rFonts w:ascii="Arial Bold" w:hAnsi="Arial Bold"/>
      <w:b/>
      <w:sz w:val="20"/>
    </w:rPr>
  </w:style>
  <w:style w:type="paragraph" w:customStyle="1" w:styleId="TableHeadingNoTable">
    <w:name w:val="Table Heading No Table"/>
    <w:basedOn w:val="TableHeading"/>
    <w:next w:val="Normal"/>
    <w:rsid w:val="00064A80"/>
    <w:pPr>
      <w:spacing w:after="240"/>
    </w:pPr>
  </w:style>
  <w:style w:type="paragraph" w:styleId="TableofAuthorities">
    <w:name w:val="table of authorities"/>
    <w:basedOn w:val="Normal"/>
    <w:next w:val="Normal"/>
    <w:semiHidden/>
    <w:rsid w:val="00064A80"/>
    <w:pPr>
      <w:ind w:left="200" w:hanging="200"/>
    </w:pPr>
  </w:style>
  <w:style w:type="paragraph" w:styleId="TableofFigures">
    <w:name w:val="table of figures"/>
    <w:basedOn w:val="Normal"/>
    <w:next w:val="Normal"/>
    <w:semiHidden/>
    <w:rsid w:val="00064A80"/>
  </w:style>
  <w:style w:type="paragraph" w:customStyle="1" w:styleId="TableTextBase">
    <w:name w:val="Table Text Base"/>
    <w:basedOn w:val="Normal"/>
    <w:link w:val="TableTextBaseChar"/>
    <w:rsid w:val="00064A80"/>
    <w:pPr>
      <w:spacing w:before="60" w:after="60"/>
    </w:pPr>
    <w:rPr>
      <w:rFonts w:ascii="Arial" w:hAnsi="Arial"/>
    </w:rPr>
  </w:style>
  <w:style w:type="character" w:customStyle="1" w:styleId="TableTextBaseChar">
    <w:name w:val="Table Text Base Char"/>
    <w:link w:val="TableTextBase"/>
    <w:rsid w:val="00064A80"/>
    <w:rPr>
      <w:rFonts w:ascii="Arial" w:hAnsi="Arial" w:cs="Times New Roman"/>
      <w:sz w:val="18"/>
      <w:szCs w:val="20"/>
      <w:lang w:eastAsia="en-AU"/>
    </w:rPr>
  </w:style>
  <w:style w:type="paragraph" w:customStyle="1" w:styleId="TableTextBullet">
    <w:name w:val="Table Text Bullet"/>
    <w:basedOn w:val="TableTextBase"/>
    <w:rsid w:val="00064A80"/>
  </w:style>
  <w:style w:type="paragraph" w:customStyle="1" w:styleId="TableTextCentred">
    <w:name w:val="Table Text Centred"/>
    <w:basedOn w:val="TableTextBase"/>
    <w:rsid w:val="00064A80"/>
    <w:pPr>
      <w:jc w:val="center"/>
    </w:pPr>
  </w:style>
  <w:style w:type="paragraph" w:customStyle="1" w:styleId="TableTextDash">
    <w:name w:val="Table Text Dash"/>
    <w:basedOn w:val="TableTextBase"/>
    <w:rsid w:val="00064A80"/>
    <w:pPr>
      <w:numPr>
        <w:ilvl w:val="1"/>
        <w:numId w:val="8"/>
      </w:numPr>
    </w:pPr>
  </w:style>
  <w:style w:type="paragraph" w:customStyle="1" w:styleId="TableTextIndented">
    <w:name w:val="Table Text Indented"/>
    <w:basedOn w:val="TableTextBase"/>
    <w:rsid w:val="00064A80"/>
    <w:pPr>
      <w:ind w:left="284"/>
    </w:pPr>
  </w:style>
  <w:style w:type="paragraph" w:customStyle="1" w:styleId="TableTextJustified">
    <w:name w:val="Table Text Justified"/>
    <w:basedOn w:val="TableTextBase"/>
    <w:rsid w:val="00064A80"/>
    <w:pPr>
      <w:jc w:val="both"/>
    </w:pPr>
  </w:style>
  <w:style w:type="paragraph" w:customStyle="1" w:styleId="TableTextLeft">
    <w:name w:val="Table Text Left"/>
    <w:basedOn w:val="TableTextBase"/>
    <w:link w:val="TableTextLeftChar"/>
    <w:rsid w:val="00064A80"/>
  </w:style>
  <w:style w:type="character" w:customStyle="1" w:styleId="TableTextLeftChar">
    <w:name w:val="Table Text Left Char"/>
    <w:basedOn w:val="TableTextBaseChar"/>
    <w:link w:val="TableTextLeft"/>
    <w:rsid w:val="00064A80"/>
    <w:rPr>
      <w:rFonts w:ascii="Arial" w:hAnsi="Arial" w:cs="Times New Roman"/>
      <w:sz w:val="18"/>
      <w:szCs w:val="20"/>
      <w:lang w:eastAsia="en-AU"/>
    </w:rPr>
  </w:style>
  <w:style w:type="paragraph" w:customStyle="1" w:styleId="TableTextRight">
    <w:name w:val="Table Text Right"/>
    <w:basedOn w:val="TableTextBase"/>
    <w:rsid w:val="00064A80"/>
    <w:pPr>
      <w:jc w:val="right"/>
    </w:pPr>
  </w:style>
  <w:style w:type="paragraph" w:customStyle="1" w:styleId="Title2ndLevel">
    <w:name w:val="Title 2nd Level"/>
    <w:basedOn w:val="Title"/>
    <w:rsid w:val="00064A80"/>
    <w:rPr>
      <w:sz w:val="24"/>
    </w:rPr>
  </w:style>
  <w:style w:type="paragraph" w:customStyle="1" w:styleId="Title3rdLevel">
    <w:name w:val="Title 3rd Level"/>
    <w:basedOn w:val="Normal"/>
    <w:next w:val="Title"/>
    <w:rsid w:val="00064A80"/>
    <w:pPr>
      <w:jc w:val="center"/>
    </w:pPr>
    <w:rPr>
      <w:rFonts w:ascii="Arial" w:hAnsi="Arial"/>
      <w:caps/>
    </w:rPr>
  </w:style>
  <w:style w:type="paragraph" w:styleId="TOAHeading">
    <w:name w:val="toa heading"/>
    <w:basedOn w:val="Normal"/>
    <w:next w:val="Normal"/>
    <w:semiHidden/>
    <w:rsid w:val="00064A80"/>
    <w:pPr>
      <w:spacing w:before="120"/>
    </w:pPr>
    <w:rPr>
      <w:rFonts w:ascii="Arial" w:hAnsi="Arial" w:cs="Arial"/>
      <w:b/>
      <w:bCs/>
      <w:sz w:val="24"/>
      <w:szCs w:val="24"/>
    </w:rPr>
  </w:style>
  <w:style w:type="paragraph" w:styleId="TOC1">
    <w:name w:val="toc 1"/>
    <w:basedOn w:val="HeaderBase"/>
    <w:next w:val="Normal"/>
    <w:uiPriority w:val="39"/>
    <w:rsid w:val="00064A80"/>
    <w:pPr>
      <w:spacing w:before="240" w:after="120" w:line="260" w:lineRule="atLeast"/>
    </w:pPr>
    <w:rPr>
      <w:rFonts w:asciiTheme="minorHAnsi" w:hAnsiTheme="minorHAnsi" w:cstheme="minorHAnsi"/>
      <w:b/>
      <w:bCs/>
      <w:i w:val="0"/>
      <w:lang w:eastAsia="en-US"/>
    </w:rPr>
  </w:style>
  <w:style w:type="paragraph" w:styleId="TOC2">
    <w:name w:val="toc 2"/>
    <w:basedOn w:val="HeadingBase"/>
    <w:next w:val="Normal"/>
    <w:uiPriority w:val="39"/>
    <w:rsid w:val="00064A80"/>
    <w:pPr>
      <w:keepNext w:val="0"/>
      <w:spacing w:before="120" w:line="260" w:lineRule="atLeast"/>
      <w:ind w:left="180"/>
    </w:pPr>
    <w:rPr>
      <w:rFonts w:asciiTheme="minorHAnsi" w:hAnsiTheme="minorHAnsi" w:cstheme="minorHAnsi"/>
      <w:i/>
      <w:iCs/>
      <w:sz w:val="20"/>
      <w:lang w:eastAsia="en-US"/>
    </w:rPr>
  </w:style>
  <w:style w:type="paragraph" w:styleId="TOC3">
    <w:name w:val="toc 3"/>
    <w:basedOn w:val="HeadingBase"/>
    <w:next w:val="Normal"/>
    <w:uiPriority w:val="39"/>
    <w:rsid w:val="00064A80"/>
    <w:pPr>
      <w:keepNext w:val="0"/>
      <w:spacing w:line="260" w:lineRule="atLeast"/>
      <w:ind w:left="360"/>
    </w:pPr>
    <w:rPr>
      <w:rFonts w:asciiTheme="minorHAnsi" w:hAnsiTheme="minorHAnsi" w:cstheme="minorHAnsi"/>
      <w:sz w:val="20"/>
      <w:lang w:eastAsia="en-US"/>
    </w:rPr>
  </w:style>
  <w:style w:type="paragraph" w:styleId="TOC4">
    <w:name w:val="toc 4"/>
    <w:basedOn w:val="HeadingBase"/>
    <w:next w:val="Normal"/>
    <w:rsid w:val="00064A80"/>
    <w:pPr>
      <w:keepNext w:val="0"/>
      <w:spacing w:line="260" w:lineRule="atLeast"/>
      <w:ind w:left="540"/>
    </w:pPr>
    <w:rPr>
      <w:rFonts w:asciiTheme="minorHAnsi" w:hAnsiTheme="minorHAnsi" w:cstheme="minorHAnsi"/>
      <w:sz w:val="20"/>
      <w:lang w:eastAsia="en-US"/>
    </w:rPr>
  </w:style>
  <w:style w:type="paragraph" w:styleId="TOC5">
    <w:name w:val="toc 5"/>
    <w:basedOn w:val="Normal"/>
    <w:next w:val="Normal"/>
    <w:autoRedefine/>
    <w:semiHidden/>
    <w:rsid w:val="00064A80"/>
    <w:pPr>
      <w:ind w:left="720"/>
    </w:pPr>
    <w:rPr>
      <w:rFonts w:asciiTheme="minorHAnsi" w:hAnsiTheme="minorHAnsi" w:cstheme="minorHAnsi"/>
      <w:sz w:val="20"/>
    </w:rPr>
  </w:style>
  <w:style w:type="paragraph" w:styleId="TOC6">
    <w:name w:val="toc 6"/>
    <w:basedOn w:val="Normal"/>
    <w:next w:val="Normal"/>
    <w:autoRedefine/>
    <w:semiHidden/>
    <w:rsid w:val="00064A80"/>
    <w:pPr>
      <w:ind w:left="900"/>
    </w:pPr>
    <w:rPr>
      <w:rFonts w:asciiTheme="minorHAnsi" w:hAnsiTheme="minorHAnsi" w:cstheme="minorHAnsi"/>
      <w:sz w:val="20"/>
    </w:rPr>
  </w:style>
  <w:style w:type="paragraph" w:styleId="TOC7">
    <w:name w:val="toc 7"/>
    <w:basedOn w:val="Normal"/>
    <w:next w:val="Normal"/>
    <w:autoRedefine/>
    <w:semiHidden/>
    <w:rsid w:val="00064A80"/>
    <w:pPr>
      <w:ind w:left="1080"/>
    </w:pPr>
    <w:rPr>
      <w:rFonts w:asciiTheme="minorHAnsi" w:hAnsiTheme="minorHAnsi" w:cstheme="minorHAnsi"/>
      <w:sz w:val="20"/>
    </w:rPr>
  </w:style>
  <w:style w:type="paragraph" w:styleId="TOC8">
    <w:name w:val="toc 8"/>
    <w:basedOn w:val="Normal"/>
    <w:next w:val="Normal"/>
    <w:autoRedefine/>
    <w:semiHidden/>
    <w:rsid w:val="00064A80"/>
    <w:pPr>
      <w:ind w:left="1260"/>
    </w:pPr>
    <w:rPr>
      <w:rFonts w:asciiTheme="minorHAnsi" w:hAnsiTheme="minorHAnsi" w:cstheme="minorHAnsi"/>
      <w:sz w:val="20"/>
    </w:rPr>
  </w:style>
  <w:style w:type="paragraph" w:styleId="TOC9">
    <w:name w:val="toc 9"/>
    <w:basedOn w:val="Normal"/>
    <w:next w:val="Normal"/>
    <w:autoRedefine/>
    <w:semiHidden/>
    <w:rsid w:val="00064A80"/>
    <w:pPr>
      <w:ind w:left="1440"/>
    </w:pPr>
    <w:rPr>
      <w:rFonts w:asciiTheme="minorHAnsi" w:hAnsiTheme="minorHAnsi" w:cstheme="minorHAnsi"/>
      <w:sz w:val="20"/>
    </w:rPr>
  </w:style>
  <w:style w:type="paragraph" w:customStyle="1" w:styleId="TPHeading1">
    <w:name w:val="TP Heading 1"/>
    <w:basedOn w:val="HeadingBase"/>
    <w:rsid w:val="00064A80"/>
    <w:rPr>
      <w:b/>
      <w:caps/>
      <w:sz w:val="52"/>
    </w:rPr>
  </w:style>
  <w:style w:type="paragraph" w:customStyle="1" w:styleId="TPHeading2">
    <w:name w:val="TP Heading 2"/>
    <w:basedOn w:val="HeadingBase"/>
    <w:rsid w:val="00064A80"/>
    <w:pPr>
      <w:jc w:val="center"/>
    </w:pPr>
    <w:rPr>
      <w:rFonts w:ascii="Georgia" w:hAnsi="Georgia"/>
      <w:caps/>
    </w:rPr>
  </w:style>
  <w:style w:type="paragraph" w:customStyle="1" w:styleId="TPHeading3">
    <w:name w:val="TP Heading 3"/>
    <w:basedOn w:val="HeadingBase"/>
    <w:rsid w:val="00064A80"/>
    <w:rPr>
      <w:rFonts w:ascii="Georgia" w:hAnsi="Georgia"/>
      <w:caps/>
    </w:rPr>
  </w:style>
  <w:style w:type="paragraph" w:customStyle="1" w:styleId="TransmittalAddressee">
    <w:name w:val="Transmittal Addressee"/>
    <w:basedOn w:val="Normal"/>
    <w:rsid w:val="00064A80"/>
  </w:style>
  <w:style w:type="paragraph" w:customStyle="1" w:styleId="TransmittalStyle1">
    <w:name w:val="Transmittal Style 1"/>
    <w:basedOn w:val="HeadingBase"/>
    <w:rsid w:val="00064A80"/>
    <w:pPr>
      <w:spacing w:after="60"/>
      <w:jc w:val="right"/>
    </w:pPr>
    <w:rPr>
      <w:b/>
      <w:smallCaps/>
    </w:rPr>
  </w:style>
  <w:style w:type="paragraph" w:customStyle="1" w:styleId="TransmittalStyle2">
    <w:name w:val="Transmittal Style 2"/>
    <w:basedOn w:val="HeadingBase"/>
    <w:rsid w:val="00064A80"/>
    <w:pPr>
      <w:spacing w:before="60" w:after="60"/>
      <w:jc w:val="right"/>
    </w:pPr>
    <w:rPr>
      <w:rFonts w:ascii="Helvetica" w:hAnsi="Helvetica"/>
      <w:b/>
      <w:caps/>
      <w:sz w:val="16"/>
    </w:rPr>
  </w:style>
  <w:style w:type="paragraph" w:customStyle="1" w:styleId="UserGuidelevelTOC">
    <w:name w:val="UserGuide level TOC"/>
    <w:basedOn w:val="HeadingBase"/>
    <w:next w:val="Normal"/>
    <w:rsid w:val="00064A80"/>
    <w:pPr>
      <w:spacing w:before="360" w:after="360"/>
    </w:pPr>
    <w:rPr>
      <w:sz w:val="30"/>
    </w:rPr>
  </w:style>
  <w:style w:type="character" w:customStyle="1" w:styleId="ActTitleetc">
    <w:name w:val="Act_Title_etc"/>
    <w:basedOn w:val="DefaultParagraphFont"/>
    <w:uiPriority w:val="1"/>
    <w:qFormat/>
    <w:rsid w:val="00C21DC5"/>
    <w:rPr>
      <w:i/>
    </w:rPr>
  </w:style>
  <w:style w:type="paragraph" w:customStyle="1" w:styleId="ARImage">
    <w:name w:val="AR_Image"/>
    <w:next w:val="Normal"/>
    <w:link w:val="ARImageChar"/>
    <w:qFormat/>
    <w:rsid w:val="00D1404A"/>
    <w:pPr>
      <w:spacing w:before="120" w:after="120"/>
    </w:pPr>
    <w:rPr>
      <w:rFonts w:ascii="Arial" w:hAnsi="Arial"/>
      <w:b/>
      <w:smallCaps/>
      <w:noProof/>
      <w:sz w:val="30"/>
      <w:lang w:eastAsia="en-AU"/>
    </w:rPr>
  </w:style>
  <w:style w:type="character" w:customStyle="1" w:styleId="ARImageChar">
    <w:name w:val="AR_Image Char"/>
    <w:basedOn w:val="DefaultParagraphFont"/>
    <w:link w:val="ARImage"/>
    <w:rsid w:val="00D1404A"/>
    <w:rPr>
      <w:rFonts w:ascii="Arial" w:hAnsi="Arial" w:cs="Times New Roman"/>
      <w:b/>
      <w:smallCaps/>
      <w:noProof/>
      <w:sz w:val="30"/>
      <w:szCs w:val="20"/>
      <w:lang w:eastAsia="en-AU"/>
    </w:rPr>
  </w:style>
  <w:style w:type="paragraph" w:customStyle="1" w:styleId="TableSubHeading">
    <w:name w:val="Table_Sub_Heading"/>
    <w:basedOn w:val="Heading5"/>
    <w:qFormat/>
    <w:rsid w:val="00A12DF6"/>
    <w:pPr>
      <w:spacing w:before="60" w:after="20"/>
    </w:pPr>
  </w:style>
  <w:style w:type="paragraph" w:customStyle="1" w:styleId="ARTableColumnHeadingBase">
    <w:name w:val="AR Table Column Heading Base"/>
    <w:basedOn w:val="Normal"/>
    <w:link w:val="ARTableColumnHeadingBaseChar"/>
    <w:locked/>
    <w:rsid w:val="00200175"/>
    <w:pPr>
      <w:spacing w:before="60" w:after="60"/>
    </w:pPr>
    <w:rPr>
      <w:rFonts w:ascii="Arial" w:eastAsiaTheme="minorEastAsia" w:hAnsi="Arial" w:cstheme="minorBidi"/>
      <w:i/>
      <w:szCs w:val="18"/>
    </w:rPr>
  </w:style>
  <w:style w:type="character" w:customStyle="1" w:styleId="ARTableColumnHeadingBaseChar">
    <w:name w:val="AR Table Column Heading Base Char"/>
    <w:basedOn w:val="DefaultParagraphFont"/>
    <w:link w:val="ARTableColumnHeadingBase"/>
    <w:rsid w:val="00200175"/>
    <w:rPr>
      <w:rFonts w:ascii="Arial" w:eastAsiaTheme="minorEastAsia" w:hAnsi="Arial"/>
      <w:i/>
      <w:sz w:val="18"/>
      <w:szCs w:val="18"/>
    </w:rPr>
  </w:style>
  <w:style w:type="paragraph" w:customStyle="1" w:styleId="ARTableColumnHeadingCentred">
    <w:name w:val="AR Table Column Heading Centred"/>
    <w:basedOn w:val="ARTableTextCentred"/>
    <w:next w:val="Normal"/>
    <w:locked/>
    <w:rsid w:val="00200175"/>
    <w:rPr>
      <w:i/>
    </w:rPr>
  </w:style>
  <w:style w:type="paragraph" w:customStyle="1" w:styleId="ARTableTextBase">
    <w:name w:val="AR Table Text Base"/>
    <w:basedOn w:val="Normal"/>
    <w:link w:val="ARTableTextBaseChar"/>
    <w:locked/>
    <w:rsid w:val="00200175"/>
    <w:pPr>
      <w:spacing w:before="60" w:after="60"/>
    </w:pPr>
    <w:rPr>
      <w:rFonts w:ascii="Arial" w:eastAsiaTheme="minorEastAsia" w:hAnsi="Arial" w:cstheme="minorBidi"/>
      <w:szCs w:val="22"/>
    </w:rPr>
  </w:style>
  <w:style w:type="character" w:customStyle="1" w:styleId="ARTableTextBaseChar">
    <w:name w:val="AR Table Text Base Char"/>
    <w:link w:val="ARTableTextBase"/>
    <w:rsid w:val="00200175"/>
    <w:rPr>
      <w:rFonts w:ascii="Arial" w:eastAsiaTheme="minorEastAsia" w:hAnsi="Arial"/>
      <w:sz w:val="18"/>
    </w:rPr>
  </w:style>
  <w:style w:type="paragraph" w:customStyle="1" w:styleId="ARTableTextCentred">
    <w:name w:val="AR Table Text Centred"/>
    <w:basedOn w:val="ARTableTextBase"/>
    <w:rsid w:val="00200175"/>
    <w:pPr>
      <w:jc w:val="center"/>
    </w:pPr>
  </w:style>
  <w:style w:type="paragraph" w:customStyle="1" w:styleId="ARTableColumnHeadingLeft">
    <w:name w:val="AR Table Column Heading Left"/>
    <w:basedOn w:val="ARTableTextBase"/>
    <w:next w:val="Normal"/>
    <w:rsid w:val="00200175"/>
    <w:pPr>
      <w:keepNext/>
    </w:pPr>
    <w:rPr>
      <w:i/>
    </w:rPr>
  </w:style>
  <w:style w:type="paragraph" w:customStyle="1" w:styleId="ARTableTextRight">
    <w:name w:val="AR Table Text Right"/>
    <w:basedOn w:val="ARTableTextBase"/>
    <w:locked/>
    <w:rsid w:val="00200175"/>
    <w:pPr>
      <w:jc w:val="right"/>
    </w:pPr>
  </w:style>
  <w:style w:type="paragraph" w:customStyle="1" w:styleId="ARTableColumnHeadingRight">
    <w:name w:val="AR Table Column Heading Right"/>
    <w:basedOn w:val="ARTableTextRight"/>
    <w:next w:val="Normal"/>
    <w:locked/>
    <w:rsid w:val="00200175"/>
    <w:rPr>
      <w:i/>
    </w:rPr>
  </w:style>
  <w:style w:type="paragraph" w:customStyle="1" w:styleId="ARTableTextBullet">
    <w:name w:val="AR Table Text Bullet"/>
    <w:basedOn w:val="ARTableTextBase"/>
    <w:locked/>
    <w:rsid w:val="00200175"/>
    <w:pPr>
      <w:numPr>
        <w:numId w:val="8"/>
      </w:numPr>
    </w:pPr>
  </w:style>
  <w:style w:type="paragraph" w:customStyle="1" w:styleId="ARTableTextLeft">
    <w:name w:val="AR Table Text Left"/>
    <w:basedOn w:val="ARTableTextBase"/>
    <w:link w:val="ARTableTextLeftChar"/>
    <w:rsid w:val="00200175"/>
  </w:style>
  <w:style w:type="character" w:customStyle="1" w:styleId="ARTableTextLeftChar">
    <w:name w:val="AR Table Text Left Char"/>
    <w:basedOn w:val="ARTableTextBaseChar"/>
    <w:link w:val="ARTableTextLeft"/>
    <w:rsid w:val="00200175"/>
    <w:rPr>
      <w:rFonts w:ascii="Arial" w:eastAsiaTheme="minorEastAsia" w:hAnsi="Arial"/>
      <w:sz w:val="18"/>
    </w:rPr>
  </w:style>
  <w:style w:type="paragraph" w:customStyle="1" w:styleId="ARTableSubHeading">
    <w:name w:val="AR Table_Sub_Heading"/>
    <w:basedOn w:val="ARTableColumnHeadingBase"/>
    <w:autoRedefine/>
    <w:qFormat/>
    <w:rsid w:val="003B65F3"/>
    <w:pPr>
      <w:keepNext/>
    </w:pPr>
    <w:rPr>
      <w:b/>
      <w:i w:val="0"/>
      <w:sz w:val="20"/>
    </w:rPr>
  </w:style>
  <w:style w:type="paragraph" w:customStyle="1" w:styleId="ARTableFootnoteText">
    <w:name w:val="AR Table Footnote Text"/>
    <w:basedOn w:val="FootnoteText"/>
    <w:qFormat/>
    <w:rsid w:val="002233E3"/>
    <w:pPr>
      <w:tabs>
        <w:tab w:val="clear" w:pos="284"/>
      </w:tabs>
      <w:ind w:left="426"/>
    </w:pPr>
    <w:rPr>
      <w:rFonts w:asciiTheme="minorHAnsi" w:eastAsiaTheme="minorEastAsia" w:hAnsiTheme="minorHAnsi" w:cstheme="minorBidi"/>
      <w:szCs w:val="22"/>
    </w:rPr>
  </w:style>
  <w:style w:type="paragraph" w:customStyle="1" w:styleId="PBS16copyrightpageitalics">
    <w:name w:val="PBS16 copyright page italics"/>
    <w:basedOn w:val="Normal"/>
    <w:rsid w:val="00F161B2"/>
    <w:pPr>
      <w:ind w:firstLine="720"/>
    </w:pPr>
    <w:rPr>
      <w:i/>
      <w:iCs/>
    </w:rPr>
  </w:style>
  <w:style w:type="paragraph" w:customStyle="1" w:styleId="PBS16NormalLeft">
    <w:name w:val="PBS16 Normal Left"/>
    <w:basedOn w:val="Normal"/>
    <w:rsid w:val="00F161B2"/>
  </w:style>
  <w:style w:type="character" w:customStyle="1" w:styleId="PBS16Actsitalics">
    <w:name w:val="PBS16 Acts (italics)"/>
    <w:basedOn w:val="DefaultParagraphFont"/>
    <w:uiPriority w:val="1"/>
    <w:rsid w:val="00F161B2"/>
    <w:rPr>
      <w:i/>
    </w:rPr>
  </w:style>
  <w:style w:type="paragraph" w:customStyle="1" w:styleId="PBS16ChartGraphicLeft">
    <w:name w:val="PBS16 Chart Graphic Left"/>
    <w:basedOn w:val="ChartGraphic"/>
    <w:rsid w:val="00F161B2"/>
    <w:pPr>
      <w:spacing w:after="240" w:line="240" w:lineRule="atLeast"/>
      <w:jc w:val="left"/>
    </w:pPr>
    <w:rPr>
      <w:noProof/>
    </w:rPr>
  </w:style>
  <w:style w:type="paragraph" w:customStyle="1" w:styleId="PBS16copyrightpagebold">
    <w:name w:val="PBS16 copyright page bold"/>
    <w:basedOn w:val="Normal"/>
    <w:next w:val="Normal"/>
    <w:rsid w:val="00F161B2"/>
    <w:rPr>
      <w:b/>
    </w:rPr>
  </w:style>
  <w:style w:type="paragraph" w:customStyle="1" w:styleId="PBS16indentedlist">
    <w:name w:val="PBS16 indented list"/>
    <w:rsid w:val="00F161B2"/>
    <w:pPr>
      <w:tabs>
        <w:tab w:val="left" w:pos="2268"/>
      </w:tabs>
      <w:spacing w:after="240" w:line="260" w:lineRule="exact"/>
      <w:ind w:left="567"/>
    </w:pPr>
    <w:rPr>
      <w:rFonts w:ascii="Book Antiqua" w:hAnsi="Book Antiqua"/>
      <w:lang w:eastAsia="en-AU"/>
    </w:rPr>
  </w:style>
  <w:style w:type="paragraph" w:customStyle="1" w:styleId="PBS16BulletList">
    <w:name w:val="PBS16 Bullet List"/>
    <w:basedOn w:val="Normal"/>
    <w:link w:val="PBS16BulletListChar"/>
    <w:qFormat/>
    <w:rsid w:val="00F161B2"/>
    <w:pPr>
      <w:spacing w:before="120" w:after="120"/>
      <w:ind w:left="567" w:hanging="567"/>
    </w:pPr>
    <w:rPr>
      <w:rFonts w:cstheme="minorBidi"/>
      <w:sz w:val="22"/>
      <w:szCs w:val="22"/>
    </w:rPr>
  </w:style>
  <w:style w:type="character" w:customStyle="1" w:styleId="PBS16BulletListChar">
    <w:name w:val="PBS16 Bullet List Char"/>
    <w:basedOn w:val="DefaultParagraphFont"/>
    <w:link w:val="PBS16BulletList"/>
    <w:rsid w:val="00F161B2"/>
    <w:rPr>
      <w:rFonts w:ascii="Book Antiqua" w:hAnsi="Book Antiqua"/>
    </w:rPr>
  </w:style>
  <w:style w:type="paragraph" w:customStyle="1" w:styleId="PBS16PortHeadingCentre">
    <w:name w:val="PBS16 Port Heading Centre"/>
    <w:basedOn w:val="PBS16Port"/>
    <w:next w:val="PBS16Port"/>
    <w:rsid w:val="00F161B2"/>
    <w:pPr>
      <w:jc w:val="center"/>
    </w:pPr>
    <w:rPr>
      <w:b/>
    </w:rPr>
  </w:style>
  <w:style w:type="paragraph" w:customStyle="1" w:styleId="PBS16Port">
    <w:name w:val="PBS16 Port"/>
    <w:basedOn w:val="SingleParagraph"/>
    <w:rsid w:val="00F161B2"/>
    <w:pPr>
      <w:pBdr>
        <w:top w:val="single" w:sz="4" w:space="4" w:color="auto"/>
        <w:left w:val="single" w:sz="4" w:space="4" w:color="auto"/>
        <w:bottom w:val="single" w:sz="4" w:space="4" w:color="auto"/>
        <w:right w:val="single" w:sz="4" w:space="4" w:color="auto"/>
      </w:pBdr>
      <w:spacing w:after="120"/>
    </w:pPr>
    <w:rPr>
      <w:sz w:val="19"/>
      <w:szCs w:val="19"/>
    </w:rPr>
  </w:style>
  <w:style w:type="paragraph" w:customStyle="1" w:styleId="PBS16PortCentre">
    <w:name w:val="PBS16 Port Centre"/>
    <w:basedOn w:val="PBS16Port"/>
    <w:rsid w:val="00F161B2"/>
    <w:pPr>
      <w:jc w:val="center"/>
    </w:pPr>
  </w:style>
  <w:style w:type="paragraph" w:customStyle="1" w:styleId="PBS16Agencies">
    <w:name w:val="PBS16 Agencies"/>
    <w:basedOn w:val="Normal"/>
    <w:rsid w:val="00F161B2"/>
    <w:pPr>
      <w:spacing w:after="120"/>
    </w:pPr>
    <w:rPr>
      <w:sz w:val="19"/>
      <w:szCs w:val="19"/>
    </w:rPr>
  </w:style>
  <w:style w:type="character" w:customStyle="1" w:styleId="Heading9Char">
    <w:name w:val="Heading 9 Char"/>
    <w:basedOn w:val="DefaultParagraphFont"/>
    <w:link w:val="Heading9"/>
    <w:rsid w:val="003E6989"/>
    <w:rPr>
      <w:rFonts w:ascii="Calibri" w:hAnsi="Calibri"/>
      <w:sz w:val="18"/>
    </w:rPr>
  </w:style>
  <w:style w:type="paragraph" w:styleId="Signature">
    <w:name w:val="Signature"/>
    <w:basedOn w:val="Normal"/>
    <w:link w:val="SignatureChar"/>
    <w:rsid w:val="003E6989"/>
    <w:pPr>
      <w:spacing w:line="240" w:lineRule="auto"/>
    </w:pPr>
  </w:style>
  <w:style w:type="character" w:customStyle="1" w:styleId="SignatureChar">
    <w:name w:val="Signature Char"/>
    <w:basedOn w:val="DefaultParagraphFont"/>
    <w:link w:val="Signature"/>
    <w:rsid w:val="003E6989"/>
    <w:rPr>
      <w:rFonts w:ascii="Calibri" w:hAnsi="Calibri"/>
      <w:sz w:val="18"/>
    </w:rPr>
  </w:style>
  <w:style w:type="paragraph" w:styleId="Revision">
    <w:name w:val="Revision"/>
    <w:uiPriority w:val="99"/>
    <w:semiHidden/>
    <w:rsid w:val="003E6989"/>
    <w:rPr>
      <w:rFonts w:ascii="Calibri" w:hAnsi="Calibri"/>
      <w:sz w:val="18"/>
    </w:rPr>
  </w:style>
  <w:style w:type="character" w:customStyle="1" w:styleId="StatementNameChar">
    <w:name w:val="Statement Name Char"/>
    <w:basedOn w:val="DefaultParagraphFont"/>
    <w:link w:val="StatementName"/>
    <w:locked/>
    <w:rsid w:val="003E6989"/>
    <w:rPr>
      <w:rFonts w:ascii="Arial" w:hAnsi="Arial" w:cs="Arial"/>
      <w:b/>
      <w:sz w:val="24"/>
      <w:szCs w:val="24"/>
    </w:rPr>
  </w:style>
  <w:style w:type="paragraph" w:customStyle="1" w:styleId="StatementName">
    <w:name w:val="Statement Name"/>
    <w:basedOn w:val="Normal"/>
    <w:next w:val="Normal"/>
    <w:link w:val="StatementNameChar"/>
    <w:autoRedefine/>
    <w:rsid w:val="003E6989"/>
    <w:pPr>
      <w:pBdr>
        <w:bottom w:val="single" w:sz="4" w:space="1" w:color="auto"/>
      </w:pBdr>
    </w:pPr>
    <w:rPr>
      <w:rFonts w:ascii="Arial" w:hAnsi="Arial" w:cs="Arial"/>
      <w:b/>
      <w:sz w:val="24"/>
      <w:szCs w:val="24"/>
    </w:rPr>
  </w:style>
  <w:style w:type="paragraph" w:customStyle="1" w:styleId="StatementDateHeader">
    <w:name w:val="Statement Date Header"/>
    <w:basedOn w:val="Normal"/>
    <w:next w:val="Normal"/>
    <w:rsid w:val="003E6989"/>
    <w:pPr>
      <w:pBdr>
        <w:bottom w:val="single" w:sz="4" w:space="1" w:color="auto"/>
      </w:pBdr>
    </w:pPr>
    <w:rPr>
      <w:rFonts w:ascii="Arial" w:hAnsi="Arial"/>
      <w:i/>
      <w:sz w:val="24"/>
    </w:rPr>
  </w:style>
  <w:style w:type="paragraph" w:customStyle="1" w:styleId="StatementTextLevel3">
    <w:name w:val="Statement Text Level 3"/>
    <w:basedOn w:val="Normal"/>
    <w:next w:val="Normal"/>
    <w:rsid w:val="003E6989"/>
    <w:rPr>
      <w:rFonts w:ascii="Arial" w:hAnsi="Arial"/>
    </w:rPr>
  </w:style>
  <w:style w:type="paragraph" w:customStyle="1" w:styleId="TableHeaderLevel1">
    <w:name w:val="Table Header Level 1"/>
    <w:basedOn w:val="Normal"/>
    <w:semiHidden/>
    <w:rsid w:val="003E6989"/>
    <w:pPr>
      <w:jc w:val="center"/>
    </w:pPr>
    <w:rPr>
      <w:rFonts w:ascii="Arial" w:hAnsi="Arial"/>
      <w:b/>
      <w:szCs w:val="18"/>
    </w:rPr>
  </w:style>
  <w:style w:type="paragraph" w:customStyle="1" w:styleId="StatementTextLevel1bItalic">
    <w:name w:val="Statement Text Level 1(b) + Italic"/>
    <w:basedOn w:val="Normal"/>
    <w:rsid w:val="003E6989"/>
    <w:rPr>
      <w:rFonts w:ascii="Arial" w:hAnsi="Arial"/>
      <w:b/>
      <w:bCs/>
      <w:i/>
      <w:iCs/>
      <w:szCs w:val="18"/>
    </w:rPr>
  </w:style>
  <w:style w:type="paragraph" w:customStyle="1" w:styleId="Graphic">
    <w:name w:val="Graphic"/>
    <w:basedOn w:val="Signature"/>
    <w:rsid w:val="003E6989"/>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3E6989"/>
    <w:pPr>
      <w:ind w:left="139" w:right="57"/>
    </w:pPr>
    <w:rPr>
      <w:b/>
      <w:iCs/>
      <w:sz w:val="20"/>
    </w:rPr>
  </w:style>
  <w:style w:type="paragraph" w:customStyle="1" w:styleId="TitlePage">
    <w:name w:val="Title Page"/>
    <w:basedOn w:val="Normal"/>
    <w:autoRedefine/>
    <w:rsid w:val="003E6989"/>
    <w:pPr>
      <w:spacing w:before="1200" w:after="1200"/>
      <w:ind w:left="57" w:right="57"/>
      <w:jc w:val="right"/>
    </w:pPr>
    <w:rPr>
      <w:b/>
      <w:bCs/>
      <w:sz w:val="48"/>
    </w:rPr>
  </w:style>
  <w:style w:type="paragraph" w:customStyle="1" w:styleId="zcontents">
    <w:name w:val="zcontents"/>
    <w:basedOn w:val="Normal"/>
    <w:semiHidden/>
    <w:rsid w:val="003E6989"/>
    <w:pPr>
      <w:spacing w:after="260" w:line="240" w:lineRule="auto"/>
    </w:pPr>
    <w:rPr>
      <w:b/>
      <w:sz w:val="32"/>
    </w:rPr>
  </w:style>
  <w:style w:type="paragraph" w:customStyle="1" w:styleId="Normal10pt">
    <w:name w:val="Normal + 10 pt"/>
    <w:aliases w:val="Line spacing:  single"/>
    <w:basedOn w:val="Normal"/>
    <w:rsid w:val="003E6989"/>
    <w:pPr>
      <w:spacing w:before="130" w:after="130"/>
    </w:pPr>
    <w:rPr>
      <w:b/>
      <w:sz w:val="20"/>
    </w:rPr>
  </w:style>
  <w:style w:type="paragraph" w:customStyle="1" w:styleId="Normal8pt">
    <w:name w:val="Normal + 8 pt"/>
    <w:basedOn w:val="Normal"/>
    <w:rsid w:val="003E6989"/>
    <w:pPr>
      <w:widowControl w:val="0"/>
      <w:autoSpaceDE w:val="0"/>
      <w:autoSpaceDN w:val="0"/>
      <w:spacing w:line="240" w:lineRule="auto"/>
    </w:pPr>
    <w:rPr>
      <w:bCs/>
      <w:iCs/>
      <w:spacing w:val="-6"/>
      <w:sz w:val="16"/>
      <w:szCs w:val="16"/>
      <w:lang w:val="en-US"/>
    </w:rPr>
  </w:style>
  <w:style w:type="paragraph" w:customStyle="1" w:styleId="NormalCalistoMT">
    <w:name w:val="Normal + Calisto MT"/>
    <w:aliases w:val="8 pt,Right"/>
    <w:basedOn w:val="Normal"/>
    <w:rsid w:val="003E6989"/>
    <w:pPr>
      <w:framePr w:hSpace="180" w:wrap="around" w:vAnchor="text" w:hAnchor="margin" w:y="1"/>
      <w:ind w:right="212"/>
      <w:jc w:val="right"/>
    </w:pPr>
    <w:rPr>
      <w:rFonts w:ascii="Calisto MT" w:hAnsi="Calisto MT"/>
      <w:sz w:val="16"/>
    </w:rPr>
  </w:style>
  <w:style w:type="character" w:customStyle="1" w:styleId="ReferenceTextChar">
    <w:name w:val="Reference Text Char"/>
    <w:basedOn w:val="DefaultParagraphFont"/>
    <w:link w:val="ReferenceText"/>
    <w:uiPriority w:val="99"/>
    <w:locked/>
    <w:rsid w:val="003E6989"/>
    <w:rPr>
      <w:rFonts w:asciiTheme="minorHAnsi" w:hAnsiTheme="minorHAnsi" w:cstheme="minorHAnsi"/>
      <w:sz w:val="18"/>
    </w:rPr>
  </w:style>
  <w:style w:type="paragraph" w:customStyle="1" w:styleId="ReferenceText">
    <w:name w:val="Reference Text"/>
    <w:basedOn w:val="Normal"/>
    <w:link w:val="ReferenceTextChar"/>
    <w:autoRedefine/>
    <w:uiPriority w:val="99"/>
    <w:qFormat/>
    <w:rsid w:val="003E6989"/>
    <w:pPr>
      <w:ind w:right="566"/>
    </w:pPr>
    <w:rPr>
      <w:rFonts w:asciiTheme="minorHAnsi" w:hAnsiTheme="minorHAnsi" w:cstheme="minorHAnsi"/>
    </w:rPr>
  </w:style>
  <w:style w:type="character" w:customStyle="1" w:styleId="NotesHeading-Level1Char">
    <w:name w:val="Notes Heading - Level 1 Char"/>
    <w:basedOn w:val="DefaultParagraphFont"/>
    <w:link w:val="NotesHeading-Level1"/>
    <w:locked/>
    <w:rsid w:val="003E6989"/>
    <w:rPr>
      <w:rFonts w:asciiTheme="minorHAnsi" w:hAnsiTheme="minorHAnsi"/>
      <w:b/>
    </w:rPr>
  </w:style>
  <w:style w:type="paragraph" w:customStyle="1" w:styleId="NotesHeading-Level1">
    <w:name w:val="Notes Heading - Level 1"/>
    <w:basedOn w:val="Normal"/>
    <w:link w:val="NotesHeading-Level1Char"/>
    <w:qFormat/>
    <w:rsid w:val="003E6989"/>
    <w:pPr>
      <w:numPr>
        <w:numId w:val="10"/>
      </w:numPr>
      <w:ind w:right="607"/>
      <w:outlineLvl w:val="0"/>
    </w:pPr>
    <w:rPr>
      <w:rFonts w:asciiTheme="minorHAnsi" w:hAnsiTheme="minorHAnsi"/>
      <w:b/>
      <w:sz w:val="20"/>
    </w:rPr>
  </w:style>
  <w:style w:type="paragraph" w:customStyle="1" w:styleId="NotesHeading-Level2">
    <w:name w:val="Notes Heading - Level 2"/>
    <w:basedOn w:val="NotesHeading-Level1"/>
    <w:rsid w:val="003E6989"/>
    <w:pPr>
      <w:framePr w:hSpace="180" w:wrap="around" w:vAnchor="text" w:hAnchor="margin" w:y="1"/>
      <w:numPr>
        <w:ilvl w:val="1"/>
      </w:numPr>
      <w:tabs>
        <w:tab w:val="clear" w:pos="851"/>
        <w:tab w:val="num" w:pos="567"/>
      </w:tabs>
      <w:ind w:left="567" w:hanging="567"/>
    </w:pPr>
    <w:rPr>
      <w:sz w:val="18"/>
    </w:rPr>
  </w:style>
  <w:style w:type="paragraph" w:customStyle="1" w:styleId="StatementHeading">
    <w:name w:val="Statement Heading"/>
    <w:basedOn w:val="Normal"/>
    <w:rsid w:val="003E6989"/>
    <w:rPr>
      <w:rFonts w:ascii="Arial" w:hAnsi="Arial"/>
      <w:b/>
      <w:sz w:val="24"/>
    </w:rPr>
  </w:style>
  <w:style w:type="paragraph" w:customStyle="1" w:styleId="GreyShadeTableBreak">
    <w:name w:val="Grey Shade Table Break"/>
    <w:basedOn w:val="Normal"/>
    <w:qFormat/>
    <w:rsid w:val="003E6989"/>
    <w:pPr>
      <w:shd w:val="clear" w:color="auto" w:fill="D9D9D9" w:themeFill="background1" w:themeFillShade="D9"/>
      <w:tabs>
        <w:tab w:val="left" w:pos="9214"/>
      </w:tabs>
      <w:ind w:right="607"/>
    </w:pPr>
  </w:style>
  <w:style w:type="paragraph" w:customStyle="1" w:styleId="GreyShadeTableBreaknon-Standard">
    <w:name w:val="Grey Shade Table Break non-Standard"/>
    <w:qFormat/>
    <w:rsid w:val="003E6989"/>
    <w:pPr>
      <w:shd w:val="clear" w:color="auto" w:fill="D9D9D9" w:themeFill="background1" w:themeFillShade="D9"/>
      <w:ind w:right="57"/>
    </w:pPr>
    <w:rPr>
      <w:sz w:val="22"/>
    </w:rPr>
  </w:style>
  <w:style w:type="paragraph" w:customStyle="1" w:styleId="ReferenceTextLetter">
    <w:name w:val="Reference Text Letter"/>
    <w:basedOn w:val="ReferenceText"/>
    <w:qFormat/>
    <w:rsid w:val="003E6989"/>
    <w:pPr>
      <w:spacing w:line="240" w:lineRule="auto"/>
      <w:ind w:left="567" w:right="567"/>
    </w:pPr>
    <w:rPr>
      <w:rFonts w:cs="Arial"/>
      <w:szCs w:val="18"/>
    </w:rPr>
  </w:style>
  <w:style w:type="paragraph" w:customStyle="1" w:styleId="NotesHeader">
    <w:name w:val="Notes Header"/>
    <w:basedOn w:val="Normal"/>
    <w:next w:val="Normal"/>
    <w:rsid w:val="003E6989"/>
    <w:pPr>
      <w:jc w:val="center"/>
    </w:pPr>
    <w:rPr>
      <w:rFonts w:ascii="Arial" w:hAnsi="Arial"/>
      <w:b/>
    </w:rPr>
  </w:style>
  <w:style w:type="paragraph" w:customStyle="1" w:styleId="NotesReferences">
    <w:name w:val="Notes References"/>
    <w:basedOn w:val="Normal"/>
    <w:next w:val="Normal"/>
    <w:rsid w:val="003E6989"/>
    <w:pPr>
      <w:jc w:val="center"/>
    </w:pPr>
    <w:rPr>
      <w:rFonts w:ascii="Arial" w:hAnsi="Arial"/>
    </w:rPr>
  </w:style>
  <w:style w:type="paragraph" w:customStyle="1" w:styleId="NotesData">
    <w:name w:val="Notes Data"/>
    <w:basedOn w:val="Normal"/>
    <w:rsid w:val="003E6989"/>
    <w:pPr>
      <w:framePr w:hSpace="180" w:wrap="around" w:vAnchor="text" w:hAnchor="margin" w:y="1"/>
      <w:jc w:val="center"/>
    </w:pPr>
    <w:rPr>
      <w:sz w:val="20"/>
    </w:rPr>
  </w:style>
  <w:style w:type="paragraph" w:customStyle="1" w:styleId="NotesTextLevel1">
    <w:name w:val="Notes Text Level 1"/>
    <w:basedOn w:val="Normal"/>
    <w:next w:val="Normal"/>
    <w:rsid w:val="003E6989"/>
    <w:rPr>
      <w:rFonts w:ascii="Arial" w:hAnsi="Arial"/>
      <w:b/>
      <w:i/>
      <w:u w:val="single"/>
    </w:rPr>
  </w:style>
  <w:style w:type="character" w:customStyle="1" w:styleId="NotesTextLevel3aboldItalicChar">
    <w:name w:val="Notes Text Level 3(a) bold + Italic Char"/>
    <w:basedOn w:val="DefaultParagraphFont"/>
    <w:link w:val="NotesTextLevel3aboldItalic"/>
    <w:locked/>
    <w:rsid w:val="003E6989"/>
    <w:rPr>
      <w:rFonts w:ascii="Arial" w:hAnsi="Arial" w:cs="Arial"/>
      <w:b/>
      <w:bCs/>
      <w:i/>
      <w:iCs/>
      <w:sz w:val="18"/>
    </w:rPr>
  </w:style>
  <w:style w:type="paragraph" w:customStyle="1" w:styleId="NotesTextLevel3aboldItalic">
    <w:name w:val="Notes Text Level 3(a) bold + Italic"/>
    <w:basedOn w:val="Normal"/>
    <w:link w:val="NotesTextLevel3aboldItalicChar"/>
    <w:rsid w:val="003E6989"/>
    <w:rPr>
      <w:rFonts w:ascii="Arial" w:hAnsi="Arial" w:cs="Arial"/>
      <w:b/>
      <w:bCs/>
      <w:i/>
      <w:iCs/>
    </w:rPr>
  </w:style>
  <w:style w:type="paragraph" w:customStyle="1" w:styleId="NotesHeading3">
    <w:name w:val="Notes Heading 3"/>
    <w:basedOn w:val="Normal"/>
    <w:autoRedefine/>
    <w:rsid w:val="003E6989"/>
    <w:pPr>
      <w:spacing w:before="80" w:after="40"/>
      <w:ind w:left="113" w:right="113"/>
    </w:pPr>
    <w:rPr>
      <w:u w:val="single"/>
      <w:lang w:val="en-US"/>
    </w:rPr>
  </w:style>
  <w:style w:type="paragraph" w:customStyle="1" w:styleId="NotesHeading3a">
    <w:name w:val="Notes Heading 3a"/>
    <w:basedOn w:val="Normal"/>
    <w:autoRedefine/>
    <w:rsid w:val="003E6989"/>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3E6989"/>
    <w:pPr>
      <w:framePr w:hSpace="180" w:wrap="around" w:vAnchor="page" w:hAnchor="margin" w:y="1985"/>
      <w:tabs>
        <w:tab w:val="left" w:pos="593"/>
        <w:tab w:val="left" w:pos="1443"/>
      </w:tabs>
      <w:ind w:left="567" w:right="113"/>
    </w:pPr>
    <w:rPr>
      <w:sz w:val="20"/>
    </w:rPr>
  </w:style>
  <w:style w:type="paragraph" w:customStyle="1" w:styleId="NotesLineItem">
    <w:name w:val="Notes Line Item"/>
    <w:basedOn w:val="Normal"/>
    <w:autoRedefine/>
    <w:rsid w:val="003E6989"/>
    <w:pPr>
      <w:ind w:left="34"/>
    </w:pPr>
    <w:rPr>
      <w:iCs/>
      <w:sz w:val="16"/>
      <w:szCs w:val="16"/>
      <w:lang w:eastAsia="en-AU"/>
    </w:rPr>
  </w:style>
  <w:style w:type="paragraph" w:customStyle="1" w:styleId="NoteText">
    <w:name w:val="Note Text"/>
    <w:basedOn w:val="Normal"/>
    <w:autoRedefine/>
    <w:rsid w:val="003E6989"/>
    <w:pPr>
      <w:tabs>
        <w:tab w:val="left" w:pos="284"/>
      </w:tabs>
      <w:spacing w:after="120"/>
      <w:ind w:left="567"/>
    </w:pPr>
    <w:rPr>
      <w:sz w:val="20"/>
    </w:rPr>
  </w:style>
  <w:style w:type="paragraph" w:customStyle="1" w:styleId="NotesHeading">
    <w:name w:val="'Notes' Heading"/>
    <w:basedOn w:val="Normal"/>
    <w:autoRedefine/>
    <w:rsid w:val="003E6989"/>
    <w:pPr>
      <w:ind w:left="57" w:right="57"/>
      <w:jc w:val="center"/>
    </w:pPr>
    <w:rPr>
      <w:b/>
      <w:sz w:val="20"/>
    </w:rPr>
  </w:style>
  <w:style w:type="paragraph" w:customStyle="1" w:styleId="NotesReference">
    <w:name w:val="'Notes' Reference"/>
    <w:basedOn w:val="Normal"/>
    <w:autoRedefine/>
    <w:rsid w:val="003E6989"/>
    <w:pPr>
      <w:ind w:left="57" w:right="57"/>
      <w:jc w:val="center"/>
    </w:pPr>
    <w:rPr>
      <w:sz w:val="20"/>
    </w:rPr>
  </w:style>
  <w:style w:type="paragraph" w:customStyle="1" w:styleId="NotesHeading4">
    <w:name w:val="Notes Heading 4"/>
    <w:basedOn w:val="NoteText"/>
    <w:autoRedefine/>
    <w:rsid w:val="003E6989"/>
    <w:pPr>
      <w:keepNext/>
      <w:spacing w:before="200" w:after="80"/>
      <w:ind w:right="57"/>
    </w:pPr>
  </w:style>
  <w:style w:type="paragraph" w:customStyle="1" w:styleId="NotesHeading3NumberingOff">
    <w:name w:val="Notes Heading 3 Numbering Off"/>
    <w:basedOn w:val="NotesHeading3"/>
    <w:autoRedefine/>
    <w:rsid w:val="003E6989"/>
    <w:pPr>
      <w:tabs>
        <w:tab w:val="left" w:pos="1132"/>
      </w:tabs>
    </w:pPr>
  </w:style>
  <w:style w:type="paragraph" w:customStyle="1" w:styleId="NotesHeadingPlain">
    <w:name w:val="'Notes' Heading Plain"/>
    <w:basedOn w:val="NotesHeading"/>
    <w:autoRedefine/>
    <w:rsid w:val="003E6989"/>
    <w:rPr>
      <w:b w:val="0"/>
    </w:rPr>
  </w:style>
  <w:style w:type="paragraph" w:customStyle="1" w:styleId="NotesHeading5">
    <w:name w:val="Notes Heading 5"/>
    <w:basedOn w:val="Normal"/>
    <w:autoRedefine/>
    <w:rsid w:val="003E6989"/>
    <w:pPr>
      <w:spacing w:before="120" w:after="40"/>
      <w:ind w:left="113" w:right="113"/>
      <w:jc w:val="both"/>
    </w:pPr>
    <w:rPr>
      <w:b/>
      <w:sz w:val="20"/>
    </w:rPr>
  </w:style>
  <w:style w:type="paragraph" w:customStyle="1" w:styleId="NoteTextBEFOREDotPoint">
    <w:name w:val="Note Text BEFORE Dot Point"/>
    <w:basedOn w:val="NoteText"/>
    <w:rsid w:val="003E6989"/>
    <w:pPr>
      <w:spacing w:after="0"/>
      <w:ind w:left="178" w:right="57"/>
    </w:pPr>
  </w:style>
  <w:style w:type="paragraph" w:customStyle="1" w:styleId="ItalicLineItem">
    <w:name w:val="Italic Line Item"/>
    <w:basedOn w:val="Normal"/>
    <w:rsid w:val="003E6989"/>
    <w:pPr>
      <w:tabs>
        <w:tab w:val="left" w:pos="566"/>
      </w:tabs>
      <w:ind w:left="284" w:right="113"/>
      <w:jc w:val="both"/>
    </w:pPr>
    <w:rPr>
      <w:i/>
      <w:sz w:val="20"/>
      <w:lang w:val="en-US"/>
    </w:rPr>
  </w:style>
  <w:style w:type="paragraph" w:customStyle="1" w:styleId="ItalicHeading">
    <w:name w:val="Italic Heading"/>
    <w:basedOn w:val="ItalicLineItem"/>
    <w:rsid w:val="003E6989"/>
    <w:pPr>
      <w:ind w:left="57" w:right="0"/>
    </w:pPr>
  </w:style>
  <w:style w:type="paragraph" w:customStyle="1" w:styleId="Notes">
    <w:name w:val="'Notes'"/>
    <w:basedOn w:val="Normal"/>
    <w:rsid w:val="003E6989"/>
    <w:pPr>
      <w:jc w:val="center"/>
    </w:pPr>
    <w:rPr>
      <w:b/>
    </w:rPr>
  </w:style>
  <w:style w:type="character" w:customStyle="1" w:styleId="LineitemsChar">
    <w:name w:val="Line items Char"/>
    <w:basedOn w:val="DefaultParagraphFont"/>
    <w:link w:val="Lineitems"/>
    <w:uiPriority w:val="99"/>
    <w:locked/>
    <w:rsid w:val="003E6989"/>
  </w:style>
  <w:style w:type="paragraph" w:customStyle="1" w:styleId="Lineitems">
    <w:name w:val="Line items"/>
    <w:basedOn w:val="Normal"/>
    <w:link w:val="LineitemsChar"/>
    <w:autoRedefine/>
    <w:uiPriority w:val="99"/>
    <w:rsid w:val="003E6989"/>
    <w:rPr>
      <w:rFonts w:ascii="Times New Roman" w:hAnsi="Times New Roman"/>
      <w:sz w:val="20"/>
    </w:rPr>
  </w:style>
  <w:style w:type="paragraph" w:customStyle="1" w:styleId="Notestext">
    <w:name w:val="Notes text"/>
    <w:basedOn w:val="Notes"/>
    <w:rsid w:val="003E6989"/>
    <w:rPr>
      <w:b w:val="0"/>
    </w:rPr>
  </w:style>
  <w:style w:type="paragraph" w:customStyle="1" w:styleId="Lineitemtable">
    <w:name w:val="Line item table"/>
    <w:basedOn w:val="Lineitems"/>
    <w:rsid w:val="003E6989"/>
  </w:style>
  <w:style w:type="paragraph" w:customStyle="1" w:styleId="12line">
    <w:name w:val="1/2 line"/>
    <w:basedOn w:val="Normal"/>
    <w:rsid w:val="003E6989"/>
    <w:pPr>
      <w:spacing w:before="10" w:after="10" w:line="240" w:lineRule="auto"/>
    </w:pPr>
    <w:rPr>
      <w:sz w:val="20"/>
    </w:rPr>
  </w:style>
  <w:style w:type="paragraph" w:customStyle="1" w:styleId="lineitemitalic">
    <w:name w:val="line item italic"/>
    <w:basedOn w:val="Normal"/>
    <w:rsid w:val="003E6989"/>
    <w:rPr>
      <w:i/>
    </w:rPr>
  </w:style>
  <w:style w:type="paragraph" w:customStyle="1" w:styleId="lineitembold">
    <w:name w:val="line item bold"/>
    <w:basedOn w:val="Normal"/>
    <w:rsid w:val="003E6989"/>
    <w:rPr>
      <w:b/>
      <w:sz w:val="20"/>
    </w:rPr>
  </w:style>
  <w:style w:type="paragraph" w:customStyle="1" w:styleId="Notesheading0">
    <w:name w:val="Notes heading"/>
    <w:basedOn w:val="Normal"/>
    <w:rsid w:val="003E6989"/>
    <w:pPr>
      <w:spacing w:line="240" w:lineRule="auto"/>
    </w:pPr>
    <w:rPr>
      <w:rFonts w:ascii="Calisto MT" w:hAnsi="Calisto MT"/>
      <w:b/>
      <w:sz w:val="14"/>
      <w:lang w:eastAsia="en-AU"/>
    </w:rPr>
  </w:style>
  <w:style w:type="paragraph" w:customStyle="1" w:styleId="Notestothefinancialstatements">
    <w:name w:val="Notes to the financial statements"/>
    <w:aliases w:val="Heading"/>
    <w:basedOn w:val="Normal"/>
    <w:rsid w:val="003E6989"/>
    <w:pPr>
      <w:tabs>
        <w:tab w:val="left" w:pos="567"/>
        <w:tab w:val="left" w:pos="1134"/>
        <w:tab w:val="left" w:pos="1701"/>
      </w:tabs>
      <w:spacing w:before="60" w:after="60" w:line="240" w:lineRule="auto"/>
    </w:pPr>
    <w:rPr>
      <w:rFonts w:ascii="Tahoma" w:hAnsi="Tahoma"/>
      <w:b/>
      <w:color w:val="000000"/>
      <w:sz w:val="16"/>
      <w:lang w:eastAsia="en-AU"/>
    </w:rPr>
  </w:style>
  <w:style w:type="paragraph" w:customStyle="1" w:styleId="NotesBulletPoint">
    <w:name w:val="Notes Bullet Point"/>
    <w:basedOn w:val="Normal"/>
    <w:autoRedefine/>
    <w:rsid w:val="003E6989"/>
    <w:pPr>
      <w:tabs>
        <w:tab w:val="left" w:pos="413"/>
        <w:tab w:val="num" w:pos="927"/>
      </w:tabs>
      <w:snapToGrid w:val="0"/>
      <w:spacing w:line="240" w:lineRule="auto"/>
      <w:ind w:left="414" w:right="113" w:hanging="301"/>
      <w:jc w:val="both"/>
    </w:pPr>
    <w:rPr>
      <w:sz w:val="20"/>
      <w:lang w:val="en-US" w:eastAsia="en-AU"/>
    </w:rPr>
  </w:style>
  <w:style w:type="paragraph" w:customStyle="1" w:styleId="Headinga">
    <w:name w:val="Heading a"/>
    <w:basedOn w:val="Normal"/>
    <w:rsid w:val="003E6989"/>
    <w:pPr>
      <w:spacing w:line="240" w:lineRule="auto"/>
    </w:pPr>
    <w:rPr>
      <w:b/>
      <w:bCs/>
      <w:szCs w:val="18"/>
    </w:rPr>
  </w:style>
  <w:style w:type="character" w:customStyle="1" w:styleId="LineitemsTotalChar">
    <w:name w:val="Line items Total Char"/>
    <w:basedOn w:val="LineitemsChar"/>
    <w:link w:val="LineitemsTotal"/>
    <w:uiPriority w:val="99"/>
    <w:locked/>
    <w:rsid w:val="003E6989"/>
    <w:rPr>
      <w:b/>
      <w:i/>
    </w:rPr>
  </w:style>
  <w:style w:type="paragraph" w:customStyle="1" w:styleId="LineitemsTotal">
    <w:name w:val="Line items Total"/>
    <w:basedOn w:val="Lineitems"/>
    <w:link w:val="LineitemsTotalChar"/>
    <w:uiPriority w:val="99"/>
    <w:rsid w:val="003E6989"/>
    <w:pPr>
      <w:framePr w:hSpace="180" w:wrap="around" w:vAnchor="text" w:hAnchor="margin" w:y="1"/>
    </w:pPr>
    <w:rPr>
      <w:b/>
      <w:i/>
    </w:rPr>
  </w:style>
  <w:style w:type="paragraph" w:customStyle="1" w:styleId="SAPHeading-Level1">
    <w:name w:val="SAP Heading - Level 1"/>
    <w:basedOn w:val="NotesHeading-Level1"/>
    <w:rsid w:val="003E6989"/>
    <w:pPr>
      <w:numPr>
        <w:numId w:val="0"/>
      </w:numPr>
      <w:tabs>
        <w:tab w:val="num" w:pos="851"/>
      </w:tabs>
      <w:ind w:left="851" w:hanging="851"/>
    </w:pPr>
    <w:rPr>
      <w:rFonts w:cstheme="minorHAnsi"/>
    </w:rPr>
  </w:style>
  <w:style w:type="paragraph" w:customStyle="1" w:styleId="SAPHeading-Level2">
    <w:name w:val="SAP Heading - Level 2"/>
    <w:basedOn w:val="SAPHeading-Level1"/>
    <w:rsid w:val="003E6989"/>
    <w:pPr>
      <w:spacing w:before="100" w:after="100" w:line="240" w:lineRule="auto"/>
      <w:outlineLvl w:val="9"/>
    </w:pPr>
  </w:style>
  <w:style w:type="paragraph" w:customStyle="1" w:styleId="SAPHeading-Level3">
    <w:name w:val="SAP Heading - Level 3"/>
    <w:basedOn w:val="SAPHeading-Level2"/>
    <w:rsid w:val="003E6989"/>
  </w:style>
  <w:style w:type="character" w:customStyle="1" w:styleId="NotesTextChar">
    <w:name w:val="Notes Text Char"/>
    <w:basedOn w:val="ReferenceTextChar"/>
    <w:link w:val="NotesText0"/>
    <w:uiPriority w:val="99"/>
    <w:locked/>
    <w:rsid w:val="003E6989"/>
    <w:rPr>
      <w:rFonts w:asciiTheme="minorHAnsi" w:hAnsiTheme="minorHAnsi" w:cs="Arial"/>
      <w:sz w:val="18"/>
      <w:szCs w:val="18"/>
    </w:rPr>
  </w:style>
  <w:style w:type="paragraph" w:customStyle="1" w:styleId="NotesText0">
    <w:name w:val="Notes Text"/>
    <w:basedOn w:val="ReferenceText"/>
    <w:link w:val="NotesTextChar"/>
    <w:uiPriority w:val="99"/>
    <w:rsid w:val="003E6989"/>
    <w:pPr>
      <w:spacing w:before="100" w:after="100" w:line="240" w:lineRule="auto"/>
    </w:pPr>
    <w:rPr>
      <w:rFonts w:cs="Arial"/>
      <w:szCs w:val="18"/>
    </w:rPr>
  </w:style>
  <w:style w:type="paragraph" w:customStyle="1" w:styleId="NotesTextHeading">
    <w:name w:val="Notes Text Heading"/>
    <w:basedOn w:val="NotesText0"/>
    <w:uiPriority w:val="99"/>
    <w:rsid w:val="003E6989"/>
    <w:rPr>
      <w:b/>
      <w:i/>
    </w:rPr>
  </w:style>
  <w:style w:type="paragraph" w:customStyle="1" w:styleId="NoteHeading-Level1">
    <w:name w:val="Note Heading - Level 1"/>
    <w:basedOn w:val="Normal"/>
    <w:rsid w:val="003E6989"/>
  </w:style>
  <w:style w:type="paragraph" w:customStyle="1" w:styleId="NoteHeading-Level2">
    <w:name w:val="Note Heading - Level 2"/>
    <w:basedOn w:val="Normal"/>
    <w:rsid w:val="003E6989"/>
  </w:style>
  <w:style w:type="paragraph" w:customStyle="1" w:styleId="Notesreferencetext">
    <w:name w:val="Notes reference text"/>
    <w:basedOn w:val="Normal"/>
    <w:next w:val="Normal"/>
    <w:rsid w:val="003E6989"/>
    <w:pPr>
      <w:jc w:val="center"/>
    </w:pPr>
  </w:style>
  <w:style w:type="character" w:customStyle="1" w:styleId="StyleReferenceTextItalicChar">
    <w:name w:val="Style Reference Text + Italic Char"/>
    <w:basedOn w:val="ReferenceTextChar"/>
    <w:link w:val="StyleReferenceTextItalic"/>
    <w:uiPriority w:val="99"/>
    <w:locked/>
    <w:rsid w:val="003E6989"/>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3E6989"/>
    <w:pPr>
      <w:spacing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3E6989"/>
    <w:rPr>
      <w:rFonts w:asciiTheme="minorHAnsi" w:hAnsiTheme="minorHAnsi" w:cs="Arial"/>
      <w:i/>
      <w:iCs/>
      <w:sz w:val="18"/>
      <w:szCs w:val="18"/>
      <w:u w:val="single"/>
    </w:rPr>
  </w:style>
  <w:style w:type="paragraph" w:customStyle="1" w:styleId="StyleNotesTextItalic">
    <w:name w:val="Style Notes Text + Italic"/>
    <w:basedOn w:val="NotesText0"/>
    <w:link w:val="StyleNotesTextItalicChar"/>
    <w:uiPriority w:val="99"/>
    <w:rsid w:val="003E6989"/>
    <w:pPr>
      <w:ind w:right="-54"/>
    </w:pPr>
    <w:rPr>
      <w:i/>
      <w:iCs/>
      <w:u w:val="single"/>
    </w:rPr>
  </w:style>
  <w:style w:type="paragraph" w:customStyle="1" w:styleId="StyleNotesTextPatternClearGray-25">
    <w:name w:val="Style Notes Text + Pattern: Clear (Gray-25%)"/>
    <w:basedOn w:val="NotesText0"/>
    <w:autoRedefine/>
    <w:uiPriority w:val="99"/>
    <w:rsid w:val="003E6989"/>
    <w:pPr>
      <w:shd w:val="clear" w:color="auto" w:fill="CCCCCC"/>
      <w:ind w:right="-54"/>
    </w:pPr>
    <w:rPr>
      <w:rFonts w:ascii="Calibri" w:hAnsi="Calibri"/>
      <w:sz w:val="20"/>
      <w:szCs w:val="20"/>
    </w:rPr>
  </w:style>
  <w:style w:type="paragraph" w:customStyle="1" w:styleId="BulletKPMG">
    <w:name w:val="Bullet KPMG"/>
    <w:basedOn w:val="Normal"/>
    <w:uiPriority w:val="99"/>
    <w:rsid w:val="003E6989"/>
    <w:pPr>
      <w:tabs>
        <w:tab w:val="num" w:pos="473"/>
      </w:tabs>
      <w:spacing w:before="100" w:after="100" w:line="240" w:lineRule="auto"/>
      <w:ind w:left="357" w:hanging="357"/>
    </w:pPr>
    <w:rPr>
      <w:sz w:val="20"/>
      <w:lang w:val="en-US" w:eastAsia="en-AU"/>
    </w:rPr>
  </w:style>
  <w:style w:type="character" w:customStyle="1" w:styleId="StyleNotesTextBoldChar">
    <w:name w:val="Style Notes Text + Bold Char"/>
    <w:basedOn w:val="NotesTextChar"/>
    <w:link w:val="StyleNotesTextBold"/>
    <w:uiPriority w:val="99"/>
    <w:locked/>
    <w:rsid w:val="003E6989"/>
    <w:rPr>
      <w:rFonts w:ascii="Calibri" w:hAnsi="Calibri" w:cs="Arial"/>
      <w:bCs/>
      <w:sz w:val="18"/>
      <w:szCs w:val="18"/>
    </w:rPr>
  </w:style>
  <w:style w:type="paragraph" w:customStyle="1" w:styleId="StyleNotesTextBold">
    <w:name w:val="Style Notes Text + Bold"/>
    <w:basedOn w:val="NotesText0"/>
    <w:link w:val="StyleNotesTextBoldChar"/>
    <w:uiPriority w:val="99"/>
    <w:rsid w:val="003E6989"/>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3E6989"/>
    <w:rPr>
      <w:rFonts w:ascii="Calibri" w:hAnsi="Calibri" w:cs="Arial"/>
      <w:bCs/>
      <w:sz w:val="18"/>
      <w:szCs w:val="18"/>
    </w:rPr>
  </w:style>
  <w:style w:type="paragraph" w:customStyle="1" w:styleId="StyleNotesTextBold1">
    <w:name w:val="Style Notes Text + Bold1"/>
    <w:basedOn w:val="NotesText0"/>
    <w:link w:val="StyleNotesTextBold1Char"/>
    <w:uiPriority w:val="99"/>
    <w:rsid w:val="003E6989"/>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3E6989"/>
    <w:rPr>
      <w:rFonts w:ascii="Arial" w:hAnsi="Arial" w:cs="Arial"/>
      <w:b/>
      <w:sz w:val="18"/>
      <w:szCs w:val="18"/>
    </w:rPr>
  </w:style>
  <w:style w:type="paragraph" w:customStyle="1" w:styleId="StatementTextLevel1b">
    <w:name w:val="Statement Text Level 1(b)"/>
    <w:basedOn w:val="Normal"/>
    <w:link w:val="StatementTextLevel1bChar"/>
    <w:uiPriority w:val="99"/>
    <w:rsid w:val="003E6989"/>
    <w:rPr>
      <w:rFonts w:ascii="Arial" w:hAnsi="Arial" w:cs="Arial"/>
      <w:b/>
      <w:szCs w:val="18"/>
    </w:rPr>
  </w:style>
  <w:style w:type="paragraph" w:customStyle="1" w:styleId="PrimaryStatementsHeading">
    <w:name w:val="Primary Statements Heading"/>
    <w:basedOn w:val="Normal"/>
    <w:autoRedefine/>
    <w:uiPriority w:val="99"/>
    <w:rsid w:val="003E6989"/>
    <w:pPr>
      <w:spacing w:line="300" w:lineRule="exact"/>
    </w:pPr>
    <w:rPr>
      <w:b/>
      <w:sz w:val="24"/>
      <w:lang w:val="en-US"/>
    </w:rPr>
  </w:style>
  <w:style w:type="paragraph" w:customStyle="1" w:styleId="PeriodHeading">
    <w:name w:val="Period Heading"/>
    <w:basedOn w:val="PrimaryStatementsHeading"/>
    <w:uiPriority w:val="99"/>
    <w:rsid w:val="003E6989"/>
    <w:rPr>
      <w:i/>
      <w:sz w:val="22"/>
    </w:rPr>
  </w:style>
  <w:style w:type="paragraph" w:customStyle="1" w:styleId="CurrentYearDataTotalLevel1">
    <w:name w:val="Current Year Data Total Level 1"/>
    <w:basedOn w:val="Normal"/>
    <w:next w:val="Normal"/>
    <w:autoRedefine/>
    <w:uiPriority w:val="99"/>
    <w:rsid w:val="003E6989"/>
    <w:pPr>
      <w:pBdr>
        <w:top w:val="single" w:sz="4" w:space="1" w:color="auto"/>
        <w:bottom w:val="double" w:sz="6" w:space="1" w:color="auto"/>
      </w:pBdr>
      <w:jc w:val="right"/>
    </w:pPr>
    <w:rPr>
      <w:b/>
      <w:szCs w:val="16"/>
    </w:rPr>
  </w:style>
  <w:style w:type="character" w:customStyle="1" w:styleId="LineitemsHeadingChar">
    <w:name w:val="Line items Heading Char"/>
    <w:basedOn w:val="LineitemsChar"/>
    <w:link w:val="LineitemsHeading"/>
    <w:uiPriority w:val="99"/>
    <w:locked/>
    <w:rsid w:val="003E6989"/>
    <w:rPr>
      <w:rFonts w:ascii="Calibri" w:hAnsi="Calibri" w:cs="Calibri"/>
      <w:b/>
      <w:sz w:val="18"/>
    </w:rPr>
  </w:style>
  <w:style w:type="paragraph" w:customStyle="1" w:styleId="LineitemsHeading">
    <w:name w:val="Line items Heading"/>
    <w:basedOn w:val="Lineitems"/>
    <w:link w:val="LineitemsHeadingChar"/>
    <w:uiPriority w:val="99"/>
    <w:rsid w:val="003E6989"/>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3E6989"/>
    <w:pPr>
      <w:pBdr>
        <w:top w:val="single" w:sz="4" w:space="1" w:color="auto"/>
        <w:bottom w:val="double" w:sz="6" w:space="1" w:color="auto"/>
      </w:pBdr>
      <w:jc w:val="right"/>
    </w:pPr>
  </w:style>
  <w:style w:type="paragraph" w:customStyle="1" w:styleId="StyleNotesTextItalic1">
    <w:name w:val="Style Notes Text + Italic1"/>
    <w:basedOn w:val="NotesText0"/>
    <w:uiPriority w:val="99"/>
    <w:rsid w:val="003E6989"/>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3E6989"/>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3E6989"/>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3E6989"/>
    <w:pPr>
      <w:pBdr>
        <w:top w:val="single" w:sz="4" w:space="1" w:color="auto"/>
        <w:bottom w:val="single" w:sz="4" w:space="1" w:color="auto"/>
      </w:pBdr>
      <w:jc w:val="right"/>
    </w:pPr>
    <w:rPr>
      <w:rFonts w:cs="Calibri"/>
    </w:rPr>
  </w:style>
  <w:style w:type="character" w:customStyle="1" w:styleId="CurrentYearDataTotalLevel2Char">
    <w:name w:val="Current Year Data Total Level 2 Char"/>
    <w:basedOn w:val="DefaultParagraphFont"/>
    <w:link w:val="CurrentYearDataTotalLevel2"/>
    <w:uiPriority w:val="99"/>
    <w:locked/>
    <w:rsid w:val="003E6989"/>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3E6989"/>
    <w:pPr>
      <w:pBdr>
        <w:top w:val="single" w:sz="4" w:space="1" w:color="auto"/>
        <w:bottom w:val="single" w:sz="4" w:space="1" w:color="auto"/>
      </w:pBdr>
      <w:jc w:val="right"/>
    </w:pPr>
    <w:rPr>
      <w:rFonts w:cs="Calibri"/>
      <w:b/>
    </w:rPr>
  </w:style>
  <w:style w:type="paragraph" w:customStyle="1" w:styleId="DeptCurrentYearHeader">
    <w:name w:val="Dept Current Year Header"/>
    <w:basedOn w:val="Normal"/>
    <w:qFormat/>
    <w:rsid w:val="003E6989"/>
    <w:pPr>
      <w:spacing w:line="240" w:lineRule="auto"/>
      <w:jc w:val="right"/>
    </w:pPr>
    <w:rPr>
      <w:rFonts w:asciiTheme="minorHAnsi" w:hAnsiTheme="minorHAnsi" w:cstheme="minorHAnsi"/>
      <w:b/>
      <w:szCs w:val="18"/>
      <w:lang w:eastAsia="en-AU"/>
    </w:rPr>
  </w:style>
  <w:style w:type="paragraph" w:customStyle="1" w:styleId="DeptPreviousYearHeader">
    <w:name w:val="Dept Previous Year Header"/>
    <w:qFormat/>
    <w:rsid w:val="003E6989"/>
    <w:pPr>
      <w:jc w:val="right"/>
    </w:pPr>
    <w:rPr>
      <w:rFonts w:asciiTheme="minorHAnsi" w:hAnsiTheme="minorHAnsi" w:cstheme="minorHAnsi"/>
      <w:sz w:val="18"/>
      <w:szCs w:val="18"/>
      <w:lang w:eastAsia="en-AU"/>
    </w:rPr>
  </w:style>
  <w:style w:type="paragraph" w:customStyle="1" w:styleId="DeptManualEntryCell">
    <w:name w:val="Dept Manual Entry Cell"/>
    <w:basedOn w:val="Normal"/>
    <w:qFormat/>
    <w:rsid w:val="003E6989"/>
    <w:pPr>
      <w:spacing w:line="240" w:lineRule="auto"/>
      <w:jc w:val="right"/>
    </w:pPr>
    <w:rPr>
      <w:rFonts w:asciiTheme="minorHAnsi" w:hAnsiTheme="minorHAnsi" w:cstheme="minorHAnsi"/>
      <w:b/>
      <w:szCs w:val="18"/>
      <w:lang w:eastAsia="en-AU"/>
    </w:rPr>
  </w:style>
  <w:style w:type="paragraph" w:customStyle="1" w:styleId="DeptManualEntryCellUnBold">
    <w:name w:val="Dept Manual Entry Cell UnBold"/>
    <w:basedOn w:val="DeptManualEntryCell"/>
    <w:qFormat/>
    <w:rsid w:val="003E6989"/>
    <w:rPr>
      <w:b w:val="0"/>
    </w:rPr>
  </w:style>
  <w:style w:type="paragraph" w:customStyle="1" w:styleId="DeptCurrentYearTotal">
    <w:name w:val="Dept Current Year Total"/>
    <w:qFormat/>
    <w:rsid w:val="003E6989"/>
    <w:pPr>
      <w:jc w:val="right"/>
    </w:pPr>
    <w:rPr>
      <w:rFonts w:asciiTheme="minorHAnsi" w:hAnsiTheme="minorHAnsi" w:cstheme="minorHAnsi"/>
      <w:b/>
      <w:sz w:val="18"/>
      <w:szCs w:val="18"/>
      <w:lang w:eastAsia="en-AU"/>
    </w:rPr>
  </w:style>
  <w:style w:type="paragraph" w:customStyle="1" w:styleId="DeptPreviousYearTotal">
    <w:name w:val="Dept Previous Year Total"/>
    <w:qFormat/>
    <w:rsid w:val="003E6989"/>
    <w:pPr>
      <w:jc w:val="right"/>
    </w:pPr>
    <w:rPr>
      <w:rFonts w:asciiTheme="minorHAnsi" w:hAnsiTheme="minorHAnsi" w:cstheme="minorHAnsi"/>
      <w:sz w:val="18"/>
      <w:szCs w:val="18"/>
      <w:lang w:eastAsia="en-AU"/>
    </w:rPr>
  </w:style>
  <w:style w:type="paragraph" w:customStyle="1" w:styleId="DeptRowText">
    <w:name w:val="Dept Row Text"/>
    <w:qFormat/>
    <w:rsid w:val="003E6989"/>
    <w:rPr>
      <w:rFonts w:asciiTheme="minorHAnsi" w:hAnsiTheme="minorHAnsi" w:cstheme="minorHAnsi"/>
      <w:sz w:val="18"/>
      <w:szCs w:val="18"/>
      <w:lang w:eastAsia="en-AU"/>
    </w:rPr>
  </w:style>
  <w:style w:type="paragraph" w:customStyle="1" w:styleId="DeptRowTextTotal">
    <w:name w:val="Dept Row Text Total"/>
    <w:qFormat/>
    <w:rsid w:val="003E6989"/>
    <w:rPr>
      <w:rFonts w:asciiTheme="minorHAnsi" w:hAnsiTheme="minorHAnsi" w:cstheme="minorHAnsi"/>
      <w:b/>
      <w:i/>
      <w:sz w:val="18"/>
      <w:szCs w:val="18"/>
    </w:rPr>
  </w:style>
  <w:style w:type="paragraph" w:customStyle="1" w:styleId="DeptBlankBlueShade">
    <w:name w:val="Dept Blank Blue Shade"/>
    <w:basedOn w:val="DeptRowTextTotal"/>
    <w:next w:val="12line"/>
    <w:qFormat/>
    <w:rsid w:val="003E6989"/>
  </w:style>
  <w:style w:type="paragraph" w:customStyle="1" w:styleId="DeptRowTextIndent">
    <w:name w:val="Dept Row Text Indent"/>
    <w:basedOn w:val="DeptRowText"/>
    <w:qFormat/>
    <w:rsid w:val="003E6989"/>
    <w:pPr>
      <w:ind w:left="204"/>
    </w:pPr>
  </w:style>
  <w:style w:type="paragraph" w:customStyle="1" w:styleId="AdminRowTextIndent">
    <w:name w:val="Admin Row Text Indent"/>
    <w:basedOn w:val="DeptRowTextIndent"/>
    <w:qFormat/>
    <w:rsid w:val="003E6989"/>
  </w:style>
  <w:style w:type="paragraph" w:customStyle="1" w:styleId="AdminRowTextIndentGrey">
    <w:name w:val="Admin Row Text Indent Grey"/>
    <w:basedOn w:val="AdminRowTextIndent"/>
    <w:qFormat/>
    <w:rsid w:val="003E6989"/>
  </w:style>
  <w:style w:type="paragraph" w:customStyle="1" w:styleId="AdminCurrentYearDataGrey">
    <w:name w:val="Admin Current Year Data Grey"/>
    <w:qFormat/>
    <w:rsid w:val="003E6989"/>
    <w:pPr>
      <w:jc w:val="right"/>
    </w:pPr>
    <w:rPr>
      <w:rFonts w:asciiTheme="minorHAnsi" w:hAnsiTheme="minorHAnsi" w:cstheme="minorHAnsi"/>
      <w:b/>
      <w:sz w:val="18"/>
      <w:szCs w:val="18"/>
      <w:lang w:eastAsia="en-AU"/>
    </w:rPr>
  </w:style>
  <w:style w:type="paragraph" w:customStyle="1" w:styleId="AdminCurrentYearDataNormal">
    <w:name w:val="Admin Current Year Data Normal"/>
    <w:qFormat/>
    <w:rsid w:val="003E6989"/>
    <w:pPr>
      <w:jc w:val="right"/>
    </w:pPr>
    <w:rPr>
      <w:rFonts w:asciiTheme="minorHAnsi" w:hAnsiTheme="minorHAnsi" w:cstheme="minorHAnsi"/>
      <w:b/>
      <w:sz w:val="18"/>
      <w:szCs w:val="18"/>
      <w:lang w:eastAsia="en-AU"/>
    </w:rPr>
  </w:style>
  <w:style w:type="paragraph" w:customStyle="1" w:styleId="AdminPreviousYearDataGrey">
    <w:name w:val="Admin Previous Year Data Grey"/>
    <w:qFormat/>
    <w:rsid w:val="003E6989"/>
    <w:pPr>
      <w:jc w:val="right"/>
    </w:pPr>
    <w:rPr>
      <w:rFonts w:asciiTheme="minorHAnsi" w:hAnsiTheme="minorHAnsi" w:cstheme="minorHAnsi"/>
      <w:sz w:val="18"/>
      <w:szCs w:val="18"/>
      <w:lang w:eastAsia="en-AU"/>
    </w:rPr>
  </w:style>
  <w:style w:type="paragraph" w:customStyle="1" w:styleId="AdminPreviousYearDataNormal">
    <w:name w:val="Admin Previous Year Data Normal"/>
    <w:qFormat/>
    <w:rsid w:val="003E6989"/>
    <w:pPr>
      <w:jc w:val="right"/>
    </w:pPr>
    <w:rPr>
      <w:rFonts w:asciiTheme="minorHAnsi" w:hAnsiTheme="minorHAnsi" w:cstheme="minorHAnsi"/>
      <w:sz w:val="18"/>
      <w:szCs w:val="18"/>
      <w:lang w:eastAsia="en-AU"/>
    </w:rPr>
  </w:style>
  <w:style w:type="paragraph" w:customStyle="1" w:styleId="AdminHeaderlineUnderlineGrey">
    <w:name w:val="Admin Headerline Underline Grey"/>
    <w:basedOn w:val="AdminPreviousYearDataNormal"/>
    <w:next w:val="12line"/>
    <w:qFormat/>
    <w:rsid w:val="003E6989"/>
  </w:style>
  <w:style w:type="paragraph" w:customStyle="1" w:styleId="AdminBlankGreyShade">
    <w:name w:val="Admin Blank Grey Shade"/>
    <w:next w:val="12line"/>
    <w:qFormat/>
    <w:rsid w:val="003E6989"/>
    <w:pPr>
      <w:ind w:right="566"/>
    </w:pPr>
    <w:rPr>
      <w:rFonts w:asciiTheme="minorHAnsi" w:hAnsiTheme="minorHAnsi" w:cstheme="minorHAnsi"/>
      <w:sz w:val="18"/>
      <w:szCs w:val="18"/>
      <w:lang w:eastAsia="en-AU"/>
    </w:rPr>
  </w:style>
  <w:style w:type="paragraph" w:customStyle="1" w:styleId="AdminRowTextGrey">
    <w:name w:val="Admin Row Text Grey"/>
    <w:qFormat/>
    <w:rsid w:val="003E6989"/>
    <w:rPr>
      <w:rFonts w:asciiTheme="minorHAnsi" w:hAnsiTheme="minorHAnsi" w:cstheme="minorHAnsi"/>
      <w:sz w:val="18"/>
      <w:szCs w:val="18"/>
      <w:lang w:eastAsia="en-AU"/>
    </w:rPr>
  </w:style>
  <w:style w:type="paragraph" w:customStyle="1" w:styleId="AdminCurrentYearTotalGrey">
    <w:name w:val="Admin Current Year Total Grey"/>
    <w:qFormat/>
    <w:rsid w:val="003E6989"/>
    <w:pPr>
      <w:jc w:val="right"/>
    </w:pPr>
    <w:rPr>
      <w:rFonts w:asciiTheme="minorHAnsi" w:hAnsiTheme="minorHAnsi" w:cstheme="minorHAnsi"/>
      <w:b/>
      <w:sz w:val="18"/>
      <w:szCs w:val="18"/>
      <w:lang w:eastAsia="en-AU"/>
    </w:rPr>
  </w:style>
  <w:style w:type="paragraph" w:customStyle="1" w:styleId="AdminPreviousYearTotalGrey">
    <w:name w:val="Admin Previous Year Total Grey"/>
    <w:qFormat/>
    <w:rsid w:val="003E6989"/>
    <w:pPr>
      <w:jc w:val="right"/>
    </w:pPr>
    <w:rPr>
      <w:rFonts w:asciiTheme="minorHAnsi" w:hAnsiTheme="minorHAnsi" w:cstheme="minorHAnsi"/>
      <w:sz w:val="18"/>
      <w:szCs w:val="18"/>
      <w:lang w:eastAsia="en-AU"/>
    </w:rPr>
  </w:style>
  <w:style w:type="paragraph" w:customStyle="1" w:styleId="AdminManualEntryCell">
    <w:name w:val="Admin Manual Entry Cell"/>
    <w:qFormat/>
    <w:rsid w:val="003E6989"/>
    <w:pPr>
      <w:jc w:val="right"/>
    </w:pPr>
    <w:rPr>
      <w:rFonts w:asciiTheme="minorHAnsi" w:hAnsiTheme="minorHAnsi" w:cstheme="minorHAnsi"/>
      <w:b/>
      <w:sz w:val="18"/>
      <w:szCs w:val="18"/>
      <w:lang w:eastAsia="en-AU"/>
    </w:rPr>
  </w:style>
  <w:style w:type="paragraph" w:customStyle="1" w:styleId="AdminManualEntryCellUnbold">
    <w:name w:val="Admin Manual Entry Cell Unbold"/>
    <w:qFormat/>
    <w:rsid w:val="003E6989"/>
    <w:pPr>
      <w:jc w:val="right"/>
    </w:pPr>
    <w:rPr>
      <w:rFonts w:asciiTheme="minorHAnsi" w:hAnsiTheme="minorHAnsi" w:cstheme="minorHAnsi"/>
      <w:sz w:val="18"/>
      <w:szCs w:val="18"/>
      <w:lang w:eastAsia="en-AU"/>
    </w:rPr>
  </w:style>
  <w:style w:type="paragraph" w:customStyle="1" w:styleId="AdminRowTextHeaderBoldGrey">
    <w:name w:val="Admin Row Text Header Bold Grey"/>
    <w:qFormat/>
    <w:rsid w:val="003E6989"/>
    <w:rPr>
      <w:rFonts w:asciiTheme="minorHAnsi" w:hAnsiTheme="minorHAnsi" w:cstheme="minorHAnsi"/>
      <w:b/>
      <w:sz w:val="18"/>
      <w:szCs w:val="18"/>
      <w:lang w:eastAsia="en-AU"/>
    </w:rPr>
  </w:style>
  <w:style w:type="paragraph" w:customStyle="1" w:styleId="DeptCurrentYearData">
    <w:name w:val="Dept Current Year Data"/>
    <w:qFormat/>
    <w:rsid w:val="003E6989"/>
    <w:pPr>
      <w:jc w:val="right"/>
    </w:pPr>
    <w:rPr>
      <w:rFonts w:asciiTheme="minorHAnsi" w:hAnsiTheme="minorHAnsi" w:cstheme="minorHAnsi"/>
      <w:b/>
      <w:sz w:val="18"/>
      <w:szCs w:val="18"/>
      <w:lang w:eastAsia="en-AU"/>
    </w:rPr>
  </w:style>
  <w:style w:type="paragraph" w:customStyle="1" w:styleId="DeptPreviousYearData">
    <w:name w:val="Dept Previous Year Data"/>
    <w:qFormat/>
    <w:rsid w:val="003E6989"/>
    <w:pPr>
      <w:jc w:val="right"/>
    </w:pPr>
    <w:rPr>
      <w:rFonts w:asciiTheme="minorHAnsi" w:hAnsiTheme="minorHAnsi" w:cstheme="minorHAnsi"/>
      <w:sz w:val="18"/>
      <w:szCs w:val="18"/>
      <w:lang w:eastAsia="en-AU"/>
    </w:rPr>
  </w:style>
  <w:style w:type="paragraph" w:customStyle="1" w:styleId="DeptNoteHeadingUnderlined">
    <w:name w:val="Dept Note Heading Underlined"/>
    <w:qFormat/>
    <w:rsid w:val="003E6989"/>
    <w:rPr>
      <w:rFonts w:asciiTheme="minorHAnsi" w:hAnsiTheme="minorHAnsi" w:cstheme="minorHAnsi"/>
      <w:b/>
      <w:sz w:val="18"/>
      <w:szCs w:val="18"/>
      <w:u w:val="single"/>
      <w:lang w:eastAsia="en-AU"/>
    </w:rPr>
  </w:style>
  <w:style w:type="paragraph" w:customStyle="1" w:styleId="DeptCurrentYearSubTotal">
    <w:name w:val="Dept Current Year SubTotal"/>
    <w:qFormat/>
    <w:rsid w:val="003E6989"/>
    <w:pPr>
      <w:jc w:val="right"/>
    </w:pPr>
    <w:rPr>
      <w:rFonts w:asciiTheme="minorHAnsi" w:hAnsiTheme="minorHAnsi" w:cstheme="minorHAnsi"/>
      <w:b/>
      <w:sz w:val="18"/>
      <w:szCs w:val="18"/>
      <w:lang w:eastAsia="en-AU"/>
    </w:rPr>
  </w:style>
  <w:style w:type="paragraph" w:customStyle="1" w:styleId="AdminCurrentYearSubTotal">
    <w:name w:val="Admin Current Year SubTotal"/>
    <w:qFormat/>
    <w:rsid w:val="003E6989"/>
    <w:pPr>
      <w:jc w:val="right"/>
    </w:pPr>
    <w:rPr>
      <w:rFonts w:asciiTheme="minorHAnsi" w:hAnsiTheme="minorHAnsi" w:cstheme="minorHAnsi"/>
      <w:b/>
      <w:sz w:val="18"/>
      <w:szCs w:val="18"/>
      <w:lang w:eastAsia="en-AU"/>
    </w:rPr>
  </w:style>
  <w:style w:type="paragraph" w:customStyle="1" w:styleId="DeptNoteReference">
    <w:name w:val="Dept Note Reference"/>
    <w:basedOn w:val="AdminCurrentYearSubTotal"/>
    <w:qFormat/>
    <w:rsid w:val="003E6989"/>
    <w:pPr>
      <w:jc w:val="center"/>
    </w:pPr>
    <w:rPr>
      <w:b w:val="0"/>
    </w:rPr>
  </w:style>
  <w:style w:type="paragraph" w:customStyle="1" w:styleId="DeptRowTextDoubleIndent">
    <w:name w:val="Dept Row Text Double Indent"/>
    <w:basedOn w:val="DeptNoteReference"/>
    <w:qFormat/>
    <w:rsid w:val="003E6989"/>
    <w:pPr>
      <w:tabs>
        <w:tab w:val="left" w:pos="204"/>
      </w:tabs>
      <w:ind w:left="487"/>
      <w:jc w:val="left"/>
    </w:pPr>
  </w:style>
  <w:style w:type="paragraph" w:customStyle="1" w:styleId="AdminRowTextSubTotal">
    <w:name w:val="Admin Row Text SubTotal"/>
    <w:qFormat/>
    <w:rsid w:val="003E6989"/>
    <w:rPr>
      <w:rFonts w:asciiTheme="minorHAnsi" w:hAnsiTheme="minorHAnsi" w:cstheme="minorHAnsi"/>
      <w:sz w:val="18"/>
      <w:szCs w:val="18"/>
      <w:lang w:eastAsia="en-AU"/>
    </w:rPr>
  </w:style>
  <w:style w:type="paragraph" w:customStyle="1" w:styleId="DeptRowTextHeader">
    <w:name w:val="Dept Row Text Header"/>
    <w:qFormat/>
    <w:rsid w:val="003E6989"/>
    <w:rPr>
      <w:rFonts w:asciiTheme="minorHAnsi" w:hAnsiTheme="minorHAnsi" w:cstheme="minorHAnsi"/>
      <w:b/>
      <w:sz w:val="18"/>
      <w:szCs w:val="18"/>
      <w:lang w:eastAsia="en-AU"/>
    </w:rPr>
  </w:style>
  <w:style w:type="paragraph" w:customStyle="1" w:styleId="DeptPreviousYearSubTotal">
    <w:name w:val="Dept Previous Year SubTotal"/>
    <w:qFormat/>
    <w:rsid w:val="003E6989"/>
    <w:pPr>
      <w:jc w:val="right"/>
    </w:pPr>
    <w:rPr>
      <w:rFonts w:asciiTheme="minorHAnsi" w:hAnsiTheme="minorHAnsi" w:cstheme="minorHAnsi"/>
      <w:sz w:val="18"/>
      <w:szCs w:val="18"/>
      <w:lang w:eastAsia="en-AU"/>
    </w:rPr>
  </w:style>
  <w:style w:type="paragraph" w:customStyle="1" w:styleId="AdminCurrentYearHeadersGrey">
    <w:name w:val="Admin Current Year Headers Grey"/>
    <w:qFormat/>
    <w:rsid w:val="003E6989"/>
    <w:pPr>
      <w:jc w:val="right"/>
    </w:pPr>
    <w:rPr>
      <w:rFonts w:asciiTheme="minorHAnsi" w:hAnsiTheme="minorHAnsi" w:cstheme="minorHAnsi"/>
      <w:b/>
      <w:sz w:val="18"/>
      <w:szCs w:val="18"/>
      <w:lang w:eastAsia="en-AU"/>
    </w:rPr>
  </w:style>
  <w:style w:type="paragraph" w:customStyle="1" w:styleId="AdminPreviousYearHeadersGrey">
    <w:name w:val="Admin Previous Year Headers Grey"/>
    <w:basedOn w:val="AdminCurrentYearHeadersGrey"/>
    <w:qFormat/>
    <w:rsid w:val="003E6989"/>
  </w:style>
  <w:style w:type="paragraph" w:customStyle="1" w:styleId="AdminHeaderUnderlineGrey">
    <w:name w:val="Admin Header Underline Grey"/>
    <w:qFormat/>
    <w:rsid w:val="003E6989"/>
    <w:rPr>
      <w:rFonts w:asciiTheme="minorHAnsi" w:hAnsiTheme="minorHAnsi" w:cstheme="minorHAnsi"/>
      <w:b/>
      <w:sz w:val="18"/>
      <w:szCs w:val="18"/>
      <w:u w:val="single"/>
      <w:lang w:eastAsia="en-AU"/>
    </w:rPr>
  </w:style>
  <w:style w:type="paragraph" w:customStyle="1" w:styleId="AdminPreviousYearHeaderGrey">
    <w:name w:val="Admin Previous Year Header Grey"/>
    <w:qFormat/>
    <w:rsid w:val="003E6989"/>
    <w:pPr>
      <w:jc w:val="right"/>
    </w:pPr>
    <w:rPr>
      <w:rFonts w:ascii="Calibri" w:hAnsi="Calibri" w:cs="Calibri"/>
      <w:sz w:val="18"/>
      <w:szCs w:val="18"/>
    </w:rPr>
  </w:style>
  <w:style w:type="paragraph" w:customStyle="1" w:styleId="AdminRowTextNormal">
    <w:name w:val="Admin Row Text Normal"/>
    <w:qFormat/>
    <w:rsid w:val="003E6989"/>
    <w:rPr>
      <w:rFonts w:ascii="Calibri" w:hAnsi="Calibri" w:cs="Calibri"/>
      <w:sz w:val="18"/>
      <w:szCs w:val="18"/>
    </w:rPr>
  </w:style>
  <w:style w:type="paragraph" w:customStyle="1" w:styleId="AdminRowTextTotal">
    <w:name w:val="Admin Row Text Total"/>
    <w:basedOn w:val="Normal"/>
    <w:qFormat/>
    <w:rsid w:val="003E6989"/>
    <w:rPr>
      <w:rFonts w:cs="Calibri"/>
      <w:b/>
      <w:bCs/>
      <w:i/>
      <w:iCs/>
      <w:szCs w:val="18"/>
    </w:rPr>
  </w:style>
  <w:style w:type="paragraph" w:customStyle="1" w:styleId="DeptRowTextSubTotal">
    <w:name w:val="Dept Row Text SubTotal"/>
    <w:basedOn w:val="Normal"/>
    <w:qFormat/>
    <w:rsid w:val="003E6989"/>
    <w:rPr>
      <w:rFonts w:cs="Calibri"/>
      <w:b/>
      <w:bCs/>
      <w:szCs w:val="18"/>
    </w:rPr>
  </w:style>
  <w:style w:type="paragraph" w:customStyle="1" w:styleId="DeptManualEntryBoldGreyShade">
    <w:name w:val="Dept Manual Entry Bold Grey Shade"/>
    <w:qFormat/>
    <w:rsid w:val="003E6989"/>
    <w:pPr>
      <w:jc w:val="right"/>
    </w:pPr>
    <w:rPr>
      <w:rFonts w:ascii="Calibri" w:hAnsi="Calibri" w:cs="Calibri"/>
      <w:b/>
      <w:bCs/>
      <w:sz w:val="18"/>
      <w:szCs w:val="18"/>
    </w:rPr>
  </w:style>
  <w:style w:type="paragraph" w:customStyle="1" w:styleId="DeptManualEntryCellUnboldGreyShade">
    <w:name w:val="Dept Manual Entry Cell Unbold Grey Shade"/>
    <w:basedOn w:val="DeptManualEntryBoldGreyShade"/>
    <w:qFormat/>
    <w:rsid w:val="003E6989"/>
    <w:rPr>
      <w:b w:val="0"/>
    </w:rPr>
  </w:style>
  <w:style w:type="paragraph" w:customStyle="1" w:styleId="AdminHeaderCentered">
    <w:name w:val="Admin Header Centered"/>
    <w:basedOn w:val="AdminRowTextHeaderBoldGrey"/>
    <w:qFormat/>
    <w:rsid w:val="003E6989"/>
    <w:pPr>
      <w:jc w:val="center"/>
    </w:pPr>
  </w:style>
  <w:style w:type="paragraph" w:customStyle="1" w:styleId="AdminNoteReferenceGrey">
    <w:name w:val="Admin Note Reference Grey"/>
    <w:qFormat/>
    <w:rsid w:val="003E6989"/>
    <w:pPr>
      <w:jc w:val="center"/>
    </w:pPr>
    <w:rPr>
      <w:rFonts w:ascii="Calibri" w:hAnsi="Calibri" w:cs="Calibri"/>
      <w:sz w:val="18"/>
      <w:szCs w:val="18"/>
    </w:rPr>
  </w:style>
  <w:style w:type="paragraph" w:customStyle="1" w:styleId="DeptHeaderCentered">
    <w:name w:val="Dept Header Centered"/>
    <w:qFormat/>
    <w:rsid w:val="003E6989"/>
    <w:pPr>
      <w:jc w:val="center"/>
    </w:pPr>
    <w:rPr>
      <w:rFonts w:asciiTheme="minorHAnsi" w:hAnsiTheme="minorHAnsi" w:cstheme="minorHAnsi"/>
      <w:b/>
      <w:sz w:val="18"/>
      <w:szCs w:val="18"/>
      <w:lang w:eastAsia="en-AU"/>
    </w:rPr>
  </w:style>
  <w:style w:type="paragraph" w:customStyle="1" w:styleId="NotesHeading-Level1GreyShade">
    <w:name w:val="Notes Heading - Level 1 Grey Shade"/>
    <w:basedOn w:val="NotesHeading-Level1"/>
    <w:qFormat/>
    <w:rsid w:val="003E6989"/>
    <w:pPr>
      <w:numPr>
        <w:numId w:val="11"/>
      </w:numPr>
      <w:shd w:val="clear" w:color="auto" w:fill="D9D9D9" w:themeFill="background1" w:themeFillShade="D9"/>
      <w:tabs>
        <w:tab w:val="clear" w:pos="360"/>
        <w:tab w:val="num" w:pos="283"/>
      </w:tabs>
      <w:ind w:left="283" w:hanging="283"/>
    </w:pPr>
    <w:rPr>
      <w:rFonts w:cstheme="minorHAnsi"/>
    </w:rPr>
  </w:style>
  <w:style w:type="paragraph" w:customStyle="1" w:styleId="UnderlineItalics">
    <w:name w:val="Underline Italics"/>
    <w:basedOn w:val="Normal"/>
    <w:qFormat/>
    <w:rsid w:val="003E6989"/>
    <w:rPr>
      <w:i/>
      <w:u w:val="single"/>
    </w:rPr>
  </w:style>
  <w:style w:type="paragraph" w:customStyle="1" w:styleId="Default">
    <w:name w:val="Default"/>
    <w:rsid w:val="003E6989"/>
    <w:pPr>
      <w:autoSpaceDE w:val="0"/>
      <w:autoSpaceDN w:val="0"/>
      <w:adjustRightInd w:val="0"/>
    </w:pPr>
    <w:rPr>
      <w:rFonts w:ascii="Arial" w:hAnsi="Arial" w:cs="Arial"/>
      <w:color w:val="000000"/>
      <w:sz w:val="24"/>
      <w:szCs w:val="24"/>
      <w:lang w:eastAsia="en-AU"/>
    </w:rPr>
  </w:style>
  <w:style w:type="character" w:customStyle="1" w:styleId="A18">
    <w:name w:val="A18"/>
    <w:uiPriority w:val="99"/>
    <w:rsid w:val="003E6989"/>
    <w:rPr>
      <w:i/>
      <w:iCs/>
      <w:color w:val="000000"/>
      <w:sz w:val="14"/>
      <w:szCs w:val="14"/>
      <w:u w:val="single"/>
    </w:rPr>
  </w:style>
  <w:style w:type="table" w:customStyle="1" w:styleId="TableGrid1">
    <w:name w:val="Table Grid1"/>
    <w:basedOn w:val="TableNormal"/>
    <w:rsid w:val="003E698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3E6989"/>
    <w:pPr>
      <w:numPr>
        <w:numId w:val="0"/>
      </w:numPr>
      <w:spacing w:line="240" w:lineRule="auto"/>
      <w:outlineLvl w:val="9"/>
    </w:pPr>
  </w:style>
  <w:style w:type="numbering" w:customStyle="1" w:styleId="CurrentList2">
    <w:name w:val="Current List2"/>
    <w:rsid w:val="003E6989"/>
    <w:pPr>
      <w:numPr>
        <w:numId w:val="13"/>
      </w:numPr>
    </w:pPr>
  </w:style>
  <w:style w:type="numbering" w:customStyle="1" w:styleId="Style2">
    <w:name w:val="Style2"/>
    <w:rsid w:val="003E6989"/>
    <w:pPr>
      <w:numPr>
        <w:numId w:val="14"/>
      </w:numPr>
    </w:pPr>
  </w:style>
  <w:style w:type="numbering" w:customStyle="1" w:styleId="CurrentList1">
    <w:name w:val="Current List1"/>
    <w:rsid w:val="003E6989"/>
    <w:pPr>
      <w:numPr>
        <w:numId w:val="15"/>
      </w:numPr>
    </w:pPr>
  </w:style>
  <w:style w:type="paragraph" w:customStyle="1" w:styleId="font5">
    <w:name w:val="font5"/>
    <w:basedOn w:val="Normal"/>
    <w:rsid w:val="003E6989"/>
    <w:pPr>
      <w:spacing w:before="100" w:beforeAutospacing="1" w:after="100" w:afterAutospacing="1" w:line="240" w:lineRule="auto"/>
    </w:pPr>
    <w:rPr>
      <w:b/>
      <w:bCs/>
      <w:szCs w:val="18"/>
      <w:lang w:eastAsia="en-AU"/>
    </w:rPr>
  </w:style>
  <w:style w:type="paragraph" w:customStyle="1" w:styleId="font6">
    <w:name w:val="font6"/>
    <w:basedOn w:val="Normal"/>
    <w:rsid w:val="003E6989"/>
    <w:pPr>
      <w:spacing w:before="100" w:beforeAutospacing="1" w:after="100" w:afterAutospacing="1" w:line="240" w:lineRule="auto"/>
    </w:pPr>
    <w:rPr>
      <w:szCs w:val="18"/>
      <w:lang w:eastAsia="en-AU"/>
    </w:rPr>
  </w:style>
  <w:style w:type="paragraph" w:customStyle="1" w:styleId="xl141">
    <w:name w:val="xl141"/>
    <w:basedOn w:val="Normal"/>
    <w:rsid w:val="003E6989"/>
    <w:pPr>
      <w:spacing w:before="100" w:beforeAutospacing="1" w:after="100" w:afterAutospacing="1" w:line="240" w:lineRule="auto"/>
    </w:pPr>
    <w:rPr>
      <w:rFonts w:ascii="Times New Roman" w:hAnsi="Times New Roman"/>
      <w:sz w:val="16"/>
      <w:szCs w:val="16"/>
      <w:lang w:eastAsia="en-AU"/>
    </w:rPr>
  </w:style>
  <w:style w:type="paragraph" w:customStyle="1" w:styleId="xl142">
    <w:name w:val="xl142"/>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right"/>
    </w:pPr>
    <w:rPr>
      <w:b/>
      <w:bCs/>
      <w:szCs w:val="18"/>
      <w:lang w:eastAsia="en-AU"/>
    </w:rPr>
  </w:style>
  <w:style w:type="paragraph" w:customStyle="1" w:styleId="xl143">
    <w:name w:val="xl143"/>
    <w:basedOn w:val="Normal"/>
    <w:rsid w:val="003E6989"/>
    <w:pPr>
      <w:shd w:val="clear" w:color="FFFFFF" w:fill="FFFFFF"/>
      <w:spacing w:before="100" w:beforeAutospacing="1" w:after="100" w:afterAutospacing="1" w:line="240" w:lineRule="auto"/>
      <w:ind w:firstLineChars="100" w:firstLine="100"/>
    </w:pPr>
    <w:rPr>
      <w:szCs w:val="18"/>
      <w:lang w:eastAsia="en-AU"/>
    </w:rPr>
  </w:style>
  <w:style w:type="paragraph" w:customStyle="1" w:styleId="xl144">
    <w:name w:val="xl144"/>
    <w:basedOn w:val="Normal"/>
    <w:rsid w:val="003E6989"/>
    <w:pPr>
      <w:pBdr>
        <w:bottom w:val="single" w:sz="4" w:space="0" w:color="auto"/>
      </w:pBdr>
      <w:shd w:val="clear" w:color="FFFFFF" w:fill="FFFFFF"/>
      <w:spacing w:before="100" w:beforeAutospacing="1" w:after="100" w:afterAutospacing="1" w:line="240" w:lineRule="auto"/>
      <w:jc w:val="right"/>
    </w:pPr>
    <w:rPr>
      <w:b/>
      <w:bCs/>
      <w:szCs w:val="18"/>
      <w:lang w:eastAsia="en-AU"/>
    </w:rPr>
  </w:style>
  <w:style w:type="paragraph" w:customStyle="1" w:styleId="xl145">
    <w:name w:val="xl145"/>
    <w:basedOn w:val="Normal"/>
    <w:rsid w:val="003E6989"/>
    <w:pPr>
      <w:shd w:val="clear" w:color="FFFFFF" w:fill="FFFFFF"/>
      <w:spacing w:before="100" w:beforeAutospacing="1" w:after="100" w:afterAutospacing="1" w:line="240" w:lineRule="auto"/>
    </w:pPr>
    <w:rPr>
      <w:b/>
      <w:bCs/>
      <w:szCs w:val="18"/>
      <w:lang w:eastAsia="en-AU"/>
    </w:rPr>
  </w:style>
  <w:style w:type="paragraph" w:customStyle="1" w:styleId="xl146">
    <w:name w:val="xl146"/>
    <w:basedOn w:val="Normal"/>
    <w:rsid w:val="003E6989"/>
    <w:pPr>
      <w:shd w:val="clear" w:color="FFFFFF" w:fill="FFFFFF"/>
      <w:spacing w:before="100" w:beforeAutospacing="1" w:after="100" w:afterAutospacing="1" w:line="240" w:lineRule="auto"/>
    </w:pPr>
    <w:rPr>
      <w:b/>
      <w:bCs/>
      <w:szCs w:val="18"/>
      <w:lang w:eastAsia="en-AU"/>
    </w:rPr>
  </w:style>
  <w:style w:type="paragraph" w:customStyle="1" w:styleId="xl147">
    <w:name w:val="xl147"/>
    <w:basedOn w:val="Normal"/>
    <w:rsid w:val="003E6989"/>
    <w:pPr>
      <w:shd w:val="clear" w:color="FFFFFF" w:fill="FFFFFF"/>
      <w:spacing w:before="100" w:beforeAutospacing="1" w:after="100" w:afterAutospacing="1" w:line="240" w:lineRule="auto"/>
    </w:pPr>
    <w:rPr>
      <w:rFonts w:ascii="Times New Roman" w:hAnsi="Times New Roman"/>
      <w:szCs w:val="18"/>
      <w:lang w:eastAsia="en-AU"/>
    </w:rPr>
  </w:style>
  <w:style w:type="paragraph" w:customStyle="1" w:styleId="xl148">
    <w:name w:val="xl148"/>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49">
    <w:name w:val="xl149"/>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rFonts w:ascii="Times New Roman" w:hAnsi="Times New Roman"/>
      <w:szCs w:val="18"/>
      <w:lang w:eastAsia="en-AU"/>
    </w:rPr>
  </w:style>
  <w:style w:type="paragraph" w:customStyle="1" w:styleId="xl150">
    <w:name w:val="xl150"/>
    <w:basedOn w:val="Normal"/>
    <w:rsid w:val="003E6989"/>
    <w:pPr>
      <w:pBdr>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51">
    <w:name w:val="xl151"/>
    <w:basedOn w:val="Normal"/>
    <w:rsid w:val="003E6989"/>
    <w:pPr>
      <w:pBdr>
        <w:top w:val="single" w:sz="4" w:space="0" w:color="auto"/>
        <w:bottom w:val="single" w:sz="4" w:space="0" w:color="auto"/>
      </w:pBdr>
      <w:shd w:val="clear" w:color="FFFFFF" w:fill="FFFFFF"/>
      <w:spacing w:before="100" w:beforeAutospacing="1" w:after="100" w:afterAutospacing="1" w:line="240" w:lineRule="auto"/>
    </w:pPr>
    <w:rPr>
      <w:b/>
      <w:bCs/>
      <w:szCs w:val="18"/>
      <w:lang w:eastAsia="en-AU"/>
    </w:rPr>
  </w:style>
  <w:style w:type="paragraph" w:customStyle="1" w:styleId="xl152">
    <w:name w:val="xl152"/>
    <w:basedOn w:val="Normal"/>
    <w:rsid w:val="003E6989"/>
    <w:pPr>
      <w:shd w:val="clear" w:color="FFFFFF" w:fill="FFFFFF"/>
      <w:spacing w:before="100" w:beforeAutospacing="1" w:after="100" w:afterAutospacing="1" w:line="240" w:lineRule="auto"/>
    </w:pPr>
    <w:rPr>
      <w:szCs w:val="18"/>
      <w:lang w:eastAsia="en-AU"/>
    </w:rPr>
  </w:style>
  <w:style w:type="paragraph" w:customStyle="1" w:styleId="xl153">
    <w:name w:val="xl153"/>
    <w:basedOn w:val="Normal"/>
    <w:rsid w:val="003E6989"/>
    <w:pPr>
      <w:shd w:val="clear" w:color="FFFFFF" w:fill="FFFFFF"/>
      <w:spacing w:before="100" w:beforeAutospacing="1" w:after="100" w:afterAutospacing="1" w:line="240" w:lineRule="auto"/>
      <w:jc w:val="right"/>
    </w:pPr>
    <w:rPr>
      <w:b/>
      <w:bCs/>
      <w:szCs w:val="18"/>
      <w:lang w:eastAsia="en-AU"/>
    </w:rPr>
  </w:style>
  <w:style w:type="paragraph" w:customStyle="1" w:styleId="xl154">
    <w:name w:val="xl154"/>
    <w:basedOn w:val="Normal"/>
    <w:rsid w:val="003E6989"/>
    <w:pPr>
      <w:shd w:val="clear" w:color="000000" w:fill="4F81BD"/>
      <w:spacing w:before="100" w:beforeAutospacing="1" w:after="100" w:afterAutospacing="1" w:line="240" w:lineRule="auto"/>
    </w:pPr>
    <w:rPr>
      <w:rFonts w:ascii="Times New Roman" w:hAnsi="Times New Roman"/>
      <w:color w:val="FFFFFF"/>
      <w:sz w:val="16"/>
      <w:szCs w:val="16"/>
      <w:lang w:eastAsia="en-AU"/>
    </w:rPr>
  </w:style>
  <w:style w:type="paragraph" w:customStyle="1" w:styleId="xl155">
    <w:name w:val="xl155"/>
    <w:basedOn w:val="Normal"/>
    <w:rsid w:val="003E6989"/>
    <w:pPr>
      <w:shd w:val="clear" w:color="FFFFFF" w:fill="FFFFFF"/>
      <w:spacing w:before="100" w:beforeAutospacing="1" w:after="100" w:afterAutospacing="1" w:line="240" w:lineRule="auto"/>
      <w:textAlignment w:val="top"/>
    </w:pPr>
    <w:rPr>
      <w:b/>
      <w:bCs/>
      <w:szCs w:val="18"/>
      <w:lang w:eastAsia="en-AU"/>
    </w:rPr>
  </w:style>
  <w:style w:type="paragraph" w:customStyle="1" w:styleId="xl156">
    <w:name w:val="xl156"/>
    <w:basedOn w:val="Normal"/>
    <w:rsid w:val="003E6989"/>
    <w:pPr>
      <w:shd w:val="clear" w:color="FFFFFF" w:fill="FFFFFF"/>
      <w:spacing w:before="100" w:beforeAutospacing="1" w:after="100" w:afterAutospacing="1" w:line="240" w:lineRule="auto"/>
      <w:textAlignment w:val="top"/>
    </w:pPr>
    <w:rPr>
      <w:rFonts w:ascii="Times New Roman" w:hAnsi="Times New Roman"/>
      <w:b/>
      <w:bCs/>
      <w:szCs w:val="18"/>
      <w:lang w:eastAsia="en-AU"/>
    </w:rPr>
  </w:style>
  <w:style w:type="paragraph" w:customStyle="1" w:styleId="xl157">
    <w:name w:val="xl157"/>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58">
    <w:name w:val="xl158"/>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59">
    <w:name w:val="xl159"/>
    <w:basedOn w:val="Normal"/>
    <w:rsid w:val="003E6989"/>
    <w:pPr>
      <w:shd w:val="clear" w:color="FFFFFF" w:fill="FFFFFF"/>
      <w:spacing w:before="100" w:beforeAutospacing="1" w:after="100" w:afterAutospacing="1" w:line="240" w:lineRule="auto"/>
    </w:pPr>
    <w:rPr>
      <w:rFonts w:cs="Calibri"/>
      <w:b/>
      <w:bCs/>
      <w:szCs w:val="18"/>
      <w:u w:val="single"/>
      <w:lang w:eastAsia="en-AU"/>
    </w:rPr>
  </w:style>
  <w:style w:type="paragraph" w:customStyle="1" w:styleId="xl160">
    <w:name w:val="xl160"/>
    <w:basedOn w:val="Normal"/>
    <w:rsid w:val="003E6989"/>
    <w:pPr>
      <w:shd w:val="clear" w:color="FFFFFF" w:fill="FFFFFF"/>
      <w:spacing w:before="100" w:beforeAutospacing="1" w:after="100" w:afterAutospacing="1" w:line="240" w:lineRule="auto"/>
    </w:pPr>
    <w:rPr>
      <w:rFonts w:cs="Calibri"/>
      <w:b/>
      <w:bCs/>
      <w:szCs w:val="18"/>
      <w:u w:val="single"/>
      <w:lang w:eastAsia="en-AU"/>
    </w:rPr>
  </w:style>
  <w:style w:type="paragraph" w:customStyle="1" w:styleId="xl161">
    <w:name w:val="xl161"/>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center"/>
    </w:pPr>
    <w:rPr>
      <w:rFonts w:cs="Calibri"/>
      <w:b/>
      <w:bCs/>
      <w:szCs w:val="18"/>
      <w:lang w:eastAsia="en-AU"/>
    </w:rPr>
  </w:style>
  <w:style w:type="paragraph" w:customStyle="1" w:styleId="xl162">
    <w:name w:val="xl162"/>
    <w:basedOn w:val="Normal"/>
    <w:rsid w:val="003E6989"/>
    <w:pPr>
      <w:shd w:val="clear" w:color="FFFFFF" w:fill="FFFFFF"/>
      <w:spacing w:before="100" w:beforeAutospacing="1" w:after="100" w:afterAutospacing="1" w:line="240" w:lineRule="auto"/>
      <w:jc w:val="right"/>
    </w:pPr>
    <w:rPr>
      <w:rFonts w:cs="Calibri"/>
      <w:szCs w:val="18"/>
      <w:lang w:eastAsia="en-AU"/>
    </w:rPr>
  </w:style>
  <w:style w:type="paragraph" w:customStyle="1" w:styleId="xl163">
    <w:name w:val="xl163"/>
    <w:basedOn w:val="Normal"/>
    <w:rsid w:val="003E6989"/>
    <w:pPr>
      <w:pBdr>
        <w:top w:val="single" w:sz="4" w:space="0" w:color="auto"/>
        <w:bottom w:val="single" w:sz="4" w:space="0" w:color="auto"/>
      </w:pBdr>
      <w:shd w:val="clear" w:color="FFFFFF" w:fill="FFFFFF"/>
      <w:spacing w:before="100" w:beforeAutospacing="1" w:after="100" w:afterAutospacing="1" w:line="240" w:lineRule="auto"/>
      <w:jc w:val="right"/>
    </w:pPr>
    <w:rPr>
      <w:rFonts w:cs="Calibri"/>
      <w:szCs w:val="18"/>
      <w:lang w:eastAsia="en-AU"/>
    </w:rPr>
  </w:style>
  <w:style w:type="paragraph" w:styleId="TOCHeading">
    <w:name w:val="TOC Heading"/>
    <w:basedOn w:val="Heading1"/>
    <w:next w:val="Normal"/>
    <w:uiPriority w:val="39"/>
    <w:unhideWhenUsed/>
    <w:qFormat/>
    <w:rsid w:val="003E6989"/>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customStyle="1" w:styleId="xl164">
    <w:name w:val="xl164"/>
    <w:basedOn w:val="Normal"/>
    <w:rsid w:val="003E6989"/>
    <w:pPr>
      <w:shd w:val="clear" w:color="000000" w:fill="D9D9D9"/>
      <w:spacing w:before="100" w:beforeAutospacing="1" w:after="100" w:afterAutospacing="1" w:line="240" w:lineRule="auto"/>
    </w:pPr>
    <w:rPr>
      <w:rFonts w:ascii="Times New Roman" w:hAnsi="Times New Roman"/>
      <w:szCs w:val="18"/>
      <w:lang w:eastAsia="en-AU"/>
    </w:rPr>
  </w:style>
  <w:style w:type="paragraph" w:customStyle="1" w:styleId="subcategoryheading">
    <w:name w:val="subcategory heading"/>
    <w:basedOn w:val="ListParagraph"/>
    <w:link w:val="subcategoryheadingChar"/>
    <w:qFormat/>
    <w:rsid w:val="003E6989"/>
    <w:pPr>
      <w:numPr>
        <w:ilvl w:val="1"/>
        <w:numId w:val="20"/>
      </w:numPr>
      <w:spacing w:after="0" w:line="260" w:lineRule="atLeast"/>
      <w:ind w:right="566"/>
    </w:pPr>
  </w:style>
  <w:style w:type="paragraph" w:customStyle="1" w:styleId="SectionHeading">
    <w:name w:val="Section Heading"/>
    <w:basedOn w:val="NotesHeading-Level1"/>
    <w:link w:val="SectionHeadingChar"/>
    <w:qFormat/>
    <w:rsid w:val="003E6989"/>
    <w:pPr>
      <w:numPr>
        <w:numId w:val="21"/>
      </w:numPr>
      <w:shd w:val="clear" w:color="00CC99" w:fill="009560"/>
    </w:pPr>
    <w:rPr>
      <w:rFonts w:ascii="Arial" w:hAnsi="Arial"/>
      <w:color w:val="FFFFFF" w:themeColor="background1"/>
      <w:sz w:val="24"/>
    </w:rPr>
  </w:style>
  <w:style w:type="character" w:customStyle="1" w:styleId="ListParagraphChar">
    <w:name w:val="List Paragraph Char"/>
    <w:basedOn w:val="DefaultParagraphFont"/>
    <w:link w:val="ListParagraph"/>
    <w:uiPriority w:val="34"/>
    <w:rsid w:val="003E6989"/>
    <w:rPr>
      <w:rFonts w:ascii="Calibri" w:eastAsia="Calibri" w:hAnsi="Calibri"/>
      <w:sz w:val="22"/>
      <w:szCs w:val="22"/>
      <w:lang w:val="en-US"/>
    </w:rPr>
  </w:style>
  <w:style w:type="character" w:customStyle="1" w:styleId="subcategoryheadingChar">
    <w:name w:val="subcategory heading Char"/>
    <w:basedOn w:val="ListParagraphChar"/>
    <w:link w:val="subcategoryheading"/>
    <w:rsid w:val="003E6989"/>
    <w:rPr>
      <w:rFonts w:ascii="Calibri" w:eastAsia="Calibri" w:hAnsi="Calibri"/>
      <w:sz w:val="22"/>
      <w:szCs w:val="22"/>
      <w:lang w:val="en-US"/>
    </w:rPr>
  </w:style>
  <w:style w:type="character" w:customStyle="1" w:styleId="SectionHeadingChar">
    <w:name w:val="Section Heading Char"/>
    <w:basedOn w:val="DefaultParagraphFont"/>
    <w:link w:val="SectionHeading"/>
    <w:rsid w:val="003E6989"/>
    <w:rPr>
      <w:rFonts w:ascii="Arial" w:hAnsi="Arial"/>
      <w:b/>
      <w:color w:val="FFFFFF" w:themeColor="background1"/>
      <w:sz w:val="24"/>
      <w:shd w:val="clear" w:color="00CC99" w:fill="009560"/>
    </w:rPr>
  </w:style>
  <w:style w:type="paragraph" w:customStyle="1" w:styleId="SubHeading">
    <w:name w:val="Sub Heading"/>
    <w:basedOn w:val="SectionHeading"/>
    <w:next w:val="Normal"/>
    <w:link w:val="SubHeadingChar"/>
    <w:qFormat/>
    <w:rsid w:val="003E6989"/>
    <w:pPr>
      <w:numPr>
        <w:ilvl w:val="1"/>
      </w:numPr>
      <w:shd w:val="clear" w:color="auto" w:fill="000000" w:themeFill="text1"/>
      <w:ind w:left="0" w:firstLine="0"/>
      <w:outlineLvl w:val="1"/>
    </w:pPr>
    <w:rPr>
      <w:sz w:val="20"/>
    </w:rPr>
  </w:style>
  <w:style w:type="character" w:customStyle="1" w:styleId="SubHeadingChar">
    <w:name w:val="Sub Heading Char"/>
    <w:basedOn w:val="DefaultParagraphFont"/>
    <w:link w:val="SubHeading"/>
    <w:rsid w:val="003E6989"/>
    <w:rPr>
      <w:rFonts w:ascii="Arial" w:hAnsi="Arial"/>
      <w:b/>
      <w:color w:val="FFFFFF" w:themeColor="background1"/>
      <w:shd w:val="clear" w:color="auto" w:fill="000000" w:themeFill="text1"/>
    </w:rPr>
  </w:style>
  <w:style w:type="paragraph" w:customStyle="1" w:styleId="PolicyTextAdmin">
    <w:name w:val="Policy Text Admin"/>
    <w:basedOn w:val="GreyShadeTableBreak"/>
    <w:link w:val="PolicyTextAdminChar"/>
    <w:qFormat/>
    <w:rsid w:val="003E6989"/>
    <w:pPr>
      <w:pBdr>
        <w:top w:val="single" w:sz="4" w:space="1" w:color="009560"/>
        <w:left w:val="single" w:sz="4" w:space="0" w:color="009560"/>
        <w:bottom w:val="single" w:sz="4" w:space="6" w:color="009560"/>
        <w:right w:val="single" w:sz="4" w:space="0" w:color="009560"/>
      </w:pBdr>
      <w:shd w:val="clear" w:color="auto" w:fill="E5F4F3"/>
    </w:pPr>
  </w:style>
  <w:style w:type="character" w:customStyle="1" w:styleId="PolicyTextAdminChar">
    <w:name w:val="Policy Text Admin Char"/>
    <w:basedOn w:val="DefaultParagraphFont"/>
    <w:link w:val="PolicyTextAdmin"/>
    <w:rsid w:val="003E6989"/>
    <w:rPr>
      <w:rFonts w:ascii="Calibri" w:hAnsi="Calibri"/>
      <w:sz w:val="18"/>
      <w:shd w:val="clear" w:color="auto" w:fill="E5F4F3"/>
    </w:rPr>
  </w:style>
  <w:style w:type="paragraph" w:customStyle="1" w:styleId="PolicytextDept">
    <w:name w:val="Policy text Dept"/>
    <w:basedOn w:val="GreyShadeTableBreak"/>
    <w:link w:val="PolicytextDeptChar"/>
    <w:qFormat/>
    <w:rsid w:val="003E6989"/>
    <w:pPr>
      <w:pBdr>
        <w:top w:val="single" w:sz="4" w:space="1" w:color="009560"/>
        <w:left w:val="single" w:sz="4" w:space="0" w:color="009560"/>
        <w:bottom w:val="single" w:sz="4" w:space="1" w:color="009560"/>
        <w:right w:val="single" w:sz="4" w:space="0" w:color="009560"/>
      </w:pBdr>
      <w:shd w:val="clear" w:color="auto" w:fill="auto"/>
      <w:spacing w:after="120"/>
    </w:pPr>
  </w:style>
  <w:style w:type="character" w:customStyle="1" w:styleId="PolicytextDeptChar">
    <w:name w:val="Policy text Dept Char"/>
    <w:basedOn w:val="DefaultParagraphFont"/>
    <w:link w:val="PolicytextDept"/>
    <w:rsid w:val="003E6989"/>
    <w:rPr>
      <w:rFonts w:ascii="Calibri" w:hAnsi="Calibri"/>
      <w:sz w:val="18"/>
    </w:rPr>
  </w:style>
  <w:style w:type="paragraph" w:customStyle="1" w:styleId="SectionHeadingDescription">
    <w:name w:val="Section Heading Description"/>
    <w:basedOn w:val="SectionHeading"/>
    <w:next w:val="SubHeading"/>
    <w:qFormat/>
    <w:rsid w:val="003E6989"/>
    <w:pPr>
      <w:numPr>
        <w:numId w:val="0"/>
      </w:numPr>
      <w:outlineLvl w:val="9"/>
    </w:pPr>
    <w:rPr>
      <w:b w:val="0"/>
      <w:sz w:val="18"/>
      <w:szCs w:val="18"/>
    </w:rPr>
  </w:style>
  <w:style w:type="paragraph" w:customStyle="1" w:styleId="PolicyheadingAdmin">
    <w:name w:val="Policy heading Admin"/>
    <w:basedOn w:val="PolicyTextAdmin"/>
    <w:rsid w:val="003E6989"/>
    <w:pPr>
      <w:spacing w:line="120" w:lineRule="atLeast"/>
    </w:pPr>
    <w:rPr>
      <w:b/>
      <w:bCs/>
    </w:rPr>
  </w:style>
  <w:style w:type="paragraph" w:customStyle="1" w:styleId="PlicytextAdminUnderline">
    <w:name w:val="Plicy text Admin + Underline"/>
    <w:basedOn w:val="PolicyTextAdmin"/>
    <w:link w:val="PlicytextAdminUnderlineChar"/>
    <w:qFormat/>
    <w:rsid w:val="003E6989"/>
    <w:pPr>
      <w:spacing w:after="120"/>
    </w:pPr>
    <w:rPr>
      <w:u w:val="single"/>
    </w:rPr>
  </w:style>
  <w:style w:type="paragraph" w:customStyle="1" w:styleId="PolicyTextAdminbold">
    <w:name w:val="Policy Text Admin + bold"/>
    <w:basedOn w:val="PolicyTextAdmin"/>
    <w:link w:val="PolicyTextAdminboldChar"/>
    <w:qFormat/>
    <w:rsid w:val="003E6989"/>
    <w:pPr>
      <w:spacing w:after="120"/>
    </w:pPr>
    <w:rPr>
      <w:b/>
    </w:rPr>
  </w:style>
  <w:style w:type="character" w:customStyle="1" w:styleId="PlicytextAdminUnderlineChar">
    <w:name w:val="Plicy text Admin + Underline Char"/>
    <w:basedOn w:val="PolicyTextAdminChar"/>
    <w:link w:val="PlicytextAdminUnderline"/>
    <w:rsid w:val="003E6989"/>
    <w:rPr>
      <w:rFonts w:ascii="Calibri" w:hAnsi="Calibri"/>
      <w:sz w:val="18"/>
      <w:u w:val="single"/>
      <w:shd w:val="clear" w:color="auto" w:fill="E5F4F3"/>
    </w:rPr>
  </w:style>
  <w:style w:type="paragraph" w:customStyle="1" w:styleId="PolicyTextboxbold">
    <w:name w:val="Policy Text box + bold"/>
    <w:basedOn w:val="PolicytextDept"/>
    <w:link w:val="PolicyTextboxboldChar"/>
    <w:qFormat/>
    <w:rsid w:val="003E6989"/>
    <w:rPr>
      <w:b/>
    </w:rPr>
  </w:style>
  <w:style w:type="character" w:customStyle="1" w:styleId="PolicyTextAdminboldChar">
    <w:name w:val="Policy Text Admin + bold Char"/>
    <w:basedOn w:val="PolicyTextAdminChar"/>
    <w:link w:val="PolicyTextAdminbold"/>
    <w:rsid w:val="003E6989"/>
    <w:rPr>
      <w:rFonts w:ascii="Calibri" w:hAnsi="Calibri"/>
      <w:b/>
      <w:sz w:val="18"/>
      <w:shd w:val="clear" w:color="auto" w:fill="E5F4F3"/>
    </w:rPr>
  </w:style>
  <w:style w:type="paragraph" w:customStyle="1" w:styleId="PolicyTextdeptunderline">
    <w:name w:val="Policy Text dept + underline"/>
    <w:basedOn w:val="PolicytextDept"/>
    <w:link w:val="PolicyTextdeptunderlineChar"/>
    <w:qFormat/>
    <w:rsid w:val="003E6989"/>
    <w:rPr>
      <w:u w:val="single"/>
    </w:rPr>
  </w:style>
  <w:style w:type="character" w:customStyle="1" w:styleId="PolicyTextboxboldChar">
    <w:name w:val="Policy Text box + bold Char"/>
    <w:basedOn w:val="PolicytextDeptChar"/>
    <w:link w:val="PolicyTextboxbold"/>
    <w:rsid w:val="003E6989"/>
    <w:rPr>
      <w:rFonts w:ascii="Calibri" w:hAnsi="Calibri"/>
      <w:b/>
      <w:sz w:val="18"/>
    </w:rPr>
  </w:style>
  <w:style w:type="paragraph" w:customStyle="1" w:styleId="Policytextdeptbulletpoint">
    <w:name w:val="Policy text dept + bullet point"/>
    <w:basedOn w:val="PolicytextDept"/>
    <w:link w:val="PolicytextdeptbulletpointChar"/>
    <w:qFormat/>
    <w:rsid w:val="003E6989"/>
    <w:pPr>
      <w:numPr>
        <w:numId w:val="34"/>
      </w:numPr>
    </w:pPr>
  </w:style>
  <w:style w:type="character" w:customStyle="1" w:styleId="PolicyTextdeptunderlineChar">
    <w:name w:val="Policy Text dept + underline Char"/>
    <w:basedOn w:val="PolicytextDeptChar"/>
    <w:link w:val="PolicyTextdeptunderline"/>
    <w:rsid w:val="003E6989"/>
    <w:rPr>
      <w:rFonts w:ascii="Calibri" w:hAnsi="Calibri"/>
      <w:sz w:val="18"/>
      <w:u w:val="single"/>
    </w:rPr>
  </w:style>
  <w:style w:type="character" w:customStyle="1" w:styleId="PolicytextdeptbulletpointChar">
    <w:name w:val="Policy text dept + bullet point Char"/>
    <w:basedOn w:val="PolicytextDeptChar"/>
    <w:link w:val="Policytextdeptbulletpoint"/>
    <w:rsid w:val="003E6989"/>
    <w:rPr>
      <w:rFonts w:ascii="Calibri" w:hAnsi="Calibri"/>
      <w:sz w:val="18"/>
    </w:rPr>
  </w:style>
  <w:style w:type="paragraph" w:customStyle="1" w:styleId="Policytextboxtable">
    <w:name w:val="Policy text box table"/>
    <w:basedOn w:val="Normal"/>
    <w:link w:val="PolicytextboxtableChar"/>
    <w:qFormat/>
    <w:rsid w:val="003E6989"/>
    <w:rPr>
      <w:rFonts w:cs="Arial"/>
      <w:szCs w:val="18"/>
    </w:rPr>
  </w:style>
  <w:style w:type="paragraph" w:customStyle="1" w:styleId="PolicyTextadminbullets">
    <w:name w:val="Policy Text admin + bullets"/>
    <w:basedOn w:val="PolicyTextAdmin"/>
    <w:link w:val="PolicyTextadminbulletsChar"/>
    <w:qFormat/>
    <w:rsid w:val="003E6989"/>
    <w:pPr>
      <w:numPr>
        <w:numId w:val="37"/>
      </w:numPr>
    </w:pPr>
  </w:style>
  <w:style w:type="character" w:customStyle="1" w:styleId="PolicytextboxtableChar">
    <w:name w:val="Policy text box table Char"/>
    <w:basedOn w:val="DefaultParagraphFont"/>
    <w:link w:val="Policytextboxtable"/>
    <w:rsid w:val="003E6989"/>
    <w:rPr>
      <w:rFonts w:ascii="Calibri" w:hAnsi="Calibri" w:cs="Arial"/>
      <w:sz w:val="18"/>
      <w:szCs w:val="18"/>
    </w:rPr>
  </w:style>
  <w:style w:type="character" w:customStyle="1" w:styleId="PolicyTextadminbulletsChar">
    <w:name w:val="Policy Text admin + bullets Char"/>
    <w:basedOn w:val="PolicyTextAdminChar"/>
    <w:link w:val="PolicyTextadminbullets"/>
    <w:rsid w:val="003E6989"/>
    <w:rPr>
      <w:rFonts w:ascii="Calibri" w:hAnsi="Calibri"/>
      <w:sz w:val="18"/>
      <w:shd w:val="clear" w:color="auto" w:fill="E5F4F3"/>
    </w:rPr>
  </w:style>
  <w:style w:type="paragraph" w:customStyle="1" w:styleId="xl165">
    <w:name w:val="xl165"/>
    <w:basedOn w:val="Normal"/>
    <w:rsid w:val="003E6989"/>
    <w:pPr>
      <w:shd w:val="clear" w:color="FFFFFF" w:fill="FFFFFF"/>
      <w:spacing w:before="100" w:beforeAutospacing="1" w:after="100" w:afterAutospacing="1" w:line="240" w:lineRule="auto"/>
    </w:pPr>
    <w:rPr>
      <w:b/>
      <w:bCs/>
      <w:szCs w:val="18"/>
      <w:u w:val="single"/>
      <w:lang w:eastAsia="en-AU"/>
    </w:rPr>
  </w:style>
  <w:style w:type="paragraph" w:customStyle="1" w:styleId="xl166">
    <w:name w:val="xl166"/>
    <w:basedOn w:val="Normal"/>
    <w:rsid w:val="003E6989"/>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szCs w:val="18"/>
      <w:lang w:eastAsia="en-AU"/>
    </w:rPr>
  </w:style>
  <w:style w:type="paragraph" w:customStyle="1" w:styleId="xl167">
    <w:name w:val="xl167"/>
    <w:basedOn w:val="Normal"/>
    <w:rsid w:val="003E6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168">
    <w:name w:val="xl168"/>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69">
    <w:name w:val="xl169"/>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hAnsi="Times New Roman"/>
      <w:sz w:val="16"/>
      <w:szCs w:val="16"/>
      <w:lang w:eastAsia="en-AU"/>
    </w:rPr>
  </w:style>
  <w:style w:type="paragraph" w:customStyle="1" w:styleId="xl170">
    <w:name w:val="xl170"/>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szCs w:val="18"/>
      <w:lang w:eastAsia="en-AU"/>
    </w:rPr>
  </w:style>
  <w:style w:type="paragraph" w:customStyle="1" w:styleId="xl171">
    <w:name w:val="xl171"/>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i/>
      <w:iCs/>
      <w:szCs w:val="18"/>
      <w:lang w:eastAsia="en-AU"/>
    </w:rPr>
  </w:style>
  <w:style w:type="paragraph" w:customStyle="1" w:styleId="xl172">
    <w:name w:val="xl172"/>
    <w:basedOn w:val="Normal"/>
    <w:rsid w:val="003E698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szCs w:val="18"/>
      <w:lang w:eastAsia="en-AU"/>
    </w:rPr>
  </w:style>
  <w:style w:type="paragraph" w:customStyle="1" w:styleId="xl173">
    <w:name w:val="xl173"/>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4">
    <w:name w:val="xl174"/>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18"/>
      <w:lang w:eastAsia="en-AU"/>
    </w:rPr>
  </w:style>
  <w:style w:type="paragraph" w:customStyle="1" w:styleId="xl175">
    <w:name w:val="xl175"/>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lang w:eastAsia="en-AU"/>
    </w:rPr>
  </w:style>
  <w:style w:type="paragraph" w:customStyle="1" w:styleId="xl176">
    <w:name w:val="xl176"/>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7">
    <w:name w:val="xl177"/>
    <w:basedOn w:val="Normal"/>
    <w:rsid w:val="003E69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18"/>
      <w:lang w:eastAsia="en-AU"/>
    </w:rPr>
  </w:style>
  <w:style w:type="paragraph" w:customStyle="1" w:styleId="xl178">
    <w:name w:val="xl178"/>
    <w:basedOn w:val="Normal"/>
    <w:rsid w:val="003E698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79">
    <w:name w:val="xl179"/>
    <w:basedOn w:val="Normal"/>
    <w:rsid w:val="003E6989"/>
    <w:pPr>
      <w:pBdr>
        <w:top w:val="single" w:sz="4" w:space="0" w:color="auto"/>
        <w:bottom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customStyle="1" w:styleId="xl180">
    <w:name w:val="xl180"/>
    <w:basedOn w:val="Normal"/>
    <w:rsid w:val="003E6989"/>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szCs w:val="18"/>
      <w:lang w:eastAsia="en-AU"/>
    </w:rPr>
  </w:style>
  <w:style w:type="paragraph" w:styleId="PlainText">
    <w:name w:val="Plain Text"/>
    <w:basedOn w:val="Normal"/>
    <w:link w:val="PlainTextChar"/>
    <w:uiPriority w:val="99"/>
    <w:semiHidden/>
    <w:unhideWhenUsed/>
    <w:rsid w:val="003E6989"/>
    <w:pPr>
      <w:spacing w:line="240" w:lineRule="auto"/>
    </w:pPr>
    <w:rPr>
      <w:rFonts w:eastAsiaTheme="minorHAnsi"/>
      <w:sz w:val="22"/>
      <w:szCs w:val="22"/>
    </w:rPr>
  </w:style>
  <w:style w:type="character" w:customStyle="1" w:styleId="PlainTextChar">
    <w:name w:val="Plain Text Char"/>
    <w:basedOn w:val="DefaultParagraphFont"/>
    <w:link w:val="PlainText"/>
    <w:uiPriority w:val="99"/>
    <w:semiHidden/>
    <w:rsid w:val="003E6989"/>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image" Target="media/image1.emf"/><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AC54-71BB-44AE-84B0-F47E8AA6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21875</Words>
  <Characters>118785</Characters>
  <Application>Microsoft Office Word</Application>
  <DocSecurity>0</DocSecurity>
  <Lines>1542</Lines>
  <Paragraphs>578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VINE,Colin</dc:creator>
  <cp:lastModifiedBy>David HARCOURT</cp:lastModifiedBy>
  <cp:revision>2</cp:revision>
  <cp:lastPrinted>2016-10-05T03:35:00Z</cp:lastPrinted>
  <dcterms:created xsi:type="dcterms:W3CDTF">2016-10-20T04:53:00Z</dcterms:created>
  <dcterms:modified xsi:type="dcterms:W3CDTF">2016-10-20T04:53:00Z</dcterms:modified>
</cp:coreProperties>
</file>