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B1" w:rsidRPr="000E6666" w:rsidRDefault="00FA1EB1" w:rsidP="00594C84"/>
    <w:p w:rsidR="00FA1EB1" w:rsidRPr="000E6666" w:rsidRDefault="00FA1EB1" w:rsidP="00911318">
      <w:pPr>
        <w:pStyle w:val="PartHeading"/>
        <w:spacing w:before="1200"/>
      </w:pPr>
      <w:bookmarkStart w:id="0" w:name="ARC"/>
      <w:r w:rsidRPr="000E6666">
        <w:t>Australian Research Council</w:t>
      </w:r>
      <w:bookmarkEnd w:id="0"/>
    </w:p>
    <w:p w:rsidR="00FA1EB1" w:rsidRPr="000E6666" w:rsidRDefault="00FA1EB1" w:rsidP="005A7C0B">
      <w:pPr>
        <w:pStyle w:val="PartHeading"/>
      </w:pPr>
    </w:p>
    <w:p w:rsidR="00FA1EB1" w:rsidRPr="000E6666" w:rsidRDefault="00FA1EB1" w:rsidP="005A7C0B">
      <w:pPr>
        <w:pStyle w:val="PartHeading"/>
      </w:pPr>
    </w:p>
    <w:p w:rsidR="00FA1EB1" w:rsidRPr="000E6666" w:rsidRDefault="00FA1EB1" w:rsidP="006B7542">
      <w:pPr>
        <w:pStyle w:val="PartHeading-TOC"/>
      </w:pPr>
      <w:r w:rsidRPr="000E6666">
        <w:t>Entity resources and planned performance</w:t>
      </w:r>
    </w:p>
    <w:p w:rsidR="00FA1EB1" w:rsidRPr="000E6666" w:rsidRDefault="00FA1EB1" w:rsidP="005A7C0B">
      <w:pPr>
        <w:pStyle w:val="PartHeading"/>
        <w:sectPr w:rsidR="00FA1EB1" w:rsidRPr="000E6666" w:rsidSect="00BB5663">
          <w:headerReference w:type="even" r:id="rId14"/>
          <w:footerReference w:type="default" r:id="rId15"/>
          <w:type w:val="oddPage"/>
          <w:pgSz w:w="11906" w:h="16838" w:code="9"/>
          <w:pgMar w:top="2466" w:right="2098" w:bottom="2466" w:left="2098" w:header="1899" w:footer="1899" w:gutter="0"/>
          <w:pgNumType w:start="111"/>
          <w:cols w:space="708"/>
          <w:docGrid w:linePitch="360"/>
        </w:sectPr>
      </w:pPr>
    </w:p>
    <w:p w:rsidR="00FA1EB1" w:rsidRPr="000E6666" w:rsidRDefault="00FA1EB1" w:rsidP="00594C84">
      <w:pPr>
        <w:pStyle w:val="ContentsHeading"/>
      </w:pPr>
      <w:r w:rsidRPr="000E6666">
        <w:lastRenderedPageBreak/>
        <w:t>Australian Research Council</w:t>
      </w:r>
    </w:p>
    <w:p w:rsidR="00FA1EB1" w:rsidRPr="000E6666" w:rsidRDefault="00FA1EB1" w:rsidP="0066473B">
      <w:pPr>
        <w:pStyle w:val="TOC1"/>
      </w:pPr>
      <w:r w:rsidRPr="000E6666">
        <w:fldChar w:fldCharType="begin"/>
      </w:r>
      <w:r w:rsidRPr="000E6666">
        <w:instrText xml:space="preserve"> REF ARC_1_0 \h </w:instrText>
      </w:r>
      <w:r w:rsidRPr="000E6666">
        <w:fldChar w:fldCharType="separate"/>
      </w:r>
      <w:r w:rsidR="00BB5663" w:rsidRPr="000E6666">
        <w:t>Section 1: Entity overview and resources</w:t>
      </w:r>
      <w:r w:rsidRPr="000E6666">
        <w:fldChar w:fldCharType="end"/>
      </w:r>
      <w:r w:rsidRPr="000E6666">
        <w:tab/>
      </w:r>
      <w:r w:rsidRPr="000E6666">
        <w:fldChar w:fldCharType="begin"/>
      </w:r>
      <w:r w:rsidRPr="000E6666">
        <w:instrText xml:space="preserve"> PAGEREF ARC_1_0 \h </w:instrText>
      </w:r>
      <w:r w:rsidRPr="000E6666">
        <w:fldChar w:fldCharType="separate"/>
      </w:r>
      <w:r w:rsidR="00BB5663">
        <w:rPr>
          <w:noProof/>
        </w:rPr>
        <w:t>114</w:t>
      </w:r>
      <w:r w:rsidRPr="000E6666">
        <w:fldChar w:fldCharType="end"/>
      </w:r>
    </w:p>
    <w:p w:rsidR="00FA1EB1" w:rsidRPr="000E6666" w:rsidRDefault="00FA1EB1" w:rsidP="00786C0B">
      <w:pPr>
        <w:pStyle w:val="TOC2"/>
      </w:pPr>
      <w:r w:rsidRPr="000E6666">
        <w:fldChar w:fldCharType="begin"/>
      </w:r>
      <w:r w:rsidRPr="000E6666">
        <w:instrText xml:space="preserve"> REF ARC_1_1 \h </w:instrText>
      </w:r>
      <w:r w:rsidRPr="000E6666">
        <w:fldChar w:fldCharType="separate"/>
      </w:r>
      <w:r w:rsidR="00BB5663" w:rsidRPr="000E6666">
        <w:t>1.1</w:t>
      </w:r>
      <w:r w:rsidR="00BB5663" w:rsidRPr="000E6666">
        <w:tab/>
        <w:t>Strategic direction statement</w:t>
      </w:r>
      <w:r w:rsidRPr="000E6666">
        <w:fldChar w:fldCharType="end"/>
      </w:r>
      <w:r w:rsidRPr="000E6666">
        <w:tab/>
      </w:r>
      <w:r w:rsidRPr="000E6666">
        <w:fldChar w:fldCharType="begin"/>
      </w:r>
      <w:r w:rsidRPr="000E6666">
        <w:instrText xml:space="preserve"> PAGEREF ARC_1_1 \h </w:instrText>
      </w:r>
      <w:r w:rsidRPr="000E6666">
        <w:fldChar w:fldCharType="separate"/>
      </w:r>
      <w:r w:rsidR="00BB5663">
        <w:rPr>
          <w:noProof/>
        </w:rPr>
        <w:t>114</w:t>
      </w:r>
      <w:r w:rsidRPr="000E6666">
        <w:fldChar w:fldCharType="end"/>
      </w:r>
    </w:p>
    <w:p w:rsidR="00FA1EB1" w:rsidRPr="000E6666" w:rsidRDefault="00FA1EB1" w:rsidP="0066473B">
      <w:pPr>
        <w:pStyle w:val="TOC2"/>
      </w:pPr>
      <w:r w:rsidRPr="000E6666">
        <w:fldChar w:fldCharType="begin"/>
      </w:r>
      <w:r w:rsidRPr="000E6666">
        <w:instrText xml:space="preserve"> REF ARC_1_2 \h </w:instrText>
      </w:r>
      <w:r w:rsidRPr="000E6666">
        <w:fldChar w:fldCharType="separate"/>
      </w:r>
      <w:r w:rsidR="00BB5663" w:rsidRPr="000E6666">
        <w:t>1.2</w:t>
      </w:r>
      <w:r w:rsidR="00BB5663" w:rsidRPr="000E6666">
        <w:tab/>
        <w:t>Entity resource statement</w:t>
      </w:r>
      <w:r w:rsidRPr="000E6666">
        <w:fldChar w:fldCharType="end"/>
      </w:r>
      <w:r w:rsidRPr="000E6666">
        <w:tab/>
      </w:r>
      <w:r w:rsidRPr="000E6666">
        <w:fldChar w:fldCharType="begin"/>
      </w:r>
      <w:r w:rsidRPr="000E6666">
        <w:instrText xml:space="preserve"> PAGEREF ARC_1_2 \h </w:instrText>
      </w:r>
      <w:r w:rsidRPr="000E6666">
        <w:fldChar w:fldCharType="separate"/>
      </w:r>
      <w:r w:rsidR="00BB5663">
        <w:rPr>
          <w:noProof/>
        </w:rPr>
        <w:t>116</w:t>
      </w:r>
      <w:r w:rsidRPr="000E6666">
        <w:fldChar w:fldCharType="end"/>
      </w:r>
    </w:p>
    <w:p w:rsidR="00FA1EB1" w:rsidRPr="000E6666" w:rsidRDefault="00FA1EB1" w:rsidP="0066473B">
      <w:pPr>
        <w:pStyle w:val="TOC2"/>
      </w:pPr>
      <w:r w:rsidRPr="000E6666">
        <w:fldChar w:fldCharType="begin"/>
      </w:r>
      <w:r w:rsidRPr="000E6666">
        <w:instrText xml:space="preserve"> REF ARC_1_3 \h </w:instrText>
      </w:r>
      <w:r w:rsidRPr="000E6666">
        <w:fldChar w:fldCharType="separate"/>
      </w:r>
      <w:r w:rsidR="00BB5663" w:rsidRPr="000E6666">
        <w:t>1.3</w:t>
      </w:r>
      <w:r w:rsidR="00BB5663" w:rsidRPr="000E6666">
        <w:tab/>
        <w:t>Budget measures</w:t>
      </w:r>
      <w:r w:rsidRPr="000E6666">
        <w:fldChar w:fldCharType="end"/>
      </w:r>
      <w:r w:rsidRPr="000E6666">
        <w:tab/>
      </w:r>
      <w:r w:rsidRPr="000E6666">
        <w:fldChar w:fldCharType="begin"/>
      </w:r>
      <w:r w:rsidRPr="000E6666">
        <w:instrText xml:space="preserve"> PAGEREF ARC_1_3 \h </w:instrText>
      </w:r>
      <w:r w:rsidRPr="000E6666">
        <w:fldChar w:fldCharType="separate"/>
      </w:r>
      <w:r w:rsidR="00BB5663">
        <w:rPr>
          <w:noProof/>
        </w:rPr>
        <w:t>118</w:t>
      </w:r>
      <w:r w:rsidRPr="000E6666">
        <w:fldChar w:fldCharType="end"/>
      </w:r>
    </w:p>
    <w:p w:rsidR="00FA1EB1" w:rsidRPr="000E6666" w:rsidRDefault="00FA1EB1" w:rsidP="0066473B">
      <w:pPr>
        <w:pStyle w:val="TOC1"/>
      </w:pPr>
      <w:r w:rsidRPr="000E6666">
        <w:fldChar w:fldCharType="begin"/>
      </w:r>
      <w:r w:rsidRPr="000E6666">
        <w:instrText xml:space="preserve"> REF ARC_2_0 \h </w:instrText>
      </w:r>
      <w:r w:rsidRPr="000E6666">
        <w:fldChar w:fldCharType="separate"/>
      </w:r>
      <w:r w:rsidR="00BB5663" w:rsidRPr="000E6666">
        <w:t>Section 2: Outcomes and planned performance</w:t>
      </w:r>
      <w:r w:rsidRPr="000E6666">
        <w:fldChar w:fldCharType="end"/>
      </w:r>
      <w:r w:rsidRPr="000E6666">
        <w:tab/>
      </w:r>
      <w:r w:rsidRPr="000E6666">
        <w:fldChar w:fldCharType="begin"/>
      </w:r>
      <w:r w:rsidRPr="000E6666">
        <w:instrText xml:space="preserve"> PAGEREF ARC_2_0 \h </w:instrText>
      </w:r>
      <w:r w:rsidRPr="000E6666">
        <w:fldChar w:fldCharType="separate"/>
      </w:r>
      <w:r w:rsidR="00BB5663">
        <w:rPr>
          <w:noProof/>
        </w:rPr>
        <w:t>119</w:t>
      </w:r>
      <w:r w:rsidRPr="000E6666">
        <w:fldChar w:fldCharType="end"/>
      </w:r>
    </w:p>
    <w:p w:rsidR="00FA1EB1" w:rsidRPr="000E6666" w:rsidRDefault="00FA1EB1" w:rsidP="0066473B">
      <w:pPr>
        <w:pStyle w:val="TOC2"/>
      </w:pPr>
      <w:r w:rsidRPr="000E6666">
        <w:fldChar w:fldCharType="begin"/>
      </w:r>
      <w:r w:rsidRPr="000E6666">
        <w:instrText xml:space="preserve"> REF ARC_2_1 \h </w:instrText>
      </w:r>
      <w:r w:rsidRPr="000E6666">
        <w:fldChar w:fldCharType="separate"/>
      </w:r>
      <w:r w:rsidR="00BB5663" w:rsidRPr="000E6666">
        <w:t xml:space="preserve">2.1 </w:t>
      </w:r>
      <w:r w:rsidR="00BB5663" w:rsidRPr="000E6666">
        <w:tab/>
        <w:t>Budgeted expenses and performance for Outcome 1</w:t>
      </w:r>
      <w:r w:rsidRPr="000E6666">
        <w:fldChar w:fldCharType="end"/>
      </w:r>
      <w:r w:rsidRPr="000E6666">
        <w:tab/>
      </w:r>
      <w:r w:rsidRPr="000E6666">
        <w:fldChar w:fldCharType="begin"/>
      </w:r>
      <w:r w:rsidRPr="000E6666">
        <w:instrText xml:space="preserve"> PAGEREF ARC_2_1 \h </w:instrText>
      </w:r>
      <w:r w:rsidRPr="000E6666">
        <w:fldChar w:fldCharType="separate"/>
      </w:r>
      <w:r w:rsidR="00BB5663">
        <w:rPr>
          <w:noProof/>
        </w:rPr>
        <w:t>120</w:t>
      </w:r>
      <w:r w:rsidRPr="000E6666">
        <w:fldChar w:fldCharType="end"/>
      </w:r>
    </w:p>
    <w:p w:rsidR="00FA1EB1" w:rsidRPr="000E6666" w:rsidRDefault="00FA1EB1" w:rsidP="0066473B">
      <w:pPr>
        <w:pStyle w:val="TOC1"/>
      </w:pPr>
      <w:r w:rsidRPr="000E6666">
        <w:fldChar w:fldCharType="begin"/>
      </w:r>
      <w:r w:rsidRPr="000E6666">
        <w:instrText xml:space="preserve"> REF ARC_3_0 \h </w:instrText>
      </w:r>
      <w:r w:rsidRPr="000E6666">
        <w:fldChar w:fldCharType="separate"/>
      </w:r>
      <w:r w:rsidR="00BB5663" w:rsidRPr="000E6666">
        <w:t>Section 3: Budgeted financial statements</w:t>
      </w:r>
      <w:r w:rsidRPr="000E6666">
        <w:fldChar w:fldCharType="end"/>
      </w:r>
      <w:r w:rsidRPr="000E6666">
        <w:tab/>
      </w:r>
      <w:r w:rsidRPr="000E6666">
        <w:fldChar w:fldCharType="begin"/>
      </w:r>
      <w:r w:rsidRPr="000E6666">
        <w:instrText xml:space="preserve"> PAGEREF ARC_3_0 \h </w:instrText>
      </w:r>
      <w:r w:rsidRPr="000E6666">
        <w:fldChar w:fldCharType="separate"/>
      </w:r>
      <w:r w:rsidR="00BB5663">
        <w:rPr>
          <w:noProof/>
        </w:rPr>
        <w:t>128</w:t>
      </w:r>
      <w:r w:rsidRPr="000E6666">
        <w:fldChar w:fldCharType="end"/>
      </w:r>
    </w:p>
    <w:p w:rsidR="00FA1EB1" w:rsidRPr="000E6666" w:rsidRDefault="00FA1EB1" w:rsidP="0066473B">
      <w:pPr>
        <w:pStyle w:val="TOC2"/>
      </w:pPr>
      <w:r w:rsidRPr="000E6666">
        <w:fldChar w:fldCharType="begin"/>
      </w:r>
      <w:r w:rsidRPr="000E6666">
        <w:instrText xml:space="preserve"> REF ARC_3_1 \h </w:instrText>
      </w:r>
      <w:r w:rsidRPr="000E6666">
        <w:fldChar w:fldCharType="separate"/>
      </w:r>
      <w:r w:rsidR="00BB5663" w:rsidRPr="000E6666">
        <w:t>3.1</w:t>
      </w:r>
      <w:r w:rsidR="00BB5663" w:rsidRPr="000E6666">
        <w:tab/>
        <w:t>Budgeted financial statements</w:t>
      </w:r>
      <w:r w:rsidRPr="000E6666">
        <w:fldChar w:fldCharType="end"/>
      </w:r>
      <w:r w:rsidRPr="000E6666">
        <w:tab/>
      </w:r>
      <w:r w:rsidRPr="000E6666">
        <w:fldChar w:fldCharType="begin"/>
      </w:r>
      <w:r w:rsidRPr="000E6666">
        <w:instrText xml:space="preserve"> PAGEREF ARC_3_1 \h </w:instrText>
      </w:r>
      <w:r w:rsidRPr="000E6666">
        <w:fldChar w:fldCharType="separate"/>
      </w:r>
      <w:r w:rsidR="00BB5663">
        <w:rPr>
          <w:noProof/>
        </w:rPr>
        <w:t>128</w:t>
      </w:r>
      <w:r w:rsidRPr="000E6666">
        <w:fldChar w:fldCharType="end"/>
      </w:r>
    </w:p>
    <w:p w:rsidR="00FA1EB1" w:rsidRPr="000E6666" w:rsidRDefault="00FA1EB1" w:rsidP="0066473B">
      <w:pPr>
        <w:pStyle w:val="TOC2"/>
      </w:pPr>
      <w:r w:rsidRPr="000E6666">
        <w:fldChar w:fldCharType="begin"/>
      </w:r>
      <w:r w:rsidRPr="000E6666">
        <w:instrText xml:space="preserve"> REF ARC_3_2 \h </w:instrText>
      </w:r>
      <w:r w:rsidRPr="000E6666">
        <w:fldChar w:fldCharType="separate"/>
      </w:r>
      <w:r w:rsidR="00BB5663" w:rsidRPr="000E6666">
        <w:t>3.2.</w:t>
      </w:r>
      <w:r w:rsidR="00BB5663" w:rsidRPr="000E6666">
        <w:tab/>
        <w:t>Budgeted financial statements tables</w:t>
      </w:r>
      <w:r w:rsidRPr="000E6666">
        <w:fldChar w:fldCharType="end"/>
      </w:r>
      <w:r w:rsidRPr="000E6666">
        <w:tab/>
      </w:r>
      <w:r w:rsidRPr="000E6666">
        <w:fldChar w:fldCharType="begin"/>
      </w:r>
      <w:r w:rsidRPr="000E6666">
        <w:instrText xml:space="preserve"> PAGEREF ARC_3_2 \h </w:instrText>
      </w:r>
      <w:r w:rsidRPr="000E6666">
        <w:fldChar w:fldCharType="separate"/>
      </w:r>
      <w:r w:rsidR="00BB5663">
        <w:rPr>
          <w:noProof/>
        </w:rPr>
        <w:t>129</w:t>
      </w:r>
      <w:r w:rsidRPr="000E6666">
        <w:fldChar w:fldCharType="end"/>
      </w:r>
    </w:p>
    <w:p w:rsidR="00FA1EB1" w:rsidRPr="000E6666" w:rsidRDefault="00FA1EB1" w:rsidP="0066473B"/>
    <w:p w:rsidR="00FA1EB1" w:rsidRPr="000E6666" w:rsidRDefault="00FA1EB1" w:rsidP="008B5AFD"/>
    <w:p w:rsidR="00FA1EB1" w:rsidRPr="000E6666" w:rsidRDefault="00FA1EB1" w:rsidP="00257FF4">
      <w:pPr>
        <w:sectPr w:rsidR="00FA1EB1" w:rsidRPr="000E6666" w:rsidSect="00594C84">
          <w:headerReference w:type="first" r:id="rId16"/>
          <w:footerReference w:type="first" r:id="rId17"/>
          <w:type w:val="oddPage"/>
          <w:pgSz w:w="11906" w:h="16838" w:code="9"/>
          <w:pgMar w:top="2466" w:right="2098" w:bottom="2466" w:left="2098" w:header="1899" w:footer="1899" w:gutter="0"/>
          <w:cols w:space="708"/>
          <w:titlePg/>
          <w:docGrid w:linePitch="360"/>
        </w:sectPr>
      </w:pPr>
    </w:p>
    <w:p w:rsidR="00FA1EB1" w:rsidRPr="000E6666" w:rsidRDefault="00FA1EB1" w:rsidP="00594C84">
      <w:pPr>
        <w:pStyle w:val="Heading1"/>
      </w:pPr>
      <w:r w:rsidRPr="000E6666">
        <w:lastRenderedPageBreak/>
        <w:t>Australian Research Council</w:t>
      </w:r>
    </w:p>
    <w:p w:rsidR="00FA1EB1" w:rsidRPr="000E6666" w:rsidRDefault="00FA1EB1" w:rsidP="00257FF4">
      <w:pPr>
        <w:pStyle w:val="Heading2"/>
      </w:pPr>
      <w:bookmarkStart w:id="1" w:name="ARC_1_0"/>
      <w:r w:rsidRPr="000E6666">
        <w:t>Section 1: Entity overview and resources</w:t>
      </w:r>
      <w:bookmarkEnd w:id="1"/>
    </w:p>
    <w:p w:rsidR="00FA1EB1" w:rsidRPr="000E6666" w:rsidRDefault="00FA1EB1" w:rsidP="00257FF4">
      <w:pPr>
        <w:pStyle w:val="Heading3"/>
      </w:pPr>
      <w:bookmarkStart w:id="2" w:name="ARC_1_1"/>
      <w:r w:rsidRPr="000E6666">
        <w:t>1.1</w:t>
      </w:r>
      <w:r w:rsidRPr="000E6666">
        <w:tab/>
        <w:t>Strategic direction statement</w:t>
      </w:r>
      <w:bookmarkEnd w:id="2"/>
    </w:p>
    <w:p w:rsidR="00FA1EB1" w:rsidRPr="000E6666" w:rsidRDefault="00FA1EB1" w:rsidP="00594C84">
      <w:r w:rsidRPr="000E6666">
        <w:t xml:space="preserve">The Australian Research Council (ARC) is a non-corporate Commonwealth entity established under the </w:t>
      </w:r>
      <w:r w:rsidRPr="000E6666">
        <w:rPr>
          <w:i/>
        </w:rPr>
        <w:t>Australian Research Council Act 2001</w:t>
      </w:r>
      <w:r w:rsidRPr="000E6666">
        <w:t>. The ARC is responsible for administering the National Competitive Grants Program (NCGP), assessing the quality, engagement and impact of research and providing advice on research matters.</w:t>
      </w:r>
    </w:p>
    <w:p w:rsidR="00FA1EB1" w:rsidRPr="000E6666" w:rsidRDefault="00FA1EB1" w:rsidP="00594C84">
      <w:r w:rsidRPr="000E6666">
        <w:t>Through the NCGP, the ARC supports excellent research and research training across all disciplines, awarding funding based on a competitive peer review process. The NCGP comprises two programs, Discovery and Linkage, which fund a range of complementary schemes that provide funding for basic and applied research, research training, research collaboration and infrastructure.</w:t>
      </w:r>
    </w:p>
    <w:p w:rsidR="00FA1EB1" w:rsidRPr="000E6666" w:rsidRDefault="00FA1EB1" w:rsidP="00594C84">
      <w:r w:rsidRPr="000E6666">
        <w:t xml:space="preserve">The ARC administers Excellence in Research for Australia (ERA), which assesses research quality by research discipline at eligible Australian higher education institutions. ERA is an established evaluation framework that reflects the Government’s commitment to a transparent and streamlined approach to research evaluation. The ARC is also responsible for implementing an Engagement and Impact (EI) assessment, announced by the Australian Government in December 2015 as part of the National Science and Innovation Agenda (NISA). </w:t>
      </w:r>
    </w:p>
    <w:p w:rsidR="00FA1EB1" w:rsidRPr="000E6666" w:rsidRDefault="00FA1EB1" w:rsidP="00594C84">
      <w:r w:rsidRPr="000E6666">
        <w:t>The ARC’s priorities for 2018–19 include:</w:t>
      </w:r>
    </w:p>
    <w:p w:rsidR="00FA1EB1" w:rsidRPr="000E6666" w:rsidRDefault="00FA1EB1" w:rsidP="00594C84">
      <w:pPr>
        <w:pStyle w:val="PBS16BulletList"/>
      </w:pPr>
      <w:r w:rsidRPr="000E6666">
        <w:t>delivering the NCGP effectively and efficiently</w:t>
      </w:r>
    </w:p>
    <w:p w:rsidR="00FA1EB1" w:rsidRPr="000E6666" w:rsidRDefault="00FA1EB1" w:rsidP="00594C84">
      <w:pPr>
        <w:pStyle w:val="PBS16BulletList"/>
      </w:pPr>
      <w:r w:rsidRPr="000E6666">
        <w:t>conducting the ERA 2018 evaluation</w:t>
      </w:r>
    </w:p>
    <w:p w:rsidR="00FA1EB1" w:rsidRPr="000E6666" w:rsidRDefault="00FA1EB1" w:rsidP="00594C84">
      <w:pPr>
        <w:pStyle w:val="PBS16BulletList"/>
      </w:pPr>
      <w:r w:rsidRPr="000E6666">
        <w:t>continuing to support the Government’s NISA by:</w:t>
      </w:r>
    </w:p>
    <w:p w:rsidR="00FA1EB1" w:rsidRPr="000E6666" w:rsidRDefault="00FA1EB1" w:rsidP="00594C84">
      <w:pPr>
        <w:pStyle w:val="PBS16BulletList2"/>
      </w:pPr>
      <w:r w:rsidRPr="000E6666">
        <w:t>conducting a continuous application process under the Linkage Projects scheme</w:t>
      </w:r>
    </w:p>
    <w:p w:rsidR="00FA1EB1" w:rsidRPr="000E6666" w:rsidRDefault="00FA1EB1" w:rsidP="00594C84">
      <w:pPr>
        <w:pStyle w:val="PBS16BulletList2"/>
      </w:pPr>
      <w:r w:rsidRPr="000E6666">
        <w:t xml:space="preserve">conducting an EI assessment as a companion to ERA </w:t>
      </w:r>
    </w:p>
    <w:p w:rsidR="00FA1EB1" w:rsidRPr="000E6666" w:rsidRDefault="00FA1EB1" w:rsidP="00594C84">
      <w:pPr>
        <w:pStyle w:val="PBS16BulletList2"/>
      </w:pPr>
      <w:r w:rsidRPr="000E6666">
        <w:t>contributing to other NISA initiatives as required</w:t>
      </w:r>
    </w:p>
    <w:p w:rsidR="00FA1EB1" w:rsidRPr="000E6666" w:rsidRDefault="00FA1EB1" w:rsidP="00594C84">
      <w:pPr>
        <w:pStyle w:val="PBS16BulletList"/>
      </w:pPr>
      <w:r w:rsidRPr="000E6666">
        <w:t xml:space="preserve">continuing to provide high quality advice to the Minister on research matters including in areas of Government focus (for example, strengthening linkages between research and business) </w:t>
      </w:r>
    </w:p>
    <w:p w:rsidR="00FA1EB1" w:rsidRPr="000E6666" w:rsidRDefault="00FA1EB1" w:rsidP="00594C84">
      <w:pPr>
        <w:pStyle w:val="PBS16BulletList"/>
      </w:pPr>
      <w:r w:rsidRPr="000E6666">
        <w:t>working with stakeholders in delivering program and policy responsibilities, including through consultations and in raising awareness of research funded by the ARC</w:t>
      </w:r>
    </w:p>
    <w:p w:rsidR="00FA1EB1" w:rsidRPr="000E6666" w:rsidRDefault="00FA1EB1" w:rsidP="00594C84">
      <w:pPr>
        <w:pStyle w:val="PBS16BulletList"/>
      </w:pPr>
      <w:r w:rsidRPr="000E6666">
        <w:lastRenderedPageBreak/>
        <w:t>continuing to monitor the performance of selected NCGP schemes through scheduled reviews and evaluations</w:t>
      </w:r>
    </w:p>
    <w:p w:rsidR="00FA1EB1" w:rsidRPr="000E6666" w:rsidRDefault="00FA1EB1" w:rsidP="00594C84">
      <w:pPr>
        <w:pStyle w:val="PBS16BulletList"/>
      </w:pPr>
      <w:r w:rsidRPr="000E6666">
        <w:t>ensuring that the NCGP supports participation by all researchers, including Aboriginal and Torres Strait Islander researchers, women researchers and early and mid-career researchers</w:t>
      </w:r>
    </w:p>
    <w:p w:rsidR="00FA1EB1" w:rsidRPr="000E6666" w:rsidRDefault="00FA1EB1" w:rsidP="00594C84">
      <w:pPr>
        <w:pStyle w:val="PBS16BulletList"/>
      </w:pPr>
      <w:r w:rsidRPr="000E6666">
        <w:t>maintaining a strong governance framework to support delivery against legislative requirements as well as the Government’s expectations for the agency as articulated in the ARC outcome statement.</w:t>
      </w:r>
    </w:p>
    <w:p w:rsidR="00FA1EB1" w:rsidRPr="000E6666" w:rsidRDefault="00FA1EB1" w:rsidP="0079797F">
      <w:pPr>
        <w:pStyle w:val="Heading3"/>
      </w:pPr>
      <w:r w:rsidRPr="000E6666">
        <w:br w:type="page"/>
      </w:r>
      <w:bookmarkStart w:id="3" w:name="ARC_1_2"/>
      <w:r w:rsidRPr="000E6666">
        <w:lastRenderedPageBreak/>
        <w:t>1.2</w:t>
      </w:r>
      <w:r w:rsidRPr="000E6666">
        <w:tab/>
        <w:t>Entity resource statement</w:t>
      </w:r>
      <w:bookmarkEnd w:id="3"/>
    </w:p>
    <w:p w:rsidR="00FA1EB1" w:rsidRPr="000E6666" w:rsidRDefault="00FA1EB1" w:rsidP="00257FF4">
      <w:r w:rsidRPr="000E6666">
        <w:t>Table 1.1 shows the total funding from all sources available to the entity for its operations and to deliver programs and services on behalf of the Government.</w:t>
      </w:r>
    </w:p>
    <w:p w:rsidR="00FA1EB1" w:rsidRPr="000E6666" w:rsidRDefault="00FA1EB1" w:rsidP="00257FF4">
      <w:r w:rsidRPr="000E6666">
        <w:t>The table summarises how resources will be applied by outcome (government strategic policy objectives) and by administered (on behalf of the Government or the public) and departmental (for the entity’s operations) classification.</w:t>
      </w:r>
    </w:p>
    <w:p w:rsidR="00FA1EB1" w:rsidRPr="000E6666" w:rsidRDefault="00FA1EB1" w:rsidP="00257FF4">
      <w:r w:rsidRPr="000E6666">
        <w:t xml:space="preserve">For more detailed information on special accounts and special appropriations, please refer to </w:t>
      </w:r>
      <w:r w:rsidRPr="000E6666">
        <w:rPr>
          <w:i/>
        </w:rPr>
        <w:t>Budget Paper No. 4 – Agency Resourcing</w:t>
      </w:r>
      <w:r w:rsidRPr="000E6666">
        <w:t>.</w:t>
      </w:r>
    </w:p>
    <w:p w:rsidR="00FA1EB1" w:rsidRPr="000E6666" w:rsidRDefault="00FA1EB1" w:rsidP="00257FF4">
      <w:r w:rsidRPr="000E6666">
        <w:t>Information in this table is presented on a resourcing (that is, appropriations/cash available) basis, whilst the ‘Budgeted expenses by Outcome’ tables in Section 2 and the financial statements in Section 3 are presented on an accrual basis.</w:t>
      </w:r>
    </w:p>
    <w:p w:rsidR="00FA1EB1" w:rsidRPr="000E6666" w:rsidRDefault="00FA1EB1">
      <w:pPr>
        <w:spacing w:after="0" w:line="240" w:lineRule="auto"/>
        <w:jc w:val="left"/>
        <w:rPr>
          <w:rFonts w:ascii="Arial" w:hAnsi="Arial"/>
          <w:b/>
          <w:color w:val="000000"/>
          <w:lang w:eastAsia="x-none"/>
        </w:rPr>
      </w:pPr>
      <w:r w:rsidRPr="000E6666">
        <w:br w:type="page"/>
      </w:r>
    </w:p>
    <w:p w:rsidR="00FA1EB1" w:rsidRPr="000E6666" w:rsidRDefault="00FA1EB1" w:rsidP="005731D3">
      <w:pPr>
        <w:pStyle w:val="TableHeading"/>
        <w:rPr>
          <w:lang w:val="en-AU"/>
        </w:rPr>
      </w:pPr>
      <w:r w:rsidRPr="000E6666">
        <w:rPr>
          <w:lang w:val="en-AU"/>
        </w:rPr>
        <w:lastRenderedPageBreak/>
        <w:t>Table 1.1: ARC resource statement — Budget estimates for 2018–19 as at Budget May 2018</w:t>
      </w:r>
    </w:p>
    <w:p w:rsidR="00FA1EB1" w:rsidRPr="000E6666" w:rsidRDefault="00FA1EB1" w:rsidP="00594C84">
      <w:pPr>
        <w:pStyle w:val="ChartGraphic"/>
        <w:rPr>
          <w:noProof w:val="0"/>
        </w:rPr>
      </w:pPr>
      <w:r w:rsidRPr="000E6666">
        <w:drawing>
          <wp:inline distT="0" distB="0" distL="0" distR="0" wp14:anchorId="4D9898B8" wp14:editId="7227B8D6">
            <wp:extent cx="4895850" cy="4480460"/>
            <wp:effectExtent l="0" t="0" r="0" b="0"/>
            <wp:docPr id="39" name="Picture 39"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95850" cy="4480460"/>
                    </a:xfrm>
                    <a:prstGeom prst="rect">
                      <a:avLst/>
                    </a:prstGeom>
                    <a:noFill/>
                    <a:ln>
                      <a:noFill/>
                    </a:ln>
                  </pic:spPr>
                </pic:pic>
              </a:graphicData>
            </a:graphic>
          </wp:inline>
        </w:drawing>
      </w:r>
    </w:p>
    <w:p w:rsidR="00FA1EB1" w:rsidRPr="000E6666" w:rsidRDefault="00FA1EB1" w:rsidP="00594C84">
      <w:pPr>
        <w:pStyle w:val="ChartandTableFootnote"/>
      </w:pPr>
      <w:r w:rsidRPr="000E6666">
        <w:t>Prepared on a resourcing (i.e. appropriations available) basis.</w:t>
      </w:r>
      <w:r w:rsidRPr="000E6666">
        <w:tab/>
      </w:r>
      <w:r w:rsidRPr="000E6666">
        <w:tab/>
      </w:r>
    </w:p>
    <w:p w:rsidR="00646B71" w:rsidRDefault="004366BB" w:rsidP="00594C84">
      <w:pPr>
        <w:pStyle w:val="ChartandTableFootnote"/>
      </w:pPr>
      <w:r>
        <w:t>Note:</w:t>
      </w:r>
      <w:r>
        <w:tab/>
      </w:r>
      <w:r w:rsidR="00FA1EB1" w:rsidRPr="000E6666">
        <w:t>All figures shown above are GST exclusive - these may not match figures in the cash flow statement.</w:t>
      </w:r>
    </w:p>
    <w:p w:rsidR="00646B71" w:rsidRDefault="00FA1EB1" w:rsidP="00594C84">
      <w:pPr>
        <w:pStyle w:val="ChartandTableFootnote"/>
      </w:pPr>
      <w:r w:rsidRPr="000E6666">
        <w:t xml:space="preserve">(a) </w:t>
      </w:r>
      <w:r w:rsidRPr="000E6666">
        <w:tab/>
        <w:t>Appropriation Bill (No. 1) 2018–19.</w:t>
      </w:r>
    </w:p>
    <w:p w:rsidR="00FA1EB1" w:rsidRPr="000E6666" w:rsidRDefault="00FA1EB1" w:rsidP="00594C84">
      <w:pPr>
        <w:pStyle w:val="ChartandTableFootnote"/>
      </w:pPr>
      <w:r w:rsidRPr="000E6666">
        <w:t xml:space="preserve">(b) </w:t>
      </w:r>
      <w:r w:rsidRPr="000E6666">
        <w:tab/>
        <w:t>Excludes departmental capital budget (DCB).</w:t>
      </w:r>
      <w:r w:rsidRPr="000E6666">
        <w:tab/>
      </w:r>
      <w:r w:rsidRPr="000E6666">
        <w:tab/>
      </w:r>
    </w:p>
    <w:p w:rsidR="00FA1EB1" w:rsidRPr="000E6666" w:rsidRDefault="00FA1EB1" w:rsidP="00594C84">
      <w:pPr>
        <w:pStyle w:val="ChartandTableFootnote"/>
      </w:pPr>
      <w:r w:rsidRPr="000E6666">
        <w:t xml:space="preserve">(c) </w:t>
      </w:r>
      <w:r w:rsidRPr="000E6666">
        <w:tab/>
        <w:t>Estimated retained revenue receipts under s74 of the PGPA Act.</w:t>
      </w:r>
      <w:r w:rsidRPr="000E6666">
        <w:tab/>
      </w:r>
      <w:r w:rsidRPr="000E6666">
        <w:tab/>
      </w:r>
    </w:p>
    <w:p w:rsidR="00FA1EB1" w:rsidRPr="000E6666" w:rsidRDefault="00FA1EB1" w:rsidP="00594C84">
      <w:pPr>
        <w:pStyle w:val="ChartandTableFootnote"/>
      </w:pPr>
      <w:r w:rsidRPr="000E6666">
        <w:t xml:space="preserve">(d) </w:t>
      </w:r>
      <w:r w:rsidRPr="000E6666">
        <w:tab/>
        <w:t>Departmental capital budgets are not separately identified in Appropriation Bill (No. 1) and form part of ordinary annual services items. Please refer to Table 3.5 for further details. For accounting purposes, this amount has been designated as a 'contribution by owner'.</w:t>
      </w:r>
      <w:r w:rsidRPr="000E6666">
        <w:tab/>
      </w:r>
      <w:r w:rsidRPr="000E6666">
        <w:tab/>
      </w:r>
    </w:p>
    <w:p w:rsidR="00FA1EB1" w:rsidRPr="000E6666" w:rsidRDefault="00FA1EB1" w:rsidP="00594C84">
      <w:pPr>
        <w:pStyle w:val="ChartandTableFootnote"/>
      </w:pPr>
      <w:r w:rsidRPr="000E6666">
        <w:t xml:space="preserve">(e) </w:t>
      </w:r>
      <w:r w:rsidRPr="000E6666">
        <w:tab/>
        <w:t>Appropriation Bill (No. 2) 2018–19.</w:t>
      </w:r>
      <w:r w:rsidRPr="000E6666">
        <w:tab/>
      </w:r>
      <w:r w:rsidRPr="000E6666">
        <w:tab/>
      </w:r>
    </w:p>
    <w:p w:rsidR="00646B71" w:rsidRDefault="00FA1EB1" w:rsidP="00594C84">
      <w:pPr>
        <w:pStyle w:val="ChartandTableFootnote"/>
      </w:pPr>
      <w:r w:rsidRPr="000E6666">
        <w:t xml:space="preserve">(f) </w:t>
      </w:r>
      <w:r w:rsidRPr="000E6666">
        <w:tab/>
        <w:t xml:space="preserve">Excludes trust money and </w:t>
      </w:r>
      <w:r w:rsidR="00C2729B">
        <w:t>‘other CRF money’</w:t>
      </w:r>
      <w:r w:rsidRPr="000E6666">
        <w:t xml:space="preserve"> held in accounts like Other Trust Monies accounts (OTM), Services for Other Government and Non-agency Bodies accounts (SOG) or Services for Other Entities and Trust Moneys accounts (SOETM)). For further information on special appropriations and special accounts, please refer to Budget Paper No. 4 - Agency Resourcing. Please also see Table 2.1.1 for further information on outcome and program expenses broken down by various funding sources, e.g. annual appropriations, special appropriations and special accounts.</w:t>
      </w:r>
    </w:p>
    <w:p w:rsidR="00FA1EB1" w:rsidRPr="000E6666" w:rsidRDefault="00FA1EB1" w:rsidP="00594C84">
      <w:pPr>
        <w:pStyle w:val="ChartandTableFootnote"/>
      </w:pPr>
      <w:r w:rsidRPr="000E6666">
        <w:t xml:space="preserve">(g) </w:t>
      </w:r>
      <w:r w:rsidRPr="000E6666">
        <w:tab/>
        <w:t xml:space="preserve">ARC Research Endowment Account - s80 PGPA Act [s62 </w:t>
      </w:r>
      <w:r w:rsidRPr="000E6666">
        <w:rPr>
          <w:i/>
        </w:rPr>
        <w:t>Australian Research Council Act 2001</w:t>
      </w:r>
      <w:r w:rsidRPr="000E6666">
        <w:t>].</w:t>
      </w:r>
    </w:p>
    <w:p w:rsidR="00FA1EB1" w:rsidRPr="000E6666" w:rsidRDefault="00FA1EB1" w:rsidP="00594C84">
      <w:pPr>
        <w:pStyle w:val="ChartandTableFootnote"/>
      </w:pPr>
      <w:r w:rsidRPr="000E6666">
        <w:t xml:space="preserve">(h) </w:t>
      </w:r>
      <w:r w:rsidRPr="000E6666">
        <w:tab/>
        <w:t>Administered appropriations drawn from annual appropriations and credited to special account.</w:t>
      </w:r>
      <w:r w:rsidRPr="000E6666">
        <w:tab/>
      </w:r>
      <w:r w:rsidRPr="000E6666">
        <w:tab/>
      </w:r>
    </w:p>
    <w:p w:rsidR="00FA1EB1" w:rsidRPr="000E6666" w:rsidRDefault="00FA1EB1" w:rsidP="00594C84">
      <w:pPr>
        <w:pStyle w:val="TableHeadingcontinued"/>
      </w:pPr>
      <w:r w:rsidRPr="000E6666">
        <w:br w:type="page"/>
      </w:r>
    </w:p>
    <w:p w:rsidR="00FA1EB1" w:rsidRPr="000E6666" w:rsidRDefault="00FA1EB1" w:rsidP="00AD42E2">
      <w:pPr>
        <w:pStyle w:val="Heading3"/>
        <w:spacing w:before="0"/>
      </w:pPr>
      <w:bookmarkStart w:id="4" w:name="ARC_1_3"/>
      <w:r w:rsidRPr="000E6666">
        <w:lastRenderedPageBreak/>
        <w:t>1.3</w:t>
      </w:r>
      <w:r w:rsidRPr="000E6666">
        <w:tab/>
        <w:t>Budget measures</w:t>
      </w:r>
      <w:bookmarkEnd w:id="4"/>
    </w:p>
    <w:p w:rsidR="00FA1EB1" w:rsidRPr="000E6666" w:rsidRDefault="00FA1EB1" w:rsidP="0008449F">
      <w:r w:rsidRPr="000E6666">
        <w:t>Budget measures in Part 1 relating to the Australian Research Council are detailed in Budget Paper No. 2 and are summarised below.</w:t>
      </w:r>
    </w:p>
    <w:p w:rsidR="00FA1EB1" w:rsidRPr="000E6666" w:rsidRDefault="00FA1EB1" w:rsidP="00E5444F">
      <w:pPr>
        <w:pStyle w:val="TableHeading"/>
        <w:rPr>
          <w:lang w:val="en-AU"/>
        </w:rPr>
      </w:pPr>
      <w:r w:rsidRPr="000E6666">
        <w:rPr>
          <w:lang w:val="en-AU"/>
        </w:rPr>
        <w:t>Table 1.2: ARC 2018–19 Budget measures</w:t>
      </w:r>
    </w:p>
    <w:p w:rsidR="00FA1EB1" w:rsidRPr="000E6666" w:rsidRDefault="00FA1EB1" w:rsidP="00E5444F">
      <w:pPr>
        <w:pStyle w:val="TableHeadingcontinued"/>
      </w:pPr>
      <w:r w:rsidRPr="000E6666">
        <w:t>Part 1: Measures announced since the 2017</w:t>
      </w:r>
      <w:r w:rsidR="004D1FBB">
        <w:t>–</w:t>
      </w:r>
      <w:r w:rsidRPr="000E6666">
        <w:t>18 Mid-Year Economic and Fiscal Outlook (MYEFO)</w:t>
      </w:r>
    </w:p>
    <w:p w:rsidR="00FA1EB1" w:rsidRPr="000E6666" w:rsidRDefault="00FB6434" w:rsidP="00594C84">
      <w:pPr>
        <w:pStyle w:val="ChartGraphic"/>
        <w:rPr>
          <w:noProof w:val="0"/>
        </w:rPr>
      </w:pPr>
      <w:r w:rsidRPr="00FB6434">
        <w:drawing>
          <wp:inline distT="0" distB="0" distL="0" distR="0" wp14:anchorId="78EADC74" wp14:editId="651851F0">
            <wp:extent cx="4895850" cy="2001401"/>
            <wp:effectExtent l="0" t="0" r="0" b="0"/>
            <wp:docPr id="8" name="Picture 8"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95850" cy="2001401"/>
                    </a:xfrm>
                    <a:prstGeom prst="rect">
                      <a:avLst/>
                    </a:prstGeom>
                    <a:noFill/>
                    <a:ln>
                      <a:noFill/>
                    </a:ln>
                  </pic:spPr>
                </pic:pic>
              </a:graphicData>
            </a:graphic>
          </wp:inline>
        </w:drawing>
      </w:r>
    </w:p>
    <w:p w:rsidR="00646B71" w:rsidRDefault="00FA1EB1" w:rsidP="00646B71">
      <w:pPr>
        <w:pStyle w:val="ChartandTableFootnote"/>
        <w:ind w:left="0" w:firstLine="0"/>
      </w:pPr>
      <w:r w:rsidRPr="000E6666">
        <w:t>Prepared on a Government Finance Statistics (fiscal) basis. Figures displayed in brackets are negative and represent a decrease in funds. Non-bracketed figures are positive and represent an increase in funds.</w:t>
      </w:r>
    </w:p>
    <w:p w:rsidR="00FA1EB1" w:rsidRPr="000E6666" w:rsidRDefault="00FA1EB1" w:rsidP="00646B71">
      <w:pPr>
        <w:pStyle w:val="ChartandTableFootnote"/>
        <w:ind w:left="0" w:firstLine="0"/>
        <w:rPr>
          <w:sz w:val="30"/>
        </w:rPr>
      </w:pPr>
      <w:r w:rsidRPr="000E6666">
        <w:br w:type="page"/>
      </w:r>
    </w:p>
    <w:p w:rsidR="00FA1EB1" w:rsidRPr="000E6666" w:rsidRDefault="00FA1EB1" w:rsidP="00810C6A">
      <w:pPr>
        <w:pStyle w:val="Heading2"/>
      </w:pPr>
      <w:bookmarkStart w:id="5" w:name="ARC_2_0"/>
      <w:r w:rsidRPr="000E6666">
        <w:lastRenderedPageBreak/>
        <w:t>Section 2: Outcomes and planned performance</w:t>
      </w:r>
      <w:bookmarkEnd w:id="5"/>
    </w:p>
    <w:p w:rsidR="00FA1EB1" w:rsidRPr="000E6666" w:rsidRDefault="00FA1EB1" w:rsidP="00BE7D58">
      <w:r w:rsidRPr="000E6666">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FA1EB1" w:rsidRPr="000E6666" w:rsidRDefault="00FA1EB1" w:rsidP="00BE7D58">
      <w:r w:rsidRPr="000E6666">
        <w:t xml:space="preserve">Each outcome is described below together with its related programs. The following provides detailed information on expenses for each outcome and program, further broken down by funding source. </w:t>
      </w:r>
    </w:p>
    <w:p w:rsidR="00FA1EB1" w:rsidRPr="000E6666" w:rsidRDefault="00FA1EB1" w:rsidP="00810C6A">
      <w:pPr>
        <w:pBdr>
          <w:top w:val="single" w:sz="2" w:space="6" w:color="auto"/>
          <w:left w:val="single" w:sz="2" w:space="4" w:color="auto"/>
          <w:bottom w:val="single" w:sz="2" w:space="6" w:color="auto"/>
          <w:right w:val="single" w:sz="2" w:space="4" w:color="auto"/>
        </w:pBdr>
        <w:spacing w:after="120" w:line="240" w:lineRule="auto"/>
        <w:rPr>
          <w:b/>
        </w:rPr>
      </w:pPr>
      <w:r w:rsidRPr="000E6666">
        <w:rPr>
          <w:b/>
        </w:rPr>
        <w:t>Note:</w:t>
      </w:r>
    </w:p>
    <w:p w:rsidR="00FA1EB1" w:rsidRPr="000E6666" w:rsidRDefault="00FA1EB1" w:rsidP="00810C6A">
      <w:pPr>
        <w:pBdr>
          <w:top w:val="single" w:sz="2" w:space="6" w:color="auto"/>
          <w:left w:val="single" w:sz="2" w:space="4" w:color="auto"/>
          <w:bottom w:val="single" w:sz="2" w:space="6" w:color="auto"/>
          <w:right w:val="single" w:sz="2" w:space="4" w:color="auto"/>
        </w:pBdr>
      </w:pPr>
      <w:r w:rsidRPr="000E6666">
        <w:t xml:space="preserve">Performance reporting requirements in the Portfolio Budget Statements are part of the enhanced Commonwealth performance framework established by the </w:t>
      </w:r>
      <w:r w:rsidRPr="000E6666">
        <w:rPr>
          <w:i/>
        </w:rPr>
        <w:t>Public Governance, Performance and Accountability Act 2013</w:t>
      </w:r>
      <w:r w:rsidRPr="000E6666">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rsidR="00FA1EB1" w:rsidRPr="000E6666" w:rsidRDefault="000F2EF3" w:rsidP="00801EF6">
      <w:pPr>
        <w:pBdr>
          <w:top w:val="single" w:sz="2" w:space="6" w:color="auto"/>
          <w:left w:val="single" w:sz="2" w:space="4" w:color="auto"/>
          <w:bottom w:val="single" w:sz="2" w:space="6" w:color="auto"/>
          <w:right w:val="single" w:sz="2" w:space="4" w:color="auto"/>
        </w:pBdr>
      </w:pPr>
      <w:hyperlink r:id="rId20" w:history="1">
        <w:r w:rsidR="00FA1EB1" w:rsidRPr="00646B71">
          <w:rPr>
            <w:rStyle w:val="Hyperlink"/>
          </w:rPr>
          <w:t>The most recent corporate plan for ARC can be found at: www.arc.gov.au &gt; About Us &gt; Publications &gt; Corporate Plan</w:t>
        </w:r>
      </w:hyperlink>
    </w:p>
    <w:p w:rsidR="00FA1EB1" w:rsidRPr="00251FB9" w:rsidRDefault="000F2EF3" w:rsidP="00810C6A">
      <w:pPr>
        <w:pBdr>
          <w:top w:val="single" w:sz="2" w:space="6" w:color="auto"/>
          <w:left w:val="single" w:sz="2" w:space="4" w:color="auto"/>
          <w:bottom w:val="single" w:sz="2" w:space="6" w:color="auto"/>
          <w:right w:val="single" w:sz="2" w:space="4" w:color="auto"/>
        </w:pBdr>
      </w:pPr>
      <w:hyperlink r:id="rId21" w:history="1">
        <w:r w:rsidR="00FA1EB1" w:rsidRPr="00646B71">
          <w:rPr>
            <w:rStyle w:val="Hyperlink"/>
          </w:rPr>
          <w:t>The most recent annual performance statement can be found in the Australian Research Council Annual Report at: www.arc.gov.au &gt; About Us &gt; Publications &gt; Annual Report</w:t>
        </w:r>
      </w:hyperlink>
    </w:p>
    <w:p w:rsidR="00FA1EB1" w:rsidRPr="00251FB9" w:rsidRDefault="00FA1EB1" w:rsidP="00251FB9"/>
    <w:p w:rsidR="00FA1EB1" w:rsidRPr="000E6666" w:rsidRDefault="00FA1EB1">
      <w:pPr>
        <w:spacing w:after="0" w:line="240" w:lineRule="auto"/>
        <w:jc w:val="left"/>
        <w:rPr>
          <w:rFonts w:ascii="Arial" w:hAnsi="Arial"/>
          <w:b/>
          <w:smallCaps/>
          <w:sz w:val="26"/>
        </w:rPr>
      </w:pPr>
      <w:r w:rsidRPr="000E6666">
        <w:br w:type="page"/>
      </w:r>
    </w:p>
    <w:p w:rsidR="00FA1EB1" w:rsidRPr="000E6666" w:rsidRDefault="00FA1EB1" w:rsidP="003876AB">
      <w:pPr>
        <w:pStyle w:val="Heading3"/>
      </w:pPr>
      <w:bookmarkStart w:id="6" w:name="ARC_2_1"/>
      <w:r w:rsidRPr="000E6666">
        <w:lastRenderedPageBreak/>
        <w:t xml:space="preserve">2.1 </w:t>
      </w:r>
      <w:r w:rsidRPr="000E6666">
        <w:tab/>
        <w:t>Budgeted expenses and performance for Outcome 1</w:t>
      </w:r>
      <w:bookmarkEnd w:id="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767"/>
      </w:tblGrid>
      <w:tr w:rsidR="00FA1EB1" w:rsidRPr="000E6666" w:rsidTr="00594C84">
        <w:trPr>
          <w:cantSplit/>
          <w:trHeight w:val="23"/>
        </w:trPr>
        <w:tc>
          <w:tcPr>
            <w:tcW w:w="7767" w:type="dxa"/>
            <w:shd w:val="clear" w:color="auto" w:fill="E6E6E6"/>
          </w:tcPr>
          <w:p w:rsidR="00FA1EB1" w:rsidRPr="000E6666" w:rsidRDefault="00FA1EB1" w:rsidP="003876AB">
            <w:pPr>
              <w:pStyle w:val="TableColumnHeadingLeft"/>
            </w:pPr>
            <w:r w:rsidRPr="000E6666">
              <w:t>Outcome 1: Growth of knowledge and innovation through managing research funding schemes, measuring research excellence and providing advice.</w:t>
            </w:r>
          </w:p>
        </w:tc>
      </w:tr>
    </w:tbl>
    <w:p w:rsidR="00FA1EB1" w:rsidRPr="000E6666" w:rsidRDefault="00FA1EB1" w:rsidP="00594C84"/>
    <w:p w:rsidR="00FA1EB1" w:rsidRPr="000E6666" w:rsidRDefault="00FA1EB1" w:rsidP="00594C84">
      <w:pPr>
        <w:pStyle w:val="Heading4"/>
      </w:pPr>
      <w:r w:rsidRPr="000E6666">
        <w:t>Linked programs</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7"/>
      </w:tblGrid>
      <w:tr w:rsidR="00FA1EB1" w:rsidRPr="000E6666" w:rsidTr="00594C84">
        <w:trPr>
          <w:cantSplit/>
          <w:trHeight w:val="23"/>
        </w:trPr>
        <w:tc>
          <w:tcPr>
            <w:tcW w:w="7767" w:type="dxa"/>
            <w:tcBorders>
              <w:top w:val="single"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Department of Environment and Energy</w:t>
            </w:r>
          </w:p>
        </w:tc>
      </w:tr>
      <w:tr w:rsidR="00FA1EB1" w:rsidRPr="000E6666" w:rsidTr="00594C84">
        <w:trPr>
          <w:cantSplit/>
          <w:trHeight w:val="23"/>
        </w:trPr>
        <w:tc>
          <w:tcPr>
            <w:tcW w:w="7767" w:type="dxa"/>
            <w:tcBorders>
              <w:top w:val="dotted" w:sz="4" w:space="0" w:color="auto"/>
              <w:left w:val="single" w:sz="4" w:space="0" w:color="auto"/>
              <w:bottom w:val="dotted" w:sz="4" w:space="0" w:color="auto"/>
              <w:right w:val="single" w:sz="4" w:space="0" w:color="auto"/>
            </w:tcBorders>
            <w:hideMark/>
          </w:tcPr>
          <w:p w:rsidR="00FA1EB1" w:rsidRPr="000E6666" w:rsidRDefault="00FA1EB1" w:rsidP="00594C84">
            <w:pPr>
              <w:pStyle w:val="PBS17LinkedProgHeading"/>
            </w:pPr>
            <w:r w:rsidRPr="000E6666">
              <w:t>Programs</w:t>
            </w:r>
          </w:p>
          <w:p w:rsidR="00FA1EB1" w:rsidRPr="000E6666" w:rsidRDefault="00FA1EB1" w:rsidP="00594C84">
            <w:pPr>
              <w:pStyle w:val="PBS17LinkedProgbullet"/>
            </w:pPr>
            <w:r w:rsidRPr="000E6666">
              <w:t>Program 3.1 – Antarctic Science Policy and Presence</w:t>
            </w:r>
          </w:p>
        </w:tc>
      </w:tr>
      <w:tr w:rsidR="00FA1EB1" w:rsidRPr="000E6666" w:rsidTr="00594C84">
        <w:trPr>
          <w:cantSplit/>
          <w:trHeight w:val="23"/>
        </w:trPr>
        <w:tc>
          <w:tcPr>
            <w:tcW w:w="7767" w:type="dxa"/>
            <w:tcBorders>
              <w:top w:val="dotted" w:sz="4" w:space="0" w:color="auto"/>
              <w:left w:val="single" w:sz="4" w:space="0" w:color="auto"/>
              <w:bottom w:val="single" w:sz="4" w:space="0" w:color="auto"/>
              <w:right w:val="single" w:sz="4" w:space="0" w:color="auto"/>
            </w:tcBorders>
            <w:hideMark/>
          </w:tcPr>
          <w:p w:rsidR="00FA1EB1" w:rsidRPr="000E6666" w:rsidRDefault="00FA1EB1" w:rsidP="00594C84">
            <w:pPr>
              <w:pStyle w:val="PBS17LinkedProgHeading2"/>
            </w:pPr>
            <w:r w:rsidRPr="000E6666">
              <w:t>Contribution to Outcome 1 made by linked programs</w:t>
            </w:r>
          </w:p>
          <w:p w:rsidR="00FA1EB1" w:rsidRPr="000E6666" w:rsidRDefault="00FA1EB1" w:rsidP="00594C84">
            <w:pPr>
              <w:pStyle w:val="PBS17LinkedProgNormal"/>
            </w:pPr>
            <w:r w:rsidRPr="000E6666">
              <w:t xml:space="preserve">The ARC is responsible for the management of the Special Research Initiative in Excellence in Antarctic Science. The Department of the Environment and Energy is responsible for the Australian Antarctic Program. As these two programs support the Australian Antarctic Science Strategic Plan 2011–12 to </w:t>
            </w:r>
            <w:r w:rsidRPr="000E6666">
              <w:br/>
              <w:t>2020–21, the ARC and the Department will work together to ensure effective delivery of these initiatives.</w:t>
            </w:r>
          </w:p>
        </w:tc>
      </w:tr>
    </w:tbl>
    <w:p w:rsidR="00FA1EB1" w:rsidRPr="000E6666" w:rsidRDefault="00FA1EB1" w:rsidP="00594C84"/>
    <w:p w:rsidR="00FA1EB1" w:rsidRPr="000E6666" w:rsidRDefault="00FA1EB1" w:rsidP="00594C84">
      <w:pPr>
        <w:pStyle w:val="Heading4"/>
      </w:pPr>
      <w:r w:rsidRPr="000E6666">
        <w:t>Budgeted expenses for Outcome 1</w:t>
      </w:r>
    </w:p>
    <w:p w:rsidR="00FA1EB1" w:rsidRPr="000E6666" w:rsidRDefault="00FA1EB1" w:rsidP="0051207B">
      <w:r w:rsidRPr="000E6666">
        <w:t>This table shows how much the entity intends to spend (on an accrual basis) on achieving the outcome, broken down by program, as well as by administered and departmental funding sources.</w:t>
      </w:r>
    </w:p>
    <w:p w:rsidR="00FA1EB1" w:rsidRPr="000E6666" w:rsidRDefault="00FA1EB1" w:rsidP="00DF2C5D">
      <w:pPr>
        <w:pStyle w:val="TableHeading"/>
        <w:rPr>
          <w:lang w:val="en-AU"/>
        </w:rPr>
      </w:pPr>
      <w:r w:rsidRPr="000E6666">
        <w:rPr>
          <w:lang w:val="en-AU"/>
        </w:rPr>
        <w:t>Table 2.1.1: Budgeted expenses for Outcome 1</w:t>
      </w:r>
    </w:p>
    <w:p w:rsidR="00FA1EB1" w:rsidRPr="000E6666" w:rsidRDefault="00FA1EB1" w:rsidP="00594C84">
      <w:pPr>
        <w:pStyle w:val="ChartGraphic"/>
        <w:rPr>
          <w:noProof w:val="0"/>
        </w:rPr>
      </w:pPr>
      <w:r w:rsidRPr="000E6666">
        <w:drawing>
          <wp:inline distT="0" distB="0" distL="0" distR="0" wp14:anchorId="710C5181" wp14:editId="009FC298">
            <wp:extent cx="4895850" cy="2062788"/>
            <wp:effectExtent l="0" t="0" r="0" b="0"/>
            <wp:docPr id="43" name="Picture 43"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95850" cy="2062788"/>
                    </a:xfrm>
                    <a:prstGeom prst="rect">
                      <a:avLst/>
                    </a:prstGeom>
                    <a:noFill/>
                    <a:ln>
                      <a:noFill/>
                    </a:ln>
                  </pic:spPr>
                </pic:pic>
              </a:graphicData>
            </a:graphic>
          </wp:inline>
        </w:drawing>
      </w:r>
    </w:p>
    <w:p w:rsidR="00FA1EB1" w:rsidRPr="000E6666" w:rsidRDefault="00FA1EB1">
      <w:pPr>
        <w:spacing w:after="0" w:line="240" w:lineRule="auto"/>
        <w:jc w:val="left"/>
      </w:pPr>
      <w:r w:rsidRPr="000E6666">
        <w:br w:type="page"/>
      </w:r>
    </w:p>
    <w:p w:rsidR="00FA1EB1" w:rsidRPr="000E6666" w:rsidRDefault="00FA1EB1" w:rsidP="00AD42E2">
      <w:pPr>
        <w:pStyle w:val="TableHeading"/>
        <w:rPr>
          <w:lang w:val="en-AU"/>
        </w:rPr>
      </w:pPr>
      <w:r w:rsidRPr="000E6666">
        <w:rPr>
          <w:lang w:val="en-AU"/>
        </w:rPr>
        <w:lastRenderedPageBreak/>
        <w:t>Table 2.1.1: Budgeted expenses for Outcome 1 (continued)</w:t>
      </w:r>
    </w:p>
    <w:p w:rsidR="00FA1EB1" w:rsidRPr="000E6666" w:rsidRDefault="00FA1EB1" w:rsidP="00594C84">
      <w:pPr>
        <w:pStyle w:val="ChartGraphic"/>
        <w:rPr>
          <w:noProof w:val="0"/>
        </w:rPr>
      </w:pPr>
      <w:r w:rsidRPr="000E6666">
        <w:drawing>
          <wp:inline distT="0" distB="0" distL="0" distR="0" wp14:anchorId="0BF8F718" wp14:editId="692C1E32">
            <wp:extent cx="4895850" cy="5438309"/>
            <wp:effectExtent l="0" t="0" r="0" b="0"/>
            <wp:docPr id="46" name="Picture 46"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95850" cy="5438309"/>
                    </a:xfrm>
                    <a:prstGeom prst="rect">
                      <a:avLst/>
                    </a:prstGeom>
                    <a:noFill/>
                    <a:ln>
                      <a:noFill/>
                    </a:ln>
                  </pic:spPr>
                </pic:pic>
              </a:graphicData>
            </a:graphic>
          </wp:inline>
        </w:drawing>
      </w:r>
    </w:p>
    <w:p w:rsidR="00646B71" w:rsidRDefault="00FA1EB1" w:rsidP="00646B71">
      <w:pPr>
        <w:pStyle w:val="ChartandTableFootnote"/>
        <w:ind w:left="0" w:firstLine="1"/>
      </w:pPr>
      <w:r w:rsidRPr="000E6666">
        <w:t>Prepared on Australian Accounting Standards basis. Figures displayed in brackets are negative and represent a decrease in funds. Non-bracketed figures are positive and represent an increase in funds.</w:t>
      </w:r>
    </w:p>
    <w:p w:rsidR="00646B71" w:rsidRPr="00AC0B5A" w:rsidRDefault="00FA1EB1" w:rsidP="00AC0B5A">
      <w:pPr>
        <w:pStyle w:val="ChartandTableFootnote"/>
      </w:pPr>
      <w:r w:rsidRPr="00AC0B5A">
        <w:t>(a)</w:t>
      </w:r>
      <w:r w:rsidR="00AC0B5A">
        <w:tab/>
      </w:r>
      <w:r w:rsidRPr="00AC0B5A">
        <w:t>Figures displayed are expenses only. This does not align to resourcing because appropriations credited to special account are not recognised as expense.</w:t>
      </w:r>
    </w:p>
    <w:p w:rsidR="00646B71" w:rsidRPr="00AC0B5A" w:rsidRDefault="00FA1EB1" w:rsidP="00AC0B5A">
      <w:pPr>
        <w:pStyle w:val="ChartandTableFootnote"/>
      </w:pPr>
      <w:r w:rsidRPr="00AC0B5A">
        <w:t xml:space="preserve">(b) </w:t>
      </w:r>
      <w:r w:rsidRPr="00AC0B5A">
        <w:tab/>
        <w:t>Estimated expenses incurred in relation to receipts retained under s74 of the PGPA Act.</w:t>
      </w:r>
    </w:p>
    <w:p w:rsidR="00AC0B5A" w:rsidRDefault="00FA1EB1" w:rsidP="00AC0B5A">
      <w:pPr>
        <w:pStyle w:val="ChartandTableFootnote"/>
      </w:pPr>
      <w:r w:rsidRPr="00AC0B5A">
        <w:t xml:space="preserve">(c) </w:t>
      </w:r>
      <w:r w:rsidRPr="00AC0B5A">
        <w:tab/>
        <w:t>Expenses not requiring appropriation in the Budget year are made up of depreciation expenses, amortisation expenses and audit fees.</w:t>
      </w:r>
    </w:p>
    <w:p w:rsidR="00FA1EB1" w:rsidRPr="00251FB9" w:rsidRDefault="00FA1EB1" w:rsidP="00AC0B5A">
      <w:pPr>
        <w:pStyle w:val="ChartandTableFootnote"/>
      </w:pPr>
      <w:r w:rsidRPr="00251FB9">
        <w:br w:type="page"/>
      </w:r>
    </w:p>
    <w:p w:rsidR="00FA1EB1" w:rsidRPr="000E6666" w:rsidRDefault="00FA1EB1" w:rsidP="00594C84">
      <w:pPr>
        <w:pStyle w:val="Heading4"/>
      </w:pPr>
      <w:r w:rsidRPr="000E6666">
        <w:lastRenderedPageBreak/>
        <w:t>Performance criteria for Outcome 1</w:t>
      </w:r>
    </w:p>
    <w:p w:rsidR="00FA1EB1" w:rsidRPr="000E6666" w:rsidRDefault="00FA1EB1" w:rsidP="00594C84">
      <w:r w:rsidRPr="000E6666">
        <w:t>This section details the performance criteria for each program associated with Outcome 1. It summarises how each program is delivered and where 2018–19 Budget measures have created new programs or materially changed existing programs.</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7767"/>
      </w:tblGrid>
      <w:tr w:rsidR="00FA1EB1" w:rsidRPr="000E6666" w:rsidTr="00594C84">
        <w:trPr>
          <w:cantSplit/>
          <w:trHeight w:val="23"/>
          <w:tblHeader/>
        </w:trPr>
        <w:tc>
          <w:tcPr>
            <w:tcW w:w="7767" w:type="dxa"/>
            <w:shd w:val="clear" w:color="auto" w:fill="D9D9D9" w:themeFill="background1" w:themeFillShade="D9"/>
          </w:tcPr>
          <w:p w:rsidR="00FA1EB1" w:rsidRPr="000E6666" w:rsidRDefault="00FA1EB1" w:rsidP="00594C84">
            <w:pPr>
              <w:spacing w:before="60" w:after="60" w:line="240" w:lineRule="auto"/>
              <w:rPr>
                <w:rFonts w:ascii="Arial" w:hAnsi="Arial"/>
                <w:b/>
              </w:rPr>
            </w:pPr>
            <w:r w:rsidRPr="000E6666">
              <w:rPr>
                <w:rFonts w:ascii="Arial" w:hAnsi="Arial"/>
                <w:b/>
              </w:rPr>
              <w:t>Outcome 1: Growth of knowledge and innovation through managing research funding schemes, measuring research excellence and providing advice.</w:t>
            </w:r>
          </w:p>
        </w:tc>
      </w:tr>
    </w:tbl>
    <w:p w:rsidR="00FA1EB1" w:rsidRPr="000E6666" w:rsidRDefault="00FA1EB1" w:rsidP="00594C84">
      <w:pPr>
        <w:pStyle w:val="Heading5"/>
      </w:pPr>
      <w:r w:rsidRPr="000E6666">
        <w:t>Program 1.1: Discovery</w:t>
      </w:r>
      <w:r w:rsidR="00E85EBA">
        <w:t xml:space="preserve"> – </w:t>
      </w:r>
      <w:r w:rsidRPr="000E6666">
        <w:t>Research and Research Training</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blHeader/>
        </w:trPr>
        <w:tc>
          <w:tcPr>
            <w:tcW w:w="1049" w:type="dxa"/>
            <w:shd w:val="clear" w:color="auto" w:fill="auto"/>
          </w:tcPr>
          <w:p w:rsidR="00FA1EB1" w:rsidRPr="000E6666" w:rsidRDefault="00FA1EB1" w:rsidP="00594C84">
            <w:pPr>
              <w:pStyle w:val="PBS16TableNormalHeading"/>
            </w:pPr>
            <w:r w:rsidRPr="000E6666">
              <w:t>Objective</w:t>
            </w:r>
          </w:p>
        </w:tc>
        <w:tc>
          <w:tcPr>
            <w:tcW w:w="6718" w:type="dxa"/>
            <w:shd w:val="clear" w:color="auto" w:fill="auto"/>
          </w:tcPr>
          <w:p w:rsidR="00FA1EB1" w:rsidRPr="000E6666" w:rsidRDefault="00FA1EB1" w:rsidP="00594C84">
            <w:pPr>
              <w:pStyle w:val="PBS16TableNormal"/>
            </w:pPr>
            <w:r w:rsidRPr="000E6666">
              <w:t xml:space="preserve">Through the Discovery program, the ARC aims to build Australia’s research capacity by supporting excellent, internationally competitive research projects, fellowships and awards. </w:t>
            </w:r>
          </w:p>
          <w:p w:rsidR="00FA1EB1" w:rsidRPr="000E6666" w:rsidRDefault="00FA1EB1" w:rsidP="00594C84">
            <w:pPr>
              <w:pStyle w:val="PBS16TableNormal"/>
            </w:pPr>
            <w:r w:rsidRPr="000E6666">
              <w:t>This contributes to Outcome 1 by: providing training and career opportunities for current and emerging researchers; fostering international engagement; and encouraging research that will strengthen Australia’s capacity in areas of priority.</w:t>
            </w:r>
          </w:p>
        </w:tc>
      </w:tr>
      <w:tr w:rsidR="00FA1EB1" w:rsidRPr="000E6666" w:rsidTr="00594C84">
        <w:trPr>
          <w:cantSplit/>
          <w:trHeight w:val="23"/>
        </w:trPr>
        <w:tc>
          <w:tcPr>
            <w:tcW w:w="1049" w:type="dxa"/>
          </w:tcPr>
          <w:p w:rsidR="00FA1EB1" w:rsidRPr="000E6666" w:rsidRDefault="00FA1EB1" w:rsidP="00594C84">
            <w:pPr>
              <w:pStyle w:val="PBS16TableNormalHeading"/>
            </w:pPr>
            <w:r w:rsidRPr="000E6666">
              <w:t>Delivery</w:t>
            </w:r>
          </w:p>
        </w:tc>
        <w:tc>
          <w:tcPr>
            <w:tcW w:w="6718" w:type="dxa"/>
          </w:tcPr>
          <w:p w:rsidR="00FA1EB1" w:rsidRPr="000E6666" w:rsidRDefault="00FA1EB1" w:rsidP="00594C84">
            <w:pPr>
              <w:pStyle w:val="PBS16TableNormal"/>
            </w:pPr>
            <w:r w:rsidRPr="000E6666">
              <w:t>The Discovery program is delivered through the following activities:</w:t>
            </w:r>
          </w:p>
          <w:p w:rsidR="00FA1EB1" w:rsidRPr="000E6666" w:rsidRDefault="00FA1EB1" w:rsidP="00594C84">
            <w:pPr>
              <w:pStyle w:val="PBS16TableListBullet"/>
            </w:pPr>
            <w:r w:rsidRPr="000E6666">
              <w:t>administering the Discovery funding schemes—Australian Laureate Fellowships, Discovery Early Career Researcher Award (DECRA), Discovery Indigenous, Discovery Projects and Future Fellowships—which provide funding to eligible administering organisations for excellent, internationally competitive research projects, fellowships and awards</w:t>
            </w:r>
          </w:p>
          <w:p w:rsidR="00FA1EB1" w:rsidRPr="000E6666" w:rsidRDefault="00FA1EB1" w:rsidP="00594C84">
            <w:pPr>
              <w:pStyle w:val="PBS16TableListBullet"/>
              <w:rPr>
                <w:i/>
              </w:rPr>
            </w:pPr>
            <w:r w:rsidRPr="000E6666">
              <w:t>informing policy on research and research training.</w:t>
            </w:r>
          </w:p>
        </w:tc>
      </w:tr>
      <w:tr w:rsidR="00FA1EB1" w:rsidRPr="000E6666" w:rsidDel="004331F1" w:rsidTr="00594C84">
        <w:trPr>
          <w:cantSplit/>
          <w:trHeight w:val="23"/>
        </w:trPr>
        <w:tc>
          <w:tcPr>
            <w:tcW w:w="1049" w:type="dxa"/>
          </w:tcPr>
          <w:p w:rsidR="00FA1EB1" w:rsidRPr="000E6666" w:rsidDel="004331F1" w:rsidRDefault="00FA1EB1" w:rsidP="00594C84">
            <w:pPr>
              <w:pStyle w:val="PBS16TableNormalHeading"/>
            </w:pPr>
            <w:r w:rsidRPr="000E6666" w:rsidDel="004331F1">
              <w:t>Purposes</w:t>
            </w:r>
            <w:r w:rsidRPr="000E6666" w:rsidDel="004331F1">
              <w:rPr>
                <w:vertAlign w:val="superscript"/>
              </w:rPr>
              <w:t xml:space="preserve"> </w:t>
            </w:r>
          </w:p>
        </w:tc>
        <w:tc>
          <w:tcPr>
            <w:tcW w:w="6718" w:type="dxa"/>
          </w:tcPr>
          <w:p w:rsidR="00FA1EB1" w:rsidRPr="000E6666" w:rsidDel="004331F1" w:rsidRDefault="00FA1EB1" w:rsidP="00594C84">
            <w:pPr>
              <w:pStyle w:val="PBS16TableNormal"/>
            </w:pPr>
            <w:r w:rsidRPr="000E6666" w:rsidDel="004331F1">
              <w:t>The ARC’s purpose is to grow knowledge and innovation for the benefit of the Australian community through funding the highest quality research, assessing the quality, engagement and impact of research and providing advice on research matters.</w:t>
            </w:r>
          </w:p>
        </w:tc>
      </w:tr>
    </w:tbl>
    <w:p w:rsidR="00FA1EB1" w:rsidRPr="000E6666" w:rsidRDefault="00FA1EB1" w:rsidP="00594C84">
      <w:pPr>
        <w:pStyle w:val="Heading6"/>
      </w:pPr>
      <w:r w:rsidRPr="000E6666">
        <w:t>Performance information 1.1 Discovery</w:t>
      </w:r>
      <w:r w:rsidR="00E85EBA">
        <w:t xml:space="preserve"> – </w:t>
      </w:r>
      <w:r w:rsidRPr="000E6666">
        <w:t>Research and Research Training</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FA1EB1" w:rsidRPr="000E6666" w:rsidTr="00594C84">
        <w:trPr>
          <w:cantSplit/>
          <w:trHeight w:val="23"/>
          <w:tblHeader/>
        </w:trPr>
        <w:tc>
          <w:tcPr>
            <w:tcW w:w="1049" w:type="dxa"/>
          </w:tcPr>
          <w:p w:rsidR="00FA1EB1" w:rsidRPr="000E6666" w:rsidRDefault="00FA1EB1" w:rsidP="00594C84">
            <w:pPr>
              <w:pStyle w:val="PBS16TableNormalHeading"/>
              <w:keepNext/>
            </w:pPr>
            <w:r w:rsidRPr="000E6666">
              <w:t>Year</w:t>
            </w:r>
          </w:p>
        </w:tc>
        <w:tc>
          <w:tcPr>
            <w:tcW w:w="3316" w:type="dxa"/>
          </w:tcPr>
          <w:p w:rsidR="00FA1EB1" w:rsidRPr="000E6666" w:rsidRDefault="00FA1EB1" w:rsidP="00594C84">
            <w:pPr>
              <w:pStyle w:val="PBS16TableNormalHeading"/>
              <w:keepNext/>
            </w:pPr>
            <w:r w:rsidRPr="000E6666">
              <w:t>Performance criteria</w:t>
            </w:r>
          </w:p>
        </w:tc>
        <w:tc>
          <w:tcPr>
            <w:tcW w:w="3402" w:type="dxa"/>
          </w:tcPr>
          <w:p w:rsidR="00FA1EB1" w:rsidRPr="000E6666" w:rsidRDefault="00FA1EB1" w:rsidP="00594C84">
            <w:pPr>
              <w:pStyle w:val="PBS16TableNormalHeading"/>
              <w:keepNext/>
            </w:pPr>
            <w:r w:rsidRPr="000E6666">
              <w:t>Expected achievement</w:t>
            </w:r>
          </w:p>
        </w:tc>
      </w:tr>
      <w:tr w:rsidR="00FA1EB1" w:rsidRPr="000E6666" w:rsidTr="00594C84">
        <w:trPr>
          <w:cantSplit/>
          <w:trHeight w:val="23"/>
        </w:trPr>
        <w:tc>
          <w:tcPr>
            <w:tcW w:w="1049" w:type="dxa"/>
          </w:tcPr>
          <w:p w:rsidR="00FA1EB1" w:rsidRPr="000E6666" w:rsidRDefault="00FA1EB1" w:rsidP="00594C84">
            <w:pPr>
              <w:pStyle w:val="PBS16TableNormal"/>
            </w:pPr>
            <w:r w:rsidRPr="000E6666">
              <w:t>2017–18</w:t>
            </w:r>
          </w:p>
        </w:tc>
        <w:tc>
          <w:tcPr>
            <w:tcW w:w="3316" w:type="dxa"/>
          </w:tcPr>
          <w:p w:rsidR="00FA1EB1" w:rsidRPr="000E6666" w:rsidRDefault="00FA1EB1" w:rsidP="00594C84">
            <w:pPr>
              <w:pStyle w:val="PBS16TableNormal"/>
            </w:pPr>
            <w:r w:rsidRPr="000E6666">
              <w:t>The Discovery program contributes to the growth of knowledge and innovation in Australia by funding:</w:t>
            </w:r>
          </w:p>
          <w:p w:rsidR="00FA1EB1" w:rsidRPr="000E6666" w:rsidRDefault="00FA1EB1" w:rsidP="00594C84">
            <w:pPr>
              <w:pStyle w:val="PBS16TableListBullet"/>
            </w:pPr>
            <w:r w:rsidRPr="000E6666">
              <w:t>excellent research and</w:t>
            </w:r>
            <w:r w:rsidRPr="000E6666">
              <w:rPr>
                <w:spacing w:val="-18"/>
              </w:rPr>
              <w:t xml:space="preserve"> </w:t>
            </w:r>
            <w:r w:rsidRPr="000E6666">
              <w:t>researchers</w:t>
            </w:r>
          </w:p>
          <w:p w:rsidR="00FA1EB1" w:rsidRPr="000E6666" w:rsidRDefault="00FA1EB1" w:rsidP="00594C84">
            <w:pPr>
              <w:pStyle w:val="PBS16TableListBullet"/>
            </w:pPr>
            <w:r w:rsidRPr="000E6666">
              <w:t>research training and career development</w:t>
            </w:r>
          </w:p>
          <w:p w:rsidR="00FA1EB1" w:rsidRPr="000E6666" w:rsidRDefault="00FA1EB1" w:rsidP="00594C84">
            <w:pPr>
              <w:pStyle w:val="PBS16TableListBullet"/>
            </w:pPr>
            <w:r w:rsidRPr="000E6666">
              <w:t>international</w:t>
            </w:r>
            <w:r w:rsidRPr="000E6666">
              <w:rPr>
                <w:spacing w:val="-13"/>
              </w:rPr>
              <w:t xml:space="preserve"> </w:t>
            </w:r>
            <w:r w:rsidRPr="000E6666">
              <w:t>collaboration</w:t>
            </w:r>
          </w:p>
          <w:p w:rsidR="00FA1EB1" w:rsidRPr="000E6666" w:rsidRDefault="00FA1EB1" w:rsidP="00594C84">
            <w:pPr>
              <w:pStyle w:val="PBS16TableListBullet"/>
            </w:pPr>
            <w:r w:rsidRPr="000E6666">
              <w:t>research in areas of</w:t>
            </w:r>
            <w:r w:rsidRPr="000E6666">
              <w:rPr>
                <w:spacing w:val="-15"/>
              </w:rPr>
              <w:t xml:space="preserve"> </w:t>
            </w:r>
            <w:r w:rsidRPr="000E6666">
              <w:t>priority.</w:t>
            </w:r>
          </w:p>
          <w:p w:rsidR="00FA1EB1" w:rsidRPr="000E6666" w:rsidRDefault="00FA1EB1" w:rsidP="00594C84">
            <w:pPr>
              <w:pStyle w:val="PBS16TableNormal"/>
              <w:rPr>
                <w:rFonts w:eastAsia="Cambria"/>
                <w:i/>
              </w:rPr>
            </w:pPr>
            <w:r w:rsidRPr="000E6666">
              <w:t>The Discovery program produces outcomes that improve our fundamental understanding of the world and/or provide economic, environmental, social, health and/or cultural benefits to Australia.</w:t>
            </w:r>
          </w:p>
        </w:tc>
        <w:tc>
          <w:tcPr>
            <w:tcW w:w="3402" w:type="dxa"/>
          </w:tcPr>
          <w:p w:rsidR="00FA1EB1" w:rsidRPr="000E6666" w:rsidRDefault="00FA1EB1" w:rsidP="00594C84">
            <w:pPr>
              <w:pStyle w:val="PBS16TableNormal"/>
            </w:pPr>
            <w:r w:rsidRPr="000E6666">
              <w:t>Final reporting data for targets will be available at the end of 2017–18 and compared against baseline data in the annual report. To date:</w:t>
            </w:r>
          </w:p>
          <w:p w:rsidR="00FA1EB1" w:rsidRPr="000E6666" w:rsidRDefault="00FA1EB1" w:rsidP="00594C84">
            <w:pPr>
              <w:pStyle w:val="PBS16TableListBullet"/>
            </w:pPr>
            <w:r w:rsidRPr="000E6666">
              <w:t>17% of Discovery program funding allocated for commencement in 2017–18 was allocated under the DECRA scheme</w:t>
            </w:r>
          </w:p>
          <w:p w:rsidR="00FA1EB1" w:rsidRPr="000E6666" w:rsidRDefault="00FA1EB1" w:rsidP="00594C84">
            <w:pPr>
              <w:pStyle w:val="PBS16TableListBullet"/>
            </w:pPr>
            <w:r w:rsidRPr="000E6666">
              <w:t>80% of Discovery program research projects commencing in 2017–18 involve international collaboration</w:t>
            </w:r>
          </w:p>
          <w:p w:rsidR="00FA1EB1" w:rsidRPr="000E6666" w:rsidRDefault="00FA1EB1" w:rsidP="00594C84">
            <w:pPr>
              <w:pStyle w:val="PBS16TableListBullet"/>
            </w:pPr>
            <w:r w:rsidRPr="000E6666">
              <w:t>56% of Discovery program research projects commencing in 2017–18 address an Australian Government Science and Research Priority area.</w:t>
            </w:r>
          </w:p>
          <w:p w:rsidR="00FA1EB1" w:rsidRPr="000E6666" w:rsidRDefault="00FA1EB1" w:rsidP="00594C84">
            <w:pPr>
              <w:pStyle w:val="PBS16TableNormal"/>
            </w:pPr>
            <w:r w:rsidRPr="000E6666">
              <w:t>Case studies demonstrating the benefits arising from Discovery research will be provided in the ARC annual report.</w:t>
            </w:r>
          </w:p>
        </w:tc>
      </w:tr>
    </w:tbl>
    <w:p w:rsidR="00FA1EB1" w:rsidRPr="000E6666" w:rsidRDefault="00FA1EB1" w:rsidP="00594C84">
      <w:pPr>
        <w:pStyle w:val="PBSPerformancetablespace"/>
      </w:pP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lastRenderedPageBreak/>
              <w:t>Year</w:t>
            </w:r>
          </w:p>
        </w:tc>
        <w:tc>
          <w:tcPr>
            <w:tcW w:w="3316"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Heading"/>
              <w:keepNext/>
            </w:pPr>
            <w:r w:rsidRPr="000E6666">
              <w:t>Targets</w:t>
            </w:r>
          </w:p>
        </w:tc>
      </w:tr>
      <w:tr w:rsidR="00FA1EB1" w:rsidRPr="000E6666" w:rsidTr="00594C84">
        <w:trPr>
          <w:cantSplit/>
          <w:trHeight w:val="23"/>
        </w:trPr>
        <w:tc>
          <w:tcPr>
            <w:tcW w:w="1049" w:type="dxa"/>
          </w:tcPr>
          <w:p w:rsidR="00FA1EB1" w:rsidRPr="000E6666" w:rsidRDefault="00FA1EB1" w:rsidP="00594C84">
            <w:pPr>
              <w:pStyle w:val="PBS16TableNormal"/>
            </w:pPr>
            <w:r w:rsidRPr="000E6666">
              <w:t>2018–19</w:t>
            </w:r>
          </w:p>
        </w:tc>
        <w:tc>
          <w:tcPr>
            <w:tcW w:w="3316" w:type="dxa"/>
          </w:tcPr>
          <w:p w:rsidR="00FA1EB1" w:rsidRPr="000E6666" w:rsidRDefault="00FA1EB1" w:rsidP="00594C84">
            <w:pPr>
              <w:pStyle w:val="PBS16TableNormal"/>
            </w:pPr>
            <w:r w:rsidRPr="000E6666">
              <w:t>The Discovery program contributes to the growth of knowledge and innovation in Australia by funding:</w:t>
            </w:r>
          </w:p>
          <w:p w:rsidR="00FA1EB1" w:rsidRPr="000E6666" w:rsidRDefault="00FA1EB1" w:rsidP="00594C84">
            <w:pPr>
              <w:pStyle w:val="PBS16TableListBullet"/>
            </w:pPr>
            <w:r w:rsidRPr="000E6666">
              <w:t>excellent research and</w:t>
            </w:r>
            <w:r w:rsidRPr="000E6666">
              <w:rPr>
                <w:spacing w:val="-18"/>
              </w:rPr>
              <w:t xml:space="preserve"> </w:t>
            </w:r>
            <w:r w:rsidRPr="000E6666">
              <w:t>researchers</w:t>
            </w:r>
          </w:p>
          <w:p w:rsidR="00FA1EB1" w:rsidRPr="000E6666" w:rsidRDefault="00FA1EB1" w:rsidP="00594C84">
            <w:pPr>
              <w:pStyle w:val="PBS16TableListBullet"/>
            </w:pPr>
            <w:r w:rsidRPr="000E6666">
              <w:t>research training and career development</w:t>
            </w:r>
          </w:p>
          <w:p w:rsidR="00FA1EB1" w:rsidRPr="000E6666" w:rsidRDefault="00FA1EB1" w:rsidP="00594C84">
            <w:pPr>
              <w:pStyle w:val="PBS16TableListBullet"/>
            </w:pPr>
            <w:r w:rsidRPr="000E6666">
              <w:t>international</w:t>
            </w:r>
            <w:r w:rsidRPr="000E6666">
              <w:rPr>
                <w:spacing w:val="-13"/>
              </w:rPr>
              <w:t xml:space="preserve"> </w:t>
            </w:r>
            <w:r w:rsidRPr="000E6666">
              <w:t>collaboration</w:t>
            </w:r>
          </w:p>
          <w:p w:rsidR="00FA1EB1" w:rsidRPr="000E6666" w:rsidRDefault="00FA1EB1" w:rsidP="00594C84">
            <w:pPr>
              <w:pStyle w:val="PBS16TableListBullet"/>
            </w:pPr>
            <w:r w:rsidRPr="000E6666">
              <w:t>research in areas of</w:t>
            </w:r>
            <w:r w:rsidRPr="000E6666">
              <w:rPr>
                <w:spacing w:val="-15"/>
              </w:rPr>
              <w:t xml:space="preserve"> </w:t>
            </w:r>
            <w:r w:rsidRPr="000E6666">
              <w:t>priority.</w:t>
            </w:r>
          </w:p>
          <w:p w:rsidR="00FA1EB1" w:rsidRPr="000E6666" w:rsidRDefault="00FA1EB1" w:rsidP="00594C84">
            <w:pPr>
              <w:pStyle w:val="PBS16TableNormal"/>
            </w:pPr>
            <w:r w:rsidRPr="000E6666">
              <w:t>The Discovery program produces outcomes that improve our fundamental understanding of the world and/or provide economic, environmental, social, health and/or cultural benefits to Australia.</w:t>
            </w:r>
          </w:p>
        </w:tc>
        <w:tc>
          <w:tcPr>
            <w:tcW w:w="3402" w:type="dxa"/>
          </w:tcPr>
          <w:p w:rsidR="00FA1EB1" w:rsidRPr="000E6666" w:rsidRDefault="00FA1EB1" w:rsidP="00594C84">
            <w:pPr>
              <w:pStyle w:val="PBS16TableNormal"/>
            </w:pPr>
            <w:r w:rsidRPr="000E6666">
              <w:t>Target: Maintain proportion of Discovery program funding allocated to support early career researchers under the DECRA scheme.</w:t>
            </w:r>
          </w:p>
          <w:p w:rsidR="00FA1EB1" w:rsidRPr="000E6666" w:rsidRDefault="00FA1EB1" w:rsidP="00594C84">
            <w:pPr>
              <w:pStyle w:val="PBS16TableNormal"/>
            </w:pPr>
            <w:r w:rsidRPr="000E6666">
              <w:t>Target: Maintain or increase the proportion of Discovery research projects, fellowships and awards that support international collaboration.</w:t>
            </w:r>
          </w:p>
          <w:p w:rsidR="00FA1EB1" w:rsidRPr="000E6666" w:rsidRDefault="00FA1EB1" w:rsidP="00594C84">
            <w:pPr>
              <w:pStyle w:val="PBS16TableNormal"/>
            </w:pPr>
            <w:r w:rsidRPr="000E6666">
              <w:t>Target: Maintain the proportion of Discovery research projects, fellowships and awards that involve research in one of the Australian Government’s Science and Research Priority areas.</w:t>
            </w:r>
          </w:p>
          <w:p w:rsidR="00FA1EB1" w:rsidRPr="000E6666" w:rsidRDefault="00FA1EB1" w:rsidP="00594C84">
            <w:pPr>
              <w:pStyle w:val="PBS16TableNormal"/>
            </w:pPr>
            <w:r w:rsidRPr="000E6666">
              <w:rPr>
                <w:rFonts w:eastAsia="Arial"/>
              </w:rPr>
              <w:t>Target: Evidence of outcomes arising from Discovery research projects, fellowships and awards improving our fundamental understanding of the world and/or providing economic, environmental, social, health and/or cultural benefits to Australia.</w:t>
            </w:r>
          </w:p>
        </w:tc>
      </w:tr>
      <w:tr w:rsidR="00FA1EB1" w:rsidRPr="000E6666" w:rsidTr="00594C84">
        <w:trPr>
          <w:cantSplit/>
          <w:trHeight w:val="23"/>
        </w:trPr>
        <w:tc>
          <w:tcPr>
            <w:tcW w:w="1049" w:type="dxa"/>
          </w:tcPr>
          <w:p w:rsidR="00FA1EB1" w:rsidRPr="000E6666" w:rsidRDefault="00FA1EB1" w:rsidP="00594C84">
            <w:pPr>
              <w:pStyle w:val="PBS16TableNormal"/>
            </w:pPr>
            <w:r w:rsidRPr="000E6666">
              <w:t>2019–20 and beyond</w:t>
            </w:r>
          </w:p>
        </w:tc>
        <w:tc>
          <w:tcPr>
            <w:tcW w:w="3316" w:type="dxa"/>
          </w:tcPr>
          <w:p w:rsidR="00FA1EB1" w:rsidRPr="000E6666" w:rsidRDefault="00FA1EB1" w:rsidP="00594C84">
            <w:pPr>
              <w:pStyle w:val="PBS16TableNormal"/>
            </w:pPr>
            <w:r w:rsidRPr="000E6666">
              <w:t>As per 2018–19</w:t>
            </w:r>
          </w:p>
        </w:tc>
        <w:tc>
          <w:tcPr>
            <w:tcW w:w="3402" w:type="dxa"/>
          </w:tcPr>
          <w:p w:rsidR="00FA1EB1" w:rsidRPr="000E6666" w:rsidRDefault="00FA1EB1" w:rsidP="00594C84">
            <w:pPr>
              <w:pStyle w:val="PBS16TableNormal"/>
            </w:pPr>
            <w:r w:rsidRPr="000E6666">
              <w:t>As per 2018–19</w:t>
            </w:r>
          </w:p>
        </w:tc>
      </w:tr>
    </w:tbl>
    <w:p w:rsidR="00FA1EB1" w:rsidRPr="000E6666" w:rsidRDefault="00FA1EB1" w:rsidP="00594C84"/>
    <w:p w:rsidR="00FA1EB1" w:rsidRPr="000E6666" w:rsidRDefault="00FA1EB1" w:rsidP="00594C84">
      <w:r w:rsidRPr="000E6666">
        <w:br w:type="page"/>
      </w:r>
    </w:p>
    <w:p w:rsidR="00FA1EB1" w:rsidRPr="000E6666" w:rsidRDefault="00FA1EB1" w:rsidP="00594C84">
      <w:pPr>
        <w:pStyle w:val="Heading5"/>
      </w:pPr>
      <w:r w:rsidRPr="000E6666">
        <w:lastRenderedPageBreak/>
        <w:t>Program 1.2: Linkage – Cross Sector Research Partnerships</w:t>
      </w:r>
    </w:p>
    <w:tbl>
      <w:tblPr>
        <w:tblpPr w:leftFromText="180" w:rightFromText="180" w:vertAnchor="text" w:tblpY="1"/>
        <w:tblOverlap w:val="neve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blHeader/>
        </w:trPr>
        <w:tc>
          <w:tcPr>
            <w:tcW w:w="1049" w:type="dxa"/>
            <w:shd w:val="clear" w:color="auto" w:fill="auto"/>
          </w:tcPr>
          <w:p w:rsidR="00FA1EB1" w:rsidRPr="000E6666" w:rsidRDefault="00FA1EB1" w:rsidP="00594C84">
            <w:pPr>
              <w:pStyle w:val="PBS16TableNormalHeading"/>
            </w:pPr>
            <w:r w:rsidRPr="000E6666">
              <w:t>Objective</w:t>
            </w:r>
          </w:p>
        </w:tc>
        <w:tc>
          <w:tcPr>
            <w:tcW w:w="6718" w:type="dxa"/>
            <w:shd w:val="clear" w:color="auto" w:fill="auto"/>
          </w:tcPr>
          <w:p w:rsidR="00FA1EB1" w:rsidRPr="000E6666" w:rsidRDefault="00FA1EB1" w:rsidP="00594C84">
            <w:pPr>
              <w:pStyle w:val="PBS16TableNormal"/>
            </w:pPr>
            <w:r w:rsidRPr="000E6666">
              <w:t>Through the Linkage program, the ARC aims to build Australia’s research and innovation capacity by supporting excellent, internationally competitive research projects, infrastructure, hubs and centres that involve collaboration among researchers within and beyond the research sector.</w:t>
            </w:r>
          </w:p>
          <w:p w:rsidR="00FA1EB1" w:rsidRPr="000E6666" w:rsidRDefault="00FA1EB1" w:rsidP="00594C84">
            <w:pPr>
              <w:pStyle w:val="PBS16TableNormal"/>
            </w:pPr>
            <w:r w:rsidRPr="000E6666">
              <w:t>This contributes to Outcome 1 by: providing training and career opportunities for current and emerging researchers; fostering industry and other end-user engagement; supporting international collaboration; and encouraging research that will strengthen Australia’s capacity in areas of priority.</w:t>
            </w:r>
          </w:p>
        </w:tc>
      </w:tr>
      <w:tr w:rsidR="00FA1EB1" w:rsidRPr="000E6666" w:rsidTr="00594C84">
        <w:trPr>
          <w:cantSplit/>
          <w:trHeight w:val="23"/>
        </w:trPr>
        <w:tc>
          <w:tcPr>
            <w:tcW w:w="1049" w:type="dxa"/>
            <w:shd w:val="clear" w:color="auto" w:fill="auto"/>
          </w:tcPr>
          <w:p w:rsidR="00FA1EB1" w:rsidRPr="000E6666" w:rsidRDefault="00FA1EB1" w:rsidP="00594C84">
            <w:pPr>
              <w:pStyle w:val="PBS16TableNormalHeading"/>
            </w:pPr>
            <w:r w:rsidRPr="000E6666">
              <w:t>Delivery</w:t>
            </w:r>
          </w:p>
        </w:tc>
        <w:tc>
          <w:tcPr>
            <w:tcW w:w="6718" w:type="dxa"/>
            <w:shd w:val="clear" w:color="auto" w:fill="auto"/>
          </w:tcPr>
          <w:p w:rsidR="00FA1EB1" w:rsidRPr="000E6666" w:rsidRDefault="00FA1EB1" w:rsidP="00594C84">
            <w:pPr>
              <w:pStyle w:val="PBS16TableNormal"/>
            </w:pPr>
            <w:r w:rsidRPr="000E6666">
              <w:t>The Linkage program is delivered through the following activities:</w:t>
            </w:r>
          </w:p>
          <w:p w:rsidR="00FA1EB1" w:rsidRPr="000E6666" w:rsidRDefault="00FA1EB1" w:rsidP="00594C84">
            <w:pPr>
              <w:pStyle w:val="PBS16TableListBullet"/>
              <w:rPr>
                <w:i/>
              </w:rPr>
            </w:pPr>
            <w:r w:rsidRPr="000E6666">
              <w:t>Administering the Linkage funding schemes—ARC Centres of Excellence, Industrial Transformation Research Hubs, Industrial Transformation Training Centres, Linkage Infrastructure, Equipment and Facilities, Linkage Learned Academies Special Projects, Linkage Projects and Special Research Initiatives—which provide funding to eligible administering organisations for excellent, internationally competitive research projects, infrastructure, hubs and centres</w:t>
            </w:r>
          </w:p>
          <w:p w:rsidR="00FA1EB1" w:rsidRPr="000E6666" w:rsidRDefault="00FA1EB1" w:rsidP="00594C84">
            <w:pPr>
              <w:pStyle w:val="PBS16TableListBullet"/>
              <w:rPr>
                <w:i/>
              </w:rPr>
            </w:pPr>
            <w:r w:rsidRPr="000E6666">
              <w:t>informing policy on cross sector research partnerships.</w:t>
            </w:r>
          </w:p>
        </w:tc>
      </w:tr>
      <w:tr w:rsidR="00FA1EB1" w:rsidRPr="000E6666" w:rsidDel="004331F1" w:rsidTr="00594C84">
        <w:trPr>
          <w:cantSplit/>
          <w:trHeight w:val="23"/>
        </w:trPr>
        <w:tc>
          <w:tcPr>
            <w:tcW w:w="1049" w:type="dxa"/>
            <w:shd w:val="clear" w:color="auto" w:fill="auto"/>
          </w:tcPr>
          <w:p w:rsidR="00FA1EB1" w:rsidRPr="000E6666" w:rsidDel="004331F1" w:rsidRDefault="00FA1EB1" w:rsidP="00594C84">
            <w:pPr>
              <w:pStyle w:val="PBS16TableNormalHeading"/>
            </w:pPr>
            <w:r w:rsidRPr="000E6666" w:rsidDel="004331F1">
              <w:t xml:space="preserve">Purposes </w:t>
            </w:r>
          </w:p>
        </w:tc>
        <w:tc>
          <w:tcPr>
            <w:tcW w:w="6718" w:type="dxa"/>
            <w:shd w:val="clear" w:color="auto" w:fill="auto"/>
          </w:tcPr>
          <w:p w:rsidR="00FA1EB1" w:rsidRPr="000E6666" w:rsidDel="004331F1" w:rsidRDefault="00FA1EB1" w:rsidP="00594C84">
            <w:pPr>
              <w:pStyle w:val="PBS16TableNormal"/>
            </w:pPr>
            <w:r w:rsidRPr="000E6666" w:rsidDel="004331F1">
              <w:t>The ARC’s purpose is to grow knowledge and innovation for the benefit of the Australian community through funding the highest quality research, assessing the quality, engagement and impact of research and providing advice on research matters.</w:t>
            </w:r>
          </w:p>
        </w:tc>
      </w:tr>
      <w:tr w:rsidR="006D514A" w:rsidRPr="000E6666" w:rsidDel="004331F1" w:rsidTr="006D514A">
        <w:trPr>
          <w:cantSplit/>
          <w:trHeight w:val="23"/>
        </w:trPr>
        <w:tc>
          <w:tcPr>
            <w:tcW w:w="7767" w:type="dxa"/>
            <w:gridSpan w:val="2"/>
            <w:shd w:val="clear" w:color="auto" w:fill="auto"/>
          </w:tcPr>
          <w:p w:rsidR="006D514A" w:rsidRDefault="006D514A" w:rsidP="006D514A">
            <w:pPr>
              <w:pStyle w:val="PBS16TableNormalHeading"/>
            </w:pPr>
            <w:r>
              <w:t>Budget measures impacting program 1.2</w:t>
            </w:r>
          </w:p>
          <w:p w:rsidR="006D514A" w:rsidRDefault="006D514A" w:rsidP="006D514A">
            <w:pPr>
              <w:pStyle w:val="PBS16TableListBullet"/>
            </w:pPr>
            <w:r w:rsidRPr="006D514A">
              <w:t>Australian Antarctic Science</w:t>
            </w:r>
          </w:p>
          <w:p w:rsidR="006D514A" w:rsidRPr="000E6666" w:rsidDel="004331F1" w:rsidRDefault="006D514A" w:rsidP="006D514A">
            <w:pPr>
              <w:pStyle w:val="PBS16TableListBullet"/>
            </w:pPr>
            <w:r w:rsidRPr="006D514A">
              <w:t>Per</w:t>
            </w:r>
            <w:r>
              <w:t>-</w:t>
            </w:r>
            <w:r w:rsidRPr="006D514A">
              <w:t xml:space="preserve"> and Poly</w:t>
            </w:r>
            <w:r>
              <w:t>-</w:t>
            </w:r>
            <w:r w:rsidRPr="006D514A">
              <w:t>Fluorinated Alkyl Substances — research and associated activities</w:t>
            </w:r>
          </w:p>
        </w:tc>
      </w:tr>
    </w:tbl>
    <w:p w:rsidR="00FA1EB1" w:rsidRPr="000E6666" w:rsidRDefault="00FA1EB1" w:rsidP="00594C84">
      <w:pPr>
        <w:pStyle w:val="Heading6"/>
      </w:pPr>
      <w:r w:rsidRPr="000E6666">
        <w:t>Performance information 1.2 Linkage – Cross Sector Research Partnerships</w:t>
      </w:r>
    </w:p>
    <w:tbl>
      <w:tblP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7"/>
        <w:gridCol w:w="3402"/>
      </w:tblGrid>
      <w:tr w:rsidR="00FA1EB1" w:rsidRPr="000E6666" w:rsidTr="00594C84">
        <w:trPr>
          <w:cantSplit/>
          <w:trHeight w:val="23"/>
          <w:tblHeader/>
        </w:trPr>
        <w:tc>
          <w:tcPr>
            <w:tcW w:w="1049" w:type="dxa"/>
            <w:tcBorders>
              <w:bottom w:val="single" w:sz="4" w:space="0" w:color="auto"/>
            </w:tcBorders>
          </w:tcPr>
          <w:p w:rsidR="00FA1EB1" w:rsidRPr="000E6666" w:rsidRDefault="00FA1EB1" w:rsidP="00594C84">
            <w:pPr>
              <w:pStyle w:val="PBS16TableNormalHeading"/>
              <w:keepNext/>
            </w:pPr>
            <w:r w:rsidRPr="000E6666">
              <w:t>Year</w:t>
            </w:r>
          </w:p>
        </w:tc>
        <w:tc>
          <w:tcPr>
            <w:tcW w:w="3317" w:type="dxa"/>
            <w:tcBorders>
              <w:bottom w:val="single" w:sz="4" w:space="0" w:color="auto"/>
            </w:tcBorders>
          </w:tcPr>
          <w:p w:rsidR="00FA1EB1" w:rsidRPr="000E6666" w:rsidRDefault="00FA1EB1" w:rsidP="00594C84">
            <w:pPr>
              <w:pStyle w:val="PBS16TableNormalHeading"/>
              <w:keepNext/>
            </w:pPr>
            <w:r w:rsidRPr="000E6666">
              <w:t>Performance criteria</w:t>
            </w:r>
          </w:p>
        </w:tc>
        <w:tc>
          <w:tcPr>
            <w:tcW w:w="3402" w:type="dxa"/>
            <w:tcBorders>
              <w:bottom w:val="single" w:sz="4" w:space="0" w:color="auto"/>
            </w:tcBorders>
          </w:tcPr>
          <w:p w:rsidR="00FA1EB1" w:rsidRPr="000E6666" w:rsidRDefault="00FA1EB1" w:rsidP="00594C84">
            <w:pPr>
              <w:pStyle w:val="PBS16TableNormalHeading"/>
              <w:keepNext/>
            </w:pPr>
            <w:r w:rsidRPr="000E6666">
              <w:t xml:space="preserve">Expected achievement </w:t>
            </w:r>
          </w:p>
        </w:tc>
      </w:tr>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2017–18</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The Linkage program contributes to the growth of knowledge and innovation in Australia by funding:</w:t>
            </w:r>
          </w:p>
          <w:p w:rsidR="00FA1EB1" w:rsidRPr="000E6666" w:rsidRDefault="00FA1EB1" w:rsidP="00594C84">
            <w:pPr>
              <w:pStyle w:val="PBS16TableListBullet"/>
            </w:pPr>
            <w:r w:rsidRPr="000E6666">
              <w:t>excellent collaborative research and researchers</w:t>
            </w:r>
          </w:p>
          <w:p w:rsidR="00FA1EB1" w:rsidRPr="000E6666" w:rsidRDefault="00FA1EB1" w:rsidP="00594C84">
            <w:pPr>
              <w:pStyle w:val="PBS16TableListBullet"/>
            </w:pPr>
            <w:r w:rsidRPr="000E6666">
              <w:t xml:space="preserve">industrial research training and career development </w:t>
            </w:r>
          </w:p>
          <w:p w:rsidR="00FA1EB1" w:rsidRPr="000E6666" w:rsidRDefault="00FA1EB1" w:rsidP="00594C84">
            <w:pPr>
              <w:pStyle w:val="PBS16TableListBullet"/>
            </w:pPr>
            <w:r w:rsidRPr="000E6666">
              <w:t>partnerships between universities and research end-users</w:t>
            </w:r>
          </w:p>
          <w:p w:rsidR="00FA1EB1" w:rsidRPr="000E6666" w:rsidRDefault="00FA1EB1" w:rsidP="00594C84">
            <w:pPr>
              <w:pStyle w:val="PBS16TableListBullet"/>
            </w:pPr>
            <w:r w:rsidRPr="000E6666">
              <w:t>research in areas of priority.</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pStyle w:val="PBS16TableNormal"/>
            </w:pPr>
            <w:r w:rsidRPr="000E6666">
              <w:t>Final reporting data for targets will be available at the end of 2017–18 and compared against baseline data in the annual report. To date:</w:t>
            </w:r>
          </w:p>
          <w:p w:rsidR="00FA1EB1" w:rsidRPr="000E6666" w:rsidRDefault="00FA1EB1" w:rsidP="00594C84">
            <w:pPr>
              <w:pStyle w:val="PBS16TableListBullet"/>
            </w:pPr>
            <w:r w:rsidRPr="000E6666">
              <w:t>partner organisations involved in Linkage Projects have pledged $1.76 for every dollar awarded by the ARC</w:t>
            </w:r>
          </w:p>
          <w:p w:rsidR="00FA1EB1" w:rsidRPr="000E6666" w:rsidRDefault="00FA1EB1" w:rsidP="00594C84">
            <w:pPr>
              <w:pStyle w:val="PBS16TableListBullet"/>
            </w:pPr>
            <w:r w:rsidRPr="000E6666">
              <w:t>results indicate the Linkage Projects scheme is on track to maintain the level of stakeholder satisfaction with the research partnerships supported through the scheme</w:t>
            </w:r>
          </w:p>
          <w:p w:rsidR="00FA1EB1" w:rsidRPr="000E6666" w:rsidRDefault="00FA1EB1" w:rsidP="00594C84">
            <w:pPr>
              <w:pStyle w:val="PBS16TableListBullet"/>
            </w:pPr>
            <w:r w:rsidRPr="000E6666">
              <w:t>78% of Linkage program research projects commencing in 2017–18 address an Australian Government Science and Research Priority area</w:t>
            </w:r>
          </w:p>
          <w:p w:rsidR="00FA1EB1" w:rsidRPr="000E6666" w:rsidRDefault="00FA1EB1" w:rsidP="00594C84">
            <w:pPr>
              <w:pStyle w:val="PBS16TableListBullet"/>
            </w:pPr>
            <w:r w:rsidRPr="000E6666">
              <w:t>100% of recommendations to the Minister under the Linkage Projects scheme have been made within six months of submission.</w:t>
            </w:r>
          </w:p>
          <w:p w:rsidR="00FA1EB1" w:rsidRPr="000E6666" w:rsidRDefault="00FA1EB1" w:rsidP="00594C84">
            <w:pPr>
              <w:pStyle w:val="PBS16TableNormal"/>
            </w:pPr>
            <w:r w:rsidRPr="000E6666">
              <w:t>In relation to the target for expenditure on the Industrial Transformation Training Centres scheme as a proportion of Linkage program funding the selection round for Industrial Transformation Training Centres 2018 has not been finalised.</w:t>
            </w:r>
          </w:p>
        </w:tc>
      </w:tr>
    </w:tbl>
    <w:p w:rsidR="00FA1EB1" w:rsidRPr="000E6666" w:rsidRDefault="00FA1EB1" w:rsidP="00594C84">
      <w:pPr>
        <w:pStyle w:val="PBSPerformancetablespace"/>
      </w:pPr>
    </w:p>
    <w:tbl>
      <w:tblP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7"/>
        <w:gridCol w:w="3402"/>
      </w:tblGrid>
      <w:tr w:rsidR="00FA1EB1" w:rsidRPr="000E6666" w:rsidTr="00594C84">
        <w:trPr>
          <w:cantSplit/>
          <w:trHeight w:val="23"/>
        </w:trPr>
        <w:tc>
          <w:tcPr>
            <w:tcW w:w="1049"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Heading"/>
              <w:keepNext/>
            </w:pPr>
            <w:r w:rsidRPr="000E6666">
              <w:lastRenderedPageBreak/>
              <w:t>Year</w:t>
            </w:r>
          </w:p>
        </w:tc>
        <w:tc>
          <w:tcPr>
            <w:tcW w:w="3317"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Heading"/>
              <w:keepNext/>
            </w:pPr>
            <w:r w:rsidRPr="000E6666">
              <w:t>Performance criteria</w:t>
            </w:r>
          </w:p>
        </w:tc>
        <w:tc>
          <w:tcPr>
            <w:tcW w:w="3402" w:type="dxa"/>
            <w:tcBorders>
              <w:top w:val="single" w:sz="4" w:space="0" w:color="auto"/>
              <w:left w:val="single" w:sz="4" w:space="0" w:color="auto"/>
              <w:bottom w:val="dotted" w:sz="4" w:space="0" w:color="auto"/>
              <w:right w:val="single" w:sz="4" w:space="0" w:color="auto"/>
            </w:tcBorders>
          </w:tcPr>
          <w:p w:rsidR="00FA1EB1" w:rsidRPr="000E6666" w:rsidRDefault="00FA1EB1" w:rsidP="00594C84">
            <w:pPr>
              <w:pStyle w:val="PBS16TableNormalHeading"/>
              <w:keepNext/>
            </w:pPr>
            <w:r w:rsidRPr="000E6666">
              <w:t>Targets</w:t>
            </w:r>
          </w:p>
        </w:tc>
      </w:tr>
      <w:tr w:rsidR="00FA1EB1" w:rsidRPr="000E6666" w:rsidTr="00594C84">
        <w:trPr>
          <w:cantSplit/>
          <w:trHeight w:val="23"/>
        </w:trPr>
        <w:tc>
          <w:tcPr>
            <w:tcW w:w="1049" w:type="dxa"/>
            <w:tcBorders>
              <w:top w:val="single" w:sz="4" w:space="0" w:color="auto"/>
              <w:bottom w:val="dotted" w:sz="4" w:space="0" w:color="auto"/>
            </w:tcBorders>
          </w:tcPr>
          <w:p w:rsidR="00FA1EB1" w:rsidRPr="000E6666" w:rsidRDefault="00FA1EB1" w:rsidP="00594C84">
            <w:pPr>
              <w:pStyle w:val="PBS16TableNormal"/>
            </w:pPr>
            <w:r w:rsidRPr="000E6666">
              <w:t>2018–19</w:t>
            </w:r>
          </w:p>
        </w:tc>
        <w:tc>
          <w:tcPr>
            <w:tcW w:w="3317" w:type="dxa"/>
            <w:tcBorders>
              <w:top w:val="single" w:sz="4" w:space="0" w:color="auto"/>
              <w:bottom w:val="dotted" w:sz="4" w:space="0" w:color="auto"/>
            </w:tcBorders>
          </w:tcPr>
          <w:p w:rsidR="00FA1EB1" w:rsidRPr="000E6666" w:rsidRDefault="00FA1EB1" w:rsidP="00594C84">
            <w:pPr>
              <w:pStyle w:val="PBS16TableNormal"/>
            </w:pPr>
            <w:r w:rsidRPr="000E6666">
              <w:t>The Linkage program contributes to the growth of knowledge and innovation in Australia by funding:</w:t>
            </w:r>
          </w:p>
          <w:p w:rsidR="00FA1EB1" w:rsidRPr="000E6666" w:rsidRDefault="00FA1EB1" w:rsidP="00594C84">
            <w:pPr>
              <w:pStyle w:val="PBS16TableListBullet"/>
            </w:pPr>
            <w:r w:rsidRPr="000E6666">
              <w:t>excellent collaborative research and researchers</w:t>
            </w:r>
          </w:p>
          <w:p w:rsidR="00FA1EB1" w:rsidRPr="000E6666" w:rsidRDefault="00FA1EB1" w:rsidP="00594C84">
            <w:pPr>
              <w:pStyle w:val="PBS16TableListBullet"/>
            </w:pPr>
            <w:r w:rsidRPr="000E6666">
              <w:t xml:space="preserve">industrial research training and career development </w:t>
            </w:r>
          </w:p>
          <w:p w:rsidR="00FA1EB1" w:rsidRPr="000E6666" w:rsidRDefault="00FA1EB1" w:rsidP="00594C84">
            <w:pPr>
              <w:pStyle w:val="PBS16TableListBullet"/>
            </w:pPr>
            <w:r w:rsidRPr="000E6666">
              <w:t>partnerships between universities and research end-users</w:t>
            </w:r>
          </w:p>
          <w:p w:rsidR="00FA1EB1" w:rsidRPr="000E6666" w:rsidRDefault="00FA1EB1" w:rsidP="00594C84">
            <w:pPr>
              <w:pStyle w:val="PBS16TableListBullet"/>
            </w:pPr>
            <w:r w:rsidRPr="000E6666">
              <w:t>research in areas of priority.</w:t>
            </w:r>
          </w:p>
        </w:tc>
        <w:tc>
          <w:tcPr>
            <w:tcW w:w="3402" w:type="dxa"/>
            <w:tcBorders>
              <w:top w:val="single" w:sz="4" w:space="0" w:color="auto"/>
              <w:bottom w:val="dotted" w:sz="4" w:space="0" w:color="auto"/>
            </w:tcBorders>
          </w:tcPr>
          <w:p w:rsidR="00FA1EB1" w:rsidRPr="000E6666" w:rsidRDefault="00FA1EB1" w:rsidP="00594C84">
            <w:pPr>
              <w:pStyle w:val="PBS16TableNormal"/>
            </w:pPr>
            <w:r w:rsidRPr="000E6666">
              <w:t>Target: Maintain proportion of Linkage program funding to support industrial research training under the Industrial Transformation Training Centres scheme.</w:t>
            </w:r>
          </w:p>
          <w:p w:rsidR="00FA1EB1" w:rsidRPr="000E6666" w:rsidRDefault="00FA1EB1" w:rsidP="00594C84">
            <w:pPr>
              <w:pStyle w:val="PBS16TableNormal"/>
            </w:pPr>
            <w:r w:rsidRPr="000E6666">
              <w:t>Target: Maintain or increase the level of co-funding from partner organisations under the Linkage Projects scheme [≥$1 for every ARC dollar].</w:t>
            </w:r>
          </w:p>
          <w:p w:rsidR="00FA1EB1" w:rsidRPr="000E6666" w:rsidRDefault="00FA1EB1" w:rsidP="00594C84">
            <w:pPr>
              <w:pStyle w:val="PBS16TableNormal"/>
            </w:pPr>
            <w:r w:rsidRPr="000E6666">
              <w:t>Target: Maintain stakeholder satisfaction with the research partnerships supported through Linkage research projects, infrastructure, hubs and centres [with baseline based on 4 year rolling average].</w:t>
            </w:r>
          </w:p>
          <w:p w:rsidR="00FA1EB1" w:rsidRPr="000E6666" w:rsidRDefault="00FA1EB1" w:rsidP="00594C84">
            <w:pPr>
              <w:pStyle w:val="PBS16TableNormal"/>
            </w:pPr>
            <w:r w:rsidRPr="000E6666">
              <w:t>Target: Maintain or increase the proportion of Linkage research projects, infrastructure, hubs and centres that involve research in one of the Australian Government’s Science and Research Priority areas.</w:t>
            </w:r>
          </w:p>
          <w:p w:rsidR="00FA1EB1" w:rsidRPr="000E6666" w:rsidRDefault="00FA1EB1" w:rsidP="00594C84">
            <w:pPr>
              <w:pStyle w:val="PBS16TableNormal"/>
            </w:pPr>
            <w:r w:rsidRPr="000E6666">
              <w:t>Target: Linkage Projects scheme is delivered efficiently [100% of recommendations are made to the Minister within six months of submission].</w:t>
            </w:r>
          </w:p>
        </w:tc>
      </w:tr>
      <w:tr w:rsidR="00FA1EB1" w:rsidRPr="000E6666" w:rsidTr="00594C84">
        <w:trPr>
          <w:cantSplit/>
          <w:trHeight w:val="23"/>
        </w:trPr>
        <w:tc>
          <w:tcPr>
            <w:tcW w:w="1049" w:type="dxa"/>
          </w:tcPr>
          <w:p w:rsidR="00FA1EB1" w:rsidRPr="000E6666" w:rsidRDefault="00FA1EB1" w:rsidP="00594C84">
            <w:pPr>
              <w:pStyle w:val="PBS16TableNormal"/>
            </w:pPr>
            <w:r w:rsidRPr="000E6666">
              <w:t>2019–20 and beyond</w:t>
            </w:r>
          </w:p>
        </w:tc>
        <w:tc>
          <w:tcPr>
            <w:tcW w:w="3317" w:type="dxa"/>
          </w:tcPr>
          <w:p w:rsidR="00FA1EB1" w:rsidRPr="000E6666" w:rsidRDefault="00FA1EB1" w:rsidP="00594C84">
            <w:pPr>
              <w:pStyle w:val="PBS16TableNormal"/>
            </w:pPr>
            <w:r w:rsidRPr="000E6666">
              <w:t>As per 2018–19</w:t>
            </w:r>
          </w:p>
        </w:tc>
        <w:tc>
          <w:tcPr>
            <w:tcW w:w="3402" w:type="dxa"/>
          </w:tcPr>
          <w:p w:rsidR="00FA1EB1" w:rsidRPr="000E6666" w:rsidRDefault="00FA1EB1" w:rsidP="00594C84">
            <w:pPr>
              <w:pStyle w:val="PBS16TableNormal"/>
            </w:pPr>
            <w:r w:rsidRPr="000E6666">
              <w:t>As per 2018–19</w:t>
            </w:r>
          </w:p>
        </w:tc>
      </w:tr>
    </w:tbl>
    <w:p w:rsidR="00FA1EB1" w:rsidRPr="000E6666" w:rsidRDefault="00FA1EB1" w:rsidP="00594C84">
      <w:pPr>
        <w:rPr>
          <w:b/>
        </w:rPr>
      </w:pPr>
      <w:r w:rsidRPr="000E6666">
        <w:rPr>
          <w:b/>
        </w:rPr>
        <w:br w:type="page"/>
      </w:r>
    </w:p>
    <w:p w:rsidR="00FA1EB1" w:rsidRPr="000E6666" w:rsidRDefault="00FA1EB1" w:rsidP="00594C84">
      <w:pPr>
        <w:pStyle w:val="Heading5"/>
      </w:pPr>
      <w:r w:rsidRPr="000E6666">
        <w:lastRenderedPageBreak/>
        <w:t>Program 1.3: Excellence in Research for Australia</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blHeader/>
        </w:trPr>
        <w:tc>
          <w:tcPr>
            <w:tcW w:w="1049" w:type="dxa"/>
            <w:shd w:val="clear" w:color="auto" w:fill="auto"/>
          </w:tcPr>
          <w:p w:rsidR="00FA1EB1" w:rsidRPr="000E6666" w:rsidRDefault="00FA1EB1" w:rsidP="00594C84">
            <w:pPr>
              <w:pStyle w:val="PBS16TableNormalHeading"/>
            </w:pPr>
            <w:r w:rsidRPr="000E6666">
              <w:t>Objective</w:t>
            </w:r>
          </w:p>
        </w:tc>
        <w:tc>
          <w:tcPr>
            <w:tcW w:w="6718" w:type="dxa"/>
            <w:shd w:val="clear" w:color="auto" w:fill="auto"/>
          </w:tcPr>
          <w:p w:rsidR="00FA1EB1" w:rsidRPr="000E6666" w:rsidRDefault="00FA1EB1" w:rsidP="00594C84">
            <w:pPr>
              <w:pStyle w:val="PBS16TableNormal"/>
            </w:pPr>
            <w:r w:rsidRPr="000E6666">
              <w:t xml:space="preserve">Through the Excellence in Research for Australia (ERA) program the ARC aims to improve Australia’s research capacity by evaluating research at eligible Australian higher education institutions against international benchmarks and identifying excellence across the full spectrum of research activities. The program includes both the research quality evaluation framework, Excellence in Research for Australia, and an Engagement and Impact (EI) assessment framework, which will assess the engagement of researchers with end-users, and show how universities are translating their research into economic, social, environmental and other impacts. </w:t>
            </w:r>
          </w:p>
          <w:p w:rsidR="00FA1EB1" w:rsidRPr="000E6666" w:rsidRDefault="00FA1EB1" w:rsidP="00594C84">
            <w:pPr>
              <w:pStyle w:val="PBS16TableNormal"/>
            </w:pPr>
            <w:r w:rsidRPr="000E6666">
              <w:t>This contributes to Outcome 1 by: providing a unique, evidence-based resource to inform Australian government research policy and the strategic direction of higher education institutions; and encouraging researchers to produce high-quality and impactful research with real world benefits.</w:t>
            </w:r>
          </w:p>
        </w:tc>
      </w:tr>
      <w:tr w:rsidR="00FA1EB1" w:rsidRPr="000E6666" w:rsidTr="00594C84">
        <w:trPr>
          <w:cantSplit/>
          <w:trHeight w:val="23"/>
        </w:trPr>
        <w:tc>
          <w:tcPr>
            <w:tcW w:w="1049" w:type="dxa"/>
          </w:tcPr>
          <w:p w:rsidR="00FA1EB1" w:rsidRPr="000E6666" w:rsidRDefault="00FA1EB1" w:rsidP="00594C84">
            <w:pPr>
              <w:pStyle w:val="PBS16TableNormalHeading"/>
            </w:pPr>
            <w:r w:rsidRPr="000E6666">
              <w:t>Delivery</w:t>
            </w:r>
          </w:p>
        </w:tc>
        <w:tc>
          <w:tcPr>
            <w:tcW w:w="6718" w:type="dxa"/>
          </w:tcPr>
          <w:p w:rsidR="00FA1EB1" w:rsidRPr="000E6666" w:rsidRDefault="00FA1EB1" w:rsidP="00594C84">
            <w:pPr>
              <w:pStyle w:val="PBS16TableNormal"/>
            </w:pPr>
            <w:r w:rsidRPr="000E6666">
              <w:t>The program is delivered through the following activities:</w:t>
            </w:r>
          </w:p>
          <w:p w:rsidR="00FA1EB1" w:rsidRPr="000E6666" w:rsidRDefault="00FA1EB1" w:rsidP="00594C84">
            <w:pPr>
              <w:pStyle w:val="PBS16TableListBullet"/>
            </w:pPr>
            <w:r w:rsidRPr="000E6666">
              <w:t>administering an evaluation framework to measure and report on the quality of research conducted at Australia’s higher education institutions</w:t>
            </w:r>
          </w:p>
          <w:p w:rsidR="00FA1EB1" w:rsidRPr="000E6666" w:rsidRDefault="00FA1EB1" w:rsidP="00594C84">
            <w:pPr>
              <w:pStyle w:val="PBS16TableListBullet"/>
            </w:pPr>
            <w:r w:rsidRPr="000E6666">
              <w:t>administering a framework to assess engagement and show how universities are translating their research into economic, social, environmental and other impacts</w:t>
            </w:r>
          </w:p>
          <w:p w:rsidR="00FA1EB1" w:rsidRPr="000E6666" w:rsidRDefault="00FA1EB1" w:rsidP="00594C84">
            <w:pPr>
              <w:pStyle w:val="PBS16TableListBullet"/>
              <w:rPr>
                <w:i/>
              </w:rPr>
            </w:pPr>
            <w:r w:rsidRPr="000E6666">
              <w:t>informing strategic policy advice on research quality, engagement and impact.</w:t>
            </w:r>
          </w:p>
        </w:tc>
      </w:tr>
      <w:tr w:rsidR="00FA1EB1" w:rsidRPr="000E6666" w:rsidTr="00594C84">
        <w:trPr>
          <w:cantSplit/>
          <w:trHeight w:val="23"/>
        </w:trPr>
        <w:tc>
          <w:tcPr>
            <w:tcW w:w="1049" w:type="dxa"/>
          </w:tcPr>
          <w:p w:rsidR="00FA1EB1" w:rsidRPr="000E6666" w:rsidRDefault="00FA1EB1" w:rsidP="00594C84">
            <w:pPr>
              <w:pStyle w:val="PBS16TableNormalHeading"/>
            </w:pPr>
            <w:r w:rsidRPr="000E6666">
              <w:t>Purposes</w:t>
            </w:r>
            <w:r w:rsidRPr="000E6666">
              <w:rPr>
                <w:vertAlign w:val="superscript"/>
              </w:rPr>
              <w:t xml:space="preserve"> </w:t>
            </w:r>
          </w:p>
        </w:tc>
        <w:tc>
          <w:tcPr>
            <w:tcW w:w="6718" w:type="dxa"/>
          </w:tcPr>
          <w:p w:rsidR="00FA1EB1" w:rsidRPr="000E6666" w:rsidRDefault="00FA1EB1" w:rsidP="00594C84">
            <w:pPr>
              <w:pStyle w:val="PBS16TableNormal"/>
            </w:pPr>
            <w:r w:rsidRPr="000E6666">
              <w:t>The ARC’s purpose is to grow knowledge and innovation for the benefit of the Australian community through funding the highest quality research, assessing the quality, engagement and impact of research and providing advice on research matters.</w:t>
            </w:r>
          </w:p>
        </w:tc>
      </w:tr>
    </w:tbl>
    <w:p w:rsidR="00FA1EB1" w:rsidRPr="000E6666" w:rsidRDefault="00FA1EB1" w:rsidP="00594C84">
      <w:pPr>
        <w:pStyle w:val="Heading6"/>
      </w:pPr>
      <w:r w:rsidRPr="000E6666">
        <w:t>Performance information 1.3 Excellence in Research for Australia</w:t>
      </w:r>
    </w:p>
    <w:tbl>
      <w:tblP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7"/>
        <w:gridCol w:w="3402"/>
      </w:tblGrid>
      <w:tr w:rsidR="00FA1EB1" w:rsidRPr="000E6666" w:rsidTr="00594C84">
        <w:trPr>
          <w:cantSplit/>
          <w:trHeight w:val="23"/>
          <w:tblHeader/>
        </w:trPr>
        <w:tc>
          <w:tcPr>
            <w:tcW w:w="1049" w:type="dxa"/>
          </w:tcPr>
          <w:p w:rsidR="00FA1EB1" w:rsidRPr="000E6666" w:rsidRDefault="00FA1EB1" w:rsidP="00594C84">
            <w:pPr>
              <w:keepNext/>
              <w:spacing w:before="60" w:after="60" w:line="240" w:lineRule="auto"/>
              <w:rPr>
                <w:rFonts w:ascii="Arial" w:hAnsi="Arial" w:cs="Arial"/>
                <w:b/>
                <w:sz w:val="16"/>
                <w:szCs w:val="16"/>
              </w:rPr>
            </w:pPr>
            <w:r w:rsidRPr="000E6666">
              <w:rPr>
                <w:rFonts w:ascii="Arial" w:hAnsi="Arial" w:cs="Arial"/>
                <w:b/>
                <w:sz w:val="16"/>
                <w:szCs w:val="16"/>
              </w:rPr>
              <w:t>Year</w:t>
            </w:r>
          </w:p>
        </w:tc>
        <w:tc>
          <w:tcPr>
            <w:tcW w:w="3317" w:type="dxa"/>
          </w:tcPr>
          <w:p w:rsidR="00FA1EB1" w:rsidRPr="000E6666" w:rsidRDefault="00FA1EB1" w:rsidP="00594C84">
            <w:pPr>
              <w:keepNext/>
              <w:spacing w:before="60" w:after="60" w:line="240" w:lineRule="auto"/>
              <w:rPr>
                <w:rFonts w:ascii="Arial" w:hAnsi="Arial" w:cs="Arial"/>
                <w:b/>
                <w:sz w:val="16"/>
                <w:szCs w:val="16"/>
              </w:rPr>
            </w:pPr>
            <w:r w:rsidRPr="000E6666">
              <w:rPr>
                <w:rFonts w:ascii="Arial" w:hAnsi="Arial" w:cs="Arial"/>
                <w:b/>
                <w:sz w:val="16"/>
                <w:szCs w:val="16"/>
              </w:rPr>
              <w:t>Performance criteria</w:t>
            </w:r>
          </w:p>
        </w:tc>
        <w:tc>
          <w:tcPr>
            <w:tcW w:w="3402" w:type="dxa"/>
          </w:tcPr>
          <w:p w:rsidR="00FA1EB1" w:rsidRPr="000E6666" w:rsidRDefault="00FA1EB1" w:rsidP="00594C84">
            <w:pPr>
              <w:keepNext/>
              <w:spacing w:before="60" w:after="60" w:line="240" w:lineRule="auto"/>
              <w:rPr>
                <w:rFonts w:ascii="Arial" w:hAnsi="Arial" w:cs="Arial"/>
                <w:b/>
                <w:sz w:val="16"/>
                <w:szCs w:val="16"/>
              </w:rPr>
            </w:pPr>
            <w:r w:rsidRPr="000E6666">
              <w:rPr>
                <w:rFonts w:ascii="Arial" w:hAnsi="Arial" w:cs="Arial"/>
                <w:b/>
                <w:sz w:val="16"/>
                <w:szCs w:val="16"/>
              </w:rPr>
              <w:t>Expected achievement</w:t>
            </w:r>
          </w:p>
        </w:tc>
      </w:tr>
      <w:tr w:rsidR="00FA1EB1" w:rsidRPr="000E6666" w:rsidTr="00594C84">
        <w:trPr>
          <w:cantSplit/>
          <w:trHeight w:val="23"/>
        </w:trPr>
        <w:tc>
          <w:tcPr>
            <w:tcW w:w="1049" w:type="dxa"/>
          </w:tcPr>
          <w:p w:rsidR="00FA1EB1" w:rsidRPr="000E6666" w:rsidRDefault="00FA1EB1" w:rsidP="00594C84">
            <w:pPr>
              <w:tabs>
                <w:tab w:val="left" w:pos="709"/>
              </w:tabs>
              <w:spacing w:before="60" w:after="60" w:line="240" w:lineRule="auto"/>
              <w:rPr>
                <w:rFonts w:ascii="Arial" w:hAnsi="Arial" w:cs="Arial"/>
                <w:sz w:val="16"/>
                <w:szCs w:val="16"/>
              </w:rPr>
            </w:pPr>
            <w:r w:rsidRPr="000E6666">
              <w:rPr>
                <w:rFonts w:ascii="Arial" w:hAnsi="Arial" w:cs="Arial"/>
                <w:sz w:val="16"/>
                <w:szCs w:val="16"/>
              </w:rPr>
              <w:t>2017–18</w:t>
            </w:r>
          </w:p>
        </w:tc>
        <w:tc>
          <w:tcPr>
            <w:tcW w:w="3317" w:type="dxa"/>
          </w:tcPr>
          <w:p w:rsidR="00FA1EB1" w:rsidRPr="000E6666" w:rsidRDefault="00FA1EB1" w:rsidP="00594C84">
            <w:pPr>
              <w:pStyle w:val="PBS16TableNormal"/>
            </w:pPr>
            <w:r w:rsidRPr="000E6666">
              <w:t>The ERA program, including the research quality evaluation framework and the development and implementation of the EI assessment framework, contributes to the growth of knowledge and innovation in Australia by:</w:t>
            </w:r>
          </w:p>
          <w:p w:rsidR="00FA1EB1" w:rsidRPr="000E6666" w:rsidRDefault="00FA1EB1" w:rsidP="00594C84">
            <w:pPr>
              <w:pStyle w:val="PBS16TableListBullet"/>
            </w:pPr>
            <w:r w:rsidRPr="000E6666">
              <w:t>providing assurance of the quality of research in Australia</w:t>
            </w:r>
          </w:p>
          <w:p w:rsidR="00FA1EB1" w:rsidRPr="000E6666" w:rsidRDefault="00FA1EB1" w:rsidP="00594C84">
            <w:pPr>
              <w:pStyle w:val="PBS16TableListBullet"/>
            </w:pPr>
            <w:r w:rsidRPr="000E6666">
              <w:t>encouraging excellent, internationally competitive research</w:t>
            </w:r>
          </w:p>
          <w:p w:rsidR="00FA1EB1" w:rsidRPr="000E6666" w:rsidRDefault="00FA1EB1" w:rsidP="00594C84">
            <w:pPr>
              <w:pStyle w:val="PBS16TableListBullet"/>
            </w:pPr>
            <w:r w:rsidRPr="000E6666">
              <w:t>encouraging impactful engagement within and beyond the research sector.</w:t>
            </w:r>
          </w:p>
        </w:tc>
        <w:tc>
          <w:tcPr>
            <w:tcW w:w="3402" w:type="dxa"/>
          </w:tcPr>
          <w:p w:rsidR="00FA1EB1" w:rsidRPr="000E6666" w:rsidRDefault="00FA1EB1" w:rsidP="00594C84">
            <w:pPr>
              <w:pStyle w:val="PBS16TableNormal"/>
            </w:pPr>
            <w:r w:rsidRPr="000E6666">
              <w:t>Reporting information for the following targets will be in the ARC annual report:</w:t>
            </w:r>
            <w:r w:rsidRPr="000E6666">
              <w:rPr>
                <w:rStyle w:val="FootnoteReference"/>
              </w:rPr>
              <w:t xml:space="preserve"> </w:t>
            </w:r>
            <w:r w:rsidRPr="000E6666">
              <w:rPr>
                <w:rStyle w:val="FootnoteReference"/>
              </w:rPr>
              <w:footnoteReference w:id="1"/>
            </w:r>
          </w:p>
          <w:p w:rsidR="00FA1EB1" w:rsidRPr="000E6666" w:rsidRDefault="00FA1EB1" w:rsidP="00594C84">
            <w:pPr>
              <w:pStyle w:val="PBS16TableListBullet"/>
            </w:pPr>
            <w:r w:rsidRPr="000E6666">
              <w:t>ERA program reports and activities inform Australian Government policy</w:t>
            </w:r>
          </w:p>
          <w:p w:rsidR="00FA1EB1" w:rsidRPr="000E6666" w:rsidRDefault="00FA1EB1" w:rsidP="00594C84">
            <w:pPr>
              <w:pStyle w:val="PBS16TableListBullet"/>
            </w:pPr>
            <w:r w:rsidRPr="000E6666">
              <w:t>ERA program reports and activities inform strategic planning at eligible Australian higher education institutions.</w:t>
            </w:r>
          </w:p>
        </w:tc>
      </w:tr>
    </w:tbl>
    <w:p w:rsidR="00FA1EB1" w:rsidRPr="000E6666" w:rsidRDefault="00FA1EB1" w:rsidP="00594C84">
      <w:pPr>
        <w:pStyle w:val="PBSPerformancetablespace"/>
      </w:pPr>
    </w:p>
    <w:tbl>
      <w:tblP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7"/>
        <w:gridCol w:w="3402"/>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keepNext/>
              <w:spacing w:before="60" w:after="60" w:line="240" w:lineRule="auto"/>
              <w:rPr>
                <w:rFonts w:ascii="Arial" w:hAnsi="Arial" w:cs="Arial"/>
                <w:b/>
                <w:sz w:val="16"/>
                <w:szCs w:val="16"/>
              </w:rPr>
            </w:pPr>
            <w:r w:rsidRPr="000E6666">
              <w:rPr>
                <w:rFonts w:ascii="Arial" w:hAnsi="Arial" w:cs="Arial"/>
                <w:b/>
                <w:sz w:val="16"/>
                <w:szCs w:val="16"/>
              </w:rPr>
              <w:lastRenderedPageBreak/>
              <w:t>Year</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keepNext/>
              <w:spacing w:before="60" w:after="60" w:line="240" w:lineRule="auto"/>
              <w:rPr>
                <w:rFonts w:ascii="Arial" w:hAnsi="Arial" w:cs="Arial"/>
                <w:b/>
                <w:sz w:val="16"/>
                <w:szCs w:val="16"/>
              </w:rPr>
            </w:pPr>
            <w:r w:rsidRPr="000E6666">
              <w:rPr>
                <w:rFonts w:ascii="Arial" w:hAnsi="Arial" w:cs="Arial"/>
                <w:b/>
                <w:sz w:val="16"/>
                <w:szCs w:val="16"/>
              </w:rPr>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keepNext/>
              <w:spacing w:before="60" w:after="60" w:line="240" w:lineRule="auto"/>
              <w:rPr>
                <w:rFonts w:ascii="Arial" w:hAnsi="Arial" w:cs="Arial"/>
                <w:b/>
                <w:sz w:val="16"/>
                <w:szCs w:val="16"/>
              </w:rPr>
            </w:pPr>
            <w:r w:rsidRPr="000E6666">
              <w:rPr>
                <w:rFonts w:ascii="Arial" w:hAnsi="Arial" w:cs="Arial"/>
                <w:b/>
                <w:sz w:val="16"/>
                <w:szCs w:val="16"/>
              </w:rPr>
              <w:t>Targets</w:t>
            </w:r>
          </w:p>
        </w:tc>
      </w:tr>
      <w:tr w:rsidR="00FA1EB1" w:rsidRPr="000E6666" w:rsidTr="00594C84">
        <w:trPr>
          <w:cantSplit/>
          <w:trHeight w:val="23"/>
        </w:trPr>
        <w:tc>
          <w:tcPr>
            <w:tcW w:w="1049" w:type="dxa"/>
          </w:tcPr>
          <w:p w:rsidR="00FA1EB1" w:rsidRPr="000E6666" w:rsidRDefault="00FA1EB1" w:rsidP="00594C84">
            <w:pPr>
              <w:pStyle w:val="PBS16TableNormal"/>
            </w:pPr>
            <w:r w:rsidRPr="000E6666">
              <w:t>2018–19</w:t>
            </w:r>
          </w:p>
        </w:tc>
        <w:tc>
          <w:tcPr>
            <w:tcW w:w="3317" w:type="dxa"/>
          </w:tcPr>
          <w:p w:rsidR="00FA1EB1" w:rsidRPr="000E6666" w:rsidRDefault="00FA1EB1" w:rsidP="00594C84">
            <w:pPr>
              <w:pStyle w:val="PBS16TableNormal"/>
            </w:pPr>
            <w:r w:rsidRPr="000E6666">
              <w:t>The ERA program, including the research quality evaluation framework and EI assessment framework, contributes to the growth of knowledge and innovation in Australia by:</w:t>
            </w:r>
          </w:p>
          <w:p w:rsidR="00FA1EB1" w:rsidRPr="000E6666" w:rsidRDefault="00FA1EB1" w:rsidP="00594C84">
            <w:pPr>
              <w:pStyle w:val="PBS16TableListBullet"/>
            </w:pPr>
            <w:r w:rsidRPr="000E6666">
              <w:t>providing assurance of the quality of research in Australia</w:t>
            </w:r>
          </w:p>
          <w:p w:rsidR="00FA1EB1" w:rsidRPr="000E6666" w:rsidRDefault="00FA1EB1" w:rsidP="00594C84">
            <w:pPr>
              <w:pStyle w:val="PBS16TableListBullet"/>
            </w:pPr>
            <w:r w:rsidRPr="000E6666">
              <w:t>encouraging excellent, internationally competitive research</w:t>
            </w:r>
          </w:p>
          <w:p w:rsidR="00FA1EB1" w:rsidRPr="000E6666" w:rsidRDefault="00FA1EB1" w:rsidP="00594C84">
            <w:pPr>
              <w:pStyle w:val="PBS16TableListBullet"/>
            </w:pPr>
            <w:r w:rsidRPr="000E6666">
              <w:t>encouraging impactful engagement within and beyond the research sector.</w:t>
            </w:r>
          </w:p>
        </w:tc>
        <w:tc>
          <w:tcPr>
            <w:tcW w:w="3402" w:type="dxa"/>
          </w:tcPr>
          <w:p w:rsidR="00FA1EB1" w:rsidRPr="000E6666" w:rsidRDefault="00FA1EB1" w:rsidP="00594C84">
            <w:pPr>
              <w:pStyle w:val="PBS16TableNormal"/>
            </w:pPr>
            <w:r w:rsidRPr="000E6666">
              <w:t>Reporting information for the following targets will be in the ARC annual report:</w:t>
            </w:r>
          </w:p>
          <w:p w:rsidR="00FA1EB1" w:rsidRPr="000E6666" w:rsidRDefault="00FA1EB1" w:rsidP="00594C84">
            <w:pPr>
              <w:pStyle w:val="PBS16TableListBullet"/>
            </w:pPr>
            <w:r w:rsidRPr="000E6666">
              <w:t>ERA program reports and activities inform Australian Government policy</w:t>
            </w:r>
          </w:p>
          <w:p w:rsidR="00FA1EB1" w:rsidRPr="000E6666" w:rsidRDefault="00FA1EB1" w:rsidP="00594C84">
            <w:pPr>
              <w:pStyle w:val="PBS16TableListBullet"/>
            </w:pPr>
            <w:r w:rsidRPr="000E6666">
              <w:t>ERA program reports and activities inform strategic planning at eligible Australian higher education institutions</w:t>
            </w:r>
          </w:p>
          <w:p w:rsidR="00FA1EB1" w:rsidRPr="000E6666" w:rsidRDefault="00FA1EB1" w:rsidP="00594C84">
            <w:pPr>
              <w:pStyle w:val="PBS16TableListBullet"/>
            </w:pPr>
            <w:r w:rsidRPr="000E6666">
              <w:t>engagement within and beyond the research sector is benchmarked</w:t>
            </w:r>
          </w:p>
          <w:p w:rsidR="00FA1EB1" w:rsidRPr="000E6666" w:rsidRDefault="00FA1EB1" w:rsidP="00594C84">
            <w:pPr>
              <w:pStyle w:val="PBS16TableListBullet"/>
            </w:pPr>
            <w:r w:rsidRPr="000E6666">
              <w:t>impact studies submitted for the EI assessment publicly demonstrate how universities are translating their research into economic, social, environmental and other impacts</w:t>
            </w:r>
          </w:p>
          <w:p w:rsidR="00FA1EB1" w:rsidRPr="000E6666" w:rsidRDefault="00FA1EB1" w:rsidP="00594C84">
            <w:pPr>
              <w:pStyle w:val="PBS16TableListBullet"/>
            </w:pPr>
            <w:r w:rsidRPr="000E6666">
              <w:t>Research performance of Australian higher education institutions improves.</w:t>
            </w:r>
          </w:p>
        </w:tc>
      </w:tr>
      <w:tr w:rsidR="00FA1EB1" w:rsidRPr="000E6666" w:rsidTr="00594C84">
        <w:trPr>
          <w:cantSplit/>
          <w:trHeight w:val="23"/>
        </w:trPr>
        <w:tc>
          <w:tcPr>
            <w:tcW w:w="1049" w:type="dxa"/>
          </w:tcPr>
          <w:p w:rsidR="00FA1EB1" w:rsidRPr="000E6666" w:rsidRDefault="00FA1EB1" w:rsidP="00594C84">
            <w:pPr>
              <w:pStyle w:val="PBS16TableNormal"/>
            </w:pPr>
            <w:r w:rsidRPr="000E6666">
              <w:t>2019–20 and beyond</w:t>
            </w:r>
          </w:p>
        </w:tc>
        <w:tc>
          <w:tcPr>
            <w:tcW w:w="3317" w:type="dxa"/>
          </w:tcPr>
          <w:p w:rsidR="00FA1EB1" w:rsidRPr="000E6666" w:rsidRDefault="00FA1EB1" w:rsidP="00594C84">
            <w:pPr>
              <w:pStyle w:val="PBS16TableNormal"/>
            </w:pPr>
            <w:r w:rsidRPr="000E6666">
              <w:t>As per 2018–19</w:t>
            </w:r>
          </w:p>
        </w:tc>
        <w:tc>
          <w:tcPr>
            <w:tcW w:w="3402" w:type="dxa"/>
          </w:tcPr>
          <w:p w:rsidR="00FA1EB1" w:rsidRPr="000E6666" w:rsidRDefault="00FA1EB1" w:rsidP="00594C84">
            <w:pPr>
              <w:pStyle w:val="PBS16TableNormal"/>
            </w:pPr>
            <w:r w:rsidRPr="000E6666">
              <w:t>ERA program reports and activities inform Australian Government policy.</w:t>
            </w:r>
          </w:p>
          <w:p w:rsidR="00FA1EB1" w:rsidRPr="000E6666" w:rsidRDefault="00FA1EB1" w:rsidP="00594C84">
            <w:pPr>
              <w:pStyle w:val="PBS16TableNormal"/>
            </w:pPr>
            <w:r w:rsidRPr="000E6666">
              <w:t>ERA program reports and activities inform strategic planning at eligible Australian higher education institutions.</w:t>
            </w:r>
          </w:p>
          <w:p w:rsidR="00FA1EB1" w:rsidRPr="000E6666" w:rsidRDefault="00FA1EB1" w:rsidP="00594C84">
            <w:pPr>
              <w:pStyle w:val="PBS16TableNormal"/>
            </w:pPr>
            <w:r w:rsidRPr="000E6666">
              <w:t xml:space="preserve">The following targets will not be measured in 2019–20, as ERA and EI are triennial exercises, with the next evaluations to be conducted in 2021: </w:t>
            </w:r>
          </w:p>
          <w:p w:rsidR="00FA1EB1" w:rsidRPr="000E6666" w:rsidRDefault="00FA1EB1" w:rsidP="00594C84">
            <w:pPr>
              <w:pStyle w:val="PBS16TableListBullet"/>
            </w:pPr>
            <w:r w:rsidRPr="000E6666">
              <w:t xml:space="preserve">improvements to the research performance of Australian higher education institutions </w:t>
            </w:r>
          </w:p>
          <w:p w:rsidR="00FA1EB1" w:rsidRPr="000E6666" w:rsidRDefault="00FA1EB1" w:rsidP="00594C84">
            <w:pPr>
              <w:pStyle w:val="PBS16TableListBullet"/>
            </w:pPr>
            <w:r w:rsidRPr="000E6666">
              <w:t>engagement within and beyond the research sector is benchmarked</w:t>
            </w:r>
          </w:p>
          <w:p w:rsidR="00FA1EB1" w:rsidRPr="000E6666" w:rsidRDefault="00FA1EB1" w:rsidP="00594C84">
            <w:pPr>
              <w:pStyle w:val="PBS16TableListBullet"/>
            </w:pPr>
            <w:r w:rsidRPr="000E6666">
              <w:t>impact studies submitted for the EI assessment publicly demonstrate how universities are translating their research into economic, social, environmental and other impacts.</w:t>
            </w:r>
          </w:p>
        </w:tc>
      </w:tr>
    </w:tbl>
    <w:p w:rsidR="00FA1EB1" w:rsidRPr="000E6666" w:rsidRDefault="00FA1EB1" w:rsidP="00C52498"/>
    <w:p w:rsidR="00FA1EB1" w:rsidRPr="000E6666" w:rsidRDefault="00FA1EB1">
      <w:pPr>
        <w:spacing w:after="0" w:line="240" w:lineRule="auto"/>
        <w:jc w:val="left"/>
      </w:pPr>
      <w:r w:rsidRPr="000E6666">
        <w:br w:type="page"/>
      </w:r>
    </w:p>
    <w:p w:rsidR="00FA1EB1" w:rsidRPr="000E6666" w:rsidRDefault="00FA1EB1" w:rsidP="00AD42E2">
      <w:pPr>
        <w:pStyle w:val="Heading2"/>
      </w:pPr>
      <w:bookmarkStart w:id="8" w:name="ARC_3_0"/>
      <w:r w:rsidRPr="000E6666">
        <w:lastRenderedPageBreak/>
        <w:t>Section 3: Budgeted financial statements</w:t>
      </w:r>
      <w:bookmarkEnd w:id="8"/>
    </w:p>
    <w:p w:rsidR="00FA1EB1" w:rsidRPr="000E6666" w:rsidRDefault="00FA1EB1" w:rsidP="007118AC">
      <w:r w:rsidRPr="000E6666">
        <w:t>Section 3 presents budgeted financial statements which provide a comprehensive snapshot of entity finances for the 2018–19</w:t>
      </w:r>
      <w:r w:rsidRPr="000E6666">
        <w:rPr>
          <w:color w:val="00B050"/>
        </w:rPr>
        <w:t xml:space="preserve"> </w:t>
      </w:r>
      <w:r w:rsidRPr="000E6666">
        <w:t>budget year, including the impact of budget measures and resourcing on financial statements.</w:t>
      </w:r>
    </w:p>
    <w:p w:rsidR="00FA1EB1" w:rsidRPr="000E6666" w:rsidRDefault="00FA1EB1" w:rsidP="00EA5A9E">
      <w:pPr>
        <w:pStyle w:val="Heading3"/>
      </w:pPr>
      <w:bookmarkStart w:id="9" w:name="ARC_3_1"/>
      <w:r w:rsidRPr="000E6666">
        <w:t>3.1</w:t>
      </w:r>
      <w:r w:rsidRPr="000E6666">
        <w:tab/>
        <w:t>Budgeted financial statements</w:t>
      </w:r>
      <w:bookmarkEnd w:id="9"/>
    </w:p>
    <w:p w:rsidR="00FA1EB1" w:rsidRPr="000E6666" w:rsidRDefault="00FA1EB1" w:rsidP="00594C84">
      <w:pPr>
        <w:pStyle w:val="Heading4"/>
      </w:pPr>
      <w:r w:rsidRPr="000E6666">
        <w:t>3.1.1</w:t>
      </w:r>
      <w:r w:rsidRPr="000E6666">
        <w:tab/>
        <w:t>Differences between entity resourcing and financial statements</w:t>
      </w:r>
    </w:p>
    <w:p w:rsidR="00FA1EB1" w:rsidRPr="000E6666" w:rsidRDefault="00FA1EB1" w:rsidP="00594C84">
      <w:pPr>
        <w:rPr>
          <w:rFonts w:eastAsiaTheme="minorHAnsi"/>
        </w:rPr>
      </w:pPr>
      <w:r w:rsidRPr="000E6666">
        <w:t>There are no material variances between the entity resources table and the budgeted financial statements. There is a minor variance between resourcing and expenses, which reflects the administered annual appropriation being credited to the ARC Research Endowment Special Account.</w:t>
      </w:r>
    </w:p>
    <w:p w:rsidR="00FA1EB1" w:rsidRPr="000E6666" w:rsidRDefault="00FA1EB1" w:rsidP="00594C84">
      <w:pPr>
        <w:pStyle w:val="Heading4"/>
      </w:pPr>
      <w:r w:rsidRPr="000E6666">
        <w:t>3.1.2</w:t>
      </w:r>
      <w:r w:rsidRPr="000E6666">
        <w:tab/>
        <w:t>Explanatory notes and analysis of budgeted financial statements</w:t>
      </w:r>
    </w:p>
    <w:p w:rsidR="00FA1EB1" w:rsidRPr="000E6666" w:rsidRDefault="00FA1EB1" w:rsidP="00594C84">
      <w:pPr>
        <w:rPr>
          <w:rFonts w:eastAsiaTheme="minorHAnsi"/>
        </w:rPr>
      </w:pPr>
      <w:r w:rsidRPr="000E6666">
        <w:t>The budgeted financial statements have been updated to reflect measures announced and other variations since the 2017–18 MYEFO/Portfolio Additional Estimates Statements 2017–18 - Education and Training Portfolio.</w:t>
      </w:r>
    </w:p>
    <w:p w:rsidR="00FA1EB1" w:rsidRPr="000E6666" w:rsidRDefault="00FA1EB1" w:rsidP="00594C84">
      <w:pPr>
        <w:pStyle w:val="Heading5"/>
      </w:pPr>
      <w:r w:rsidRPr="000E6666">
        <w:t>Budgeted departmental comprehensive income statement</w:t>
      </w:r>
    </w:p>
    <w:p w:rsidR="00FA1EB1" w:rsidRPr="000E6666" w:rsidRDefault="00FA1EB1" w:rsidP="00594C84">
      <w:r w:rsidRPr="000E6666">
        <w:t>The ARC’s income statement reflects a deficit across the forward estimates. These deficits are solely attributable to the depreciation expense for the year. Expenses for 2018–19 are estimated to be $25.1 million.</w:t>
      </w:r>
    </w:p>
    <w:p w:rsidR="00FA1EB1" w:rsidRPr="000E6666" w:rsidRDefault="00FA1EB1" w:rsidP="00594C84">
      <w:pPr>
        <w:pStyle w:val="Heading5"/>
      </w:pPr>
      <w:r w:rsidRPr="000E6666">
        <w:t>Budgeted departmental balance sheet</w:t>
      </w:r>
    </w:p>
    <w:p w:rsidR="00FA1EB1" w:rsidRPr="000E6666" w:rsidRDefault="00FA1EB1" w:rsidP="00594C84">
      <w:r w:rsidRPr="000E6666">
        <w:t>The budgeted net asset position of $22.6 million for 2018–19 represents a decrease of $1.9 million from 2017–18. This is mainly attributable to the estimated decrease in financial assets resulting from the estimated capital purchase in 2018–19 using prior year appropriations and the expenditure of funds received for the administration of PFAS.</w:t>
      </w:r>
    </w:p>
    <w:p w:rsidR="00FA1EB1" w:rsidRPr="000E6666" w:rsidRDefault="00FA1EB1" w:rsidP="00594C84">
      <w:pPr>
        <w:pStyle w:val="Heading5"/>
      </w:pPr>
      <w:r w:rsidRPr="000E6666">
        <w:t>Schedule of budgeted income and expenses administered on behalf of Government</w:t>
      </w:r>
    </w:p>
    <w:p w:rsidR="00FA1EB1" w:rsidRPr="000E6666" w:rsidRDefault="00FA1EB1" w:rsidP="00594C84">
      <w:r w:rsidRPr="000E6666">
        <w:t>The schedule of budgeted income and expenses reflects the revenues and expense relating to programs administered by the ARC on behalf of Government.</w:t>
      </w:r>
    </w:p>
    <w:p w:rsidR="00FA1EB1" w:rsidRPr="000E6666" w:rsidRDefault="00FA1EB1" w:rsidP="00594C84">
      <w:r w:rsidRPr="000E6666">
        <w:t xml:space="preserve">The majority of the expenditure is on grants as provided under the National Competitive Grants Program. </w:t>
      </w:r>
    </w:p>
    <w:p w:rsidR="00FA1EB1" w:rsidRPr="000E6666" w:rsidRDefault="00FA1EB1" w:rsidP="00594C84">
      <w:pPr>
        <w:pStyle w:val="Heading5"/>
      </w:pPr>
      <w:r w:rsidRPr="000E6666">
        <w:t>Schedules of budgeted assets and liabilities administered on behalf of government</w:t>
      </w:r>
    </w:p>
    <w:p w:rsidR="00FA1EB1" w:rsidRPr="000E6666" w:rsidRDefault="00FA1EB1" w:rsidP="00594C84">
      <w:r w:rsidRPr="000E6666">
        <w:t>The ARC recognises grant liabilities to the extent that the grant eligibility criteria or reporting requirements have been satisfied. The closing liability reflects the remaining commitment, as at 30 June, for the relevant calendar year.</w:t>
      </w:r>
    </w:p>
    <w:p w:rsidR="00FA1EB1" w:rsidRPr="000E6666" w:rsidRDefault="00FA1EB1" w:rsidP="000D7E54">
      <w:pPr>
        <w:pStyle w:val="Heading3"/>
      </w:pPr>
      <w:r w:rsidRPr="000E6666">
        <w:br w:type="page"/>
      </w:r>
      <w:bookmarkStart w:id="10" w:name="ARC_3_2"/>
      <w:r w:rsidRPr="000E6666">
        <w:lastRenderedPageBreak/>
        <w:t>3.2.</w:t>
      </w:r>
      <w:r w:rsidRPr="000E6666">
        <w:tab/>
        <w:t>Budgeted financial statements tables</w:t>
      </w:r>
      <w:bookmarkEnd w:id="10"/>
    </w:p>
    <w:p w:rsidR="00FA1EB1" w:rsidRPr="000E6666" w:rsidRDefault="00FA1EB1" w:rsidP="00146B5E">
      <w:pPr>
        <w:pStyle w:val="TableHeading"/>
        <w:rPr>
          <w:snapToGrid w:val="0"/>
          <w:lang w:val="en-AU"/>
        </w:rPr>
      </w:pPr>
      <w:r w:rsidRPr="000E6666">
        <w:rPr>
          <w:lang w:val="en-AU"/>
        </w:rPr>
        <w:t xml:space="preserve">Table 3.1: Comprehensive income statement (showing net cost of services) </w:t>
      </w:r>
      <w:r w:rsidRPr="000E6666">
        <w:rPr>
          <w:snapToGrid w:val="0"/>
          <w:lang w:val="en-AU"/>
        </w:rPr>
        <w:t>for the period ended 30 June</w:t>
      </w:r>
    </w:p>
    <w:p w:rsidR="00FA1EB1" w:rsidRPr="000E6666" w:rsidRDefault="00FA1EB1" w:rsidP="00594C84">
      <w:pPr>
        <w:pStyle w:val="ChartGraphic"/>
        <w:rPr>
          <w:noProof w:val="0"/>
        </w:rPr>
      </w:pPr>
      <w:r w:rsidRPr="000E6666">
        <w:drawing>
          <wp:inline distT="0" distB="0" distL="0" distR="0" wp14:anchorId="5C8F5EA2" wp14:editId="032E55C1">
            <wp:extent cx="4895850" cy="5701828"/>
            <wp:effectExtent l="0" t="0" r="0" b="0"/>
            <wp:docPr id="49" name="Picture 49"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95850" cy="5701828"/>
                    </a:xfrm>
                    <a:prstGeom prst="rect">
                      <a:avLst/>
                    </a:prstGeom>
                    <a:noFill/>
                    <a:ln>
                      <a:noFill/>
                    </a:ln>
                  </pic:spPr>
                </pic:pic>
              </a:graphicData>
            </a:graphic>
          </wp:inline>
        </w:drawing>
      </w:r>
    </w:p>
    <w:p w:rsidR="00AC0B5A" w:rsidRDefault="00FA1EB1" w:rsidP="00594C84">
      <w:pPr>
        <w:pStyle w:val="ChartandTableFootnote"/>
      </w:pPr>
      <w:r w:rsidRPr="000E6666">
        <w:t xml:space="preserve">(a) </w:t>
      </w:r>
      <w:r w:rsidRPr="000E6666">
        <w:tab/>
        <w:t>From 2010–11, the Government introduced net cash appropriation arrangements. This involved Bill 1 revenue appropriations for the depreciation/amortisation expenses of non-corporate Commonwealth entities (and select corporate Commonwealth entities) being replaced with a separate capital budget (the Departmental Capital Budget, or DCB) provided through Bill 1 equity appropriations. For information regarding DCBs, please refer to Table 3.5 Departmental capital budget statement.</w:t>
      </w:r>
    </w:p>
    <w:p w:rsidR="00AC0B5A" w:rsidRDefault="00FA1EB1" w:rsidP="00AC0B5A">
      <w:pPr>
        <w:pStyle w:val="ChartandTableFootnote"/>
      </w:pPr>
      <w:r w:rsidRPr="000E6666">
        <w:t>Prepared on Australian Accounting Standards basis.</w:t>
      </w:r>
    </w:p>
    <w:p w:rsidR="00FA1EB1" w:rsidRPr="000E6666" w:rsidRDefault="00FA1EB1" w:rsidP="00AC0B5A">
      <w:pPr>
        <w:pStyle w:val="ChartandTableFootnote"/>
        <w:rPr>
          <w:rFonts w:cs="Arial"/>
        </w:rPr>
      </w:pPr>
      <w:r w:rsidRPr="000E6666">
        <w:br w:type="page"/>
      </w:r>
    </w:p>
    <w:p w:rsidR="00FA1EB1" w:rsidRPr="000E6666" w:rsidRDefault="00FA1EB1" w:rsidP="00146B5E">
      <w:pPr>
        <w:pStyle w:val="TableHeading"/>
        <w:rPr>
          <w:lang w:val="en-AU"/>
        </w:rPr>
      </w:pPr>
      <w:r w:rsidRPr="000E6666">
        <w:rPr>
          <w:lang w:val="en-AU"/>
        </w:rPr>
        <w:lastRenderedPageBreak/>
        <w:t>Table 3.2: Budgeted departmental balance sheet (as at 30 June)</w:t>
      </w:r>
    </w:p>
    <w:p w:rsidR="00FA1EB1" w:rsidRPr="000E6666" w:rsidRDefault="00FA1EB1" w:rsidP="00594C84">
      <w:pPr>
        <w:pStyle w:val="ChartGraphic"/>
        <w:rPr>
          <w:noProof w:val="0"/>
        </w:rPr>
      </w:pPr>
      <w:r w:rsidRPr="000E6666">
        <w:drawing>
          <wp:inline distT="0" distB="0" distL="0" distR="0" wp14:anchorId="239C8BFB" wp14:editId="47B2DEDF">
            <wp:extent cx="4895850" cy="5112092"/>
            <wp:effectExtent l="0" t="0" r="0" b="0"/>
            <wp:docPr id="55" name="Picture 55"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95850" cy="5112092"/>
                    </a:xfrm>
                    <a:prstGeom prst="rect">
                      <a:avLst/>
                    </a:prstGeom>
                    <a:noFill/>
                    <a:ln>
                      <a:noFill/>
                    </a:ln>
                  </pic:spPr>
                </pic:pic>
              </a:graphicData>
            </a:graphic>
          </wp:inline>
        </w:drawing>
      </w:r>
    </w:p>
    <w:p w:rsidR="00AC0B5A" w:rsidRDefault="00FA1EB1" w:rsidP="00594C84">
      <w:pPr>
        <w:pStyle w:val="ChartandTableFootnote"/>
      </w:pPr>
      <w:r w:rsidRPr="000E6666">
        <w:t xml:space="preserve">* </w:t>
      </w:r>
      <w:r w:rsidRPr="000E6666">
        <w:tab/>
        <w:t>Equity is the residual interest in assets after the deduction of liabilities.</w:t>
      </w:r>
    </w:p>
    <w:p w:rsidR="00AC0B5A" w:rsidRDefault="00FA1EB1" w:rsidP="00AC0B5A">
      <w:pPr>
        <w:pStyle w:val="ChartandTableFootnote"/>
      </w:pPr>
      <w:r w:rsidRPr="000E6666">
        <w:t>Prepared on Australian Accounting Standards basis.</w:t>
      </w:r>
    </w:p>
    <w:p w:rsidR="00FA1EB1" w:rsidRPr="000E6666" w:rsidRDefault="00FA1EB1" w:rsidP="00AC0B5A">
      <w:pPr>
        <w:pStyle w:val="TableHeading"/>
      </w:pPr>
      <w:r w:rsidRPr="000E6666">
        <w:br w:type="page"/>
      </w:r>
      <w:r w:rsidRPr="000E6666">
        <w:lastRenderedPageBreak/>
        <w:t>Table 3.3: Departmental statement of changes in equity — summary of movement (Budget year 2018–19)</w:t>
      </w:r>
    </w:p>
    <w:p w:rsidR="00FA1EB1" w:rsidRPr="000E6666" w:rsidRDefault="00FA1EB1" w:rsidP="00594C84">
      <w:pPr>
        <w:pStyle w:val="ChartGraphic"/>
        <w:rPr>
          <w:noProof w:val="0"/>
        </w:rPr>
      </w:pPr>
      <w:r w:rsidRPr="000E6666">
        <w:drawing>
          <wp:inline distT="0" distB="0" distL="0" distR="0" wp14:anchorId="341CF4D1" wp14:editId="55E8CDAA">
            <wp:extent cx="4740275" cy="3138170"/>
            <wp:effectExtent l="0" t="0" r="3175" b="5080"/>
            <wp:docPr id="59" name="Picture 59"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40275" cy="3138170"/>
                    </a:xfrm>
                    <a:prstGeom prst="rect">
                      <a:avLst/>
                    </a:prstGeom>
                    <a:noFill/>
                    <a:ln>
                      <a:noFill/>
                    </a:ln>
                  </pic:spPr>
                </pic:pic>
              </a:graphicData>
            </a:graphic>
          </wp:inline>
        </w:drawing>
      </w:r>
    </w:p>
    <w:p w:rsidR="00FA1EB1" w:rsidRPr="000E6666" w:rsidRDefault="00FA1EB1" w:rsidP="00345CCD">
      <w:pPr>
        <w:pStyle w:val="Source"/>
      </w:pPr>
      <w:r w:rsidRPr="000E6666">
        <w:t>Prepared on Australian Accounting Standards basis.</w:t>
      </w:r>
    </w:p>
    <w:p w:rsidR="00FA1EB1" w:rsidRPr="000E6666" w:rsidRDefault="00FA1EB1" w:rsidP="00146B5E">
      <w:pPr>
        <w:pStyle w:val="TableHeading"/>
        <w:rPr>
          <w:lang w:val="en-AU"/>
        </w:rPr>
      </w:pPr>
      <w:r w:rsidRPr="000E6666">
        <w:rPr>
          <w:lang w:val="en-AU"/>
        </w:rPr>
        <w:br w:type="page"/>
      </w:r>
      <w:r w:rsidRPr="000E6666">
        <w:rPr>
          <w:lang w:val="en-AU"/>
        </w:rPr>
        <w:lastRenderedPageBreak/>
        <w:t>Table 3.4: Budgeted departmental statement of cash flows (for the period ended 30 June)</w:t>
      </w:r>
    </w:p>
    <w:p w:rsidR="00FA1EB1" w:rsidRPr="000E6666" w:rsidRDefault="00FA1EB1" w:rsidP="00594C84">
      <w:pPr>
        <w:pStyle w:val="ChartGraphic"/>
        <w:rPr>
          <w:noProof w:val="0"/>
        </w:rPr>
      </w:pPr>
      <w:r w:rsidRPr="000E6666">
        <w:drawing>
          <wp:inline distT="0" distB="0" distL="0" distR="0" wp14:anchorId="5F26E77F" wp14:editId="728BCCD3">
            <wp:extent cx="4895850" cy="5781403"/>
            <wp:effectExtent l="0" t="0" r="0" b="0"/>
            <wp:docPr id="60" name="Picture 60"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95850" cy="5781403"/>
                    </a:xfrm>
                    <a:prstGeom prst="rect">
                      <a:avLst/>
                    </a:prstGeom>
                    <a:noFill/>
                    <a:ln>
                      <a:noFill/>
                    </a:ln>
                  </pic:spPr>
                </pic:pic>
              </a:graphicData>
            </a:graphic>
          </wp:inline>
        </w:drawing>
      </w:r>
    </w:p>
    <w:p w:rsidR="00AC0B5A" w:rsidRDefault="00FA1EB1" w:rsidP="00AC0B5A">
      <w:pPr>
        <w:pStyle w:val="ChartandTableFootnote"/>
      </w:pPr>
      <w:r w:rsidRPr="000E6666">
        <w:t>Prepared on Australian Accounting Standards basis.</w:t>
      </w:r>
    </w:p>
    <w:p w:rsidR="00FA1EB1" w:rsidRPr="000E6666" w:rsidRDefault="00FA1EB1" w:rsidP="00AC0B5A">
      <w:pPr>
        <w:pStyle w:val="ChartandTableFootnote"/>
      </w:pPr>
      <w:r w:rsidRPr="000E6666">
        <w:br w:type="page"/>
      </w:r>
    </w:p>
    <w:p w:rsidR="00FA1EB1" w:rsidRPr="000E6666" w:rsidRDefault="00FA1EB1" w:rsidP="00146B5E">
      <w:pPr>
        <w:pStyle w:val="TableHeading"/>
        <w:rPr>
          <w:lang w:val="en-AU"/>
        </w:rPr>
      </w:pPr>
      <w:r w:rsidRPr="000E6666">
        <w:rPr>
          <w:lang w:val="en-AU"/>
        </w:rPr>
        <w:lastRenderedPageBreak/>
        <w:t>Table 3.5: Departmental capital budget statement (for the period ended 30 June)</w:t>
      </w:r>
    </w:p>
    <w:p w:rsidR="00FA1EB1" w:rsidRPr="000E6666" w:rsidRDefault="00FA1EB1" w:rsidP="00594C84">
      <w:pPr>
        <w:pStyle w:val="ChartGraphic"/>
        <w:rPr>
          <w:noProof w:val="0"/>
        </w:rPr>
      </w:pPr>
      <w:r w:rsidRPr="000E6666">
        <w:drawing>
          <wp:inline distT="0" distB="0" distL="0" distR="0" wp14:anchorId="783DA4BF" wp14:editId="6FE63B61">
            <wp:extent cx="4895850" cy="3257035"/>
            <wp:effectExtent l="0" t="0" r="0" b="635"/>
            <wp:docPr id="61" name="Picture 61"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95850" cy="3257035"/>
                    </a:xfrm>
                    <a:prstGeom prst="rect">
                      <a:avLst/>
                    </a:prstGeom>
                    <a:noFill/>
                    <a:ln>
                      <a:noFill/>
                    </a:ln>
                  </pic:spPr>
                </pic:pic>
              </a:graphicData>
            </a:graphic>
          </wp:inline>
        </w:drawing>
      </w:r>
    </w:p>
    <w:p w:rsidR="00AC0B5A" w:rsidRDefault="00FA1EB1" w:rsidP="00594C84">
      <w:pPr>
        <w:pStyle w:val="ChartandTableFootnote"/>
      </w:pPr>
      <w:r w:rsidRPr="000E6666">
        <w:t xml:space="preserve">(a) </w:t>
      </w:r>
      <w:r w:rsidRPr="000E6666">
        <w:tab/>
        <w:t>Current year's Appropriation Bill (No. 2).</w:t>
      </w:r>
    </w:p>
    <w:p w:rsidR="00AC0B5A" w:rsidRDefault="00FA1EB1" w:rsidP="00594C84">
      <w:pPr>
        <w:pStyle w:val="ChartandTableFootnote"/>
      </w:pPr>
      <w:r w:rsidRPr="000E6666">
        <w:t xml:space="preserve">(b) </w:t>
      </w:r>
      <w:r w:rsidRPr="000E6666">
        <w:tab/>
        <w:t>Current year's Departmental Capital Budgets (DCBs).</w:t>
      </w:r>
    </w:p>
    <w:p w:rsidR="00AC0B5A" w:rsidRDefault="00FA1EB1" w:rsidP="00594C84">
      <w:pPr>
        <w:pStyle w:val="ChartandTableFootnote"/>
      </w:pPr>
      <w:r w:rsidRPr="000E6666">
        <w:t xml:space="preserve">(c) </w:t>
      </w:r>
      <w:r w:rsidRPr="000E6666">
        <w:tab/>
        <w:t>Includes prior year Act 2 and DCB appropriations.</w:t>
      </w:r>
    </w:p>
    <w:p w:rsidR="00AC0B5A" w:rsidRDefault="00FA1EB1" w:rsidP="00AC0B5A">
      <w:pPr>
        <w:pStyle w:val="ChartandTableFootnote"/>
      </w:pPr>
      <w:r w:rsidRPr="000E6666">
        <w:t>Prepared on Australian Accounting Standards basis.</w:t>
      </w:r>
    </w:p>
    <w:p w:rsidR="00FA1EB1" w:rsidRPr="000E6666" w:rsidRDefault="00FA1EB1" w:rsidP="00AC0B5A">
      <w:pPr>
        <w:pStyle w:val="ChartandTableFootnote"/>
        <w:rPr>
          <w:b/>
        </w:rPr>
      </w:pPr>
      <w:r w:rsidRPr="000E6666">
        <w:br w:type="page"/>
      </w:r>
    </w:p>
    <w:p w:rsidR="00FA1EB1" w:rsidRPr="000E6666" w:rsidRDefault="00FA1EB1" w:rsidP="00146B5E">
      <w:pPr>
        <w:pStyle w:val="TableHeading"/>
        <w:rPr>
          <w:lang w:val="en-AU"/>
        </w:rPr>
      </w:pPr>
      <w:r w:rsidRPr="000E6666">
        <w:rPr>
          <w:lang w:val="en-AU"/>
        </w:rPr>
        <w:lastRenderedPageBreak/>
        <w:t>Table 3.6: Statement of asset movements (Budget year 2018</w:t>
      </w:r>
      <w:r w:rsidRPr="000E6666">
        <w:rPr>
          <w:lang w:val="en-AU"/>
        </w:rPr>
        <w:noBreakHyphen/>
        <w:t>19)</w:t>
      </w:r>
    </w:p>
    <w:p w:rsidR="00FA1EB1" w:rsidRPr="000E6666" w:rsidRDefault="00FA1EB1" w:rsidP="00594C84">
      <w:pPr>
        <w:pStyle w:val="ChartGraphic"/>
        <w:rPr>
          <w:noProof w:val="0"/>
        </w:rPr>
      </w:pPr>
      <w:r w:rsidRPr="000E6666">
        <w:drawing>
          <wp:inline distT="0" distB="0" distL="0" distR="0" wp14:anchorId="6E80EC26" wp14:editId="62F06E01">
            <wp:extent cx="4579620" cy="3445510"/>
            <wp:effectExtent l="0" t="0" r="0" b="2540"/>
            <wp:docPr id="62" name="Picture 62"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9620" cy="3445510"/>
                    </a:xfrm>
                    <a:prstGeom prst="rect">
                      <a:avLst/>
                    </a:prstGeom>
                    <a:noFill/>
                    <a:ln>
                      <a:noFill/>
                    </a:ln>
                  </pic:spPr>
                </pic:pic>
              </a:graphicData>
            </a:graphic>
          </wp:inline>
        </w:drawing>
      </w:r>
    </w:p>
    <w:p w:rsidR="00AC0B5A" w:rsidRDefault="00FA1EB1" w:rsidP="00594C84">
      <w:pPr>
        <w:pStyle w:val="ChartandTableFootnote"/>
      </w:pPr>
      <w:r w:rsidRPr="000E6666">
        <w:t xml:space="preserve">(a) </w:t>
      </w:r>
      <w:r w:rsidRPr="000E6666">
        <w:tab/>
        <w:t>'Appropriation equity' refers to equity injections appropriations provided through prior Appropriation Bill (No. 2).</w:t>
      </w:r>
    </w:p>
    <w:p w:rsidR="00AC0B5A" w:rsidRDefault="00FA1EB1" w:rsidP="00594C84">
      <w:pPr>
        <w:pStyle w:val="ChartandTableFootnote"/>
      </w:pPr>
      <w:r w:rsidRPr="000E6666">
        <w:t xml:space="preserve">(b) </w:t>
      </w:r>
      <w:r w:rsidRPr="000E6666">
        <w:tab/>
        <w:t>'Appropriation ordinary annual services' refers to funding provided through current and prior Appropriation Bill (No.1) for depreciation/amortisation expenses, DCBs.</w:t>
      </w:r>
    </w:p>
    <w:p w:rsidR="00AC0B5A" w:rsidRDefault="00FA1EB1" w:rsidP="00AC0B5A">
      <w:pPr>
        <w:pStyle w:val="ChartandTableFootnote"/>
      </w:pPr>
      <w:r w:rsidRPr="000E6666">
        <w:t>Prepared on Australian Accounting Standards basis.</w:t>
      </w:r>
    </w:p>
    <w:p w:rsidR="00FA1EB1" w:rsidRPr="000E6666" w:rsidRDefault="00FA1EB1" w:rsidP="00AC0B5A">
      <w:pPr>
        <w:pStyle w:val="ChartandTableFootnote"/>
      </w:pPr>
      <w:r w:rsidRPr="000E6666">
        <w:br w:type="page"/>
      </w:r>
    </w:p>
    <w:p w:rsidR="00FA1EB1" w:rsidRPr="000E6666" w:rsidRDefault="00FA1EB1" w:rsidP="00146B5E">
      <w:pPr>
        <w:pStyle w:val="TableHeading"/>
        <w:rPr>
          <w:lang w:val="en-AU"/>
        </w:rPr>
      </w:pPr>
      <w:r w:rsidRPr="000E6666">
        <w:rPr>
          <w:lang w:val="en-AU"/>
        </w:rPr>
        <w:lastRenderedPageBreak/>
        <w:t>Table 3.7: Schedule of budgeted income and expenses administered on behalf of Government (for the period ended 30 June)</w:t>
      </w:r>
    </w:p>
    <w:p w:rsidR="00FA1EB1" w:rsidRPr="000E6666" w:rsidRDefault="00FA1EB1" w:rsidP="00594C84">
      <w:pPr>
        <w:pStyle w:val="ChartGraphic"/>
        <w:rPr>
          <w:noProof w:val="0"/>
        </w:rPr>
      </w:pPr>
      <w:r w:rsidRPr="000E6666">
        <w:drawing>
          <wp:inline distT="0" distB="0" distL="0" distR="0" wp14:anchorId="3CB91479" wp14:editId="23534651">
            <wp:extent cx="4895850" cy="3297231"/>
            <wp:effectExtent l="0" t="0" r="0" b="0"/>
            <wp:docPr id="63" name="Picture 63"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95850" cy="3297231"/>
                    </a:xfrm>
                    <a:prstGeom prst="rect">
                      <a:avLst/>
                    </a:prstGeom>
                    <a:noFill/>
                    <a:ln>
                      <a:noFill/>
                    </a:ln>
                  </pic:spPr>
                </pic:pic>
              </a:graphicData>
            </a:graphic>
          </wp:inline>
        </w:drawing>
      </w:r>
    </w:p>
    <w:p w:rsidR="00AC0B5A" w:rsidRDefault="00FA1EB1" w:rsidP="00594C84">
      <w:pPr>
        <w:pStyle w:val="ChartandTableFootnote"/>
      </w:pPr>
      <w:r w:rsidRPr="000E6666">
        <w:t xml:space="preserve">(a) </w:t>
      </w:r>
      <w:r w:rsidRPr="000E6666">
        <w:tab/>
        <w:t xml:space="preserve">Under the </w:t>
      </w:r>
      <w:r w:rsidRPr="000E6666">
        <w:rPr>
          <w:i/>
        </w:rPr>
        <w:t>Australian Research Council Act 2001</w:t>
      </w:r>
      <w:r w:rsidRPr="000E6666">
        <w:t>, grant recipients are required to return unspent grant money to the ARC unless otherwise approved. The ARC then returns the funding relating to prior financial years to the Official Public Account.</w:t>
      </w:r>
    </w:p>
    <w:p w:rsidR="00AC0B5A" w:rsidRDefault="00FA1EB1" w:rsidP="00AC0B5A">
      <w:pPr>
        <w:pStyle w:val="ChartandTableFootnote"/>
      </w:pPr>
      <w:r w:rsidRPr="000E6666">
        <w:t>Prepared on Australian Accounting Standards basis.</w:t>
      </w:r>
    </w:p>
    <w:p w:rsidR="00FA1EB1" w:rsidRPr="000E6666" w:rsidRDefault="00FA1EB1" w:rsidP="00AC0B5A">
      <w:pPr>
        <w:pStyle w:val="TableHeading"/>
      </w:pPr>
      <w:r w:rsidRPr="000E6666">
        <w:br w:type="page"/>
      </w:r>
      <w:r w:rsidRPr="000E6666">
        <w:lastRenderedPageBreak/>
        <w:t>Table 3.8: Schedule of budgeted assets and liabilities administered on behalf of Government (as at 30 June)</w:t>
      </w:r>
    </w:p>
    <w:p w:rsidR="00FA1EB1" w:rsidRPr="000E6666" w:rsidRDefault="00FA1EB1" w:rsidP="00594C84">
      <w:pPr>
        <w:pStyle w:val="TableHeadingcontinued"/>
      </w:pPr>
      <w:r w:rsidRPr="000E6666">
        <w:rPr>
          <w:noProof/>
        </w:rPr>
        <w:drawing>
          <wp:inline distT="0" distB="0" distL="0" distR="0" wp14:anchorId="4CBD5B88" wp14:editId="176D3C89">
            <wp:extent cx="4895850" cy="2949984"/>
            <wp:effectExtent l="0" t="0" r="0" b="3175"/>
            <wp:docPr id="64" name="Picture 64"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95850" cy="2949984"/>
                    </a:xfrm>
                    <a:prstGeom prst="rect">
                      <a:avLst/>
                    </a:prstGeom>
                    <a:noFill/>
                    <a:ln>
                      <a:noFill/>
                    </a:ln>
                  </pic:spPr>
                </pic:pic>
              </a:graphicData>
            </a:graphic>
          </wp:inline>
        </w:drawing>
      </w:r>
    </w:p>
    <w:p w:rsidR="00FA1EB1" w:rsidRPr="000E6666" w:rsidRDefault="00FA1EB1" w:rsidP="00594C84">
      <w:pPr>
        <w:pStyle w:val="ChartandTableFootnote"/>
      </w:pPr>
      <w:r w:rsidRPr="000E6666">
        <w:t>Prepared on Australian Accounting Standards basis.</w:t>
      </w:r>
    </w:p>
    <w:p w:rsidR="00FA1EB1" w:rsidRPr="000E6666" w:rsidRDefault="00FA1EB1" w:rsidP="00594C84">
      <w:pPr>
        <w:pStyle w:val="TableHeading"/>
        <w:rPr>
          <w:lang w:val="en-AU"/>
        </w:rPr>
      </w:pPr>
      <w:r w:rsidRPr="000E6666">
        <w:rPr>
          <w:lang w:val="en-AU"/>
        </w:rPr>
        <w:br w:type="page"/>
      </w:r>
    </w:p>
    <w:p w:rsidR="00FA1EB1" w:rsidRPr="000E6666" w:rsidRDefault="00FA1EB1" w:rsidP="00146B5E">
      <w:pPr>
        <w:pStyle w:val="TableHeading"/>
        <w:rPr>
          <w:lang w:val="en-AU"/>
        </w:rPr>
      </w:pPr>
      <w:r w:rsidRPr="000E6666">
        <w:rPr>
          <w:lang w:val="en-AU"/>
        </w:rPr>
        <w:lastRenderedPageBreak/>
        <w:t>Table 3.9: Schedule of budgeted administered cash flows (for the period ended 30 June)</w:t>
      </w:r>
    </w:p>
    <w:p w:rsidR="00FA1EB1" w:rsidRPr="000E6666" w:rsidRDefault="00FA1EB1" w:rsidP="00594C84">
      <w:pPr>
        <w:pStyle w:val="ChartGraphic"/>
        <w:rPr>
          <w:noProof w:val="0"/>
        </w:rPr>
      </w:pPr>
      <w:r w:rsidRPr="000E6666">
        <w:drawing>
          <wp:inline distT="0" distB="0" distL="0" distR="0" wp14:anchorId="54B81C39" wp14:editId="361FA959">
            <wp:extent cx="4895850" cy="4715589"/>
            <wp:effectExtent l="0" t="0" r="0" b="8890"/>
            <wp:docPr id="66" name="Picture 66"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895850" cy="4715589"/>
                    </a:xfrm>
                    <a:prstGeom prst="rect">
                      <a:avLst/>
                    </a:prstGeom>
                    <a:noFill/>
                    <a:ln>
                      <a:noFill/>
                    </a:ln>
                  </pic:spPr>
                </pic:pic>
              </a:graphicData>
            </a:graphic>
          </wp:inline>
        </w:drawing>
      </w:r>
    </w:p>
    <w:p w:rsidR="00FA1EB1" w:rsidRPr="000E6666" w:rsidRDefault="00FA1EB1" w:rsidP="00594C84">
      <w:pPr>
        <w:pStyle w:val="ChartandTableFootnote"/>
      </w:pPr>
      <w:r w:rsidRPr="000E6666">
        <w:t>Prepared on Australian Accounting Standards basis.</w:t>
      </w:r>
    </w:p>
    <w:p w:rsidR="00FA1EB1" w:rsidRPr="000E6666" w:rsidRDefault="00FA1EB1" w:rsidP="00594C84"/>
    <w:p w:rsidR="00FA1EB1" w:rsidRPr="000E6666" w:rsidRDefault="00FA1EB1" w:rsidP="00594C84">
      <w:pPr>
        <w:pStyle w:val="TableHeadingNoTable"/>
        <w:rPr>
          <w:lang w:val="en-AU"/>
        </w:rPr>
      </w:pPr>
      <w:r w:rsidRPr="000E6666">
        <w:rPr>
          <w:lang w:val="en-AU"/>
        </w:rPr>
        <w:t>Table 3.10: Administered capital budget statement (for the period ended 30 June)</w:t>
      </w:r>
    </w:p>
    <w:p w:rsidR="00FA1EB1" w:rsidRPr="000E6666" w:rsidRDefault="00FA1EB1" w:rsidP="00594C84">
      <w:r w:rsidRPr="000E6666">
        <w:t xml:space="preserve">ARC does not have any administered capital </w:t>
      </w:r>
      <w:r w:rsidR="004D1FBB">
        <w:t>budget, therefore T</w:t>
      </w:r>
      <w:r w:rsidRPr="000E6666">
        <w:t>able 3.10 is not presented.</w:t>
      </w:r>
    </w:p>
    <w:p w:rsidR="00FA1EB1" w:rsidRPr="000E6666" w:rsidRDefault="00FA1EB1" w:rsidP="00594C84">
      <w:pPr>
        <w:pStyle w:val="TableHeadingNoTable"/>
        <w:rPr>
          <w:lang w:val="en-AU"/>
        </w:rPr>
      </w:pPr>
      <w:r w:rsidRPr="000E6666">
        <w:rPr>
          <w:lang w:val="en-AU"/>
        </w:rPr>
        <w:t xml:space="preserve">Table 3.11: Statement of administered asset movements (Budget year 2018–19) </w:t>
      </w:r>
    </w:p>
    <w:p w:rsidR="00FA1EB1" w:rsidRPr="000E6666" w:rsidRDefault="00FA1EB1" w:rsidP="00594C84">
      <w:r w:rsidRPr="000E6666">
        <w:t xml:space="preserve">ARC does not have any administered fixed or intangible assets, therefore </w:t>
      </w:r>
      <w:r w:rsidR="004D1FBB">
        <w:t>T</w:t>
      </w:r>
      <w:r w:rsidRPr="000E6666">
        <w:t>able 3.11 is not presented.</w:t>
      </w:r>
    </w:p>
    <w:p w:rsidR="00FA1EB1" w:rsidRPr="000E6666" w:rsidRDefault="00FA1EB1" w:rsidP="00F10D71">
      <w:pPr>
        <w:pStyle w:val="SingleParagraph"/>
      </w:pPr>
    </w:p>
    <w:p w:rsidR="00FA1EB1" w:rsidRPr="000E6666" w:rsidRDefault="00FA1EB1" w:rsidP="00594C84"/>
    <w:sectPr w:rsidR="00FA1EB1" w:rsidRPr="000E6666" w:rsidSect="00BB5663">
      <w:headerReference w:type="default" r:id="rId33"/>
      <w:footerReference w:type="even" r:id="rId34"/>
      <w:footerReference w:type="default" r:id="rId35"/>
      <w:headerReference w:type="first" r:id="rId36"/>
      <w:footerReference w:type="first" r:id="rId37"/>
      <w:footnotePr>
        <w:numStart w:val="22"/>
      </w:footnotePr>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ABB" w:rsidRDefault="00377ABB" w:rsidP="00C07DEC">
      <w:r>
        <w:separator/>
      </w:r>
    </w:p>
  </w:endnote>
  <w:endnote w:type="continuationSeparator" w:id="0">
    <w:p w:rsidR="00377ABB" w:rsidRDefault="00377ABB"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663" w:rsidRDefault="00BB5663">
    <w:pPr>
      <w:pStyle w:val="Footer"/>
    </w:pPr>
    <w:r>
      <w:rPr>
        <w:rStyle w:val="PageNumber"/>
      </w:rPr>
      <w:fldChar w:fldCharType="begin"/>
    </w:r>
    <w:r>
      <w:rPr>
        <w:rStyle w:val="PageNumber"/>
      </w:rPr>
      <w:instrText xml:space="preserve"> PAGE  \* Arabic </w:instrText>
    </w:r>
    <w:r>
      <w:rPr>
        <w:rStyle w:val="PageNumber"/>
      </w:rPr>
      <w:fldChar w:fldCharType="separate"/>
    </w:r>
    <w:r w:rsidR="000F2EF3">
      <w:rPr>
        <w:rStyle w:val="PageNumber"/>
        <w:noProof/>
      </w:rPr>
      <w:t>111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1808A4" w:rsidRDefault="00377ABB" w:rsidP="001808A4">
    <w:pPr>
      <w:pStyle w:val="Footer"/>
    </w:pPr>
    <w:r>
      <w:rPr>
        <w:rStyle w:val="PageNumber"/>
      </w:rPr>
      <w:fldChar w:fldCharType="begin"/>
    </w:r>
    <w:r>
      <w:rPr>
        <w:rStyle w:val="PageNumber"/>
      </w:rPr>
      <w:instrText xml:space="preserve"> PAGE  \* Arabic </w:instrText>
    </w:r>
    <w:r>
      <w:rPr>
        <w:rStyle w:val="PageNumber"/>
      </w:rPr>
      <w:fldChar w:fldCharType="separate"/>
    </w:r>
    <w:r w:rsidR="000F2EF3">
      <w:rPr>
        <w:rStyle w:val="PageNumber"/>
        <w:noProof/>
      </w:rPr>
      <w:t>113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6756CD" w:rsidRDefault="00377ABB" w:rsidP="006756CD">
    <w:pPr>
      <w:pStyle w:val="Footer"/>
    </w:pPr>
    <w:r>
      <w:rPr>
        <w:rStyle w:val="PageNumber"/>
      </w:rPr>
      <w:fldChar w:fldCharType="begin"/>
    </w:r>
    <w:r>
      <w:rPr>
        <w:rStyle w:val="PageNumber"/>
      </w:rPr>
      <w:instrText xml:space="preserve"> PAGE  \* Arabic </w:instrText>
    </w:r>
    <w:r>
      <w:rPr>
        <w:rStyle w:val="PageNumber"/>
      </w:rPr>
      <w:fldChar w:fldCharType="separate"/>
    </w:r>
    <w:r w:rsidR="000F2EF3">
      <w:rPr>
        <w:rStyle w:val="PageNumber"/>
        <w:noProof/>
      </w:rPr>
      <w:t>136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pPr>
      <w:pStyle w:val="Footer"/>
    </w:pPr>
    <w:r>
      <w:rPr>
        <w:rStyle w:val="PageNumber"/>
      </w:rPr>
      <w:fldChar w:fldCharType="begin"/>
    </w:r>
    <w:r>
      <w:rPr>
        <w:rStyle w:val="PageNumber"/>
      </w:rPr>
      <w:instrText xml:space="preserve"> PAGE  \* Arabic </w:instrText>
    </w:r>
    <w:r>
      <w:rPr>
        <w:rStyle w:val="PageNumber"/>
      </w:rPr>
      <w:fldChar w:fldCharType="separate"/>
    </w:r>
    <w:r w:rsidR="000F2EF3">
      <w:rPr>
        <w:rStyle w:val="PageNumber"/>
        <w:noProof/>
      </w:rPr>
      <w:t>135</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7E0749" w:rsidRDefault="00377ABB" w:rsidP="007E0749">
    <w:pPr>
      <w:pStyle w:val="Footer"/>
    </w:pPr>
    <w:r>
      <w:rPr>
        <w:rStyle w:val="PageNumber"/>
      </w:rPr>
      <w:fldChar w:fldCharType="begin"/>
    </w:r>
    <w:r>
      <w:rPr>
        <w:rStyle w:val="PageNumber"/>
      </w:rPr>
      <w:instrText xml:space="preserve"> PAGE  \* Arabic </w:instrText>
    </w:r>
    <w:r>
      <w:rPr>
        <w:rStyle w:val="PageNumber"/>
      </w:rPr>
      <w:fldChar w:fldCharType="separate"/>
    </w:r>
    <w:r w:rsidR="00BB5663">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ABB" w:rsidRDefault="00377ABB" w:rsidP="00C07DEC">
      <w:r>
        <w:separator/>
      </w:r>
    </w:p>
  </w:footnote>
  <w:footnote w:type="continuationSeparator" w:id="0">
    <w:p w:rsidR="00377ABB" w:rsidRDefault="00377ABB" w:rsidP="00C07DEC">
      <w:r>
        <w:continuationSeparator/>
      </w:r>
    </w:p>
  </w:footnote>
  <w:footnote w:id="1">
    <w:p w:rsidR="00377ABB" w:rsidRPr="004C0C8E" w:rsidRDefault="00377ABB" w:rsidP="00594C84">
      <w:pPr>
        <w:pStyle w:val="FootnoteText"/>
      </w:pPr>
      <w:bookmarkStart w:id="7" w:name="_GoBack"/>
      <w:bookmarkEnd w:id="7"/>
      <w:r>
        <w:rPr>
          <w:rStyle w:val="FootnoteReference"/>
        </w:rPr>
        <w:footnoteRef/>
      </w:r>
      <w:r>
        <w:t xml:space="preserve"> </w:t>
      </w:r>
      <w:r>
        <w:tab/>
        <w:t xml:space="preserve">The 2017–18 PBS included two targets (1. engagement within and beyond the research sector is benchmarked and 2. impact studies submitted for the EI assessment publicly demonstrate how universities are translating their research into economic, social, environmental and other impacts) that will not be reported against for 2017–18 due to the triennial cycle of the EI Assessment—commencing in the 2018 calendar year. As stated in the </w:t>
      </w:r>
      <w:r>
        <w:rPr>
          <w:i/>
        </w:rPr>
        <w:t>ARC Corporate Plan –2017–18</w:t>
      </w:r>
      <w:r>
        <w:t xml:space="preserve">, these targets rely on indicators that will be collected for the first time in 2018–19. Therefore the targets are included in the 2018–19 period.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rsidP="00594C84">
    <w:pPr>
      <w:pStyle w:val="HeaderEven"/>
    </w:pPr>
    <w:r>
      <w:t>ARC Budget Statements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rsidP="00594C84">
    <w:pPr>
      <w:pStyle w:val="HeaderOdd"/>
    </w:pPr>
    <w:r>
      <w:t>ARC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7E0749" w:rsidRDefault="00377ABB" w:rsidP="007E0749">
    <w:pPr>
      <w:pStyle w:val="Header"/>
    </w:pPr>
    <w:r>
      <w:rPr>
        <w:noProof/>
        <w:lang w:val="en-AU" w:eastAsia="en-AU"/>
      </w:rPr>
      <mc:AlternateContent>
        <mc:Choice Requires="wps">
          <w:drawing>
            <wp:anchor distT="0" distB="0" distL="114300" distR="114300" simplePos="0" relativeHeight="251678720" behindDoc="0" locked="0" layoutInCell="1" allowOverlap="1" wp14:anchorId="52819BCA" wp14:editId="514275A4">
              <wp:simplePos x="0" y="0"/>
              <wp:positionH relativeFrom="column">
                <wp:posOffset>8348345</wp:posOffset>
              </wp:positionH>
              <wp:positionV relativeFrom="paragraph">
                <wp:posOffset>328295</wp:posOffset>
              </wp:positionV>
              <wp:extent cx="790575" cy="4982210"/>
              <wp:effectExtent l="0" t="0" r="0" b="0"/>
              <wp:wrapNone/>
              <wp:docPr id="37"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ABB" w:rsidRPr="00137C7E" w:rsidRDefault="00377ABB" w:rsidP="00EF45CE">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19BCA" id="_x0000_t202" coordsize="21600,21600" o:spt="202" path="m,l,21600r21600,l21600,xe">
              <v:stroke joinstyle="miter"/>
              <v:path gradientshapeok="t" o:connecttype="rect"/>
            </v:shapetype>
            <v:shape id="_x0000_s1028" type="#_x0000_t202" alt="Landscape Classification Header" style="position:absolute;margin-left:657.35pt;margin-top:25.85pt;width:62.25pt;height:39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" stroked="f">
              <v:textbox style="layout-flow:vertical">
                <w:txbxContent>
                  <w:p w:rsidR="00377ABB" w:rsidRPr="00137C7E" w:rsidRDefault="00377ABB" w:rsidP="00EF45CE">
                    <w:pPr>
                      <w:rPr>
                        <w:rStyle w:val="FramedHeader"/>
                        <w:i w:val="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A2AF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D20D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18E8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20A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49C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8E52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A257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3248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FEDF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A2D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4" w15:restartNumberingAfterBreak="0">
    <w:nsid w:val="173F0E7C"/>
    <w:multiLevelType w:val="hybridMultilevel"/>
    <w:tmpl w:val="9FA64888"/>
    <w:lvl w:ilvl="0" w:tplc="8FF0654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7DA4EA5"/>
    <w:multiLevelType w:val="hybridMultilevel"/>
    <w:tmpl w:val="50BA40C2"/>
    <w:lvl w:ilvl="0" w:tplc="A2284910">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D007F1"/>
    <w:multiLevelType w:val="hybridMultilevel"/>
    <w:tmpl w:val="CE40F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2D000217"/>
    <w:multiLevelType w:val="hybridMultilevel"/>
    <w:tmpl w:val="D2DE47BA"/>
    <w:lvl w:ilvl="0" w:tplc="0E52B488">
      <w:start w:val="1"/>
      <w:numFmt w:val="lowerLetter"/>
      <w:pStyle w:val="PBS16TableLetterBullets"/>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6921A2"/>
    <w:multiLevelType w:val="hybridMultilevel"/>
    <w:tmpl w:val="987C4D8C"/>
    <w:lvl w:ilvl="0" w:tplc="5CC4365C">
      <w:start w:val="1"/>
      <w:numFmt w:val="bullet"/>
      <w:pStyle w:val="PBS16BulletList2"/>
      <w:lvlText w:val="-"/>
      <w:lvlJc w:val="left"/>
      <w:pPr>
        <w:ind w:left="360" w:hanging="360"/>
      </w:pPr>
      <w:rPr>
        <w:rFonts w:ascii="Courier New" w:hAnsi="Courier New"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5" w15:restartNumberingAfterBreak="0">
    <w:nsid w:val="3D176184"/>
    <w:multiLevelType w:val="hybridMultilevel"/>
    <w:tmpl w:val="C3D8D8F0"/>
    <w:lvl w:ilvl="0" w:tplc="26F606DC">
      <w:start w:val="1"/>
      <w:numFmt w:val="bullet"/>
      <w:pStyle w:val="PBS16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7" w15:restartNumberingAfterBreak="0">
    <w:nsid w:val="50075A4D"/>
    <w:multiLevelType w:val="hybridMultilevel"/>
    <w:tmpl w:val="189ED7F4"/>
    <w:lvl w:ilvl="0" w:tplc="53CC3F68">
      <w:start w:val="1"/>
      <w:numFmt w:val="bullet"/>
      <w:pStyle w:val="PAESMeasureindented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711FE5"/>
    <w:multiLevelType w:val="hybridMultilevel"/>
    <w:tmpl w:val="DB225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D9E533C"/>
    <w:multiLevelType w:val="hybridMultilevel"/>
    <w:tmpl w:val="47AE3B9C"/>
    <w:lvl w:ilvl="0" w:tplc="383A7684">
      <w:start w:val="1"/>
      <w:numFmt w:val="bullet"/>
      <w:pStyle w:val="PBS18TableBullet"/>
      <w:lvlText w:val=""/>
      <w:lvlJc w:val="left"/>
      <w:pPr>
        <w:ind w:left="390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EA3959"/>
    <w:multiLevelType w:val="multilevel"/>
    <w:tmpl w:val="5C2C9654"/>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5" w15:restartNumberingAfterBreak="0">
    <w:nsid w:val="6F8C2A46"/>
    <w:multiLevelType w:val="hybridMultilevel"/>
    <w:tmpl w:val="0AFCD49C"/>
    <w:lvl w:ilvl="0" w:tplc="0C090001">
      <w:start w:val="1"/>
      <w:numFmt w:val="bullet"/>
      <w:lvlText w:val=""/>
      <w:lvlJc w:val="left"/>
      <w:pPr>
        <w:ind w:left="360" w:hanging="360"/>
      </w:pPr>
      <w:rPr>
        <w:rFonts w:ascii="Symbol" w:hAnsi="Symbol" w:hint="default"/>
      </w:rPr>
    </w:lvl>
    <w:lvl w:ilvl="1" w:tplc="13C82B88">
      <w:start w:val="1"/>
      <w:numFmt w:val="bullet"/>
      <w:pStyle w:val="PBS16TableList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8" w15:restartNumberingAfterBreak="0">
    <w:nsid w:val="7CA64CD3"/>
    <w:multiLevelType w:val="hybridMultilevel"/>
    <w:tmpl w:val="05027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622259"/>
    <w:multiLevelType w:val="hybridMultilevel"/>
    <w:tmpl w:val="F07C449A"/>
    <w:lvl w:ilvl="0" w:tplc="354ACC4E">
      <w:start w:val="1"/>
      <w:numFmt w:val="bullet"/>
      <w:lvlText w:val=""/>
      <w:lvlJc w:val="left"/>
      <w:pPr>
        <w:ind w:left="718" w:hanging="360"/>
      </w:pPr>
      <w:rPr>
        <w:rFonts w:ascii="Symbol" w:hAnsi="Symbol" w:hint="default"/>
      </w:rPr>
    </w:lvl>
    <w:lvl w:ilvl="1" w:tplc="0C090003">
      <w:start w:val="1"/>
      <w:numFmt w:val="bullet"/>
      <w:lvlText w:val="o"/>
      <w:lvlJc w:val="left"/>
      <w:pPr>
        <w:ind w:left="1438" w:hanging="360"/>
      </w:pPr>
      <w:rPr>
        <w:rFonts w:ascii="Courier New" w:hAnsi="Courier New" w:cs="Courier New"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num w:numId="1">
    <w:abstractNumId w:val="26"/>
  </w:num>
  <w:num w:numId="2">
    <w:abstractNumId w:val="12"/>
  </w:num>
  <w:num w:numId="3">
    <w:abstractNumId w:val="34"/>
  </w:num>
  <w:num w:numId="4">
    <w:abstractNumId w:val="24"/>
  </w:num>
  <w:num w:numId="5">
    <w:abstractNumId w:val="37"/>
  </w:num>
  <w:num w:numId="6">
    <w:abstractNumId w:val="20"/>
  </w:num>
  <w:num w:numId="7">
    <w:abstractNumId w:val="30"/>
  </w:num>
  <w:num w:numId="8">
    <w:abstractNumId w:val="23"/>
  </w:num>
  <w:num w:numId="9">
    <w:abstractNumId w:val="16"/>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11"/>
  </w:num>
  <w:num w:numId="15">
    <w:abstractNumId w:val="39"/>
  </w:num>
  <w:num w:numId="16">
    <w:abstractNumId w:val="18"/>
  </w:num>
  <w:num w:numId="17">
    <w:abstractNumId w:val="10"/>
  </w:num>
  <w:num w:numId="18">
    <w:abstractNumId w:val="28"/>
  </w:num>
  <w:num w:numId="19">
    <w:abstractNumId w:val="24"/>
    <w:lvlOverride w:ilvl="0">
      <w:startOverride w:val="1"/>
    </w:lvlOverride>
  </w:num>
  <w:num w:numId="20">
    <w:abstractNumId w:val="24"/>
    <w:lvlOverride w:ilvl="0">
      <w:startOverride w:val="1"/>
    </w:lvlOverride>
  </w:num>
  <w:num w:numId="21">
    <w:abstractNumId w:val="3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4"/>
    <w:lvlOverride w:ilvl="0">
      <w:startOverride w:val="1"/>
    </w:lvlOverride>
  </w:num>
  <w:num w:numId="33">
    <w:abstractNumId w:val="36"/>
  </w:num>
  <w:num w:numId="34">
    <w:abstractNumId w:val="24"/>
  </w:num>
  <w:num w:numId="35">
    <w:abstractNumId w:val="24"/>
    <w:lvlOverride w:ilvl="0">
      <w:startOverride w:val="1"/>
    </w:lvlOverride>
  </w:num>
  <w:num w:numId="36">
    <w:abstractNumId w:val="17"/>
  </w:num>
  <w:num w:numId="37">
    <w:abstractNumId w:val="33"/>
  </w:num>
  <w:num w:numId="38">
    <w:abstractNumId w:val="25"/>
  </w:num>
  <w:num w:numId="39">
    <w:abstractNumId w:val="40"/>
  </w:num>
  <w:num w:numId="40">
    <w:abstractNumId w:val="32"/>
  </w:num>
  <w:num w:numId="41">
    <w:abstractNumId w:val="15"/>
  </w:num>
  <w:num w:numId="42">
    <w:abstractNumId w:val="19"/>
  </w:num>
  <w:num w:numId="43">
    <w:abstractNumId w:val="35"/>
    <w:lvlOverride w:ilvl="0">
      <w:startOverride w:val="1"/>
    </w:lvlOverride>
  </w:num>
  <w:num w:numId="44">
    <w:abstractNumId w:val="22"/>
  </w:num>
  <w:num w:numId="45">
    <w:abstractNumId w:val="21"/>
  </w:num>
  <w:num w:numId="46">
    <w:abstractNumId w:val="27"/>
  </w:num>
  <w:num w:numId="47">
    <w:abstractNumId w:val="14"/>
  </w:num>
  <w:num w:numId="48">
    <w:abstractNumId w:val="38"/>
  </w:num>
  <w:num w:numId="49">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AU" w:vendorID="64" w:dllVersion="131078"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evenAndOddHeaders/>
  <w:drawingGridHorizontalSpacing w:val="100"/>
  <w:displayHorizontalDrawingGridEvery w:val="2"/>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358C"/>
    <w:rsid w:val="00003AC4"/>
    <w:rsid w:val="00006AE4"/>
    <w:rsid w:val="0000711B"/>
    <w:rsid w:val="0001294C"/>
    <w:rsid w:val="00012BB0"/>
    <w:rsid w:val="00013D25"/>
    <w:rsid w:val="0001438C"/>
    <w:rsid w:val="00014AD5"/>
    <w:rsid w:val="00016D95"/>
    <w:rsid w:val="00017619"/>
    <w:rsid w:val="00020573"/>
    <w:rsid w:val="000216BF"/>
    <w:rsid w:val="00021DA6"/>
    <w:rsid w:val="000220B0"/>
    <w:rsid w:val="000300D7"/>
    <w:rsid w:val="000304FC"/>
    <w:rsid w:val="00030FDA"/>
    <w:rsid w:val="0003384E"/>
    <w:rsid w:val="0003503B"/>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722F"/>
    <w:rsid w:val="000606CB"/>
    <w:rsid w:val="00060890"/>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F4F"/>
    <w:rsid w:val="00082159"/>
    <w:rsid w:val="0008449F"/>
    <w:rsid w:val="000924A7"/>
    <w:rsid w:val="00094B28"/>
    <w:rsid w:val="00094B9A"/>
    <w:rsid w:val="000954FC"/>
    <w:rsid w:val="00096568"/>
    <w:rsid w:val="00096DEE"/>
    <w:rsid w:val="00097063"/>
    <w:rsid w:val="0009711C"/>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0DC7"/>
    <w:rsid w:val="000B1FC4"/>
    <w:rsid w:val="000B21D6"/>
    <w:rsid w:val="000B2404"/>
    <w:rsid w:val="000B36D8"/>
    <w:rsid w:val="000B3B7D"/>
    <w:rsid w:val="000B6E38"/>
    <w:rsid w:val="000C056F"/>
    <w:rsid w:val="000C1442"/>
    <w:rsid w:val="000C1928"/>
    <w:rsid w:val="000C19B3"/>
    <w:rsid w:val="000C19EF"/>
    <w:rsid w:val="000C2D7D"/>
    <w:rsid w:val="000C3B86"/>
    <w:rsid w:val="000C3EF3"/>
    <w:rsid w:val="000C4A46"/>
    <w:rsid w:val="000C55A6"/>
    <w:rsid w:val="000C6A39"/>
    <w:rsid w:val="000C6FB8"/>
    <w:rsid w:val="000D13E5"/>
    <w:rsid w:val="000D4262"/>
    <w:rsid w:val="000D43DE"/>
    <w:rsid w:val="000D58A1"/>
    <w:rsid w:val="000D7E54"/>
    <w:rsid w:val="000E04C6"/>
    <w:rsid w:val="000E0A85"/>
    <w:rsid w:val="000E2F5F"/>
    <w:rsid w:val="000E6666"/>
    <w:rsid w:val="000E68E3"/>
    <w:rsid w:val="000E6DDB"/>
    <w:rsid w:val="000E74A6"/>
    <w:rsid w:val="000F03B1"/>
    <w:rsid w:val="000F08AE"/>
    <w:rsid w:val="000F2D33"/>
    <w:rsid w:val="000F2EF3"/>
    <w:rsid w:val="000F43F4"/>
    <w:rsid w:val="000F440E"/>
    <w:rsid w:val="000F6647"/>
    <w:rsid w:val="000F73B7"/>
    <w:rsid w:val="000F794F"/>
    <w:rsid w:val="000F7E7B"/>
    <w:rsid w:val="001002F8"/>
    <w:rsid w:val="00102654"/>
    <w:rsid w:val="001028CC"/>
    <w:rsid w:val="001045F9"/>
    <w:rsid w:val="0010472B"/>
    <w:rsid w:val="0010657F"/>
    <w:rsid w:val="00111159"/>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32F9E"/>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55A6A"/>
    <w:rsid w:val="00161DAC"/>
    <w:rsid w:val="00162B55"/>
    <w:rsid w:val="00162D8B"/>
    <w:rsid w:val="00163101"/>
    <w:rsid w:val="00163198"/>
    <w:rsid w:val="001638E9"/>
    <w:rsid w:val="00165824"/>
    <w:rsid w:val="001666EA"/>
    <w:rsid w:val="0017111A"/>
    <w:rsid w:val="00171A85"/>
    <w:rsid w:val="00173F5C"/>
    <w:rsid w:val="00174186"/>
    <w:rsid w:val="00174565"/>
    <w:rsid w:val="001754D6"/>
    <w:rsid w:val="00175BB3"/>
    <w:rsid w:val="00177A9A"/>
    <w:rsid w:val="001808A4"/>
    <w:rsid w:val="00180FF3"/>
    <w:rsid w:val="001815A5"/>
    <w:rsid w:val="00181F30"/>
    <w:rsid w:val="00182740"/>
    <w:rsid w:val="00184071"/>
    <w:rsid w:val="00185A3B"/>
    <w:rsid w:val="00186850"/>
    <w:rsid w:val="001904A5"/>
    <w:rsid w:val="001923C8"/>
    <w:rsid w:val="001939FF"/>
    <w:rsid w:val="00194DE8"/>
    <w:rsid w:val="00197990"/>
    <w:rsid w:val="001A0106"/>
    <w:rsid w:val="001A02CB"/>
    <w:rsid w:val="001A11DB"/>
    <w:rsid w:val="001A260A"/>
    <w:rsid w:val="001A33F4"/>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E0156"/>
    <w:rsid w:val="001E12A5"/>
    <w:rsid w:val="001E1BF9"/>
    <w:rsid w:val="001E1EDB"/>
    <w:rsid w:val="001E1EF3"/>
    <w:rsid w:val="001E3964"/>
    <w:rsid w:val="001E3A18"/>
    <w:rsid w:val="001E7093"/>
    <w:rsid w:val="001E717D"/>
    <w:rsid w:val="001E71F5"/>
    <w:rsid w:val="001E7D86"/>
    <w:rsid w:val="001F377B"/>
    <w:rsid w:val="001F3CF9"/>
    <w:rsid w:val="001F55E5"/>
    <w:rsid w:val="001F5CB9"/>
    <w:rsid w:val="00200DC3"/>
    <w:rsid w:val="002011E2"/>
    <w:rsid w:val="00201BB9"/>
    <w:rsid w:val="00202925"/>
    <w:rsid w:val="00202C70"/>
    <w:rsid w:val="002050B0"/>
    <w:rsid w:val="00205D80"/>
    <w:rsid w:val="00210874"/>
    <w:rsid w:val="0021093F"/>
    <w:rsid w:val="00212073"/>
    <w:rsid w:val="002133CA"/>
    <w:rsid w:val="002146B5"/>
    <w:rsid w:val="00215783"/>
    <w:rsid w:val="0021644B"/>
    <w:rsid w:val="00216DC9"/>
    <w:rsid w:val="00217CA0"/>
    <w:rsid w:val="002202EB"/>
    <w:rsid w:val="00220FCF"/>
    <w:rsid w:val="00221705"/>
    <w:rsid w:val="00221972"/>
    <w:rsid w:val="002231C8"/>
    <w:rsid w:val="00224154"/>
    <w:rsid w:val="00230194"/>
    <w:rsid w:val="00231923"/>
    <w:rsid w:val="002329C3"/>
    <w:rsid w:val="002332AE"/>
    <w:rsid w:val="002333C2"/>
    <w:rsid w:val="00234040"/>
    <w:rsid w:val="00235D67"/>
    <w:rsid w:val="0023626B"/>
    <w:rsid w:val="002421B7"/>
    <w:rsid w:val="00242F07"/>
    <w:rsid w:val="00243020"/>
    <w:rsid w:val="00244D22"/>
    <w:rsid w:val="00246C09"/>
    <w:rsid w:val="002470E4"/>
    <w:rsid w:val="00247262"/>
    <w:rsid w:val="00251FB9"/>
    <w:rsid w:val="0025616B"/>
    <w:rsid w:val="00257285"/>
    <w:rsid w:val="00257FF4"/>
    <w:rsid w:val="002608CE"/>
    <w:rsid w:val="00261660"/>
    <w:rsid w:val="0026279C"/>
    <w:rsid w:val="00262CD3"/>
    <w:rsid w:val="00265289"/>
    <w:rsid w:val="00266613"/>
    <w:rsid w:val="00266FE9"/>
    <w:rsid w:val="00267EA3"/>
    <w:rsid w:val="00272396"/>
    <w:rsid w:val="00273D98"/>
    <w:rsid w:val="0027614D"/>
    <w:rsid w:val="0027651A"/>
    <w:rsid w:val="0028001E"/>
    <w:rsid w:val="00281CF6"/>
    <w:rsid w:val="0028359B"/>
    <w:rsid w:val="00284441"/>
    <w:rsid w:val="002857FE"/>
    <w:rsid w:val="00290468"/>
    <w:rsid w:val="00290933"/>
    <w:rsid w:val="00291E57"/>
    <w:rsid w:val="00292D6A"/>
    <w:rsid w:val="0029312A"/>
    <w:rsid w:val="0029325C"/>
    <w:rsid w:val="00293B2D"/>
    <w:rsid w:val="00293B46"/>
    <w:rsid w:val="002960B7"/>
    <w:rsid w:val="00297643"/>
    <w:rsid w:val="002976A0"/>
    <w:rsid w:val="00297824"/>
    <w:rsid w:val="002A063B"/>
    <w:rsid w:val="002A153F"/>
    <w:rsid w:val="002A32FD"/>
    <w:rsid w:val="002A40D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403A"/>
    <w:rsid w:val="002D4262"/>
    <w:rsid w:val="002D46B7"/>
    <w:rsid w:val="002E0859"/>
    <w:rsid w:val="002E1064"/>
    <w:rsid w:val="002E2551"/>
    <w:rsid w:val="002E323F"/>
    <w:rsid w:val="002E5554"/>
    <w:rsid w:val="002F1B12"/>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204A"/>
    <w:rsid w:val="0031272B"/>
    <w:rsid w:val="00315435"/>
    <w:rsid w:val="0032038C"/>
    <w:rsid w:val="00321889"/>
    <w:rsid w:val="003242F2"/>
    <w:rsid w:val="00325C5E"/>
    <w:rsid w:val="0032738E"/>
    <w:rsid w:val="00331B40"/>
    <w:rsid w:val="00331C5F"/>
    <w:rsid w:val="00333074"/>
    <w:rsid w:val="00333223"/>
    <w:rsid w:val="00333A43"/>
    <w:rsid w:val="00334F7E"/>
    <w:rsid w:val="003364C1"/>
    <w:rsid w:val="003377A9"/>
    <w:rsid w:val="00337F82"/>
    <w:rsid w:val="00340640"/>
    <w:rsid w:val="003435D6"/>
    <w:rsid w:val="003458E0"/>
    <w:rsid w:val="00345CCD"/>
    <w:rsid w:val="00346756"/>
    <w:rsid w:val="003511CE"/>
    <w:rsid w:val="00351909"/>
    <w:rsid w:val="00352BE0"/>
    <w:rsid w:val="0035333E"/>
    <w:rsid w:val="003538F0"/>
    <w:rsid w:val="003540F9"/>
    <w:rsid w:val="00357DAE"/>
    <w:rsid w:val="003602A5"/>
    <w:rsid w:val="00361259"/>
    <w:rsid w:val="00361429"/>
    <w:rsid w:val="00362AA7"/>
    <w:rsid w:val="00363B11"/>
    <w:rsid w:val="003672D6"/>
    <w:rsid w:val="003705BF"/>
    <w:rsid w:val="00370935"/>
    <w:rsid w:val="00370B3E"/>
    <w:rsid w:val="00371C1A"/>
    <w:rsid w:val="00375E52"/>
    <w:rsid w:val="00377ABB"/>
    <w:rsid w:val="00380888"/>
    <w:rsid w:val="00380D9F"/>
    <w:rsid w:val="003819E1"/>
    <w:rsid w:val="00382234"/>
    <w:rsid w:val="00383112"/>
    <w:rsid w:val="0038672F"/>
    <w:rsid w:val="00386BC9"/>
    <w:rsid w:val="00386F24"/>
    <w:rsid w:val="003876AB"/>
    <w:rsid w:val="00387957"/>
    <w:rsid w:val="0039053D"/>
    <w:rsid w:val="0039449C"/>
    <w:rsid w:val="003961EB"/>
    <w:rsid w:val="0039684C"/>
    <w:rsid w:val="003A0290"/>
    <w:rsid w:val="003A105E"/>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C5854"/>
    <w:rsid w:val="003D0E1C"/>
    <w:rsid w:val="003D1E47"/>
    <w:rsid w:val="003D3662"/>
    <w:rsid w:val="003D3C14"/>
    <w:rsid w:val="003D4188"/>
    <w:rsid w:val="003D4557"/>
    <w:rsid w:val="003D543D"/>
    <w:rsid w:val="003D59FD"/>
    <w:rsid w:val="003E10B8"/>
    <w:rsid w:val="003E122D"/>
    <w:rsid w:val="003E13F5"/>
    <w:rsid w:val="003E1978"/>
    <w:rsid w:val="003E2B5E"/>
    <w:rsid w:val="003E2D08"/>
    <w:rsid w:val="003E3FF4"/>
    <w:rsid w:val="003E4CB2"/>
    <w:rsid w:val="003E4E15"/>
    <w:rsid w:val="003E5AE8"/>
    <w:rsid w:val="003F07EE"/>
    <w:rsid w:val="003F29F2"/>
    <w:rsid w:val="003F3ABA"/>
    <w:rsid w:val="003F3C77"/>
    <w:rsid w:val="003F4133"/>
    <w:rsid w:val="003F47DF"/>
    <w:rsid w:val="003F6209"/>
    <w:rsid w:val="003F7AC9"/>
    <w:rsid w:val="0040314A"/>
    <w:rsid w:val="00405DAB"/>
    <w:rsid w:val="00405E90"/>
    <w:rsid w:val="004065CE"/>
    <w:rsid w:val="00406802"/>
    <w:rsid w:val="004105DD"/>
    <w:rsid w:val="00410DCE"/>
    <w:rsid w:val="00412C0B"/>
    <w:rsid w:val="0041404E"/>
    <w:rsid w:val="0041429D"/>
    <w:rsid w:val="004147D0"/>
    <w:rsid w:val="00414E1F"/>
    <w:rsid w:val="0041581E"/>
    <w:rsid w:val="004173A4"/>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66BB"/>
    <w:rsid w:val="0044083A"/>
    <w:rsid w:val="004408FA"/>
    <w:rsid w:val="00442A3B"/>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0CC0"/>
    <w:rsid w:val="00470E25"/>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53"/>
    <w:rsid w:val="004B74B2"/>
    <w:rsid w:val="004C103D"/>
    <w:rsid w:val="004C1303"/>
    <w:rsid w:val="004C1399"/>
    <w:rsid w:val="004C1C09"/>
    <w:rsid w:val="004C2A17"/>
    <w:rsid w:val="004C2B0E"/>
    <w:rsid w:val="004C5507"/>
    <w:rsid w:val="004D0B8F"/>
    <w:rsid w:val="004D1E1A"/>
    <w:rsid w:val="004D1EFF"/>
    <w:rsid w:val="004D1FBB"/>
    <w:rsid w:val="004D23A9"/>
    <w:rsid w:val="004D2683"/>
    <w:rsid w:val="004D29F5"/>
    <w:rsid w:val="004D2F90"/>
    <w:rsid w:val="004D41C1"/>
    <w:rsid w:val="004D7804"/>
    <w:rsid w:val="004E0308"/>
    <w:rsid w:val="004E13C6"/>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65E"/>
    <w:rsid w:val="00565A93"/>
    <w:rsid w:val="00565C77"/>
    <w:rsid w:val="00566181"/>
    <w:rsid w:val="005708BD"/>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5B0F"/>
    <w:rsid w:val="00586007"/>
    <w:rsid w:val="00586535"/>
    <w:rsid w:val="00586BB5"/>
    <w:rsid w:val="00586DFB"/>
    <w:rsid w:val="00587C83"/>
    <w:rsid w:val="005905BC"/>
    <w:rsid w:val="00590B75"/>
    <w:rsid w:val="00590DAA"/>
    <w:rsid w:val="0059205C"/>
    <w:rsid w:val="00592349"/>
    <w:rsid w:val="00594C84"/>
    <w:rsid w:val="00596F3F"/>
    <w:rsid w:val="00597EEF"/>
    <w:rsid w:val="005A05D1"/>
    <w:rsid w:val="005A1C4E"/>
    <w:rsid w:val="005A3678"/>
    <w:rsid w:val="005A4A1A"/>
    <w:rsid w:val="005A61D3"/>
    <w:rsid w:val="005A7C0B"/>
    <w:rsid w:val="005A7E70"/>
    <w:rsid w:val="005B1A53"/>
    <w:rsid w:val="005B22B0"/>
    <w:rsid w:val="005B2AF7"/>
    <w:rsid w:val="005B40E8"/>
    <w:rsid w:val="005B4253"/>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6F73"/>
    <w:rsid w:val="005E7E2C"/>
    <w:rsid w:val="005F1ADE"/>
    <w:rsid w:val="005F29CD"/>
    <w:rsid w:val="005F3175"/>
    <w:rsid w:val="005F3436"/>
    <w:rsid w:val="005F3506"/>
    <w:rsid w:val="005F41D8"/>
    <w:rsid w:val="005F4739"/>
    <w:rsid w:val="005F55B7"/>
    <w:rsid w:val="005F6228"/>
    <w:rsid w:val="005F642B"/>
    <w:rsid w:val="005F67FC"/>
    <w:rsid w:val="0060105F"/>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1A86"/>
    <w:rsid w:val="00623401"/>
    <w:rsid w:val="00624C2E"/>
    <w:rsid w:val="00625C40"/>
    <w:rsid w:val="00627E7C"/>
    <w:rsid w:val="00630CFF"/>
    <w:rsid w:val="00631369"/>
    <w:rsid w:val="00632481"/>
    <w:rsid w:val="0063262D"/>
    <w:rsid w:val="0063268B"/>
    <w:rsid w:val="00634673"/>
    <w:rsid w:val="00637BBD"/>
    <w:rsid w:val="00640D17"/>
    <w:rsid w:val="00641A99"/>
    <w:rsid w:val="00642768"/>
    <w:rsid w:val="00642A84"/>
    <w:rsid w:val="00645E69"/>
    <w:rsid w:val="00646130"/>
    <w:rsid w:val="00646ACE"/>
    <w:rsid w:val="00646B71"/>
    <w:rsid w:val="006474C0"/>
    <w:rsid w:val="00647927"/>
    <w:rsid w:val="00652B9B"/>
    <w:rsid w:val="00652F78"/>
    <w:rsid w:val="00653743"/>
    <w:rsid w:val="00653DD9"/>
    <w:rsid w:val="00654E6A"/>
    <w:rsid w:val="006551FC"/>
    <w:rsid w:val="006575F3"/>
    <w:rsid w:val="00660871"/>
    <w:rsid w:val="00662809"/>
    <w:rsid w:val="00663823"/>
    <w:rsid w:val="0066473B"/>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54CE"/>
    <w:rsid w:val="00686B47"/>
    <w:rsid w:val="0068790B"/>
    <w:rsid w:val="006906E4"/>
    <w:rsid w:val="00691C54"/>
    <w:rsid w:val="00691E49"/>
    <w:rsid w:val="006922DC"/>
    <w:rsid w:val="006941DD"/>
    <w:rsid w:val="0069466B"/>
    <w:rsid w:val="00694795"/>
    <w:rsid w:val="006A257C"/>
    <w:rsid w:val="006A2615"/>
    <w:rsid w:val="006A4158"/>
    <w:rsid w:val="006A4AA7"/>
    <w:rsid w:val="006A4E15"/>
    <w:rsid w:val="006A5866"/>
    <w:rsid w:val="006A5E4F"/>
    <w:rsid w:val="006A643C"/>
    <w:rsid w:val="006A772D"/>
    <w:rsid w:val="006B0F54"/>
    <w:rsid w:val="006B415B"/>
    <w:rsid w:val="006B4C95"/>
    <w:rsid w:val="006B4CBA"/>
    <w:rsid w:val="006B7542"/>
    <w:rsid w:val="006C0182"/>
    <w:rsid w:val="006C0A59"/>
    <w:rsid w:val="006C19EE"/>
    <w:rsid w:val="006C2E46"/>
    <w:rsid w:val="006C3B05"/>
    <w:rsid w:val="006C4E45"/>
    <w:rsid w:val="006C5EE1"/>
    <w:rsid w:val="006C61B1"/>
    <w:rsid w:val="006C6DB8"/>
    <w:rsid w:val="006D0669"/>
    <w:rsid w:val="006D1D4E"/>
    <w:rsid w:val="006D3771"/>
    <w:rsid w:val="006D440A"/>
    <w:rsid w:val="006D514A"/>
    <w:rsid w:val="006D5599"/>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2DF3"/>
    <w:rsid w:val="006F2DF9"/>
    <w:rsid w:val="006F3C6F"/>
    <w:rsid w:val="006F41C6"/>
    <w:rsid w:val="006F5DD9"/>
    <w:rsid w:val="006F6FA2"/>
    <w:rsid w:val="007001D0"/>
    <w:rsid w:val="00700CE3"/>
    <w:rsid w:val="00701498"/>
    <w:rsid w:val="00701E70"/>
    <w:rsid w:val="00704F47"/>
    <w:rsid w:val="0070512B"/>
    <w:rsid w:val="00705BC0"/>
    <w:rsid w:val="007072BA"/>
    <w:rsid w:val="007072C2"/>
    <w:rsid w:val="0070746B"/>
    <w:rsid w:val="007075CA"/>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7815"/>
    <w:rsid w:val="007301A7"/>
    <w:rsid w:val="00730E31"/>
    <w:rsid w:val="00732432"/>
    <w:rsid w:val="007346F8"/>
    <w:rsid w:val="00734D66"/>
    <w:rsid w:val="00734E06"/>
    <w:rsid w:val="00736E9D"/>
    <w:rsid w:val="007373FA"/>
    <w:rsid w:val="00737E7D"/>
    <w:rsid w:val="0074063F"/>
    <w:rsid w:val="00740EF1"/>
    <w:rsid w:val="007416F9"/>
    <w:rsid w:val="0074250E"/>
    <w:rsid w:val="007437BA"/>
    <w:rsid w:val="007444E7"/>
    <w:rsid w:val="00744DBD"/>
    <w:rsid w:val="00745398"/>
    <w:rsid w:val="00747B90"/>
    <w:rsid w:val="00754870"/>
    <w:rsid w:val="007561F0"/>
    <w:rsid w:val="00756632"/>
    <w:rsid w:val="0075754A"/>
    <w:rsid w:val="00760554"/>
    <w:rsid w:val="0076083D"/>
    <w:rsid w:val="00761DC2"/>
    <w:rsid w:val="00762B1E"/>
    <w:rsid w:val="00764B94"/>
    <w:rsid w:val="007652E2"/>
    <w:rsid w:val="00765A82"/>
    <w:rsid w:val="00766434"/>
    <w:rsid w:val="00770485"/>
    <w:rsid w:val="00770E10"/>
    <w:rsid w:val="00771E5C"/>
    <w:rsid w:val="00772107"/>
    <w:rsid w:val="00773C46"/>
    <w:rsid w:val="00773E30"/>
    <w:rsid w:val="007742FF"/>
    <w:rsid w:val="00774A83"/>
    <w:rsid w:val="00775146"/>
    <w:rsid w:val="0077566D"/>
    <w:rsid w:val="00776097"/>
    <w:rsid w:val="007766A5"/>
    <w:rsid w:val="00776E39"/>
    <w:rsid w:val="0078016D"/>
    <w:rsid w:val="00781778"/>
    <w:rsid w:val="00782098"/>
    <w:rsid w:val="00786231"/>
    <w:rsid w:val="00786C0B"/>
    <w:rsid w:val="007900CB"/>
    <w:rsid w:val="007905B2"/>
    <w:rsid w:val="00790D2F"/>
    <w:rsid w:val="00790E9B"/>
    <w:rsid w:val="00791492"/>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28CF"/>
    <w:rsid w:val="007B31F7"/>
    <w:rsid w:val="007B347F"/>
    <w:rsid w:val="007B39F6"/>
    <w:rsid w:val="007B5A98"/>
    <w:rsid w:val="007B5E30"/>
    <w:rsid w:val="007C1DB0"/>
    <w:rsid w:val="007C2270"/>
    <w:rsid w:val="007C27D4"/>
    <w:rsid w:val="007C4CCE"/>
    <w:rsid w:val="007C570A"/>
    <w:rsid w:val="007C6BA1"/>
    <w:rsid w:val="007C7D49"/>
    <w:rsid w:val="007C7DE5"/>
    <w:rsid w:val="007D003D"/>
    <w:rsid w:val="007D0EEB"/>
    <w:rsid w:val="007D1D99"/>
    <w:rsid w:val="007D27B5"/>
    <w:rsid w:val="007D4D2A"/>
    <w:rsid w:val="007D763D"/>
    <w:rsid w:val="007E00B1"/>
    <w:rsid w:val="007E0749"/>
    <w:rsid w:val="007E2F87"/>
    <w:rsid w:val="007E334F"/>
    <w:rsid w:val="007E4155"/>
    <w:rsid w:val="007E57B5"/>
    <w:rsid w:val="007E5D39"/>
    <w:rsid w:val="007E66C8"/>
    <w:rsid w:val="007E67BD"/>
    <w:rsid w:val="007E6BBD"/>
    <w:rsid w:val="007F06E1"/>
    <w:rsid w:val="007F0C09"/>
    <w:rsid w:val="007F3E75"/>
    <w:rsid w:val="007F517F"/>
    <w:rsid w:val="007F6391"/>
    <w:rsid w:val="007F6FB8"/>
    <w:rsid w:val="007F7481"/>
    <w:rsid w:val="007F76FF"/>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21789"/>
    <w:rsid w:val="0082180B"/>
    <w:rsid w:val="00821BC9"/>
    <w:rsid w:val="00821E61"/>
    <w:rsid w:val="00823809"/>
    <w:rsid w:val="00825147"/>
    <w:rsid w:val="00825D4F"/>
    <w:rsid w:val="00830017"/>
    <w:rsid w:val="00830787"/>
    <w:rsid w:val="00830DC9"/>
    <w:rsid w:val="00831489"/>
    <w:rsid w:val="00833A6A"/>
    <w:rsid w:val="00833E2F"/>
    <w:rsid w:val="00834B76"/>
    <w:rsid w:val="00834F9A"/>
    <w:rsid w:val="008368F3"/>
    <w:rsid w:val="008400A8"/>
    <w:rsid w:val="0084156A"/>
    <w:rsid w:val="008427B1"/>
    <w:rsid w:val="008449FF"/>
    <w:rsid w:val="0084601D"/>
    <w:rsid w:val="008462FB"/>
    <w:rsid w:val="00846C73"/>
    <w:rsid w:val="00850462"/>
    <w:rsid w:val="0085161D"/>
    <w:rsid w:val="008526B0"/>
    <w:rsid w:val="00855597"/>
    <w:rsid w:val="00855780"/>
    <w:rsid w:val="00856178"/>
    <w:rsid w:val="00856C69"/>
    <w:rsid w:val="008570AB"/>
    <w:rsid w:val="00862545"/>
    <w:rsid w:val="008653B5"/>
    <w:rsid w:val="00865A76"/>
    <w:rsid w:val="008663D7"/>
    <w:rsid w:val="0086730B"/>
    <w:rsid w:val="008679E6"/>
    <w:rsid w:val="00867A0F"/>
    <w:rsid w:val="00871811"/>
    <w:rsid w:val="00872E1F"/>
    <w:rsid w:val="00873942"/>
    <w:rsid w:val="0087400E"/>
    <w:rsid w:val="00874D00"/>
    <w:rsid w:val="00880558"/>
    <w:rsid w:val="00883894"/>
    <w:rsid w:val="00885DA2"/>
    <w:rsid w:val="00885E17"/>
    <w:rsid w:val="00886342"/>
    <w:rsid w:val="008875DE"/>
    <w:rsid w:val="00887759"/>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11D0"/>
    <w:rsid w:val="008B12B5"/>
    <w:rsid w:val="008B32B6"/>
    <w:rsid w:val="008B4464"/>
    <w:rsid w:val="008B4BF2"/>
    <w:rsid w:val="008B56E5"/>
    <w:rsid w:val="008B5AFD"/>
    <w:rsid w:val="008B6650"/>
    <w:rsid w:val="008B729C"/>
    <w:rsid w:val="008B7A4E"/>
    <w:rsid w:val="008C1506"/>
    <w:rsid w:val="008C2D30"/>
    <w:rsid w:val="008C33F2"/>
    <w:rsid w:val="008C6C92"/>
    <w:rsid w:val="008C77F7"/>
    <w:rsid w:val="008D0AE4"/>
    <w:rsid w:val="008D1B0D"/>
    <w:rsid w:val="008D20E6"/>
    <w:rsid w:val="008D2F52"/>
    <w:rsid w:val="008D3E19"/>
    <w:rsid w:val="008D57A4"/>
    <w:rsid w:val="008D5F06"/>
    <w:rsid w:val="008D6B57"/>
    <w:rsid w:val="008D74C3"/>
    <w:rsid w:val="008D7DFC"/>
    <w:rsid w:val="008E00FD"/>
    <w:rsid w:val="008E07C6"/>
    <w:rsid w:val="008E33EA"/>
    <w:rsid w:val="008E36DA"/>
    <w:rsid w:val="008E4180"/>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B17"/>
    <w:rsid w:val="008F7F78"/>
    <w:rsid w:val="00900316"/>
    <w:rsid w:val="0090122A"/>
    <w:rsid w:val="00901F73"/>
    <w:rsid w:val="0090394F"/>
    <w:rsid w:val="009054D3"/>
    <w:rsid w:val="00905587"/>
    <w:rsid w:val="00907B9D"/>
    <w:rsid w:val="00910CFA"/>
    <w:rsid w:val="00911318"/>
    <w:rsid w:val="009125D2"/>
    <w:rsid w:val="00915E3F"/>
    <w:rsid w:val="00915F49"/>
    <w:rsid w:val="00915F97"/>
    <w:rsid w:val="00921412"/>
    <w:rsid w:val="0092273F"/>
    <w:rsid w:val="009238F1"/>
    <w:rsid w:val="009249B4"/>
    <w:rsid w:val="00926716"/>
    <w:rsid w:val="009270DB"/>
    <w:rsid w:val="00930896"/>
    <w:rsid w:val="00930BEB"/>
    <w:rsid w:val="009323DF"/>
    <w:rsid w:val="00932AFC"/>
    <w:rsid w:val="0093389C"/>
    <w:rsid w:val="00933A7D"/>
    <w:rsid w:val="00933DA9"/>
    <w:rsid w:val="0093491F"/>
    <w:rsid w:val="00935E14"/>
    <w:rsid w:val="00941E4F"/>
    <w:rsid w:val="00942454"/>
    <w:rsid w:val="00943E97"/>
    <w:rsid w:val="0094480E"/>
    <w:rsid w:val="00947B5B"/>
    <w:rsid w:val="00950281"/>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654"/>
    <w:rsid w:val="0099496C"/>
    <w:rsid w:val="00996569"/>
    <w:rsid w:val="009A057B"/>
    <w:rsid w:val="009A06F0"/>
    <w:rsid w:val="009A14DE"/>
    <w:rsid w:val="009A40DD"/>
    <w:rsid w:val="009A43AE"/>
    <w:rsid w:val="009A72B5"/>
    <w:rsid w:val="009A7BC2"/>
    <w:rsid w:val="009B011E"/>
    <w:rsid w:val="009B1897"/>
    <w:rsid w:val="009B1BB7"/>
    <w:rsid w:val="009B1C51"/>
    <w:rsid w:val="009B48D4"/>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3BA0"/>
    <w:rsid w:val="009F3F5D"/>
    <w:rsid w:val="009F43CB"/>
    <w:rsid w:val="009F4CB9"/>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9CC"/>
    <w:rsid w:val="00A23BC2"/>
    <w:rsid w:val="00A248C9"/>
    <w:rsid w:val="00A279AC"/>
    <w:rsid w:val="00A30C5D"/>
    <w:rsid w:val="00A310F1"/>
    <w:rsid w:val="00A31C68"/>
    <w:rsid w:val="00A325AE"/>
    <w:rsid w:val="00A326A6"/>
    <w:rsid w:val="00A35FAA"/>
    <w:rsid w:val="00A40163"/>
    <w:rsid w:val="00A409BC"/>
    <w:rsid w:val="00A42F6D"/>
    <w:rsid w:val="00A44612"/>
    <w:rsid w:val="00A44720"/>
    <w:rsid w:val="00A46164"/>
    <w:rsid w:val="00A46A8E"/>
    <w:rsid w:val="00A51337"/>
    <w:rsid w:val="00A537E5"/>
    <w:rsid w:val="00A540A5"/>
    <w:rsid w:val="00A54248"/>
    <w:rsid w:val="00A55B6F"/>
    <w:rsid w:val="00A61BD0"/>
    <w:rsid w:val="00A6388E"/>
    <w:rsid w:val="00A64FD7"/>
    <w:rsid w:val="00A70398"/>
    <w:rsid w:val="00A709AD"/>
    <w:rsid w:val="00A70E0E"/>
    <w:rsid w:val="00A727E7"/>
    <w:rsid w:val="00A72DA9"/>
    <w:rsid w:val="00A733CB"/>
    <w:rsid w:val="00A739DF"/>
    <w:rsid w:val="00A740A0"/>
    <w:rsid w:val="00A751AD"/>
    <w:rsid w:val="00A773CD"/>
    <w:rsid w:val="00A775CF"/>
    <w:rsid w:val="00A77853"/>
    <w:rsid w:val="00A77FAF"/>
    <w:rsid w:val="00A805EB"/>
    <w:rsid w:val="00A80C87"/>
    <w:rsid w:val="00A81EED"/>
    <w:rsid w:val="00A84503"/>
    <w:rsid w:val="00A867DA"/>
    <w:rsid w:val="00A8782F"/>
    <w:rsid w:val="00A8787D"/>
    <w:rsid w:val="00A9167D"/>
    <w:rsid w:val="00A92D25"/>
    <w:rsid w:val="00A9401F"/>
    <w:rsid w:val="00A94689"/>
    <w:rsid w:val="00A94DDB"/>
    <w:rsid w:val="00A94F82"/>
    <w:rsid w:val="00A95D12"/>
    <w:rsid w:val="00A965CD"/>
    <w:rsid w:val="00AA1BEC"/>
    <w:rsid w:val="00AA27AA"/>
    <w:rsid w:val="00AA2DF3"/>
    <w:rsid w:val="00AA3697"/>
    <w:rsid w:val="00AA4761"/>
    <w:rsid w:val="00AA50BC"/>
    <w:rsid w:val="00AA6AE4"/>
    <w:rsid w:val="00AB24E7"/>
    <w:rsid w:val="00AB3237"/>
    <w:rsid w:val="00AB3917"/>
    <w:rsid w:val="00AB3A2D"/>
    <w:rsid w:val="00AB4AC8"/>
    <w:rsid w:val="00AB5E21"/>
    <w:rsid w:val="00AB75AE"/>
    <w:rsid w:val="00AB76EC"/>
    <w:rsid w:val="00AB7933"/>
    <w:rsid w:val="00AC0B5A"/>
    <w:rsid w:val="00AC13C9"/>
    <w:rsid w:val="00AC3071"/>
    <w:rsid w:val="00AC3A08"/>
    <w:rsid w:val="00AC3D18"/>
    <w:rsid w:val="00AC6332"/>
    <w:rsid w:val="00AD10CF"/>
    <w:rsid w:val="00AD2FC0"/>
    <w:rsid w:val="00AD35EA"/>
    <w:rsid w:val="00AD3BC7"/>
    <w:rsid w:val="00AD3DE4"/>
    <w:rsid w:val="00AD42E2"/>
    <w:rsid w:val="00AD4967"/>
    <w:rsid w:val="00AD562E"/>
    <w:rsid w:val="00AD5B1B"/>
    <w:rsid w:val="00AD66BE"/>
    <w:rsid w:val="00AD6CDC"/>
    <w:rsid w:val="00AD6DB9"/>
    <w:rsid w:val="00AE2459"/>
    <w:rsid w:val="00AE29C2"/>
    <w:rsid w:val="00AE3D23"/>
    <w:rsid w:val="00AE4EC8"/>
    <w:rsid w:val="00AE517C"/>
    <w:rsid w:val="00AE599E"/>
    <w:rsid w:val="00AE5D9F"/>
    <w:rsid w:val="00AE5F15"/>
    <w:rsid w:val="00AE61C0"/>
    <w:rsid w:val="00AE66D1"/>
    <w:rsid w:val="00AE76C9"/>
    <w:rsid w:val="00AF06B4"/>
    <w:rsid w:val="00AF07CF"/>
    <w:rsid w:val="00AF0C7E"/>
    <w:rsid w:val="00AF0EB2"/>
    <w:rsid w:val="00AF2791"/>
    <w:rsid w:val="00AF2EF5"/>
    <w:rsid w:val="00AF3117"/>
    <w:rsid w:val="00AF326B"/>
    <w:rsid w:val="00AF32B8"/>
    <w:rsid w:val="00AF32F0"/>
    <w:rsid w:val="00AF3811"/>
    <w:rsid w:val="00AF418D"/>
    <w:rsid w:val="00AF4FEB"/>
    <w:rsid w:val="00AF560E"/>
    <w:rsid w:val="00AF6220"/>
    <w:rsid w:val="00AF70EE"/>
    <w:rsid w:val="00AF7618"/>
    <w:rsid w:val="00B00B01"/>
    <w:rsid w:val="00B01B95"/>
    <w:rsid w:val="00B04550"/>
    <w:rsid w:val="00B04964"/>
    <w:rsid w:val="00B04CBD"/>
    <w:rsid w:val="00B07F43"/>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84B"/>
    <w:rsid w:val="00B42B56"/>
    <w:rsid w:val="00B4466D"/>
    <w:rsid w:val="00B45864"/>
    <w:rsid w:val="00B460B5"/>
    <w:rsid w:val="00B461BD"/>
    <w:rsid w:val="00B47F4C"/>
    <w:rsid w:val="00B50958"/>
    <w:rsid w:val="00B51526"/>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8227E"/>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2051"/>
    <w:rsid w:val="00BA379F"/>
    <w:rsid w:val="00BA6777"/>
    <w:rsid w:val="00BB0E3A"/>
    <w:rsid w:val="00BB2A98"/>
    <w:rsid w:val="00BB3AB5"/>
    <w:rsid w:val="00BB3DA8"/>
    <w:rsid w:val="00BB498B"/>
    <w:rsid w:val="00BB5663"/>
    <w:rsid w:val="00BB6D23"/>
    <w:rsid w:val="00BB721D"/>
    <w:rsid w:val="00BB7455"/>
    <w:rsid w:val="00BC2C65"/>
    <w:rsid w:val="00BC3CAB"/>
    <w:rsid w:val="00BC42CE"/>
    <w:rsid w:val="00BC6702"/>
    <w:rsid w:val="00BD210E"/>
    <w:rsid w:val="00BD40CB"/>
    <w:rsid w:val="00BD4954"/>
    <w:rsid w:val="00BD78D5"/>
    <w:rsid w:val="00BE0A68"/>
    <w:rsid w:val="00BE537C"/>
    <w:rsid w:val="00BE6D85"/>
    <w:rsid w:val="00BE70B3"/>
    <w:rsid w:val="00BE7D58"/>
    <w:rsid w:val="00BF0270"/>
    <w:rsid w:val="00BF0E14"/>
    <w:rsid w:val="00BF14CB"/>
    <w:rsid w:val="00BF164E"/>
    <w:rsid w:val="00BF1A33"/>
    <w:rsid w:val="00BF23C3"/>
    <w:rsid w:val="00BF3D35"/>
    <w:rsid w:val="00BF5B9E"/>
    <w:rsid w:val="00BF6D42"/>
    <w:rsid w:val="00BF7ED9"/>
    <w:rsid w:val="00C00AA5"/>
    <w:rsid w:val="00C02450"/>
    <w:rsid w:val="00C066AF"/>
    <w:rsid w:val="00C07DEC"/>
    <w:rsid w:val="00C1005F"/>
    <w:rsid w:val="00C107D2"/>
    <w:rsid w:val="00C11F05"/>
    <w:rsid w:val="00C11F2F"/>
    <w:rsid w:val="00C12D0A"/>
    <w:rsid w:val="00C13681"/>
    <w:rsid w:val="00C13DA0"/>
    <w:rsid w:val="00C15DEF"/>
    <w:rsid w:val="00C20E76"/>
    <w:rsid w:val="00C23647"/>
    <w:rsid w:val="00C2476F"/>
    <w:rsid w:val="00C2641F"/>
    <w:rsid w:val="00C26B7D"/>
    <w:rsid w:val="00C2729B"/>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8E6"/>
    <w:rsid w:val="00C42D37"/>
    <w:rsid w:val="00C431A3"/>
    <w:rsid w:val="00C44195"/>
    <w:rsid w:val="00C44BE3"/>
    <w:rsid w:val="00C44C1D"/>
    <w:rsid w:val="00C450A9"/>
    <w:rsid w:val="00C45903"/>
    <w:rsid w:val="00C46D0E"/>
    <w:rsid w:val="00C52498"/>
    <w:rsid w:val="00C53EF2"/>
    <w:rsid w:val="00C55846"/>
    <w:rsid w:val="00C60753"/>
    <w:rsid w:val="00C6305B"/>
    <w:rsid w:val="00C63109"/>
    <w:rsid w:val="00C63C1F"/>
    <w:rsid w:val="00C63ED7"/>
    <w:rsid w:val="00C671E0"/>
    <w:rsid w:val="00C705DA"/>
    <w:rsid w:val="00C7356F"/>
    <w:rsid w:val="00C73F3A"/>
    <w:rsid w:val="00C74126"/>
    <w:rsid w:val="00C74B80"/>
    <w:rsid w:val="00C74C39"/>
    <w:rsid w:val="00C74DA9"/>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5596"/>
    <w:rsid w:val="00C95850"/>
    <w:rsid w:val="00C95B85"/>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4589"/>
    <w:rsid w:val="00CB54F0"/>
    <w:rsid w:val="00CB60C9"/>
    <w:rsid w:val="00CB62C0"/>
    <w:rsid w:val="00CB6D24"/>
    <w:rsid w:val="00CB795F"/>
    <w:rsid w:val="00CC0486"/>
    <w:rsid w:val="00CC0B67"/>
    <w:rsid w:val="00CC4867"/>
    <w:rsid w:val="00CC5AB0"/>
    <w:rsid w:val="00CC6AFF"/>
    <w:rsid w:val="00CC7ED8"/>
    <w:rsid w:val="00CC7F08"/>
    <w:rsid w:val="00CD1BF3"/>
    <w:rsid w:val="00CD3382"/>
    <w:rsid w:val="00CD68AA"/>
    <w:rsid w:val="00CE0085"/>
    <w:rsid w:val="00CE0472"/>
    <w:rsid w:val="00CE179F"/>
    <w:rsid w:val="00CE2B6C"/>
    <w:rsid w:val="00CE2C1A"/>
    <w:rsid w:val="00CE3F53"/>
    <w:rsid w:val="00CE4134"/>
    <w:rsid w:val="00CE558E"/>
    <w:rsid w:val="00CE5774"/>
    <w:rsid w:val="00CE7933"/>
    <w:rsid w:val="00CF164C"/>
    <w:rsid w:val="00CF2C6F"/>
    <w:rsid w:val="00CF4131"/>
    <w:rsid w:val="00CF5085"/>
    <w:rsid w:val="00CF5FDC"/>
    <w:rsid w:val="00D00382"/>
    <w:rsid w:val="00D0086A"/>
    <w:rsid w:val="00D02EF1"/>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564F"/>
    <w:rsid w:val="00D36333"/>
    <w:rsid w:val="00D37C36"/>
    <w:rsid w:val="00D4187B"/>
    <w:rsid w:val="00D428B3"/>
    <w:rsid w:val="00D43E58"/>
    <w:rsid w:val="00D44D21"/>
    <w:rsid w:val="00D456C4"/>
    <w:rsid w:val="00D459CF"/>
    <w:rsid w:val="00D46A7B"/>
    <w:rsid w:val="00D47A14"/>
    <w:rsid w:val="00D50C9B"/>
    <w:rsid w:val="00D549BF"/>
    <w:rsid w:val="00D551E1"/>
    <w:rsid w:val="00D55763"/>
    <w:rsid w:val="00D5708A"/>
    <w:rsid w:val="00D576B5"/>
    <w:rsid w:val="00D57849"/>
    <w:rsid w:val="00D579C5"/>
    <w:rsid w:val="00D60439"/>
    <w:rsid w:val="00D6199A"/>
    <w:rsid w:val="00D62AB4"/>
    <w:rsid w:val="00D634BA"/>
    <w:rsid w:val="00D638A2"/>
    <w:rsid w:val="00D6661E"/>
    <w:rsid w:val="00D6714F"/>
    <w:rsid w:val="00D70BF5"/>
    <w:rsid w:val="00D70EB2"/>
    <w:rsid w:val="00D715EF"/>
    <w:rsid w:val="00D720BB"/>
    <w:rsid w:val="00D729FE"/>
    <w:rsid w:val="00D75924"/>
    <w:rsid w:val="00D75DD0"/>
    <w:rsid w:val="00D7602E"/>
    <w:rsid w:val="00D76996"/>
    <w:rsid w:val="00D77C45"/>
    <w:rsid w:val="00D81071"/>
    <w:rsid w:val="00D82879"/>
    <w:rsid w:val="00D83B82"/>
    <w:rsid w:val="00D85500"/>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2A84"/>
    <w:rsid w:val="00DB4C98"/>
    <w:rsid w:val="00DB584E"/>
    <w:rsid w:val="00DB69D9"/>
    <w:rsid w:val="00DC16AF"/>
    <w:rsid w:val="00DC32EC"/>
    <w:rsid w:val="00DC4099"/>
    <w:rsid w:val="00DC4790"/>
    <w:rsid w:val="00DC6737"/>
    <w:rsid w:val="00DD051E"/>
    <w:rsid w:val="00DD05B3"/>
    <w:rsid w:val="00DD0BA0"/>
    <w:rsid w:val="00DD1046"/>
    <w:rsid w:val="00DD34D1"/>
    <w:rsid w:val="00DD5CF1"/>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53AE"/>
    <w:rsid w:val="00DF53E8"/>
    <w:rsid w:val="00DF61C8"/>
    <w:rsid w:val="00DF6323"/>
    <w:rsid w:val="00DF6B26"/>
    <w:rsid w:val="00DF744E"/>
    <w:rsid w:val="00E00258"/>
    <w:rsid w:val="00E0068F"/>
    <w:rsid w:val="00E01B7C"/>
    <w:rsid w:val="00E054BA"/>
    <w:rsid w:val="00E05967"/>
    <w:rsid w:val="00E06F9F"/>
    <w:rsid w:val="00E106F6"/>
    <w:rsid w:val="00E1099E"/>
    <w:rsid w:val="00E10D3F"/>
    <w:rsid w:val="00E1129E"/>
    <w:rsid w:val="00E120DB"/>
    <w:rsid w:val="00E121DD"/>
    <w:rsid w:val="00E15A7E"/>
    <w:rsid w:val="00E160CA"/>
    <w:rsid w:val="00E1675C"/>
    <w:rsid w:val="00E16977"/>
    <w:rsid w:val="00E16BE1"/>
    <w:rsid w:val="00E17B32"/>
    <w:rsid w:val="00E17DAB"/>
    <w:rsid w:val="00E20209"/>
    <w:rsid w:val="00E20628"/>
    <w:rsid w:val="00E2103B"/>
    <w:rsid w:val="00E22A07"/>
    <w:rsid w:val="00E235C3"/>
    <w:rsid w:val="00E23C47"/>
    <w:rsid w:val="00E253F7"/>
    <w:rsid w:val="00E26003"/>
    <w:rsid w:val="00E273FF"/>
    <w:rsid w:val="00E27B91"/>
    <w:rsid w:val="00E306E7"/>
    <w:rsid w:val="00E30E1D"/>
    <w:rsid w:val="00E30FE2"/>
    <w:rsid w:val="00E335C8"/>
    <w:rsid w:val="00E37BA9"/>
    <w:rsid w:val="00E37F9B"/>
    <w:rsid w:val="00E41668"/>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7CA7"/>
    <w:rsid w:val="00E61C5E"/>
    <w:rsid w:val="00E61EC0"/>
    <w:rsid w:val="00E62415"/>
    <w:rsid w:val="00E62457"/>
    <w:rsid w:val="00E62B36"/>
    <w:rsid w:val="00E62DF5"/>
    <w:rsid w:val="00E63BDC"/>
    <w:rsid w:val="00E647C8"/>
    <w:rsid w:val="00E67C82"/>
    <w:rsid w:val="00E702CE"/>
    <w:rsid w:val="00E70F0A"/>
    <w:rsid w:val="00E71844"/>
    <w:rsid w:val="00E731D7"/>
    <w:rsid w:val="00E7371B"/>
    <w:rsid w:val="00E73765"/>
    <w:rsid w:val="00E74ACE"/>
    <w:rsid w:val="00E77C06"/>
    <w:rsid w:val="00E831F7"/>
    <w:rsid w:val="00E835D7"/>
    <w:rsid w:val="00E855AE"/>
    <w:rsid w:val="00E855E0"/>
    <w:rsid w:val="00E85EBA"/>
    <w:rsid w:val="00E860B7"/>
    <w:rsid w:val="00E8780D"/>
    <w:rsid w:val="00E9221F"/>
    <w:rsid w:val="00E94499"/>
    <w:rsid w:val="00E95DB8"/>
    <w:rsid w:val="00E95E3B"/>
    <w:rsid w:val="00E97527"/>
    <w:rsid w:val="00EA186C"/>
    <w:rsid w:val="00EA46A8"/>
    <w:rsid w:val="00EA5A9E"/>
    <w:rsid w:val="00EA6556"/>
    <w:rsid w:val="00EA6842"/>
    <w:rsid w:val="00EA6D25"/>
    <w:rsid w:val="00EB1B80"/>
    <w:rsid w:val="00EB4C26"/>
    <w:rsid w:val="00EB4EDB"/>
    <w:rsid w:val="00EB5127"/>
    <w:rsid w:val="00EB53F2"/>
    <w:rsid w:val="00EB7803"/>
    <w:rsid w:val="00EC0295"/>
    <w:rsid w:val="00EC0454"/>
    <w:rsid w:val="00EC19FA"/>
    <w:rsid w:val="00EC2948"/>
    <w:rsid w:val="00EC5F86"/>
    <w:rsid w:val="00ED0940"/>
    <w:rsid w:val="00ED238C"/>
    <w:rsid w:val="00ED25CE"/>
    <w:rsid w:val="00ED3A55"/>
    <w:rsid w:val="00ED402C"/>
    <w:rsid w:val="00ED511B"/>
    <w:rsid w:val="00EE0ACF"/>
    <w:rsid w:val="00EE22E3"/>
    <w:rsid w:val="00EE2ED0"/>
    <w:rsid w:val="00EE37DE"/>
    <w:rsid w:val="00EE67C5"/>
    <w:rsid w:val="00EF18EF"/>
    <w:rsid w:val="00EF4031"/>
    <w:rsid w:val="00EF45CE"/>
    <w:rsid w:val="00EF695C"/>
    <w:rsid w:val="00F00984"/>
    <w:rsid w:val="00F01FF7"/>
    <w:rsid w:val="00F03B63"/>
    <w:rsid w:val="00F05908"/>
    <w:rsid w:val="00F10305"/>
    <w:rsid w:val="00F1076B"/>
    <w:rsid w:val="00F10D71"/>
    <w:rsid w:val="00F11B9B"/>
    <w:rsid w:val="00F11D20"/>
    <w:rsid w:val="00F120D0"/>
    <w:rsid w:val="00F12322"/>
    <w:rsid w:val="00F13E0D"/>
    <w:rsid w:val="00F15DFF"/>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32E5"/>
    <w:rsid w:val="00F8673B"/>
    <w:rsid w:val="00F908F8"/>
    <w:rsid w:val="00F90D41"/>
    <w:rsid w:val="00F92442"/>
    <w:rsid w:val="00F926C8"/>
    <w:rsid w:val="00F939DB"/>
    <w:rsid w:val="00F964B0"/>
    <w:rsid w:val="00F97D2D"/>
    <w:rsid w:val="00FA05A4"/>
    <w:rsid w:val="00FA1EB1"/>
    <w:rsid w:val="00FA2F87"/>
    <w:rsid w:val="00FA30C2"/>
    <w:rsid w:val="00FA63B6"/>
    <w:rsid w:val="00FA6958"/>
    <w:rsid w:val="00FA7135"/>
    <w:rsid w:val="00FA784C"/>
    <w:rsid w:val="00FB06E1"/>
    <w:rsid w:val="00FB0CA2"/>
    <w:rsid w:val="00FB1A25"/>
    <w:rsid w:val="00FB6434"/>
    <w:rsid w:val="00FB6912"/>
    <w:rsid w:val="00FC00DD"/>
    <w:rsid w:val="00FC0A72"/>
    <w:rsid w:val="00FC1247"/>
    <w:rsid w:val="00FC13E2"/>
    <w:rsid w:val="00FC14D9"/>
    <w:rsid w:val="00FC1C66"/>
    <w:rsid w:val="00FC27D4"/>
    <w:rsid w:val="00FC3CD4"/>
    <w:rsid w:val="00FC4E2A"/>
    <w:rsid w:val="00FC6F4F"/>
    <w:rsid w:val="00FD1B30"/>
    <w:rsid w:val="00FD3D3E"/>
    <w:rsid w:val="00FD4975"/>
    <w:rsid w:val="00FD5051"/>
    <w:rsid w:val="00FD5958"/>
    <w:rsid w:val="00FD5A0F"/>
    <w:rsid w:val="00FD756D"/>
    <w:rsid w:val="00FD7972"/>
    <w:rsid w:val="00FD79EA"/>
    <w:rsid w:val="00FE059A"/>
    <w:rsid w:val="00FE0781"/>
    <w:rsid w:val="00FE29AF"/>
    <w:rsid w:val="00FE395C"/>
    <w:rsid w:val="00FE3DE9"/>
    <w:rsid w:val="00FE54AE"/>
    <w:rsid w:val="00FF1E56"/>
    <w:rsid w:val="00FF2122"/>
    <w:rsid w:val="00FF2339"/>
    <w:rsid w:val="00FF2430"/>
    <w:rsid w:val="00FF26B9"/>
    <w:rsid w:val="00FF33AA"/>
    <w:rsid w:val="00FF371D"/>
    <w:rsid w:val="00FF3C7A"/>
    <w:rsid w:val="00FF4B33"/>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chartTrackingRefBased/>
  <w15:docId w15:val="{00057C62-4352-40CA-9ED4-7B8DE08A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caption" w:qFormat="1"/>
    <w:lsdException w:name="envelope address" w:semiHidden="1"/>
    <w:lsdException w:name="envelope return" w:semiHidden="1"/>
    <w:lsdException w:name="footnote reference" w:uiPriority="99"/>
    <w:lsdException w:name="annotation reference" w:uiPriority="99"/>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uiPriority="22"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BA1"/>
    <w:pPr>
      <w:spacing w:after="240" w:line="260" w:lineRule="exact"/>
      <w:jc w:val="both"/>
    </w:pPr>
    <w:rPr>
      <w:rFonts w:ascii="Book Antiqua" w:hAnsi="Book Antiqua"/>
    </w:rPr>
  </w:style>
  <w:style w:type="paragraph" w:styleId="Heading1">
    <w:name w:val="heading 1"/>
    <w:basedOn w:val="HeadingBase"/>
    <w:next w:val="Normal"/>
    <w:link w:val="Heading1Char"/>
    <w:qFormat/>
    <w:rsid w:val="00AF07CF"/>
    <w:pPr>
      <w:spacing w:after="360"/>
      <w:jc w:val="center"/>
      <w:outlineLvl w:val="0"/>
    </w:pPr>
    <w:rPr>
      <w:b/>
      <w:smallCaps/>
      <w:kern w:val="28"/>
      <w:sz w:val="34"/>
    </w:rPr>
  </w:style>
  <w:style w:type="paragraph" w:styleId="Heading2">
    <w:name w:val="heading 2"/>
    <w:basedOn w:val="HeadingBase"/>
    <w:next w:val="Normal"/>
    <w:link w:val="Heading2Char"/>
    <w:qFormat/>
    <w:rsid w:val="00AF07CF"/>
    <w:pPr>
      <w:spacing w:after="480"/>
      <w:outlineLvl w:val="1"/>
    </w:pPr>
    <w:rPr>
      <w:sz w:val="30"/>
    </w:rPr>
  </w:style>
  <w:style w:type="paragraph" w:styleId="Heading3">
    <w:name w:val="heading 3"/>
    <w:basedOn w:val="HeadingBase"/>
    <w:next w:val="Normal"/>
    <w:link w:val="Heading3Char"/>
    <w:qFormat/>
    <w:rsid w:val="00AF07CF"/>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AF07CF"/>
    <w:pPr>
      <w:tabs>
        <w:tab w:val="left" w:pos="709"/>
      </w:tabs>
      <w:spacing w:before="120" w:after="60" w:line="240" w:lineRule="atLeast"/>
      <w:outlineLvl w:val="3"/>
    </w:pPr>
    <w:rPr>
      <w:b/>
      <w:sz w:val="22"/>
    </w:rPr>
  </w:style>
  <w:style w:type="paragraph" w:styleId="Heading5">
    <w:name w:val="heading 5"/>
    <w:basedOn w:val="HeadingBase"/>
    <w:next w:val="Normal"/>
    <w:link w:val="Heading5Char"/>
    <w:qFormat/>
    <w:rsid w:val="00AF07CF"/>
    <w:pPr>
      <w:spacing w:before="120" w:after="60" w:line="240" w:lineRule="atLeast"/>
      <w:outlineLvl w:val="4"/>
    </w:pPr>
    <w:rPr>
      <w:b/>
      <w:bCs/>
      <w:iCs/>
      <w:sz w:val="20"/>
      <w:szCs w:val="26"/>
    </w:rPr>
  </w:style>
  <w:style w:type="paragraph" w:styleId="Heading6">
    <w:name w:val="heading 6"/>
    <w:basedOn w:val="HeadingBase"/>
    <w:next w:val="Normal"/>
    <w:link w:val="Heading6Char"/>
    <w:qFormat/>
    <w:rsid w:val="00AF07CF"/>
    <w:pPr>
      <w:spacing w:before="120" w:after="60" w:line="240" w:lineRule="atLeast"/>
      <w:outlineLvl w:val="5"/>
    </w:pPr>
    <w:rPr>
      <w:b/>
      <w:bCs/>
      <w:sz w:val="20"/>
      <w:szCs w:val="22"/>
    </w:rPr>
  </w:style>
  <w:style w:type="paragraph" w:styleId="Heading7">
    <w:name w:val="heading 7"/>
    <w:basedOn w:val="Heading6"/>
    <w:next w:val="Normal"/>
    <w:link w:val="Heading7Char"/>
    <w:unhideWhenUsed/>
    <w:qFormat/>
    <w:rsid w:val="00AF07CF"/>
    <w:pPr>
      <w:outlineLvl w:val="6"/>
    </w:pPr>
  </w:style>
  <w:style w:type="paragraph" w:styleId="Heading8">
    <w:name w:val="heading 8"/>
    <w:basedOn w:val="HeadingBase"/>
    <w:next w:val="Normal"/>
    <w:link w:val="Heading8Char"/>
    <w:unhideWhenUsed/>
    <w:qFormat/>
    <w:rsid w:val="00AF07CF"/>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AF07CF"/>
    <w:pPr>
      <w:spacing w:after="0"/>
    </w:pPr>
  </w:style>
  <w:style w:type="paragraph" w:customStyle="1" w:styleId="Exampletext">
    <w:name w:val="Example text"/>
    <w:basedOn w:val="Normal"/>
    <w:link w:val="ExampletextCharChar"/>
    <w:rsid w:val="00AF07CF"/>
    <w:rPr>
      <w:i/>
      <w:color w:val="FF0000"/>
      <w:lang w:val="x-none" w:eastAsia="x-none"/>
    </w:rPr>
  </w:style>
  <w:style w:type="paragraph" w:customStyle="1" w:styleId="ChartSecondHeading">
    <w:name w:val="Chart Second Heading"/>
    <w:basedOn w:val="HeadingBase"/>
    <w:next w:val="ChartGraphic"/>
    <w:rsid w:val="00AF07CF"/>
    <w:pPr>
      <w:spacing w:before="60"/>
      <w:jc w:val="center"/>
    </w:pPr>
    <w:rPr>
      <w:sz w:val="20"/>
    </w:rPr>
  </w:style>
  <w:style w:type="paragraph" w:customStyle="1" w:styleId="TableHeading">
    <w:name w:val="Table Heading"/>
    <w:basedOn w:val="HeadingBase"/>
    <w:next w:val="TableGraphic"/>
    <w:link w:val="TableHeadingChar"/>
    <w:rsid w:val="00AF07CF"/>
    <w:pPr>
      <w:spacing w:after="20"/>
    </w:pPr>
    <w:rPr>
      <w:b/>
      <w:color w:val="000000"/>
      <w:sz w:val="20"/>
      <w:lang w:val="x-none" w:eastAsia="x-none"/>
    </w:rPr>
  </w:style>
  <w:style w:type="paragraph" w:customStyle="1" w:styleId="HeadingBase">
    <w:name w:val="Heading Base"/>
    <w:link w:val="HeadingBaseChar"/>
    <w:rsid w:val="00AF07CF"/>
    <w:pPr>
      <w:keepNext/>
    </w:pPr>
    <w:rPr>
      <w:rFonts w:ascii="Arial" w:hAnsi="Arial"/>
      <w:sz w:val="24"/>
    </w:rPr>
  </w:style>
  <w:style w:type="paragraph" w:customStyle="1" w:styleId="AlphaParagraph">
    <w:name w:val="Alpha Paragraph"/>
    <w:basedOn w:val="Normal"/>
    <w:rsid w:val="00AF07CF"/>
    <w:pPr>
      <w:numPr>
        <w:numId w:val="1"/>
      </w:numPr>
    </w:pPr>
  </w:style>
  <w:style w:type="paragraph" w:customStyle="1" w:styleId="Bullet">
    <w:name w:val="Bullet"/>
    <w:basedOn w:val="Normal"/>
    <w:link w:val="BulletChar"/>
    <w:rsid w:val="00AF07CF"/>
    <w:pPr>
      <w:numPr>
        <w:numId w:val="2"/>
      </w:numPr>
    </w:pPr>
    <w:rPr>
      <w:lang w:val="x-none" w:eastAsia="x-none"/>
    </w:rPr>
  </w:style>
  <w:style w:type="paragraph" w:customStyle="1" w:styleId="Dash">
    <w:name w:val="Dash"/>
    <w:basedOn w:val="Normal"/>
    <w:link w:val="DashChar"/>
    <w:rsid w:val="00AF07CF"/>
    <w:pPr>
      <w:numPr>
        <w:ilvl w:val="1"/>
        <w:numId w:val="2"/>
      </w:numPr>
    </w:pPr>
  </w:style>
  <w:style w:type="paragraph" w:customStyle="1" w:styleId="DoubleDot">
    <w:name w:val="Double Dot"/>
    <w:basedOn w:val="Normal"/>
    <w:link w:val="DoubleDotChar"/>
    <w:rsid w:val="00AF07CF"/>
    <w:pPr>
      <w:numPr>
        <w:ilvl w:val="2"/>
        <w:numId w:val="2"/>
      </w:numPr>
    </w:pPr>
  </w:style>
  <w:style w:type="paragraph" w:customStyle="1" w:styleId="AppendixHeading">
    <w:name w:val="Appendix Heading"/>
    <w:basedOn w:val="HeadingBase"/>
    <w:semiHidden/>
    <w:rsid w:val="00AF07CF"/>
    <w:pPr>
      <w:spacing w:after="240"/>
      <w:jc w:val="center"/>
      <w:outlineLvl w:val="3"/>
    </w:pPr>
    <w:rPr>
      <w:b/>
      <w:smallCaps/>
      <w:sz w:val="30"/>
    </w:rPr>
  </w:style>
  <w:style w:type="paragraph" w:customStyle="1" w:styleId="BoxText">
    <w:name w:val="Box Text"/>
    <w:basedOn w:val="BoxTextBase"/>
    <w:rsid w:val="00AF07CF"/>
    <w:pPr>
      <w:spacing w:line="240" w:lineRule="auto"/>
    </w:pPr>
  </w:style>
  <w:style w:type="paragraph" w:customStyle="1" w:styleId="BoxHeading">
    <w:name w:val="Box Heading"/>
    <w:basedOn w:val="HeadingBase"/>
    <w:next w:val="BoxText"/>
    <w:rsid w:val="00AF07CF"/>
    <w:pPr>
      <w:spacing w:before="120" w:after="120"/>
    </w:pPr>
    <w:rPr>
      <w:b/>
      <w:sz w:val="20"/>
    </w:rPr>
  </w:style>
  <w:style w:type="paragraph" w:customStyle="1" w:styleId="ChartandTableFootnoteAlpha">
    <w:name w:val="Chart and Table Footnote Alpha"/>
    <w:basedOn w:val="HeadingBase"/>
    <w:next w:val="Normal"/>
    <w:rsid w:val="00AF07CF"/>
    <w:pPr>
      <w:keepNext w:val="0"/>
      <w:numPr>
        <w:numId w:val="10"/>
      </w:numPr>
      <w:jc w:val="both"/>
    </w:pPr>
    <w:rPr>
      <w:sz w:val="16"/>
    </w:rPr>
  </w:style>
  <w:style w:type="paragraph" w:customStyle="1" w:styleId="ChartandTableFootnoteAlphaSmall">
    <w:name w:val="Chart and Table Footnote Alpha Small"/>
    <w:basedOn w:val="HeadingBase"/>
    <w:next w:val="Normal"/>
    <w:rsid w:val="00AF07CF"/>
    <w:pPr>
      <w:numPr>
        <w:numId w:val="3"/>
      </w:numPr>
      <w:jc w:val="both"/>
    </w:pPr>
    <w:rPr>
      <w:sz w:val="15"/>
    </w:rPr>
  </w:style>
  <w:style w:type="paragraph" w:customStyle="1" w:styleId="ChartandTableFootnote">
    <w:name w:val="Chart and Table Footnote"/>
    <w:basedOn w:val="HeadingBase"/>
    <w:next w:val="Normal"/>
    <w:link w:val="ChartandTableFootnoteChar"/>
    <w:rsid w:val="00AF07CF"/>
    <w:pPr>
      <w:keepNext w:val="0"/>
      <w:spacing w:after="240"/>
      <w:ind w:left="425" w:hanging="425"/>
      <w:contextualSpacing/>
      <w:jc w:val="both"/>
    </w:pPr>
    <w:rPr>
      <w:color w:val="000000"/>
      <w:sz w:val="16"/>
      <w:lang w:eastAsia="x-none"/>
    </w:rPr>
  </w:style>
  <w:style w:type="paragraph" w:customStyle="1" w:styleId="ChartandTableFootnoteSmall">
    <w:name w:val="Chart and Table Footnote Small"/>
    <w:basedOn w:val="HeadingBase"/>
    <w:next w:val="Normal"/>
    <w:rsid w:val="00AF07CF"/>
    <w:pPr>
      <w:tabs>
        <w:tab w:val="left" w:pos="284"/>
      </w:tabs>
      <w:jc w:val="both"/>
    </w:pPr>
    <w:rPr>
      <w:sz w:val="15"/>
    </w:rPr>
  </w:style>
  <w:style w:type="paragraph" w:customStyle="1" w:styleId="BoxBullet">
    <w:name w:val="Box Bullet"/>
    <w:basedOn w:val="BoxText"/>
    <w:rsid w:val="00AF07CF"/>
    <w:pPr>
      <w:numPr>
        <w:numId w:val="7"/>
      </w:numPr>
    </w:pPr>
  </w:style>
  <w:style w:type="paragraph" w:customStyle="1" w:styleId="ChartGraphic">
    <w:name w:val="Chart Graphic"/>
    <w:basedOn w:val="HeadingBase"/>
    <w:rsid w:val="00AF07CF"/>
    <w:rPr>
      <w:noProof/>
      <w:sz w:val="20"/>
    </w:rPr>
  </w:style>
  <w:style w:type="paragraph" w:customStyle="1" w:styleId="ContentsHeading">
    <w:name w:val="Contents Heading"/>
    <w:basedOn w:val="HeadingBase"/>
    <w:next w:val="Normal"/>
    <w:rsid w:val="00AF07CF"/>
    <w:pPr>
      <w:spacing w:after="600"/>
      <w:jc w:val="center"/>
    </w:pPr>
    <w:rPr>
      <w:b/>
      <w:smallCaps/>
      <w:sz w:val="34"/>
    </w:rPr>
  </w:style>
  <w:style w:type="paragraph" w:customStyle="1" w:styleId="FigureHeading">
    <w:name w:val="Figure Heading"/>
    <w:basedOn w:val="HeadingBase"/>
    <w:next w:val="ChartGraphic"/>
    <w:rsid w:val="00AF07CF"/>
    <w:pPr>
      <w:spacing w:after="120"/>
      <w:jc w:val="center"/>
    </w:pPr>
    <w:rPr>
      <w:b/>
      <w:sz w:val="20"/>
    </w:rPr>
  </w:style>
  <w:style w:type="paragraph" w:customStyle="1" w:styleId="Classification">
    <w:name w:val="Classification"/>
    <w:basedOn w:val="HeadingBase"/>
    <w:rsid w:val="00AF07CF"/>
    <w:pPr>
      <w:jc w:val="center"/>
    </w:pPr>
    <w:rPr>
      <w:b/>
      <w:smallCaps/>
    </w:rPr>
  </w:style>
  <w:style w:type="character" w:customStyle="1" w:styleId="HiddenSequenceCode">
    <w:name w:val="Hidden Sequence Code"/>
    <w:semiHidden/>
    <w:rsid w:val="00AF07CF"/>
    <w:rPr>
      <w:rFonts w:ascii="Times New Roman" w:hAnsi="Times New Roman"/>
      <w:vanish/>
      <w:sz w:val="16"/>
    </w:rPr>
  </w:style>
  <w:style w:type="paragraph" w:customStyle="1" w:styleId="OverviewParagraph">
    <w:name w:val="Overview Paragraph"/>
    <w:basedOn w:val="Normal"/>
    <w:link w:val="OverviewParagraphChar"/>
    <w:semiHidden/>
    <w:rsid w:val="00AF07CF"/>
    <w:pPr>
      <w:spacing w:before="120" w:after="120" w:line="240" w:lineRule="auto"/>
    </w:pPr>
  </w:style>
  <w:style w:type="paragraph" w:customStyle="1" w:styleId="TableGraphic">
    <w:name w:val="Table Graphic"/>
    <w:basedOn w:val="Normal"/>
    <w:next w:val="Normal"/>
    <w:rsid w:val="00AF07CF"/>
    <w:pPr>
      <w:spacing w:after="0" w:line="240" w:lineRule="auto"/>
      <w:ind w:right="-113"/>
    </w:pPr>
  </w:style>
  <w:style w:type="paragraph" w:customStyle="1" w:styleId="NoteTableHeading">
    <w:name w:val="Note Table Heading"/>
    <w:basedOn w:val="HeadingBase"/>
    <w:next w:val="TableGraphic"/>
    <w:semiHidden/>
    <w:rsid w:val="00AF07CF"/>
    <w:pPr>
      <w:spacing w:before="240"/>
    </w:pPr>
    <w:rPr>
      <w:b/>
      <w:sz w:val="20"/>
    </w:rPr>
  </w:style>
  <w:style w:type="paragraph" w:customStyle="1" w:styleId="Source">
    <w:name w:val="Source"/>
    <w:basedOn w:val="Normal"/>
    <w:rsid w:val="00AF07CF"/>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AF07CF"/>
    <w:pPr>
      <w:spacing w:before="60" w:after="60" w:line="240" w:lineRule="auto"/>
      <w:jc w:val="left"/>
    </w:pPr>
    <w:rPr>
      <w:rFonts w:ascii="Arial" w:hAnsi="Arial"/>
      <w:sz w:val="18"/>
    </w:rPr>
  </w:style>
  <w:style w:type="paragraph" w:customStyle="1" w:styleId="TableColumnHeadingBase">
    <w:name w:val="Table Column Heading Base"/>
    <w:basedOn w:val="Normal"/>
    <w:rsid w:val="00AF07CF"/>
    <w:pPr>
      <w:spacing w:before="60" w:after="60" w:line="240" w:lineRule="auto"/>
      <w:jc w:val="left"/>
    </w:pPr>
    <w:rPr>
      <w:rFonts w:ascii="Arial" w:hAnsi="Arial"/>
      <w:b/>
    </w:rPr>
  </w:style>
  <w:style w:type="paragraph" w:customStyle="1" w:styleId="TableTextLeft">
    <w:name w:val="Table Text Left"/>
    <w:basedOn w:val="TableTextBase"/>
    <w:link w:val="TableTextLeftChar"/>
    <w:rsid w:val="00AF07CF"/>
  </w:style>
  <w:style w:type="paragraph" w:customStyle="1" w:styleId="TableTextRight">
    <w:name w:val="Table Text Right"/>
    <w:basedOn w:val="TableTextBase"/>
    <w:rsid w:val="00AF07CF"/>
    <w:pPr>
      <w:jc w:val="right"/>
    </w:pPr>
  </w:style>
  <w:style w:type="paragraph" w:customStyle="1" w:styleId="TableTextCentred">
    <w:name w:val="Table Text Centred"/>
    <w:basedOn w:val="TableTextBase"/>
    <w:rsid w:val="00AF07CF"/>
    <w:pPr>
      <w:jc w:val="center"/>
    </w:pPr>
  </w:style>
  <w:style w:type="paragraph" w:customStyle="1" w:styleId="TableTextIndented">
    <w:name w:val="Table Text Indented"/>
    <w:basedOn w:val="TableTextBase"/>
    <w:rsid w:val="00AF07CF"/>
    <w:pPr>
      <w:ind w:left="284"/>
    </w:pPr>
  </w:style>
  <w:style w:type="paragraph" w:customStyle="1" w:styleId="TableColumnHeadingLeft">
    <w:name w:val="Table Column Heading Left"/>
    <w:basedOn w:val="TableColumnHeadingBase"/>
    <w:next w:val="TableTextLeft"/>
    <w:rsid w:val="00AF07CF"/>
  </w:style>
  <w:style w:type="paragraph" w:customStyle="1" w:styleId="TableColumnHeadingRight">
    <w:name w:val="Table Column Heading Right"/>
    <w:basedOn w:val="TableColumnHeadingBase"/>
    <w:next w:val="TableTextRight"/>
    <w:link w:val="TableColumnHeadingRightChar"/>
    <w:rsid w:val="00AF07CF"/>
    <w:pPr>
      <w:jc w:val="right"/>
    </w:pPr>
  </w:style>
  <w:style w:type="paragraph" w:customStyle="1" w:styleId="TableColumnHeadingCentred">
    <w:name w:val="Table Column Heading Centred"/>
    <w:basedOn w:val="TableColumnHeadingBase"/>
    <w:next w:val="TableTextLeft"/>
    <w:rsid w:val="00AF07CF"/>
    <w:pPr>
      <w:jc w:val="center"/>
    </w:pPr>
  </w:style>
  <w:style w:type="paragraph" w:customStyle="1" w:styleId="Exampletextbullet">
    <w:name w:val="Example text bullet"/>
    <w:basedOn w:val="Exampletext"/>
    <w:rsid w:val="00AF07CF"/>
    <w:pPr>
      <w:numPr>
        <w:numId w:val="5"/>
      </w:numPr>
    </w:pPr>
  </w:style>
  <w:style w:type="paragraph" w:styleId="Title">
    <w:name w:val="Title"/>
    <w:basedOn w:val="Normal"/>
    <w:link w:val="TitleChar"/>
    <w:qFormat/>
    <w:rsid w:val="00AF07CF"/>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AF07CF"/>
    <w:pPr>
      <w:spacing w:before="120" w:after="20"/>
    </w:pPr>
    <w:rPr>
      <w:rFonts w:ascii="Arial Bold" w:hAnsi="Arial Bold"/>
      <w:b/>
      <w:sz w:val="20"/>
    </w:rPr>
  </w:style>
  <w:style w:type="paragraph" w:customStyle="1" w:styleId="TPHeading1">
    <w:name w:val="TP Heading 1"/>
    <w:basedOn w:val="HeadingBase"/>
    <w:rsid w:val="00AF07CF"/>
    <w:rPr>
      <w:b/>
      <w:caps/>
      <w:sz w:val="52"/>
    </w:rPr>
  </w:style>
  <w:style w:type="paragraph" w:customStyle="1" w:styleId="TPHeading2">
    <w:name w:val="TP Heading 2"/>
    <w:basedOn w:val="HeadingBase"/>
    <w:rsid w:val="00AF07CF"/>
    <w:pPr>
      <w:jc w:val="center"/>
    </w:pPr>
    <w:rPr>
      <w:rFonts w:ascii="Georgia" w:hAnsi="Georgia"/>
      <w:caps/>
    </w:rPr>
  </w:style>
  <w:style w:type="paragraph" w:customStyle="1" w:styleId="TPHeading3">
    <w:name w:val="TP Heading 3"/>
    <w:basedOn w:val="HeadingBase"/>
    <w:rsid w:val="00AF07CF"/>
    <w:rPr>
      <w:rFonts w:ascii="Georgia" w:hAnsi="Georgia"/>
      <w:caps/>
    </w:rPr>
  </w:style>
  <w:style w:type="paragraph" w:customStyle="1" w:styleId="HeaderBase">
    <w:name w:val="Header Base"/>
    <w:rsid w:val="00AF07CF"/>
    <w:rPr>
      <w:rFonts w:ascii="Book Antiqua" w:hAnsi="Book Antiqua"/>
      <w:i/>
    </w:rPr>
  </w:style>
  <w:style w:type="paragraph" w:customStyle="1" w:styleId="HeaderEven">
    <w:name w:val="Header Even"/>
    <w:basedOn w:val="HeaderBase"/>
    <w:rsid w:val="00AF07CF"/>
  </w:style>
  <w:style w:type="paragraph" w:customStyle="1" w:styleId="HeaderOdd">
    <w:name w:val="Header Odd"/>
    <w:basedOn w:val="HeaderBase"/>
    <w:link w:val="HeaderOddChar"/>
    <w:rsid w:val="00AF07CF"/>
    <w:pPr>
      <w:jc w:val="right"/>
    </w:pPr>
  </w:style>
  <w:style w:type="paragraph" w:styleId="Header">
    <w:name w:val="header"/>
    <w:basedOn w:val="HeaderBase"/>
    <w:link w:val="HeaderChar"/>
    <w:rsid w:val="00AF07CF"/>
    <w:pPr>
      <w:tabs>
        <w:tab w:val="center" w:pos="4153"/>
        <w:tab w:val="right" w:pos="8306"/>
      </w:tabs>
    </w:pPr>
    <w:rPr>
      <w:lang w:val="x-none" w:eastAsia="x-none"/>
    </w:rPr>
  </w:style>
  <w:style w:type="paragraph" w:customStyle="1" w:styleId="FooterBase">
    <w:name w:val="Footer Base"/>
    <w:rsid w:val="00AF07CF"/>
    <w:pPr>
      <w:jc w:val="center"/>
    </w:pPr>
    <w:rPr>
      <w:rFonts w:ascii="Arial" w:hAnsi="Arial"/>
    </w:rPr>
  </w:style>
  <w:style w:type="paragraph" w:styleId="Footer">
    <w:name w:val="footer"/>
    <w:basedOn w:val="FooterBase"/>
    <w:link w:val="FooterChar"/>
    <w:rsid w:val="00AF07CF"/>
    <w:pPr>
      <w:tabs>
        <w:tab w:val="center" w:pos="4153"/>
        <w:tab w:val="right" w:pos="8306"/>
      </w:tabs>
    </w:pPr>
    <w:rPr>
      <w:lang w:val="x-none" w:eastAsia="x-none"/>
    </w:rPr>
  </w:style>
  <w:style w:type="paragraph" w:styleId="BalloonText">
    <w:name w:val="Balloon Text"/>
    <w:basedOn w:val="Normal"/>
    <w:link w:val="BalloonTextChar"/>
    <w:uiPriority w:val="99"/>
    <w:semiHidden/>
    <w:rsid w:val="00AF07CF"/>
    <w:rPr>
      <w:rFonts w:ascii="Tahoma" w:hAnsi="Tahoma" w:cs="Tahoma"/>
      <w:sz w:val="16"/>
      <w:szCs w:val="16"/>
    </w:rPr>
  </w:style>
  <w:style w:type="paragraph" w:styleId="Caption">
    <w:name w:val="caption"/>
    <w:basedOn w:val="Normal"/>
    <w:next w:val="Normal"/>
    <w:qFormat/>
    <w:rsid w:val="00AF07CF"/>
    <w:rPr>
      <w:b/>
      <w:bCs/>
    </w:rPr>
  </w:style>
  <w:style w:type="character" w:styleId="CommentReference">
    <w:name w:val="annotation reference"/>
    <w:uiPriority w:val="99"/>
    <w:semiHidden/>
    <w:rsid w:val="00AF07CF"/>
    <w:rPr>
      <w:sz w:val="16"/>
      <w:szCs w:val="16"/>
    </w:rPr>
  </w:style>
  <w:style w:type="paragraph" w:styleId="CommentText">
    <w:name w:val="annotation text"/>
    <w:basedOn w:val="Normal"/>
    <w:link w:val="CommentTextChar"/>
    <w:uiPriority w:val="99"/>
    <w:rsid w:val="00AF07CF"/>
    <w:rPr>
      <w:lang w:val="x-none" w:eastAsia="x-none"/>
    </w:rPr>
  </w:style>
  <w:style w:type="paragraph" w:styleId="CommentSubject">
    <w:name w:val="annotation subject"/>
    <w:basedOn w:val="CommentText"/>
    <w:next w:val="CommentText"/>
    <w:link w:val="CommentSubjectChar"/>
    <w:uiPriority w:val="99"/>
    <w:semiHidden/>
    <w:rsid w:val="00AF07CF"/>
    <w:rPr>
      <w:b/>
      <w:bCs/>
    </w:rPr>
  </w:style>
  <w:style w:type="paragraph" w:styleId="DocumentMap">
    <w:name w:val="Document Map"/>
    <w:basedOn w:val="Normal"/>
    <w:link w:val="DocumentMapChar"/>
    <w:semiHidden/>
    <w:rsid w:val="00AF07CF"/>
    <w:pPr>
      <w:shd w:val="clear" w:color="auto" w:fill="000080"/>
    </w:pPr>
    <w:rPr>
      <w:rFonts w:ascii="Tahoma" w:hAnsi="Tahoma" w:cs="Tahoma"/>
    </w:rPr>
  </w:style>
  <w:style w:type="character" w:styleId="EndnoteReference">
    <w:name w:val="endnote reference"/>
    <w:semiHidden/>
    <w:rsid w:val="00AF07CF"/>
    <w:rPr>
      <w:vertAlign w:val="superscript"/>
    </w:rPr>
  </w:style>
  <w:style w:type="paragraph" w:styleId="EndnoteText">
    <w:name w:val="endnote text"/>
    <w:basedOn w:val="Normal"/>
    <w:link w:val="EndnoteTextChar"/>
    <w:semiHidden/>
    <w:rsid w:val="00AF07CF"/>
  </w:style>
  <w:style w:type="character" w:styleId="FootnoteReference">
    <w:name w:val="footnote reference"/>
    <w:uiPriority w:val="99"/>
    <w:rsid w:val="00AF07CF"/>
    <w:rPr>
      <w:vertAlign w:val="superscript"/>
    </w:rPr>
  </w:style>
  <w:style w:type="paragraph" w:styleId="FootnoteText">
    <w:name w:val="footnote text"/>
    <w:basedOn w:val="Normal"/>
    <w:link w:val="FootnoteTextChar"/>
    <w:uiPriority w:val="99"/>
    <w:rsid w:val="00AF07CF"/>
    <w:pPr>
      <w:tabs>
        <w:tab w:val="left" w:pos="284"/>
      </w:tabs>
      <w:spacing w:after="0" w:line="240" w:lineRule="auto"/>
      <w:ind w:left="284" w:hanging="284"/>
    </w:pPr>
    <w:rPr>
      <w:sz w:val="18"/>
    </w:rPr>
  </w:style>
  <w:style w:type="paragraph" w:styleId="Index1">
    <w:name w:val="index 1"/>
    <w:basedOn w:val="Normal"/>
    <w:next w:val="Normal"/>
    <w:autoRedefine/>
    <w:semiHidden/>
    <w:rsid w:val="00AF07CF"/>
    <w:pPr>
      <w:ind w:left="200" w:hanging="200"/>
    </w:pPr>
  </w:style>
  <w:style w:type="paragraph" w:styleId="Index2">
    <w:name w:val="index 2"/>
    <w:basedOn w:val="Normal"/>
    <w:next w:val="Normal"/>
    <w:autoRedefine/>
    <w:semiHidden/>
    <w:rsid w:val="00AF07CF"/>
    <w:pPr>
      <w:ind w:left="400" w:hanging="200"/>
    </w:pPr>
  </w:style>
  <w:style w:type="paragraph" w:styleId="Index3">
    <w:name w:val="index 3"/>
    <w:basedOn w:val="Normal"/>
    <w:next w:val="Normal"/>
    <w:autoRedefine/>
    <w:semiHidden/>
    <w:rsid w:val="00AF07CF"/>
    <w:pPr>
      <w:ind w:left="600" w:hanging="200"/>
    </w:pPr>
  </w:style>
  <w:style w:type="paragraph" w:styleId="Index4">
    <w:name w:val="index 4"/>
    <w:basedOn w:val="Normal"/>
    <w:next w:val="Normal"/>
    <w:autoRedefine/>
    <w:semiHidden/>
    <w:rsid w:val="00AF07CF"/>
    <w:pPr>
      <w:ind w:left="800" w:hanging="200"/>
    </w:pPr>
  </w:style>
  <w:style w:type="paragraph" w:styleId="Index5">
    <w:name w:val="index 5"/>
    <w:basedOn w:val="Normal"/>
    <w:next w:val="Normal"/>
    <w:autoRedefine/>
    <w:semiHidden/>
    <w:rsid w:val="00AF07CF"/>
    <w:pPr>
      <w:ind w:left="1000" w:hanging="200"/>
    </w:pPr>
  </w:style>
  <w:style w:type="paragraph" w:styleId="Index6">
    <w:name w:val="index 6"/>
    <w:basedOn w:val="Normal"/>
    <w:next w:val="Normal"/>
    <w:autoRedefine/>
    <w:semiHidden/>
    <w:rsid w:val="00AF07CF"/>
    <w:pPr>
      <w:ind w:left="1200" w:hanging="200"/>
    </w:pPr>
  </w:style>
  <w:style w:type="paragraph" w:styleId="Index7">
    <w:name w:val="index 7"/>
    <w:basedOn w:val="Normal"/>
    <w:next w:val="Normal"/>
    <w:autoRedefine/>
    <w:semiHidden/>
    <w:rsid w:val="00AF07CF"/>
    <w:pPr>
      <w:ind w:left="1400" w:hanging="200"/>
    </w:pPr>
  </w:style>
  <w:style w:type="paragraph" w:styleId="Index8">
    <w:name w:val="index 8"/>
    <w:basedOn w:val="Normal"/>
    <w:next w:val="Normal"/>
    <w:autoRedefine/>
    <w:semiHidden/>
    <w:rsid w:val="00AF07CF"/>
    <w:pPr>
      <w:ind w:left="1600" w:hanging="200"/>
    </w:pPr>
  </w:style>
  <w:style w:type="paragraph" w:styleId="Index9">
    <w:name w:val="index 9"/>
    <w:basedOn w:val="Normal"/>
    <w:next w:val="Normal"/>
    <w:autoRedefine/>
    <w:semiHidden/>
    <w:rsid w:val="00AF07CF"/>
    <w:pPr>
      <w:ind w:left="1800" w:hanging="200"/>
    </w:pPr>
  </w:style>
  <w:style w:type="paragraph" w:styleId="IndexHeading">
    <w:name w:val="index heading"/>
    <w:basedOn w:val="Normal"/>
    <w:next w:val="Index1"/>
    <w:semiHidden/>
    <w:rsid w:val="00AF07CF"/>
    <w:rPr>
      <w:rFonts w:ascii="Arial" w:hAnsi="Arial" w:cs="Arial"/>
      <w:b/>
      <w:bCs/>
    </w:rPr>
  </w:style>
  <w:style w:type="paragraph" w:styleId="MacroText">
    <w:name w:val="macro"/>
    <w:link w:val="MacroTextChar"/>
    <w:semiHidden/>
    <w:rsid w:val="00AF07C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AF07CF"/>
    <w:pPr>
      <w:ind w:left="200" w:hanging="200"/>
    </w:pPr>
  </w:style>
  <w:style w:type="paragraph" w:styleId="TableofFigures">
    <w:name w:val="table of figures"/>
    <w:basedOn w:val="Normal"/>
    <w:next w:val="Normal"/>
    <w:semiHidden/>
    <w:rsid w:val="00AF07CF"/>
  </w:style>
  <w:style w:type="paragraph" w:styleId="TOAHeading">
    <w:name w:val="toa heading"/>
    <w:basedOn w:val="Normal"/>
    <w:next w:val="Normal"/>
    <w:semiHidden/>
    <w:rsid w:val="00AF07CF"/>
    <w:pPr>
      <w:spacing w:before="120"/>
    </w:pPr>
    <w:rPr>
      <w:rFonts w:ascii="Arial" w:hAnsi="Arial" w:cs="Arial"/>
      <w:b/>
      <w:bCs/>
      <w:sz w:val="24"/>
      <w:szCs w:val="24"/>
    </w:rPr>
  </w:style>
  <w:style w:type="paragraph" w:styleId="TOC1">
    <w:name w:val="toc 1"/>
    <w:basedOn w:val="HeaderBase"/>
    <w:next w:val="Normal"/>
    <w:uiPriority w:val="39"/>
    <w:rsid w:val="00AF07CF"/>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AF07CF"/>
    <w:pPr>
      <w:tabs>
        <w:tab w:val="left" w:pos="709"/>
        <w:tab w:val="right" w:leader="dot" w:pos="7700"/>
      </w:tabs>
      <w:spacing w:before="80"/>
      <w:ind w:right="851"/>
    </w:pPr>
    <w:rPr>
      <w:sz w:val="20"/>
    </w:rPr>
  </w:style>
  <w:style w:type="paragraph" w:styleId="TOC3">
    <w:name w:val="toc 3"/>
    <w:basedOn w:val="HeadingBase"/>
    <w:next w:val="Normal"/>
    <w:uiPriority w:val="39"/>
    <w:rsid w:val="00AF07CF"/>
    <w:pPr>
      <w:tabs>
        <w:tab w:val="right" w:leader="dot" w:pos="7700"/>
      </w:tabs>
      <w:spacing w:before="120"/>
      <w:ind w:right="851"/>
    </w:pPr>
    <w:rPr>
      <w:b/>
      <w:sz w:val="20"/>
    </w:rPr>
  </w:style>
  <w:style w:type="paragraph" w:styleId="TOC4">
    <w:name w:val="toc 4"/>
    <w:basedOn w:val="HeadingBase"/>
    <w:next w:val="Normal"/>
    <w:uiPriority w:val="39"/>
    <w:rsid w:val="00AF07CF"/>
    <w:pPr>
      <w:tabs>
        <w:tab w:val="right" w:leader="dot" w:pos="7700"/>
      </w:tabs>
      <w:spacing w:before="40"/>
      <w:ind w:right="851"/>
    </w:pPr>
    <w:rPr>
      <w:sz w:val="20"/>
    </w:rPr>
  </w:style>
  <w:style w:type="paragraph" w:styleId="TOC5">
    <w:name w:val="toc 5"/>
    <w:basedOn w:val="Normal"/>
    <w:next w:val="Normal"/>
    <w:autoRedefine/>
    <w:uiPriority w:val="39"/>
    <w:rsid w:val="00AF07CF"/>
    <w:pPr>
      <w:ind w:left="800"/>
    </w:pPr>
  </w:style>
  <w:style w:type="paragraph" w:styleId="TOC6">
    <w:name w:val="toc 6"/>
    <w:basedOn w:val="Normal"/>
    <w:next w:val="Normal"/>
    <w:autoRedefine/>
    <w:semiHidden/>
    <w:rsid w:val="00AF07CF"/>
    <w:pPr>
      <w:ind w:left="1000"/>
    </w:pPr>
  </w:style>
  <w:style w:type="paragraph" w:styleId="TOC7">
    <w:name w:val="toc 7"/>
    <w:basedOn w:val="Normal"/>
    <w:next w:val="Normal"/>
    <w:autoRedefine/>
    <w:semiHidden/>
    <w:rsid w:val="00AF07CF"/>
    <w:pPr>
      <w:ind w:left="1200"/>
    </w:pPr>
  </w:style>
  <w:style w:type="paragraph" w:styleId="TOC8">
    <w:name w:val="toc 8"/>
    <w:basedOn w:val="Normal"/>
    <w:next w:val="Normal"/>
    <w:autoRedefine/>
    <w:semiHidden/>
    <w:rsid w:val="00AF07CF"/>
    <w:pPr>
      <w:ind w:left="1400"/>
    </w:pPr>
  </w:style>
  <w:style w:type="paragraph" w:styleId="TOC9">
    <w:name w:val="toc 9"/>
    <w:basedOn w:val="Normal"/>
    <w:next w:val="Normal"/>
    <w:autoRedefine/>
    <w:semiHidden/>
    <w:rsid w:val="00AF07CF"/>
    <w:pPr>
      <w:ind w:left="1600"/>
    </w:pPr>
  </w:style>
  <w:style w:type="paragraph" w:customStyle="1" w:styleId="FileProperties">
    <w:name w:val="File Properties"/>
    <w:basedOn w:val="Normal"/>
    <w:rsid w:val="00AF07CF"/>
    <w:rPr>
      <w:i/>
    </w:rPr>
  </w:style>
  <w:style w:type="character" w:styleId="PageNumber">
    <w:name w:val="page number"/>
    <w:rsid w:val="00AF07CF"/>
    <w:rPr>
      <w:rFonts w:ascii="Arial" w:hAnsi="Arial" w:cs="Arial"/>
    </w:rPr>
  </w:style>
  <w:style w:type="character" w:customStyle="1" w:styleId="FramedHeader">
    <w:name w:val="Framed Header"/>
    <w:rsid w:val="00AF07CF"/>
    <w:rPr>
      <w:rFonts w:ascii="Book Antiqua" w:hAnsi="Book Antiqua"/>
      <w:i/>
      <w:dstrike w:val="0"/>
      <w:color w:val="auto"/>
      <w:sz w:val="18"/>
      <w:vertAlign w:val="baseline"/>
    </w:rPr>
  </w:style>
  <w:style w:type="paragraph" w:styleId="NormalIndent">
    <w:name w:val="Normal Indent"/>
    <w:basedOn w:val="Normal"/>
    <w:rsid w:val="00AF07CF"/>
    <w:pPr>
      <w:ind w:left="567"/>
    </w:pPr>
  </w:style>
  <w:style w:type="paragraph" w:customStyle="1" w:styleId="BlockedQuotation">
    <w:name w:val="Blocked Quotation"/>
    <w:basedOn w:val="Normal"/>
    <w:semiHidden/>
    <w:rsid w:val="00AF07CF"/>
    <w:pPr>
      <w:ind w:left="567"/>
    </w:pPr>
  </w:style>
  <w:style w:type="paragraph" w:customStyle="1" w:styleId="ChartMainHeading">
    <w:name w:val="Chart Main Heading"/>
    <w:basedOn w:val="Normal"/>
    <w:next w:val="ChartGraphic"/>
    <w:rsid w:val="00AF07CF"/>
    <w:pPr>
      <w:keepNext/>
      <w:spacing w:before="120" w:after="20" w:line="240" w:lineRule="auto"/>
      <w:jc w:val="center"/>
    </w:pPr>
    <w:rPr>
      <w:rFonts w:ascii="Arial" w:hAnsi="Arial"/>
      <w:b/>
    </w:rPr>
  </w:style>
  <w:style w:type="table" w:styleId="TableGrid">
    <w:name w:val="Table Grid"/>
    <w:basedOn w:val="TableNormal"/>
    <w:rsid w:val="00AF07CF"/>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AF07CF"/>
    <w:rPr>
      <w:sz w:val="24"/>
    </w:rPr>
  </w:style>
  <w:style w:type="paragraph" w:customStyle="1" w:styleId="Title3rdLevel">
    <w:name w:val="Title 3rd Level"/>
    <w:basedOn w:val="Normal"/>
    <w:next w:val="Title"/>
    <w:rsid w:val="00AF07CF"/>
    <w:pPr>
      <w:jc w:val="center"/>
    </w:pPr>
    <w:rPr>
      <w:rFonts w:ascii="Arial" w:hAnsi="Arial"/>
      <w:caps/>
    </w:rPr>
  </w:style>
  <w:style w:type="paragraph" w:customStyle="1" w:styleId="Part">
    <w:name w:val="Part"/>
    <w:basedOn w:val="Title"/>
    <w:next w:val="Normal"/>
    <w:rsid w:val="00AF07CF"/>
    <w:rPr>
      <w:caps/>
      <w:smallCaps w:val="0"/>
    </w:rPr>
  </w:style>
  <w:style w:type="paragraph" w:customStyle="1" w:styleId="TableHeadingNoTable">
    <w:name w:val="Table Heading No Table"/>
    <w:basedOn w:val="TableHeading"/>
    <w:next w:val="Normal"/>
    <w:rsid w:val="00AF07CF"/>
    <w:pPr>
      <w:spacing w:after="240"/>
    </w:pPr>
  </w:style>
  <w:style w:type="paragraph" w:customStyle="1" w:styleId="TransmittalAddressee">
    <w:name w:val="Transmittal Addressee"/>
    <w:basedOn w:val="Normal"/>
    <w:rsid w:val="00AF07CF"/>
    <w:pPr>
      <w:spacing w:after="0"/>
    </w:pPr>
  </w:style>
  <w:style w:type="paragraph" w:customStyle="1" w:styleId="TransmittalStyle1">
    <w:name w:val="Transmittal Style 1"/>
    <w:basedOn w:val="HeadingBase"/>
    <w:rsid w:val="00AF07CF"/>
    <w:pPr>
      <w:spacing w:after="60"/>
      <w:jc w:val="right"/>
    </w:pPr>
    <w:rPr>
      <w:b/>
      <w:smallCaps/>
    </w:rPr>
  </w:style>
  <w:style w:type="paragraph" w:customStyle="1" w:styleId="TransmittalStyle2">
    <w:name w:val="Transmittal Style 2"/>
    <w:basedOn w:val="HeadingBase"/>
    <w:rsid w:val="00AF07CF"/>
    <w:pPr>
      <w:spacing w:before="60" w:after="60"/>
      <w:jc w:val="right"/>
    </w:pPr>
    <w:rPr>
      <w:rFonts w:ascii="Helvetica" w:hAnsi="Helvetica"/>
      <w:b/>
      <w:caps/>
      <w:sz w:val="16"/>
    </w:rPr>
  </w:style>
  <w:style w:type="paragraph" w:customStyle="1" w:styleId="UserGuidelevelTOC">
    <w:name w:val="UserGuide level TOC"/>
    <w:basedOn w:val="HeadingBase"/>
    <w:next w:val="Normal"/>
    <w:rsid w:val="00AF07CF"/>
    <w:pPr>
      <w:spacing w:before="360" w:after="360"/>
    </w:pPr>
    <w:rPr>
      <w:sz w:val="30"/>
    </w:rPr>
  </w:style>
  <w:style w:type="paragraph" w:customStyle="1" w:styleId="TableTextJustified">
    <w:name w:val="Table Text Justified"/>
    <w:basedOn w:val="TableTextBase"/>
    <w:rsid w:val="00AF07CF"/>
    <w:pPr>
      <w:jc w:val="both"/>
    </w:pPr>
  </w:style>
  <w:style w:type="paragraph" w:customStyle="1" w:styleId="Department">
    <w:name w:val="Department"/>
    <w:basedOn w:val="Normal"/>
    <w:rsid w:val="00AF07CF"/>
    <w:pPr>
      <w:spacing w:after="0" w:line="240" w:lineRule="auto"/>
      <w:jc w:val="center"/>
    </w:pPr>
    <w:rPr>
      <w:rFonts w:ascii="Arial" w:hAnsi="Arial"/>
      <w:b/>
      <w:sz w:val="52"/>
    </w:rPr>
  </w:style>
  <w:style w:type="paragraph" w:customStyle="1" w:styleId="DepartmentSubtitle">
    <w:name w:val="Department Subtitle"/>
    <w:basedOn w:val="Department"/>
    <w:rsid w:val="00AF07CF"/>
    <w:rPr>
      <w:sz w:val="44"/>
    </w:rPr>
  </w:style>
  <w:style w:type="character" w:customStyle="1" w:styleId="ExampletextCharChar">
    <w:name w:val="Example text Char Char"/>
    <w:link w:val="Exampletext"/>
    <w:rsid w:val="00AF07CF"/>
    <w:rPr>
      <w:rFonts w:ascii="Book Antiqua" w:hAnsi="Book Antiqua"/>
      <w:i/>
      <w:color w:val="FF0000"/>
      <w:lang w:val="x-none" w:eastAsia="x-none"/>
    </w:rPr>
  </w:style>
  <w:style w:type="paragraph" w:customStyle="1" w:styleId="Crest">
    <w:name w:val="Crest"/>
    <w:basedOn w:val="Normal"/>
    <w:next w:val="TransmittalStyle1"/>
    <w:semiHidden/>
    <w:rsid w:val="00AF07CF"/>
    <w:pPr>
      <w:spacing w:after="0" w:line="240" w:lineRule="auto"/>
      <w:jc w:val="center"/>
    </w:pPr>
  </w:style>
  <w:style w:type="character" w:styleId="Hyperlink">
    <w:name w:val="Hyperlink"/>
    <w:uiPriority w:val="99"/>
    <w:rsid w:val="00AF07CF"/>
    <w:rPr>
      <w:color w:val="000000"/>
      <w:u w:val="none"/>
    </w:rPr>
  </w:style>
  <w:style w:type="paragraph" w:customStyle="1" w:styleId="Heading1noTOC">
    <w:name w:val="Heading 1 no TOC"/>
    <w:basedOn w:val="Heading1"/>
    <w:rsid w:val="00AF07CF"/>
  </w:style>
  <w:style w:type="paragraph" w:customStyle="1" w:styleId="TableColumnOutgroupHeading">
    <w:name w:val="Table Column Outgroup Heading"/>
    <w:basedOn w:val="Normal"/>
    <w:rsid w:val="00AF07CF"/>
    <w:pPr>
      <w:spacing w:before="60" w:after="120" w:line="240" w:lineRule="auto"/>
      <w:jc w:val="left"/>
    </w:pPr>
    <w:rPr>
      <w:b/>
      <w:sz w:val="22"/>
    </w:rPr>
  </w:style>
  <w:style w:type="paragraph" w:customStyle="1" w:styleId="TableColumnOutgroupSubheading">
    <w:name w:val="Table Column Outgroup Subheading"/>
    <w:basedOn w:val="Normal"/>
    <w:rsid w:val="00AF07CF"/>
    <w:pPr>
      <w:spacing w:before="60" w:after="120" w:line="240" w:lineRule="auto"/>
      <w:jc w:val="center"/>
    </w:pPr>
  </w:style>
  <w:style w:type="paragraph" w:customStyle="1" w:styleId="TableTextBullet">
    <w:name w:val="Table Text Bullet"/>
    <w:basedOn w:val="TableTextBase"/>
    <w:rsid w:val="00AF07CF"/>
    <w:pPr>
      <w:numPr>
        <w:numId w:val="6"/>
      </w:numPr>
    </w:pPr>
  </w:style>
  <w:style w:type="paragraph" w:customStyle="1" w:styleId="Exampletextdash">
    <w:name w:val="Example text dash"/>
    <w:basedOn w:val="Exampletextbullet"/>
    <w:rsid w:val="00AF07CF"/>
    <w:pPr>
      <w:numPr>
        <w:ilvl w:val="1"/>
      </w:numPr>
    </w:pPr>
  </w:style>
  <w:style w:type="character" w:customStyle="1" w:styleId="HeadingBaseChar">
    <w:name w:val="Heading Base Char"/>
    <w:link w:val="HeadingBase"/>
    <w:rsid w:val="00AF07CF"/>
    <w:rPr>
      <w:rFonts w:ascii="Arial" w:hAnsi="Arial"/>
      <w:sz w:val="24"/>
    </w:rPr>
  </w:style>
  <w:style w:type="character" w:customStyle="1" w:styleId="TableHeadingChar">
    <w:name w:val="Table Heading Char"/>
    <w:link w:val="TableHeading"/>
    <w:rsid w:val="00AF07CF"/>
    <w:rPr>
      <w:rFonts w:ascii="Arial" w:hAnsi="Arial"/>
      <w:b/>
      <w:color w:val="000000"/>
      <w:lang w:val="x-none" w:eastAsia="x-none"/>
    </w:rPr>
  </w:style>
  <w:style w:type="character" w:customStyle="1" w:styleId="TableTextBaseChar">
    <w:name w:val="Table Text Base Char"/>
    <w:link w:val="TableTextBase"/>
    <w:rsid w:val="00AF07CF"/>
    <w:rPr>
      <w:rFonts w:ascii="Arial" w:hAnsi="Arial"/>
      <w:sz w:val="18"/>
    </w:rPr>
  </w:style>
  <w:style w:type="character" w:customStyle="1" w:styleId="TableTextLeftChar">
    <w:name w:val="Table Text Left Char"/>
    <w:link w:val="TableTextLeft"/>
    <w:rsid w:val="00AF07CF"/>
    <w:rPr>
      <w:rFonts w:ascii="Arial" w:hAnsi="Arial"/>
      <w:sz w:val="18"/>
    </w:rPr>
  </w:style>
  <w:style w:type="paragraph" w:styleId="ListParagraph">
    <w:name w:val="List Paragraph"/>
    <w:aliases w:val="List Paragraph1,Recommendation,List Paragraph11,L,bullet point list,Bullet point,List Paragraph Number,Bulletr List Paragraph,FooterText,List Paragraph2,List Paragraph21,Listeafsnit1,NFP GP Bulleted List,Paragraphe de liste1,numbered,列出段落"/>
    <w:basedOn w:val="Normal"/>
    <w:link w:val="ListParagraphChar"/>
    <w:uiPriority w:val="34"/>
    <w:qFormat/>
    <w:rsid w:val="00AF07CF"/>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AF07CF"/>
    <w:pPr>
      <w:numPr>
        <w:ilvl w:val="1"/>
        <w:numId w:val="6"/>
      </w:numPr>
    </w:pPr>
  </w:style>
  <w:style w:type="character" w:customStyle="1" w:styleId="ChartandTableFootnoteChar">
    <w:name w:val="Chart and Table Footnote Char"/>
    <w:link w:val="ChartandTableFootnote"/>
    <w:rsid w:val="00AF07CF"/>
    <w:rPr>
      <w:rFonts w:ascii="Arial" w:hAnsi="Arial"/>
      <w:color w:val="000000"/>
      <w:sz w:val="16"/>
      <w:lang w:eastAsia="x-none"/>
    </w:rPr>
  </w:style>
  <w:style w:type="paragraph" w:customStyle="1" w:styleId="PartHeading">
    <w:name w:val="Part Heading"/>
    <w:basedOn w:val="Title"/>
    <w:next w:val="Normal"/>
    <w:rsid w:val="00AF07CF"/>
    <w:pPr>
      <w:spacing w:after="480"/>
      <w:outlineLvl w:val="9"/>
    </w:pPr>
  </w:style>
  <w:style w:type="character" w:customStyle="1" w:styleId="BulletChar">
    <w:name w:val="Bullet Char"/>
    <w:link w:val="Bullet"/>
    <w:rsid w:val="00AF07CF"/>
    <w:rPr>
      <w:rFonts w:ascii="Book Antiqua" w:hAnsi="Book Antiqua"/>
      <w:lang w:val="x-none" w:eastAsia="x-none"/>
    </w:rPr>
  </w:style>
  <w:style w:type="paragraph" w:customStyle="1" w:styleId="BoxTextBase">
    <w:name w:val="Box Text Base"/>
    <w:basedOn w:val="Normal"/>
    <w:rsid w:val="00AF07CF"/>
    <w:pPr>
      <w:spacing w:after="120"/>
    </w:pPr>
    <w:rPr>
      <w:color w:val="000000"/>
    </w:rPr>
  </w:style>
  <w:style w:type="paragraph" w:customStyle="1" w:styleId="BoxDash">
    <w:name w:val="Box Dash"/>
    <w:basedOn w:val="Normal"/>
    <w:rsid w:val="00AF07CF"/>
    <w:pPr>
      <w:numPr>
        <w:ilvl w:val="1"/>
        <w:numId w:val="7"/>
      </w:numPr>
    </w:pPr>
    <w:rPr>
      <w:color w:val="000000"/>
    </w:rPr>
  </w:style>
  <w:style w:type="paragraph" w:customStyle="1" w:styleId="BoxDoubleDot">
    <w:name w:val="Box Double Dot"/>
    <w:basedOn w:val="BoxTextBase"/>
    <w:rsid w:val="00AF07CF"/>
    <w:pPr>
      <w:numPr>
        <w:ilvl w:val="2"/>
        <w:numId w:val="7"/>
      </w:numPr>
    </w:pPr>
  </w:style>
  <w:style w:type="paragraph" w:customStyle="1" w:styleId="BoxHeadinglevel2">
    <w:name w:val="Box Heading level 2"/>
    <w:basedOn w:val="BoxHeading"/>
    <w:rsid w:val="00AF07CF"/>
    <w:pPr>
      <w:spacing w:before="0"/>
    </w:pPr>
    <w:rPr>
      <w:sz w:val="18"/>
    </w:rPr>
  </w:style>
  <w:style w:type="paragraph" w:customStyle="1" w:styleId="Outcome">
    <w:name w:val="Outcome"/>
    <w:basedOn w:val="Normal"/>
    <w:rsid w:val="00AF07CF"/>
    <w:pPr>
      <w:spacing w:before="120" w:after="120" w:line="280" w:lineRule="exact"/>
    </w:pPr>
    <w:rPr>
      <w:rFonts w:ascii="Arial" w:hAnsi="Arial" w:cs="Arial"/>
      <w:b/>
    </w:rPr>
  </w:style>
  <w:style w:type="paragraph" w:customStyle="1" w:styleId="ProgramHeading">
    <w:name w:val="Program Heading"/>
    <w:basedOn w:val="HeadingBase"/>
    <w:rsid w:val="00AF07CF"/>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AF07CF"/>
  </w:style>
  <w:style w:type="character" w:customStyle="1" w:styleId="Heading3Char">
    <w:name w:val="Heading 3 Char"/>
    <w:link w:val="Heading3"/>
    <w:rsid w:val="00AF07CF"/>
    <w:rPr>
      <w:rFonts w:ascii="Arial" w:hAnsi="Arial"/>
      <w:b/>
      <w:smallCaps/>
      <w:sz w:val="26"/>
    </w:rPr>
  </w:style>
  <w:style w:type="character" w:customStyle="1" w:styleId="CommentTextChar">
    <w:name w:val="Comment Text Char"/>
    <w:link w:val="CommentText"/>
    <w:uiPriority w:val="99"/>
    <w:rsid w:val="00AF07CF"/>
    <w:rPr>
      <w:rFonts w:ascii="Book Antiqua" w:hAnsi="Book Antiqua"/>
      <w:lang w:val="x-none" w:eastAsia="x-none"/>
    </w:rPr>
  </w:style>
  <w:style w:type="paragraph" w:customStyle="1" w:styleId="ExampleText0">
    <w:name w:val="Example Text"/>
    <w:basedOn w:val="Normal"/>
    <w:rsid w:val="00AF07CF"/>
    <w:pPr>
      <w:jc w:val="left"/>
    </w:pPr>
    <w:rPr>
      <w:i/>
      <w:color w:val="FF0000"/>
    </w:rPr>
  </w:style>
  <w:style w:type="paragraph" w:styleId="NoSpacing">
    <w:name w:val="No Spacing"/>
    <w:uiPriority w:val="1"/>
    <w:qFormat/>
    <w:rsid w:val="00AF07CF"/>
    <w:pPr>
      <w:jc w:val="both"/>
    </w:pPr>
    <w:rPr>
      <w:rFonts w:ascii="Book Antiqua" w:hAnsi="Book Antiqua"/>
    </w:rPr>
  </w:style>
  <w:style w:type="character" w:customStyle="1" w:styleId="A5">
    <w:name w:val="A5"/>
    <w:uiPriority w:val="99"/>
    <w:rsid w:val="00AF07CF"/>
    <w:rPr>
      <w:rFonts w:ascii="Swiss 721 BT" w:hAnsi="Swiss 721 BT" w:cs="Swiss 721 BT" w:hint="default"/>
      <w:color w:val="000000"/>
      <w:sz w:val="20"/>
      <w:szCs w:val="20"/>
    </w:rPr>
  </w:style>
  <w:style w:type="character" w:customStyle="1" w:styleId="HeaderChar">
    <w:name w:val="Header Char"/>
    <w:link w:val="Header"/>
    <w:rsid w:val="00AF07CF"/>
    <w:rPr>
      <w:rFonts w:ascii="Book Antiqua" w:hAnsi="Book Antiqua"/>
      <w:i/>
      <w:lang w:val="x-none" w:eastAsia="x-none"/>
    </w:rPr>
  </w:style>
  <w:style w:type="character" w:styleId="FollowedHyperlink">
    <w:name w:val="FollowedHyperlink"/>
    <w:uiPriority w:val="99"/>
    <w:rsid w:val="00AF07CF"/>
    <w:rPr>
      <w:color w:val="800080"/>
      <w:u w:val="single"/>
    </w:rPr>
  </w:style>
  <w:style w:type="character" w:customStyle="1" w:styleId="FooterChar">
    <w:name w:val="Footer Char"/>
    <w:link w:val="Footer"/>
    <w:rsid w:val="00AF07CF"/>
    <w:rPr>
      <w:rFonts w:ascii="Arial" w:hAnsi="Arial"/>
      <w:lang w:val="x-none" w:eastAsia="x-none"/>
    </w:rPr>
  </w:style>
  <w:style w:type="character" w:styleId="Strong">
    <w:name w:val="Strong"/>
    <w:uiPriority w:val="22"/>
    <w:qFormat/>
    <w:rsid w:val="00AF07CF"/>
    <w:rPr>
      <w:b/>
      <w:bCs/>
    </w:rPr>
  </w:style>
  <w:style w:type="paragraph" w:styleId="BodyText">
    <w:name w:val="Body Text"/>
    <w:basedOn w:val="Normal"/>
    <w:link w:val="BodyTextChar"/>
    <w:qFormat/>
    <w:rsid w:val="00AF07CF"/>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F07CF"/>
    <w:rPr>
      <w:rFonts w:ascii="Cambria" w:eastAsia="Cambria" w:hAnsi="Cambria"/>
      <w:sz w:val="22"/>
      <w:szCs w:val="22"/>
      <w:lang w:val="x-none" w:eastAsia="en-US"/>
    </w:rPr>
  </w:style>
  <w:style w:type="paragraph" w:customStyle="1" w:styleId="Heading2NoTOC">
    <w:name w:val="Heading 2 No TOC"/>
    <w:basedOn w:val="Heading2"/>
    <w:qFormat/>
    <w:rsid w:val="00AF07CF"/>
    <w:pPr>
      <w:spacing w:after="360"/>
    </w:pPr>
  </w:style>
  <w:style w:type="paragraph" w:customStyle="1" w:styleId="Heading1-TOC">
    <w:name w:val="Heading 1 - TOC"/>
    <w:basedOn w:val="Heading1"/>
    <w:rsid w:val="00AF07CF"/>
  </w:style>
  <w:style w:type="paragraph" w:customStyle="1" w:styleId="PartHeading-TOC">
    <w:name w:val="Part Heading - TOC"/>
    <w:basedOn w:val="PartHeading"/>
    <w:rsid w:val="00AF07CF"/>
  </w:style>
  <w:style w:type="paragraph" w:customStyle="1" w:styleId="Heading4-NoTOC">
    <w:name w:val="Heading 4 - No TOC"/>
    <w:basedOn w:val="Heading4"/>
    <w:rsid w:val="00AF07CF"/>
    <w:pPr>
      <w:outlineLvl w:val="9"/>
    </w:pPr>
  </w:style>
  <w:style w:type="paragraph" w:customStyle="1" w:styleId="PBS16NormalLeft">
    <w:name w:val="PBS16 Normal Left"/>
    <w:basedOn w:val="Normal"/>
    <w:rsid w:val="00AF07CF"/>
    <w:pPr>
      <w:jc w:val="left"/>
    </w:pPr>
  </w:style>
  <w:style w:type="paragraph" w:customStyle="1" w:styleId="PBS16BulletList">
    <w:name w:val="PBS16 Bullet List"/>
    <w:basedOn w:val="Normal"/>
    <w:link w:val="PBS16BulletListChar"/>
    <w:qFormat/>
    <w:rsid w:val="00AF07CF"/>
    <w:pPr>
      <w:numPr>
        <w:numId w:val="38"/>
      </w:numPr>
      <w:spacing w:before="120" w:after="120"/>
      <w:ind w:left="426"/>
    </w:pPr>
  </w:style>
  <w:style w:type="character" w:customStyle="1" w:styleId="PBS16BulletListChar">
    <w:name w:val="PBS16 Bullet List Char"/>
    <w:basedOn w:val="DefaultParagraphFont"/>
    <w:link w:val="PBS16BulletList"/>
    <w:rsid w:val="00AF07CF"/>
    <w:rPr>
      <w:rFonts w:ascii="Book Antiqua" w:hAnsi="Book Antiqua"/>
    </w:rPr>
  </w:style>
  <w:style w:type="paragraph" w:customStyle="1" w:styleId="PBS16PortHeadingCentre">
    <w:name w:val="PBS16 Port Heading Centre"/>
    <w:basedOn w:val="PBS16Port"/>
    <w:next w:val="PBS16Port"/>
    <w:rsid w:val="00AF07CF"/>
    <w:pPr>
      <w:jc w:val="center"/>
    </w:pPr>
    <w:rPr>
      <w:b/>
    </w:rPr>
  </w:style>
  <w:style w:type="paragraph" w:customStyle="1" w:styleId="PBS16Port">
    <w:name w:val="PBS16 Port"/>
    <w:basedOn w:val="SingleParagraph"/>
    <w:rsid w:val="00AF07CF"/>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AF07CF"/>
    <w:pPr>
      <w:jc w:val="center"/>
    </w:pPr>
  </w:style>
  <w:style w:type="paragraph" w:customStyle="1" w:styleId="PBS16Agencies">
    <w:name w:val="PBS16 Agencies"/>
    <w:basedOn w:val="Normal"/>
    <w:rsid w:val="00AF07CF"/>
    <w:pPr>
      <w:spacing w:after="120" w:line="240" w:lineRule="auto"/>
      <w:jc w:val="left"/>
    </w:pPr>
    <w:rPr>
      <w:sz w:val="19"/>
      <w:szCs w:val="19"/>
    </w:rPr>
  </w:style>
  <w:style w:type="paragraph" w:customStyle="1" w:styleId="18PBSPortStrucspacer">
    <w:name w:val="18PBS Port Struc spacer"/>
    <w:basedOn w:val="Normal"/>
    <w:qFormat/>
    <w:rsid w:val="00AF07CF"/>
    <w:pPr>
      <w:spacing w:after="0"/>
    </w:pPr>
  </w:style>
  <w:style w:type="character" w:customStyle="1" w:styleId="PBS16Actsitalics">
    <w:name w:val="PBS16 Acts (italics)"/>
    <w:basedOn w:val="DefaultParagraphFont"/>
    <w:uiPriority w:val="1"/>
    <w:rsid w:val="00AF07CF"/>
    <w:rPr>
      <w:i/>
    </w:rPr>
  </w:style>
  <w:style w:type="paragraph" w:customStyle="1" w:styleId="PBS16Glossary">
    <w:name w:val="PBS16 Glossary"/>
    <w:basedOn w:val="Normal"/>
    <w:rsid w:val="00AF07CF"/>
    <w:pPr>
      <w:spacing w:before="40" w:after="40" w:line="240" w:lineRule="atLeast"/>
      <w:jc w:val="left"/>
    </w:pPr>
    <w:rPr>
      <w:sz w:val="18"/>
      <w:szCs w:val="18"/>
    </w:rPr>
  </w:style>
  <w:style w:type="character" w:customStyle="1" w:styleId="ListParagraphChar">
    <w:name w:val="List Paragraph Char"/>
    <w:aliases w:val="List Paragraph1 Char,Recommendation Char,List Paragraph11 Char,L Char,bullet point list Char,Bullet point Char,List Paragraph Number Char,Bulletr List Paragraph Char,FooterText Char,List Paragraph2 Char,List Paragraph21 Char"/>
    <w:link w:val="ListParagraph"/>
    <w:uiPriority w:val="34"/>
    <w:qFormat/>
    <w:locked/>
    <w:rsid w:val="00AF07CF"/>
    <w:rPr>
      <w:rFonts w:ascii="Calibri" w:eastAsia="Calibri" w:hAnsi="Calibri"/>
      <w:sz w:val="22"/>
      <w:szCs w:val="22"/>
      <w:lang w:val="en-US" w:eastAsia="en-US"/>
    </w:rPr>
  </w:style>
  <w:style w:type="paragraph" w:customStyle="1" w:styleId="PBS16TableNormal">
    <w:name w:val="PBS16 Table Normal"/>
    <w:basedOn w:val="Normal"/>
    <w:link w:val="PBS16TableNormalChar"/>
    <w:rsid w:val="00AF07CF"/>
    <w:pPr>
      <w:spacing w:before="60" w:after="60" w:line="240" w:lineRule="auto"/>
      <w:jc w:val="left"/>
    </w:pPr>
    <w:rPr>
      <w:rFonts w:ascii="Arial" w:hAnsi="Arial" w:cs="Arial"/>
      <w:sz w:val="16"/>
      <w:szCs w:val="16"/>
    </w:rPr>
  </w:style>
  <w:style w:type="paragraph" w:customStyle="1" w:styleId="PBS16TableNormalHeading">
    <w:name w:val="PBS16 Table Normal Heading"/>
    <w:basedOn w:val="PBS16TableNormal"/>
    <w:link w:val="PBS16TableNormalHeadingChar"/>
    <w:rsid w:val="00AF07CF"/>
    <w:rPr>
      <w:b/>
    </w:rPr>
  </w:style>
  <w:style w:type="character" w:customStyle="1" w:styleId="PBS16TableNormalChar">
    <w:name w:val="PBS16 Table Normal Char"/>
    <w:basedOn w:val="DefaultParagraphFont"/>
    <w:link w:val="PBS16TableNormal"/>
    <w:rsid w:val="00AF07CF"/>
    <w:rPr>
      <w:rFonts w:ascii="Arial" w:hAnsi="Arial" w:cs="Arial"/>
      <w:sz w:val="16"/>
      <w:szCs w:val="16"/>
    </w:rPr>
  </w:style>
  <w:style w:type="character" w:customStyle="1" w:styleId="PBS16TableNormalHeadingChar">
    <w:name w:val="PBS16 Table Normal Heading Char"/>
    <w:basedOn w:val="PBS16TableNormalChar"/>
    <w:link w:val="PBS16TableNormalHeading"/>
    <w:rsid w:val="00AF07CF"/>
    <w:rPr>
      <w:rFonts w:ascii="Arial" w:hAnsi="Arial" w:cs="Arial"/>
      <w:b/>
      <w:sz w:val="16"/>
      <w:szCs w:val="16"/>
    </w:rPr>
  </w:style>
  <w:style w:type="paragraph" w:customStyle="1" w:styleId="PBS16TableListBullet">
    <w:name w:val="PBS16 Table List Bullet"/>
    <w:basedOn w:val="PBS18TableBullet"/>
    <w:rsid w:val="00AF07CF"/>
    <w:pPr>
      <w:ind w:left="195"/>
    </w:pPr>
  </w:style>
  <w:style w:type="character" w:customStyle="1" w:styleId="FootnoteTextChar">
    <w:name w:val="Footnote Text Char"/>
    <w:basedOn w:val="DefaultParagraphFont"/>
    <w:link w:val="FootnoteText"/>
    <w:uiPriority w:val="99"/>
    <w:rsid w:val="00AF07CF"/>
    <w:rPr>
      <w:rFonts w:ascii="Book Antiqua" w:hAnsi="Book Antiqua"/>
      <w:sz w:val="18"/>
    </w:rPr>
  </w:style>
  <w:style w:type="paragraph" w:customStyle="1" w:styleId="PBS16TableNormalHeading2">
    <w:name w:val="PBS16 Table Normal Heading 2"/>
    <w:basedOn w:val="Normal"/>
    <w:rsid w:val="00AF07CF"/>
    <w:pPr>
      <w:spacing w:before="60" w:after="60" w:line="240" w:lineRule="auto"/>
      <w:jc w:val="left"/>
    </w:pPr>
    <w:rPr>
      <w:rFonts w:ascii="Arial" w:eastAsiaTheme="minorHAnsi" w:hAnsi="Arial" w:cs="Arial"/>
      <w:sz w:val="16"/>
      <w:szCs w:val="16"/>
      <w:u w:val="single"/>
    </w:rPr>
  </w:style>
  <w:style w:type="paragraph" w:customStyle="1" w:styleId="PBS18TableBullet">
    <w:name w:val="PBS18 Table Bullet"/>
    <w:basedOn w:val="PBS16TableNormal"/>
    <w:qFormat/>
    <w:rsid w:val="00AF07CF"/>
    <w:pPr>
      <w:numPr>
        <w:numId w:val="40"/>
      </w:numPr>
      <w:ind w:left="176" w:hanging="176"/>
    </w:pPr>
  </w:style>
  <w:style w:type="paragraph" w:customStyle="1" w:styleId="PBS16HeaderOdd">
    <w:name w:val="PBS16 Header Odd"/>
    <w:basedOn w:val="Header"/>
    <w:rsid w:val="00AF07CF"/>
    <w:pPr>
      <w:jc w:val="right"/>
    </w:pPr>
    <w:rPr>
      <w:lang w:val="en-AU"/>
    </w:rPr>
  </w:style>
  <w:style w:type="paragraph" w:customStyle="1" w:styleId="PBS16HeaderEven">
    <w:name w:val="PBS16 Header Even"/>
    <w:basedOn w:val="PBS16HeaderOdd"/>
    <w:rsid w:val="00AF07CF"/>
    <w:pPr>
      <w:jc w:val="left"/>
    </w:pPr>
  </w:style>
  <w:style w:type="character" w:customStyle="1" w:styleId="HeaderOddChar">
    <w:name w:val="Header Odd Char"/>
    <w:basedOn w:val="DefaultParagraphFont"/>
    <w:link w:val="HeaderOdd"/>
    <w:rsid w:val="00AF07CF"/>
    <w:rPr>
      <w:rFonts w:ascii="Book Antiqua" w:hAnsi="Book Antiqua"/>
      <w:i/>
    </w:rPr>
  </w:style>
  <w:style w:type="paragraph" w:customStyle="1" w:styleId="Default">
    <w:name w:val="Default"/>
    <w:basedOn w:val="Normal"/>
    <w:rsid w:val="00AF07CF"/>
    <w:pPr>
      <w:autoSpaceDE w:val="0"/>
      <w:autoSpaceDN w:val="0"/>
      <w:spacing w:after="0" w:line="240" w:lineRule="auto"/>
      <w:jc w:val="left"/>
    </w:pPr>
    <w:rPr>
      <w:rFonts w:ascii="Cambria" w:eastAsia="Calibri" w:hAnsi="Cambria"/>
      <w:color w:val="000000"/>
      <w:sz w:val="24"/>
      <w:szCs w:val="24"/>
      <w:lang w:eastAsia="en-US"/>
    </w:rPr>
  </w:style>
  <w:style w:type="character" w:customStyle="1" w:styleId="Heading4Char">
    <w:name w:val="Heading 4 Char"/>
    <w:link w:val="Heading4"/>
    <w:locked/>
    <w:rsid w:val="00AF07CF"/>
    <w:rPr>
      <w:rFonts w:ascii="Arial" w:hAnsi="Arial"/>
      <w:b/>
      <w:sz w:val="22"/>
    </w:rPr>
  </w:style>
  <w:style w:type="paragraph" w:customStyle="1" w:styleId="PBS16TableListBullet2">
    <w:name w:val="PBS16 Table List Bullet 2"/>
    <w:basedOn w:val="PBS16TableNormal"/>
    <w:rsid w:val="00AF07CF"/>
    <w:pPr>
      <w:numPr>
        <w:ilvl w:val="1"/>
        <w:numId w:val="43"/>
      </w:numPr>
      <w:spacing w:after="120"/>
      <w:ind w:left="456" w:hanging="284"/>
      <w:contextualSpacing/>
    </w:pPr>
    <w:rPr>
      <w:rFonts w:eastAsia="Cambria"/>
    </w:rPr>
  </w:style>
  <w:style w:type="paragraph" w:customStyle="1" w:styleId="PBS16BulletList2">
    <w:name w:val="PBS16 Bullet List 2"/>
    <w:basedOn w:val="PBS16BulletList"/>
    <w:rsid w:val="00AF07CF"/>
    <w:pPr>
      <w:numPr>
        <w:numId w:val="44"/>
      </w:numPr>
      <w:ind w:left="709" w:hanging="284"/>
    </w:pPr>
  </w:style>
  <w:style w:type="paragraph" w:customStyle="1" w:styleId="PBS16TableSpacer">
    <w:name w:val="PBS16 Table Spacer"/>
    <w:basedOn w:val="Normal"/>
    <w:rsid w:val="00AF07CF"/>
    <w:pPr>
      <w:shd w:val="clear" w:color="auto" w:fill="FFE599" w:themeFill="accent4" w:themeFillTint="66"/>
      <w:spacing w:after="0" w:line="240" w:lineRule="atLeast"/>
      <w:jc w:val="center"/>
    </w:pPr>
    <w:rPr>
      <w:b/>
      <w:vanish/>
    </w:rPr>
  </w:style>
  <w:style w:type="character" w:customStyle="1" w:styleId="TableColumnHeadingRightChar">
    <w:name w:val="Table Column Heading Right Char"/>
    <w:link w:val="TableColumnHeadingRight"/>
    <w:rsid w:val="00AF07CF"/>
    <w:rPr>
      <w:rFonts w:ascii="Arial" w:hAnsi="Arial"/>
      <w:b/>
    </w:rPr>
  </w:style>
  <w:style w:type="paragraph" w:customStyle="1" w:styleId="Heading3ptafter">
    <w:name w:val="Heading 3 pt after"/>
    <w:basedOn w:val="Heading6"/>
    <w:rsid w:val="00AF07CF"/>
    <w:pPr>
      <w:spacing w:line="260" w:lineRule="exact"/>
    </w:pPr>
    <w:rPr>
      <w:rFonts w:cs="Arial"/>
      <w:i/>
      <w:sz w:val="18"/>
      <w:lang w:val="x-none"/>
    </w:rPr>
  </w:style>
  <w:style w:type="character" w:customStyle="1" w:styleId="Heading6Char">
    <w:name w:val="Heading 6 Char"/>
    <w:link w:val="Heading6"/>
    <w:rsid w:val="00AF07CF"/>
    <w:rPr>
      <w:rFonts w:ascii="Arial" w:hAnsi="Arial"/>
      <w:b/>
      <w:bCs/>
      <w:szCs w:val="22"/>
    </w:rPr>
  </w:style>
  <w:style w:type="character" w:customStyle="1" w:styleId="TitleChar">
    <w:name w:val="Title Char"/>
    <w:link w:val="Title"/>
    <w:rsid w:val="00AF07CF"/>
    <w:rPr>
      <w:rFonts w:ascii="Arial" w:hAnsi="Arial" w:cs="Arial"/>
      <w:b/>
      <w:bCs/>
      <w:smallCaps/>
      <w:kern w:val="28"/>
      <w:sz w:val="52"/>
      <w:szCs w:val="32"/>
    </w:rPr>
  </w:style>
  <w:style w:type="character" w:customStyle="1" w:styleId="Heading1Char">
    <w:name w:val="Heading 1 Char"/>
    <w:link w:val="Heading1"/>
    <w:rsid w:val="00AF07CF"/>
    <w:rPr>
      <w:rFonts w:ascii="Arial" w:hAnsi="Arial"/>
      <w:b/>
      <w:smallCaps/>
      <w:kern w:val="28"/>
      <w:sz w:val="34"/>
    </w:rPr>
  </w:style>
  <w:style w:type="character" w:customStyle="1" w:styleId="Heading2Char">
    <w:name w:val="Heading 2 Char"/>
    <w:link w:val="Heading2"/>
    <w:rsid w:val="00AF07CF"/>
    <w:rPr>
      <w:rFonts w:ascii="Arial" w:hAnsi="Arial"/>
      <w:sz w:val="30"/>
    </w:rPr>
  </w:style>
  <w:style w:type="character" w:customStyle="1" w:styleId="Heading5Char">
    <w:name w:val="Heading 5 Char"/>
    <w:link w:val="Heading5"/>
    <w:rsid w:val="00AF07CF"/>
    <w:rPr>
      <w:rFonts w:ascii="Arial" w:hAnsi="Arial"/>
      <w:b/>
      <w:bCs/>
      <w:iCs/>
      <w:szCs w:val="26"/>
    </w:rPr>
  </w:style>
  <w:style w:type="paragraph" w:customStyle="1" w:styleId="SinglePara">
    <w:name w:val="Single Para"/>
    <w:basedOn w:val="Normal"/>
    <w:rsid w:val="00AF07CF"/>
    <w:pPr>
      <w:spacing w:after="0"/>
      <w:jc w:val="left"/>
    </w:pPr>
  </w:style>
  <w:style w:type="paragraph" w:customStyle="1" w:styleId="Tabletextjustified0">
    <w:name w:val="Table text justified"/>
    <w:basedOn w:val="Normal"/>
    <w:semiHidden/>
    <w:rsid w:val="00AF07CF"/>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F07CF"/>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F07CF"/>
    <w:pPr>
      <w:spacing w:before="100" w:after="100" w:line="250" w:lineRule="exact"/>
    </w:pPr>
  </w:style>
  <w:style w:type="character" w:customStyle="1" w:styleId="OverviewParagraphChar">
    <w:name w:val="Overview Paragraph Char"/>
    <w:link w:val="OverviewParagraph"/>
    <w:semiHidden/>
    <w:rsid w:val="00AF07CF"/>
    <w:rPr>
      <w:rFonts w:ascii="Book Antiqua" w:hAnsi="Book Antiqua"/>
    </w:rPr>
  </w:style>
  <w:style w:type="paragraph" w:customStyle="1" w:styleId="Area">
    <w:name w:val="Area"/>
    <w:basedOn w:val="Normal"/>
    <w:rsid w:val="00AF07CF"/>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F07CF"/>
    <w:pPr>
      <w:tabs>
        <w:tab w:val="right" w:pos="9639"/>
      </w:tabs>
      <w:spacing w:before="240" w:after="120"/>
      <w:jc w:val="right"/>
    </w:pPr>
    <w:rPr>
      <w:rFonts w:ascii="Times" w:hAnsi="Times"/>
      <w:b/>
      <w:i w:val="0"/>
      <w:caps/>
      <w:sz w:val="16"/>
      <w:szCs w:val="16"/>
      <w:lang w:eastAsia="en-AU"/>
    </w:rPr>
  </w:style>
  <w:style w:type="character" w:customStyle="1" w:styleId="BalloonTextChar">
    <w:name w:val="Balloon Text Char"/>
    <w:link w:val="BalloonText"/>
    <w:uiPriority w:val="99"/>
    <w:semiHidden/>
    <w:rsid w:val="00AF07CF"/>
    <w:rPr>
      <w:rFonts w:ascii="Tahoma" w:hAnsi="Tahoma" w:cs="Tahoma"/>
      <w:sz w:val="16"/>
      <w:szCs w:val="16"/>
    </w:rPr>
  </w:style>
  <w:style w:type="paragraph" w:customStyle="1" w:styleId="Outcomeheading">
    <w:name w:val="Outcome heading"/>
    <w:basedOn w:val="Heading3"/>
    <w:qFormat/>
    <w:rsid w:val="00AF07CF"/>
    <w:rPr>
      <w:lang w:val="x-none"/>
    </w:rPr>
  </w:style>
  <w:style w:type="paragraph" w:customStyle="1" w:styleId="ChartandTableFootnotenumbered">
    <w:name w:val="Chart and Table Footnote numbered"/>
    <w:basedOn w:val="Normal"/>
    <w:next w:val="Normal"/>
    <w:rsid w:val="00AF07CF"/>
    <w:pPr>
      <w:keepNext/>
      <w:spacing w:after="0"/>
    </w:pPr>
    <w:rPr>
      <w:rFonts w:ascii="Arial" w:hAnsi="Arial"/>
      <w:sz w:val="16"/>
    </w:rPr>
  </w:style>
  <w:style w:type="character" w:customStyle="1" w:styleId="DashChar">
    <w:name w:val="Dash Char"/>
    <w:link w:val="Dash"/>
    <w:rsid w:val="00AF07CF"/>
    <w:rPr>
      <w:rFonts w:ascii="Book Antiqua" w:hAnsi="Book Antiqua"/>
    </w:rPr>
  </w:style>
  <w:style w:type="character" w:customStyle="1" w:styleId="DoubleDotChar">
    <w:name w:val="Double Dot Char"/>
    <w:link w:val="DoubleDot"/>
    <w:rsid w:val="00AF07CF"/>
    <w:rPr>
      <w:rFonts w:ascii="Book Antiqua" w:hAnsi="Book Antiqua"/>
    </w:rPr>
  </w:style>
  <w:style w:type="character" w:customStyle="1" w:styleId="CommentSubjectChar">
    <w:name w:val="Comment Subject Char"/>
    <w:link w:val="CommentSubject"/>
    <w:uiPriority w:val="99"/>
    <w:semiHidden/>
    <w:rsid w:val="00AF07CF"/>
    <w:rPr>
      <w:rFonts w:ascii="Book Antiqua" w:hAnsi="Book Antiqua"/>
      <w:b/>
      <w:bCs/>
      <w:lang w:val="x-none" w:eastAsia="x-none"/>
    </w:rPr>
  </w:style>
  <w:style w:type="paragraph" w:customStyle="1" w:styleId="Pa5">
    <w:name w:val="Pa5"/>
    <w:basedOn w:val="Default"/>
    <w:next w:val="Default"/>
    <w:uiPriority w:val="99"/>
    <w:rsid w:val="00AF07CF"/>
    <w:pPr>
      <w:adjustRightInd w:val="0"/>
      <w:spacing w:line="201" w:lineRule="atLeast"/>
    </w:pPr>
    <w:rPr>
      <w:rFonts w:ascii="News Gothic Com Light" w:eastAsia="Times New Roman" w:hAnsi="News Gothic Com Light"/>
      <w:color w:val="auto"/>
      <w:lang w:eastAsia="en-AU"/>
    </w:rPr>
  </w:style>
  <w:style w:type="character" w:customStyle="1" w:styleId="PBS16Measure">
    <w:name w:val="PBS16 Measure"/>
    <w:basedOn w:val="DefaultParagraphFont"/>
    <w:uiPriority w:val="1"/>
    <w:rsid w:val="00AF07CF"/>
    <w:rPr>
      <w:i/>
      <w:u w:val="single"/>
    </w:rPr>
  </w:style>
  <w:style w:type="paragraph" w:customStyle="1" w:styleId="PBS16TableOutcomeText">
    <w:name w:val="PBS16 Table Outcome Text"/>
    <w:basedOn w:val="Normal"/>
    <w:link w:val="PBS16TableOutcomeTextChar"/>
    <w:rsid w:val="00AF07CF"/>
    <w:pPr>
      <w:spacing w:before="60" w:after="60" w:line="240" w:lineRule="auto"/>
      <w:jc w:val="left"/>
    </w:pPr>
    <w:rPr>
      <w:rFonts w:ascii="Arial" w:hAnsi="Arial" w:cs="Arial"/>
    </w:rPr>
  </w:style>
  <w:style w:type="paragraph" w:customStyle="1" w:styleId="PBS16TableOutcomeHeading">
    <w:name w:val="PBS16 Table Outcome Heading"/>
    <w:basedOn w:val="PBS16TableOutcomeText"/>
    <w:link w:val="PBS16TableOutcomeHeadingChar"/>
    <w:rsid w:val="00AF07CF"/>
    <w:pPr>
      <w:keepNext/>
    </w:pPr>
    <w:rPr>
      <w:b/>
    </w:rPr>
  </w:style>
  <w:style w:type="character" w:customStyle="1" w:styleId="PBS16TableOutcomeTextChar">
    <w:name w:val="PBS16 Table Outcome Text Char"/>
    <w:basedOn w:val="DefaultParagraphFont"/>
    <w:link w:val="PBS16TableOutcomeText"/>
    <w:rsid w:val="00AF07CF"/>
    <w:rPr>
      <w:rFonts w:ascii="Arial" w:hAnsi="Arial" w:cs="Arial"/>
    </w:rPr>
  </w:style>
  <w:style w:type="character" w:customStyle="1" w:styleId="PBS16TableOutcomeHeadingChar">
    <w:name w:val="PBS16 Table Outcome Heading Char"/>
    <w:basedOn w:val="PBS16TableOutcomeTextChar"/>
    <w:link w:val="PBS16TableOutcomeHeading"/>
    <w:rsid w:val="00AF07CF"/>
    <w:rPr>
      <w:rFonts w:ascii="Arial" w:hAnsi="Arial" w:cs="Arial"/>
      <w:b/>
    </w:rPr>
  </w:style>
  <w:style w:type="paragraph" w:customStyle="1" w:styleId="PBS16indentedlist">
    <w:name w:val="PBS16 indented list"/>
    <w:rsid w:val="00AF07CF"/>
    <w:pPr>
      <w:tabs>
        <w:tab w:val="left" w:pos="2268"/>
      </w:tabs>
      <w:spacing w:after="240" w:line="260" w:lineRule="exact"/>
      <w:ind w:left="567"/>
    </w:pPr>
    <w:rPr>
      <w:rFonts w:ascii="Book Antiqua" w:hAnsi="Book Antiqua"/>
    </w:rPr>
  </w:style>
  <w:style w:type="character" w:customStyle="1" w:styleId="DocumentMapChar">
    <w:name w:val="Document Map Char"/>
    <w:basedOn w:val="DefaultParagraphFont"/>
    <w:link w:val="DocumentMap"/>
    <w:semiHidden/>
    <w:rsid w:val="00AF07CF"/>
    <w:rPr>
      <w:rFonts w:ascii="Tahoma" w:hAnsi="Tahoma" w:cs="Tahoma"/>
      <w:shd w:val="clear" w:color="auto" w:fill="000080"/>
    </w:rPr>
  </w:style>
  <w:style w:type="character" w:customStyle="1" w:styleId="EndnoteTextChar">
    <w:name w:val="Endnote Text Char"/>
    <w:basedOn w:val="DefaultParagraphFont"/>
    <w:link w:val="EndnoteText"/>
    <w:semiHidden/>
    <w:rsid w:val="00AF07CF"/>
    <w:rPr>
      <w:rFonts w:ascii="Book Antiqua" w:hAnsi="Book Antiqua"/>
    </w:rPr>
  </w:style>
  <w:style w:type="character" w:customStyle="1" w:styleId="Heading7Char">
    <w:name w:val="Heading 7 Char"/>
    <w:basedOn w:val="DefaultParagraphFont"/>
    <w:link w:val="Heading7"/>
    <w:rsid w:val="00AF07CF"/>
    <w:rPr>
      <w:rFonts w:ascii="Arial" w:hAnsi="Arial"/>
      <w:b/>
      <w:bCs/>
      <w:szCs w:val="22"/>
    </w:rPr>
  </w:style>
  <w:style w:type="character" w:customStyle="1" w:styleId="Heading8Char">
    <w:name w:val="Heading 8 Char"/>
    <w:basedOn w:val="DefaultParagraphFont"/>
    <w:link w:val="Heading8"/>
    <w:rsid w:val="00AF07CF"/>
    <w:rPr>
      <w:i/>
      <w:iCs/>
      <w:sz w:val="16"/>
      <w:szCs w:val="24"/>
    </w:rPr>
  </w:style>
  <w:style w:type="character" w:customStyle="1" w:styleId="MacroTextChar">
    <w:name w:val="Macro Text Char"/>
    <w:basedOn w:val="DefaultParagraphFont"/>
    <w:link w:val="MacroText"/>
    <w:semiHidden/>
    <w:rsid w:val="00AF07CF"/>
    <w:rPr>
      <w:rFonts w:ascii="Courier New" w:hAnsi="Courier New" w:cs="Courier New"/>
    </w:rPr>
  </w:style>
  <w:style w:type="paragraph" w:customStyle="1" w:styleId="PBS17LinkedProgbullet">
    <w:name w:val="PBS17 Linked Prog bullet"/>
    <w:basedOn w:val="PBS16TableListBullet"/>
    <w:qFormat/>
    <w:rsid w:val="00AF07CF"/>
  </w:style>
  <w:style w:type="paragraph" w:customStyle="1" w:styleId="PBS17LinkedProgHeading">
    <w:name w:val="PBS17 Linked Prog Heading"/>
    <w:basedOn w:val="Normal"/>
    <w:qFormat/>
    <w:rsid w:val="00AF07CF"/>
    <w:pPr>
      <w:keepNext/>
      <w:spacing w:before="60" w:after="60" w:line="240" w:lineRule="exact"/>
    </w:pPr>
    <w:rPr>
      <w:rFonts w:ascii="Arial" w:hAnsi="Arial" w:cs="Arial"/>
      <w:b/>
      <w:sz w:val="16"/>
      <w:szCs w:val="16"/>
    </w:rPr>
  </w:style>
  <w:style w:type="paragraph" w:customStyle="1" w:styleId="PBS17LinkedProgHeading2">
    <w:name w:val="PBS17 Linked Prog Heading 2"/>
    <w:basedOn w:val="PBS17LinkedProgHeading"/>
    <w:qFormat/>
    <w:rsid w:val="00AF07CF"/>
    <w:pPr>
      <w:keepNext w:val="0"/>
    </w:pPr>
  </w:style>
  <w:style w:type="paragraph" w:customStyle="1" w:styleId="PBS17LinkedProgNormal">
    <w:name w:val="PBS17 Linked Prog Normal"/>
    <w:basedOn w:val="Normal"/>
    <w:qFormat/>
    <w:rsid w:val="00AF07CF"/>
    <w:pPr>
      <w:spacing w:before="60" w:after="60" w:line="240" w:lineRule="exact"/>
    </w:pPr>
    <w:rPr>
      <w:rFonts w:ascii="Arial" w:hAnsi="Arial" w:cs="Arial"/>
      <w:sz w:val="16"/>
      <w:szCs w:val="16"/>
    </w:rPr>
  </w:style>
  <w:style w:type="paragraph" w:customStyle="1" w:styleId="PBS16TableNormalHeadingRight">
    <w:name w:val="PBS16 Table Normal Heading Right"/>
    <w:basedOn w:val="PBS16TableNormalHeading"/>
    <w:qFormat/>
    <w:rsid w:val="00AF07CF"/>
    <w:pPr>
      <w:jc w:val="right"/>
    </w:pPr>
  </w:style>
  <w:style w:type="paragraph" w:customStyle="1" w:styleId="PBS16TableNormalRight">
    <w:name w:val="PBS16 Table Normal Right"/>
    <w:basedOn w:val="PBS16TableNormal"/>
    <w:qFormat/>
    <w:rsid w:val="00AF07CF"/>
    <w:pPr>
      <w:jc w:val="right"/>
    </w:pPr>
  </w:style>
  <w:style w:type="paragraph" w:customStyle="1" w:styleId="PBS16TableLetterBullets">
    <w:name w:val="PBS16 Table Letter Bullets"/>
    <w:basedOn w:val="PBS16TableNormal"/>
    <w:qFormat/>
    <w:rsid w:val="00AF07CF"/>
    <w:pPr>
      <w:numPr>
        <w:numId w:val="45"/>
      </w:numPr>
      <w:ind w:left="245" w:hanging="284"/>
    </w:pPr>
  </w:style>
  <w:style w:type="character" w:customStyle="1" w:styleId="lexicon-term">
    <w:name w:val="lexicon-term"/>
    <w:basedOn w:val="DefaultParagraphFont"/>
    <w:rsid w:val="00AF07CF"/>
    <w:rPr>
      <w:strike w:val="0"/>
      <w:dstrike w:val="0"/>
      <w:u w:val="none"/>
      <w:effect w:val="none"/>
    </w:rPr>
  </w:style>
  <w:style w:type="paragraph" w:customStyle="1" w:styleId="CABNETParagraphAtt">
    <w:name w:val="CABNET Paragraph Att"/>
    <w:basedOn w:val="Normal"/>
    <w:link w:val="CABNETParagraphAttChar"/>
    <w:qFormat/>
    <w:rsid w:val="00AF07CF"/>
    <w:pPr>
      <w:spacing w:before="60" w:after="60" w:line="240" w:lineRule="auto"/>
      <w:jc w:val="left"/>
    </w:pPr>
    <w:rPr>
      <w:rFonts w:ascii="Arial" w:eastAsiaTheme="minorHAnsi" w:hAnsi="Arial" w:cstheme="minorHAnsi"/>
      <w:sz w:val="22"/>
      <w:szCs w:val="22"/>
      <w:lang w:eastAsia="en-US"/>
    </w:rPr>
  </w:style>
  <w:style w:type="character" w:customStyle="1" w:styleId="CABNETParagraphAttChar">
    <w:name w:val="CABNET Paragraph Att Char"/>
    <w:basedOn w:val="DefaultParagraphFont"/>
    <w:link w:val="CABNETParagraphAtt"/>
    <w:rsid w:val="00AF07CF"/>
    <w:rPr>
      <w:rFonts w:ascii="Arial" w:eastAsiaTheme="minorHAnsi" w:hAnsi="Arial" w:cstheme="minorHAnsi"/>
      <w:sz w:val="22"/>
      <w:szCs w:val="22"/>
      <w:lang w:eastAsia="en-US"/>
    </w:rPr>
  </w:style>
  <w:style w:type="character" w:customStyle="1" w:styleId="TextChar">
    <w:name w:val="Text Char"/>
    <w:basedOn w:val="DefaultParagraphFont"/>
    <w:link w:val="Text"/>
    <w:locked/>
    <w:rsid w:val="00AF07CF"/>
  </w:style>
  <w:style w:type="paragraph" w:customStyle="1" w:styleId="Text">
    <w:name w:val="Text"/>
    <w:basedOn w:val="Normal"/>
    <w:link w:val="TextChar"/>
    <w:rsid w:val="00AF07CF"/>
    <w:pPr>
      <w:spacing w:after="0" w:line="240" w:lineRule="auto"/>
      <w:jc w:val="left"/>
    </w:pPr>
    <w:rPr>
      <w:rFonts w:ascii="Times New Roman" w:hAnsi="Times New Roman"/>
    </w:rPr>
  </w:style>
  <w:style w:type="paragraph" w:customStyle="1" w:styleId="PAESMeasureindentedtext">
    <w:name w:val="PAES Measure indented text"/>
    <w:basedOn w:val="Normal"/>
    <w:qFormat/>
    <w:rsid w:val="00AF07CF"/>
    <w:pPr>
      <w:numPr>
        <w:numId w:val="46"/>
      </w:numPr>
    </w:pPr>
  </w:style>
  <w:style w:type="paragraph" w:customStyle="1" w:styleId="PBSPerformancetablespace">
    <w:name w:val="PBS Performance table space"/>
    <w:basedOn w:val="Normal"/>
    <w:qFormat/>
    <w:rsid w:val="00AF07CF"/>
    <w:pPr>
      <w:spacing w:after="0" w:line="200" w:lineRule="exact"/>
    </w:pPr>
    <w:rPr>
      <w:sz w:val="16"/>
    </w:rPr>
  </w:style>
  <w:style w:type="paragraph" w:customStyle="1" w:styleId="PBSbudgetlogo">
    <w:name w:val="PBS budget logo"/>
    <w:qFormat/>
    <w:rsid w:val="007C6BA1"/>
    <w:pPr>
      <w:jc w:val="center"/>
    </w:pPr>
    <w:rPr>
      <w:rFonts w:ascii="Arial" w:hAnsi="Arial"/>
      <w:noProof/>
    </w:rPr>
  </w:style>
  <w:style w:type="paragraph" w:customStyle="1" w:styleId="PBSTableNormalJustified">
    <w:name w:val="PBS Table Normal Justified"/>
    <w:basedOn w:val="PBS16TableNormal"/>
    <w:qFormat/>
    <w:rsid w:val="00FA1EB1"/>
    <w:pPr>
      <w:jc w:val="both"/>
    </w:pPr>
  </w:style>
  <w:style w:type="paragraph" w:customStyle="1" w:styleId="ChartandTableFootnotenotab">
    <w:name w:val="Chart and Table Footnote (no tab)"/>
    <w:basedOn w:val="ChartandTableFootnote"/>
    <w:qFormat/>
    <w:rsid w:val="00FA1EB1"/>
    <w:pPr>
      <w:ind w:left="0" w:firstLine="1"/>
    </w:pPr>
  </w:style>
  <w:style w:type="paragraph" w:customStyle="1" w:styleId="MediumGrid21">
    <w:name w:val="Medium Grid 21"/>
    <w:uiPriority w:val="1"/>
    <w:qFormat/>
    <w:rsid w:val="00FA1EB1"/>
    <w:pPr>
      <w:jc w:val="both"/>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271019">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9271187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0173102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039456">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7.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rc.gov.au/annual-reports" TargetMode="External"/><Relationship Id="rId34"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image" Target="media/image6.emf"/><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arc.gov.au/corporate-plan" TargetMode="Externa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image" Target="media/image1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Url xmlns="eb47d8b7-fefc-4923-b53c-9685ba6b7210">
      <Url>http://tweb/sites/cssg/ped/pu/pt/_layouts/15/DocIdRedir.aspx?ID=2018CSSG-528562461-194</Url>
      <Description>2018CSSG-528562461-194</Description>
    </_dlc_DocIdUrl>
    <_dlc_DocId xmlns="eb47d8b7-fefc-4923-b53c-9685ba6b7210">2018CSSG-528562461-194</_dlc_DocId>
  </documentManagement>
</p:properties>
</file>

<file path=customXml/item2.xml><?xml version="1.0" encoding="utf-8"?>
<LongProperties xmlns="http://schemas.microsoft.com/office/2006/metadata/long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9248" ma:contentTypeDescription="" ma:contentTypeScope="" ma:versionID="a80e9b67aa428b55b13566229794d4f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26A9D-3E56-4969-B8C1-16BA09C4C4BE}"/>
</file>

<file path=customXml/itemProps2.xml><?xml version="1.0" encoding="utf-8"?>
<ds:datastoreItem xmlns:ds="http://schemas.openxmlformats.org/officeDocument/2006/customXml" ds:itemID="{9E88E723-AF2D-4232-B5FF-594031DF8EFF}"/>
</file>

<file path=customXml/itemProps3.xml><?xml version="1.0" encoding="utf-8"?>
<ds:datastoreItem xmlns:ds="http://schemas.openxmlformats.org/officeDocument/2006/customXml" ds:itemID="{51020D68-5EAE-4E18-9F29-D13EAD099859}"/>
</file>

<file path=customXml/itemProps4.xml><?xml version="1.0" encoding="utf-8"?>
<ds:datastoreItem xmlns:ds="http://schemas.openxmlformats.org/officeDocument/2006/customXml" ds:itemID="{D964E8D8-6041-44AC-91FB-C0440C5B0DDE}"/>
</file>

<file path=customXml/itemProps5.xml><?xml version="1.0" encoding="utf-8"?>
<ds:datastoreItem xmlns:ds="http://schemas.openxmlformats.org/officeDocument/2006/customXml" ds:itemID="{AC377276-3E59-4A23-9383-C269F4925617}"/>
</file>

<file path=customXml/itemProps6.xml><?xml version="1.0" encoding="utf-8"?>
<ds:datastoreItem xmlns:ds="http://schemas.openxmlformats.org/officeDocument/2006/customXml" ds:itemID="{F3F5838B-9058-46E1-A341-9D9BF3B9EB86}"/>
</file>

<file path=customXml/itemProps7.xml><?xml version="1.0" encoding="utf-8"?>
<ds:datastoreItem xmlns:ds="http://schemas.openxmlformats.org/officeDocument/2006/customXml" ds:itemID="{01EB1CDF-44BD-4C62-9EC0-4479457FD045}"/>
</file>

<file path=docProps/app.xml><?xml version="1.0" encoding="utf-8"?>
<Properties xmlns="http://schemas.openxmlformats.org/officeDocument/2006/extended-properties" xmlns:vt="http://schemas.openxmlformats.org/officeDocument/2006/docPropsVTypes">
  <Template>8F33519C.dotm</Template>
  <TotalTime>771</TotalTime>
  <Pages>27</Pages>
  <Words>3658</Words>
  <Characters>23269</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Portfolio Budget Statements 2018-19</vt:lpstr>
    </vt:vector>
  </TitlesOfParts>
  <Company>Australian Government - The Treasury</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2018-19</dc:title>
  <dc:subject>Portfolio Budget Statements 2018-19</dc:subject>
  <dc:creator>Education and Training Portfolio</dc:creator>
  <cp:keywords>PBS;Budget;Education;Training</cp:keywords>
  <cp:lastModifiedBy>VINE,Colin</cp:lastModifiedBy>
  <cp:revision>122</cp:revision>
  <cp:lastPrinted>2018-05-07T02:58:00Z</cp:lastPrinted>
  <dcterms:created xsi:type="dcterms:W3CDTF">2018-03-13T05:02:00Z</dcterms:created>
  <dcterms:modified xsi:type="dcterms:W3CDTF">2018-05-07T03:39:00Z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0x010100605AAC981168BE40A9BD548B81A50DF6006EB3B15072AC1D409928D75C61018CC2</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{80ce654a-8b7a-4b78-844a-49e3b16f0e37}</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2018-02-21T12:08:37.1490822+11:00</vt:lpwstr>
  </property>
  <property fmtid="{D5CDD505-2E9C-101B-9397-08002B2CF9AE}" pid="20" name="RecordPoint_RecordNumberSubmitted">
    <vt:lpwstr>R0001595973</vt:lpwstr>
  </property>
</Properties>
</file>