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DET"/>
      <w:r w:rsidRPr="008B2270">
        <w:t>Department of Education and Training</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bookmarkStart w:id="1" w:name="_Toc508895981"/>
      <w:r w:rsidRPr="008B2270">
        <w:t>Entity resources and planned performance</w:t>
      </w:r>
      <w:bookmarkEnd w:id="1"/>
    </w:p>
    <w:p w:rsidR="00CE3F03" w:rsidRPr="008B2270" w:rsidRDefault="00CE3F03" w:rsidP="005A7C0B">
      <w:pPr>
        <w:pStyle w:val="PartHeading"/>
        <w:sectPr w:rsidR="00CE3F03" w:rsidRPr="008B2270" w:rsidSect="0093172C">
          <w:footerReference w:type="even" r:id="rId14"/>
          <w:footerReference w:type="default" r:id="rId15"/>
          <w:type w:val="oddPage"/>
          <w:pgSz w:w="11906" w:h="16838" w:code="9"/>
          <w:pgMar w:top="2466" w:right="2098" w:bottom="2466" w:left="2098" w:header="1899" w:footer="1899" w:gutter="0"/>
          <w:cols w:space="708"/>
          <w:titlePg/>
          <w:docGrid w:linePitch="360"/>
        </w:sectPr>
      </w:pPr>
    </w:p>
    <w:p w:rsidR="00CE3F03" w:rsidRPr="008B2270" w:rsidRDefault="00CE3F03" w:rsidP="002A32FD">
      <w:pPr>
        <w:pStyle w:val="ContentsHeading"/>
      </w:pPr>
      <w:r w:rsidRPr="008B2270">
        <w:lastRenderedPageBreak/>
        <w:t>Department of Education and Training</w:t>
      </w:r>
    </w:p>
    <w:p w:rsidR="00CE3F03" w:rsidRPr="008B2270" w:rsidRDefault="001813B5" w:rsidP="0066473B">
      <w:pPr>
        <w:pStyle w:val="TOC1"/>
      </w:pPr>
      <w:r w:rsidRPr="008B2270">
        <w:t>Section 1: Entity overview and resources</w:t>
      </w:r>
      <w:r w:rsidR="00CE3F03" w:rsidRPr="008B2270">
        <w:tab/>
      </w:r>
      <w:r w:rsidR="00CE3F03" w:rsidRPr="008B2270">
        <w:fldChar w:fldCharType="begin"/>
      </w:r>
      <w:r w:rsidR="00CE3F03" w:rsidRPr="008B2270">
        <w:instrText xml:space="preserve"> PAGEREF DET_1_0 \h </w:instrText>
      </w:r>
      <w:r w:rsidR="00CE3F03" w:rsidRPr="008B2270">
        <w:fldChar w:fldCharType="separate"/>
      </w:r>
      <w:r w:rsidR="00E775E3">
        <w:rPr>
          <w:noProof/>
        </w:rPr>
        <w:t>10</w:t>
      </w:r>
      <w:r w:rsidR="00CE3F03" w:rsidRPr="008B2270">
        <w:fldChar w:fldCharType="end"/>
      </w:r>
    </w:p>
    <w:p w:rsidR="00CE3F03" w:rsidRPr="008B2270" w:rsidRDefault="001813B5" w:rsidP="00594C84">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DET_1_1 \h </w:instrText>
      </w:r>
      <w:r w:rsidR="00CE3F03" w:rsidRPr="008B2270">
        <w:fldChar w:fldCharType="separate"/>
      </w:r>
      <w:r w:rsidR="00E775E3">
        <w:rPr>
          <w:noProof/>
        </w:rPr>
        <w:t>10</w:t>
      </w:r>
      <w:r w:rsidR="00CE3F03" w:rsidRPr="008B2270">
        <w:fldChar w:fldCharType="end"/>
      </w:r>
    </w:p>
    <w:p w:rsidR="00CE3F03" w:rsidRPr="008B2270" w:rsidRDefault="001813B5" w:rsidP="00594C84">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DET_1_2 \h </w:instrText>
      </w:r>
      <w:r w:rsidR="00CE3F03" w:rsidRPr="008B2270">
        <w:fldChar w:fldCharType="separate"/>
      </w:r>
      <w:r w:rsidR="00E775E3">
        <w:rPr>
          <w:noProof/>
        </w:rPr>
        <w:t>14</w:t>
      </w:r>
      <w:r w:rsidR="00CE3F03" w:rsidRPr="008B2270">
        <w:fldChar w:fldCharType="end"/>
      </w:r>
    </w:p>
    <w:p w:rsidR="00CE3F03" w:rsidRPr="008B2270" w:rsidRDefault="001813B5" w:rsidP="00594C84">
      <w:pPr>
        <w:pStyle w:val="TOC2"/>
      </w:pPr>
      <w:r w:rsidRPr="008B2270">
        <w:t>1.3</w:t>
      </w:r>
      <w:r w:rsidRPr="008B2270">
        <w:tab/>
        <w:t>Budget measures</w:t>
      </w:r>
      <w:r w:rsidR="00CE3F03" w:rsidRPr="008B2270">
        <w:tab/>
      </w:r>
      <w:r w:rsidR="00CE3F03" w:rsidRPr="008B2270">
        <w:fldChar w:fldCharType="begin"/>
      </w:r>
      <w:r w:rsidR="00CE3F03" w:rsidRPr="008B2270">
        <w:instrText xml:space="preserve"> PAGEREF DET_1_3 \h </w:instrText>
      </w:r>
      <w:r w:rsidR="00CE3F03" w:rsidRPr="008B2270">
        <w:fldChar w:fldCharType="separate"/>
      </w:r>
      <w:r w:rsidR="00E775E3">
        <w:rPr>
          <w:noProof/>
        </w:rPr>
        <w:t>17</w:t>
      </w:r>
      <w:r w:rsidR="00CE3F03" w:rsidRPr="008B2270">
        <w:fldChar w:fldCharType="end"/>
      </w:r>
    </w:p>
    <w:p w:rsidR="00CE3F03" w:rsidRPr="008B2270" w:rsidRDefault="001813B5" w:rsidP="0066473B">
      <w:pPr>
        <w:pStyle w:val="TOC1"/>
      </w:pPr>
      <w:r w:rsidRPr="008B2270">
        <w:t>Section 2: Outcomes and planned performance</w:t>
      </w:r>
      <w:r w:rsidR="00CE3F03" w:rsidRPr="008B2270">
        <w:tab/>
      </w:r>
      <w:r w:rsidR="00CE3F03" w:rsidRPr="008B2270">
        <w:fldChar w:fldCharType="begin"/>
      </w:r>
      <w:r w:rsidR="00CE3F03" w:rsidRPr="008B2270">
        <w:instrText xml:space="preserve"> PAGEREF DET_2_0 \h </w:instrText>
      </w:r>
      <w:r w:rsidR="00CE3F03" w:rsidRPr="008B2270">
        <w:fldChar w:fldCharType="separate"/>
      </w:r>
      <w:r w:rsidR="00E775E3">
        <w:rPr>
          <w:noProof/>
        </w:rPr>
        <w:t>20</w:t>
      </w:r>
      <w:r w:rsidR="00CE3F03" w:rsidRPr="008B2270">
        <w:fldChar w:fldCharType="end"/>
      </w:r>
    </w:p>
    <w:p w:rsidR="00CE3F03" w:rsidRPr="008B2270" w:rsidRDefault="001813B5" w:rsidP="00594C84">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DET_2_1 \h </w:instrText>
      </w:r>
      <w:r w:rsidR="00CE3F03" w:rsidRPr="008B2270">
        <w:fldChar w:fldCharType="separate"/>
      </w:r>
      <w:r w:rsidR="00E775E3">
        <w:rPr>
          <w:noProof/>
        </w:rPr>
        <w:t>22</w:t>
      </w:r>
      <w:r w:rsidR="00CE3F03" w:rsidRPr="008B2270">
        <w:fldChar w:fldCharType="end"/>
      </w:r>
    </w:p>
    <w:p w:rsidR="00CE3F03" w:rsidRPr="008B2270" w:rsidRDefault="001813B5" w:rsidP="00594C84">
      <w:pPr>
        <w:pStyle w:val="TOC2"/>
      </w:pPr>
      <w:r w:rsidRPr="008B2270">
        <w:t xml:space="preserve">2.2 </w:t>
      </w:r>
      <w:r w:rsidRPr="008B2270">
        <w:tab/>
        <w:t>Budgeted expenses and performance for Outcome 2</w:t>
      </w:r>
      <w:r w:rsidR="00CE3F03" w:rsidRPr="008B2270">
        <w:tab/>
      </w:r>
      <w:r w:rsidR="00CE3F03" w:rsidRPr="008B2270">
        <w:fldChar w:fldCharType="begin"/>
      </w:r>
      <w:r w:rsidR="00CE3F03" w:rsidRPr="008B2270">
        <w:instrText xml:space="preserve"> PAGEREF DET_2_2 \h </w:instrText>
      </w:r>
      <w:r w:rsidR="00CE3F03" w:rsidRPr="008B2270">
        <w:fldChar w:fldCharType="separate"/>
      </w:r>
      <w:r w:rsidR="00E775E3">
        <w:rPr>
          <w:noProof/>
        </w:rPr>
        <w:t>35</w:t>
      </w:r>
      <w:r w:rsidR="00CE3F03" w:rsidRPr="008B2270">
        <w:fldChar w:fldCharType="end"/>
      </w:r>
    </w:p>
    <w:p w:rsidR="00CE3F03" w:rsidRPr="008B2270" w:rsidRDefault="001813B5" w:rsidP="0066473B">
      <w:pPr>
        <w:pStyle w:val="TOC1"/>
      </w:pPr>
      <w:r w:rsidRPr="008B2270">
        <w:t>Section 3: Budgeted financial statements</w:t>
      </w:r>
      <w:r w:rsidR="00CE3F03" w:rsidRPr="008B2270">
        <w:tab/>
      </w:r>
      <w:r w:rsidR="00CE3F03" w:rsidRPr="008B2270">
        <w:fldChar w:fldCharType="begin"/>
      </w:r>
      <w:r w:rsidR="00CE3F03" w:rsidRPr="008B2270">
        <w:instrText xml:space="preserve"> PAGEREF DET_3_0 \h </w:instrText>
      </w:r>
      <w:r w:rsidR="00CE3F03" w:rsidRPr="008B2270">
        <w:fldChar w:fldCharType="separate"/>
      </w:r>
      <w:r w:rsidR="00E775E3">
        <w:rPr>
          <w:noProof/>
        </w:rPr>
        <w:t>58</w:t>
      </w:r>
      <w:r w:rsidR="00CE3F03" w:rsidRPr="008B2270">
        <w:fldChar w:fldCharType="end"/>
      </w:r>
    </w:p>
    <w:p w:rsidR="00CE3F03" w:rsidRPr="008B2270" w:rsidRDefault="001813B5" w:rsidP="00594C84">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DET_3_1 \h </w:instrText>
      </w:r>
      <w:r w:rsidR="00CE3F03" w:rsidRPr="008B2270">
        <w:fldChar w:fldCharType="separate"/>
      </w:r>
      <w:r w:rsidR="00E775E3">
        <w:rPr>
          <w:noProof/>
        </w:rPr>
        <w:t>58</w:t>
      </w:r>
      <w:r w:rsidR="00CE3F03" w:rsidRPr="008B2270">
        <w:fldChar w:fldCharType="end"/>
      </w:r>
    </w:p>
    <w:p w:rsidR="00CE3F03" w:rsidRPr="008B2270" w:rsidRDefault="001813B5" w:rsidP="00594C84">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DET_3_2 \h </w:instrText>
      </w:r>
      <w:r w:rsidR="00CE3F03" w:rsidRPr="008B2270">
        <w:fldChar w:fldCharType="separate"/>
      </w:r>
      <w:r w:rsidR="00E775E3">
        <w:rPr>
          <w:noProof/>
        </w:rPr>
        <w:t>60</w:t>
      </w:r>
      <w:r w:rsidR="00CE3F03" w:rsidRPr="008B2270">
        <w:fldChar w:fldCharType="end"/>
      </w:r>
    </w:p>
    <w:p w:rsidR="00CE3F03" w:rsidRPr="008B2270" w:rsidRDefault="00CE3F03" w:rsidP="0066473B"/>
    <w:p w:rsidR="00CE3F03" w:rsidRPr="008B2270" w:rsidRDefault="00CE3F03" w:rsidP="008B5AFD"/>
    <w:p w:rsidR="00CE3F03" w:rsidRPr="008B2270" w:rsidRDefault="00CE3F03" w:rsidP="00257FF4">
      <w:pPr>
        <w:sectPr w:rsidR="00CE3F03" w:rsidRPr="008B2270" w:rsidSect="000D68E7">
          <w:headerReference w:type="first" r:id="rId16"/>
          <w:footerReference w:type="first" r:id="rId17"/>
          <w:type w:val="oddPage"/>
          <w:pgSz w:w="11906" w:h="16838" w:code="9"/>
          <w:pgMar w:top="2466" w:right="2098" w:bottom="2466" w:left="2098" w:header="1899" w:footer="1899" w:gutter="0"/>
          <w:pgNumType w:start="9"/>
          <w:cols w:space="708"/>
          <w:titlePg/>
          <w:docGrid w:linePitch="360"/>
        </w:sectPr>
      </w:pPr>
      <w:bookmarkStart w:id="2" w:name="_GoBack"/>
      <w:bookmarkEnd w:id="2"/>
    </w:p>
    <w:p w:rsidR="00CE3F03" w:rsidRPr="008B2270" w:rsidRDefault="00CE3F03" w:rsidP="00834F9A">
      <w:pPr>
        <w:pStyle w:val="Heading1"/>
      </w:pPr>
      <w:r w:rsidRPr="008B2270">
        <w:lastRenderedPageBreak/>
        <w:t>Department of Education and Training</w:t>
      </w:r>
    </w:p>
    <w:p w:rsidR="00CE3F03" w:rsidRPr="008B2270" w:rsidRDefault="00CE3F03" w:rsidP="00257FF4">
      <w:pPr>
        <w:pStyle w:val="Heading2"/>
      </w:pPr>
      <w:bookmarkStart w:id="3" w:name="_Toc190682308"/>
      <w:bookmarkStart w:id="4" w:name="_Toc190682526"/>
      <w:bookmarkStart w:id="5" w:name="_Toc444523508"/>
      <w:bookmarkStart w:id="6" w:name="_Toc476145046"/>
      <w:bookmarkStart w:id="7" w:name="DET_1_0"/>
      <w:r w:rsidRPr="008B2270">
        <w:t>Section 1: Entity overview and resources</w:t>
      </w:r>
      <w:bookmarkEnd w:id="3"/>
      <w:bookmarkEnd w:id="4"/>
      <w:bookmarkEnd w:id="5"/>
      <w:bookmarkEnd w:id="6"/>
      <w:bookmarkEnd w:id="7"/>
    </w:p>
    <w:p w:rsidR="00CE3F03" w:rsidRPr="008B2270" w:rsidRDefault="00CE3F03" w:rsidP="00257FF4">
      <w:pPr>
        <w:pStyle w:val="Heading3"/>
      </w:pPr>
      <w:bookmarkStart w:id="8" w:name="_Toc190682309"/>
      <w:bookmarkStart w:id="9" w:name="_Toc190682527"/>
      <w:bookmarkStart w:id="10" w:name="_Toc444523509"/>
      <w:bookmarkStart w:id="11" w:name="_Toc476145047"/>
      <w:bookmarkStart w:id="12" w:name="DET_1_1"/>
      <w:r w:rsidRPr="008B2270">
        <w:t>1.1</w:t>
      </w:r>
      <w:r w:rsidRPr="008B2270">
        <w:tab/>
        <w:t>Strategic direction</w:t>
      </w:r>
      <w:bookmarkEnd w:id="8"/>
      <w:bookmarkEnd w:id="9"/>
      <w:r w:rsidRPr="008B2270">
        <w:t xml:space="preserve"> statement</w:t>
      </w:r>
      <w:bookmarkEnd w:id="10"/>
      <w:bookmarkEnd w:id="11"/>
      <w:bookmarkEnd w:id="12"/>
    </w:p>
    <w:p w:rsidR="00CE3F03" w:rsidRPr="008B2270" w:rsidRDefault="00CE3F03" w:rsidP="00CE3F03">
      <w:bookmarkStart w:id="13" w:name="_Toc190682310"/>
      <w:bookmarkStart w:id="14" w:name="_Toc190682528"/>
      <w:r w:rsidRPr="008B2270">
        <w:t xml:space="preserve">The Department of Education and Training’s purpose is maximising opportunity and prosperity through national leadership on education and training. The department pursues its purpose as the Australian Government's lead agency responsible for national policy and programs that create and strengthen access to quality early childhood education and child care, preschool education, schooling, higher education and research, international education and skills and training. </w:t>
      </w:r>
    </w:p>
    <w:p w:rsidR="00CE3F03" w:rsidRPr="008B2270" w:rsidRDefault="00CE3F03" w:rsidP="00CE3F03">
      <w:r w:rsidRPr="008B2270">
        <w:t>The department’s priorities in 2019–20 include progressing the implementation of major reforms previously announced, as well as new 2019–20 Budget measures.</w:t>
      </w:r>
    </w:p>
    <w:p w:rsidR="00CE3F03" w:rsidRPr="008B2270" w:rsidRDefault="00CE3F03" w:rsidP="00CE3F03">
      <w:r w:rsidRPr="008B2270">
        <w:t>The major elements of the Government’s child care reforms commenced on 2 July 2018 with the new Child Care Subsidy, which is providing an estimated $8.3 billion in 2019</w:t>
      </w:r>
      <w:r w:rsidRPr="008B2270">
        <w:noBreakHyphen/>
        <w:t>20 and an estimated $35.7 billion over four years from 2019–20 to support approximately one</w:t>
      </w:r>
      <w:r w:rsidR="00D03E6B" w:rsidRPr="008B2270">
        <w:t> million</w:t>
      </w:r>
      <w:r w:rsidRPr="008B2270">
        <w:t xml:space="preserve"> families to balance their work, training and caring responsibilities.</w:t>
      </w:r>
    </w:p>
    <w:p w:rsidR="00CE3F03" w:rsidRPr="008B2270" w:rsidRDefault="00CE3F03" w:rsidP="00CE3F03">
      <w:r w:rsidRPr="008B2270">
        <w:t>The Government is committing a further $</w:t>
      </w:r>
      <w:r w:rsidR="00816AB7">
        <w:t>453.1</w:t>
      </w:r>
      <w:r w:rsidRPr="008B2270">
        <w:t> million to extend the National Partnership on Universal Access to Early Childhood Education until the end of 2020</w:t>
      </w:r>
      <w:r w:rsidR="00816AB7">
        <w:t>, and to undertake the related National Early Childhood Education and Care Collection</w:t>
      </w:r>
      <w:r w:rsidRPr="008B2270">
        <w:t>. This will benefit approximately 350,000 children and builds on the previous decision to provide Commonwealth support for preschool until the end of 2019. A further $</w:t>
      </w:r>
      <w:r w:rsidR="00816AB7">
        <w:t>1.4</w:t>
      </w:r>
      <w:r w:rsidRPr="008B2270">
        <w:t xml:space="preserve"> million over two years from 2019–20 will be invested to fund </w:t>
      </w:r>
      <w:r w:rsidR="00816AB7">
        <w:t xml:space="preserve">work by </w:t>
      </w:r>
      <w:r w:rsidRPr="008B2270">
        <w:t>The Smith Family to work with state and territory governments and disadvantaged communities to develop strategies to further improve preschool participation.</w:t>
      </w:r>
    </w:p>
    <w:p w:rsidR="00CE3F03" w:rsidRPr="008B2270" w:rsidRDefault="00CE3F03" w:rsidP="00CE3F03">
      <w:r w:rsidRPr="008B2270">
        <w:t>The Government’s Quality Schools reforms provide consistent, transparent and needs</w:t>
      </w:r>
      <w:r w:rsidRPr="008B2270">
        <w:noBreakHyphen/>
        <w:t>based school funding arrangements. The department continues to work collaboratively with states and territories to deliver the Quality Schools Package, with a focus on targeting support in education where it is needed most, and through reforms that help ensure schools funding is invested in programs that have the biggest impact on improving educational outcomes for students.</w:t>
      </w:r>
    </w:p>
    <w:p w:rsidR="00CE3F03" w:rsidRPr="008B2270" w:rsidRDefault="00CE3F03" w:rsidP="00CE3F03">
      <w:r w:rsidRPr="008B2270">
        <w:t>Additional priorities to support quality schooling in 2019–20 include:</w:t>
      </w:r>
    </w:p>
    <w:p w:rsidR="00CE3F03" w:rsidRPr="008B2270" w:rsidRDefault="00CE3F03" w:rsidP="00CE3F03">
      <w:pPr>
        <w:pStyle w:val="PBS16BulletList"/>
      </w:pPr>
      <w:r w:rsidRPr="008B2270">
        <w:t>$30.2 million in 2019–20 for the Local School Community Fund</w:t>
      </w:r>
      <w:r w:rsidR="00EF3F31" w:rsidRPr="008B2270">
        <w:t xml:space="preserve"> to assist students through the provision of</w:t>
      </w:r>
      <w:r w:rsidRPr="008B2270">
        <w:t xml:space="preserve"> equipment</w:t>
      </w:r>
      <w:r w:rsidR="00EF3F31" w:rsidRPr="008B2270">
        <w:t xml:space="preserve">, upgrades or programs </w:t>
      </w:r>
      <w:r w:rsidR="00036055">
        <w:t>at</w:t>
      </w:r>
      <w:r w:rsidR="00EF3F31" w:rsidRPr="008B2270">
        <w:t xml:space="preserve"> the local school</w:t>
      </w:r>
      <w:r w:rsidR="00036055">
        <w:t xml:space="preserve"> level</w:t>
      </w:r>
      <w:r w:rsidR="00EF3F31" w:rsidRPr="008B2270">
        <w:t>.</w:t>
      </w:r>
    </w:p>
    <w:p w:rsidR="00CE3F03" w:rsidRPr="008B2270" w:rsidRDefault="00CE3F03" w:rsidP="00CE3F03">
      <w:pPr>
        <w:pStyle w:val="PBS16BulletList"/>
      </w:pPr>
      <w:r w:rsidRPr="008B2270">
        <w:t xml:space="preserve">$9.5 million over four years from 2019–20 for Online Teaching and Learning Courses, to strengthen the capacity of teachers across Australia to teach </w:t>
      </w:r>
      <w:r w:rsidRPr="008B2270">
        <w:lastRenderedPageBreak/>
        <w:t>mathematics and phonics through freely available, nationally coordinated, high quality professional learning and resources.</w:t>
      </w:r>
    </w:p>
    <w:p w:rsidR="00CE3F03" w:rsidRPr="008B2270" w:rsidRDefault="00CE3F03" w:rsidP="00CE3F03">
      <w:pPr>
        <w:pStyle w:val="PBS16BulletList"/>
      </w:pPr>
      <w:r w:rsidRPr="008B2270">
        <w:t>A further $5.0 million over three years from 2019–20 for Life Education Australia to develop a new range of free training resources to help teachers better support the social and emotional needs of school students.</w:t>
      </w:r>
    </w:p>
    <w:p w:rsidR="00CE3F03" w:rsidRPr="008B2270" w:rsidRDefault="00CE3F03" w:rsidP="00CE3F03">
      <w:pPr>
        <w:pStyle w:val="PBS16BulletList"/>
      </w:pPr>
      <w:r w:rsidRPr="008B2270">
        <w:t>$3.3 million over four years from 2019–20 to improve access to school-based arts education programs, particularly schools in regional, remote or low socio</w:t>
      </w:r>
      <w:r w:rsidRPr="008B2270">
        <w:noBreakHyphen/>
        <w:t xml:space="preserve">economic areas, with funding to support: Music Australia’s </w:t>
      </w:r>
      <w:r w:rsidRPr="008B2270">
        <w:rPr>
          <w:i/>
        </w:rPr>
        <w:t>Music Count Us In</w:t>
      </w:r>
      <w:r w:rsidRPr="008B2270">
        <w:t xml:space="preserve">, the Song Room’s </w:t>
      </w:r>
      <w:r w:rsidRPr="008B2270">
        <w:rPr>
          <w:i/>
        </w:rPr>
        <w:t>Transformational Learning through Creativity</w:t>
      </w:r>
      <w:r w:rsidRPr="008B2270">
        <w:t xml:space="preserve">, and Bell Shakespeare’s </w:t>
      </w:r>
      <w:r w:rsidRPr="008B2270">
        <w:rPr>
          <w:i/>
        </w:rPr>
        <w:t>National Education Program</w:t>
      </w:r>
      <w:r w:rsidRPr="008B2270">
        <w:t>.</w:t>
      </w:r>
    </w:p>
    <w:p w:rsidR="00CE3F03" w:rsidRPr="008B2270" w:rsidRDefault="00CE3F03" w:rsidP="00CE3F03">
      <w:pPr>
        <w:pStyle w:val="PBS16BulletList"/>
      </w:pPr>
      <w:r w:rsidRPr="008B2270">
        <w:t>$4.0 million in 2018–19 to provide support for North Queensland flood-affected schools, to help schools address unforeseen challenges and remain financially viable as they provide support to students, their families and teachers.</w:t>
      </w:r>
    </w:p>
    <w:p w:rsidR="00CE3F03" w:rsidRPr="008B2270" w:rsidRDefault="00CE3F03" w:rsidP="00CE3F03">
      <w:pPr>
        <w:pStyle w:val="PBS16BulletList"/>
      </w:pPr>
      <w:r w:rsidRPr="008B2270">
        <w:t>$2.0 million over two years from 2019–20 for the Australian Constitution Centre to support the establishment of a wide reaching educational outreach program, which will enable more Australian school students to obtain a greater understanding of Australia’s constitutional framework.</w:t>
      </w:r>
    </w:p>
    <w:p w:rsidR="00CE3F03" w:rsidRPr="008B2270" w:rsidRDefault="00CE3F03" w:rsidP="00CE3F03">
      <w:pPr>
        <w:pStyle w:val="PBS16BulletList"/>
      </w:pPr>
      <w:r w:rsidRPr="008B2270">
        <w:t>$2.8 million over three years from 2019–20 to support student education on respectful relationships, with a focus on addressing domestic, family and sexual violence, with funding to support the development and delivery of educational resources through the Respect Matters program.</w:t>
      </w:r>
    </w:p>
    <w:p w:rsidR="00CE3F03" w:rsidRPr="008B2270" w:rsidRDefault="00CE3F03" w:rsidP="00CE3F03">
      <w:r w:rsidRPr="008B2270">
        <w:t>The Government is committed to a sustainable and accessible higher education system that delivers the best outcomes for students and the community. The department is progressing implementation of the measures announced in the 2018–19 Mid</w:t>
      </w:r>
      <w:r w:rsidRPr="008B2270">
        <w:noBreakHyphen/>
        <w:t xml:space="preserve">Year Economic and Fiscal Outlook. </w:t>
      </w:r>
    </w:p>
    <w:p w:rsidR="00CE3F03" w:rsidRPr="008B2270" w:rsidRDefault="00CE3F03" w:rsidP="00CE3F03">
      <w:pPr>
        <w:spacing w:after="0" w:line="240" w:lineRule="auto"/>
        <w:jc w:val="left"/>
      </w:pPr>
      <w:r w:rsidRPr="008B2270">
        <w:t>Additional priorities to support students and the sector in 2019–20 include:</w:t>
      </w:r>
    </w:p>
    <w:p w:rsidR="00CE3F03" w:rsidRPr="008B2270" w:rsidRDefault="00CE3F03" w:rsidP="00CE3F03">
      <w:pPr>
        <w:pStyle w:val="PBS16BulletList"/>
      </w:pPr>
      <w:r w:rsidRPr="008B2270">
        <w:t xml:space="preserve">$93.7 million over four years from 2019–20 to establish a new scholarship program to increase the number of domestic and international students studying in regional locations. This will provide students with opportunities to live and study in a regional community, and help share economic </w:t>
      </w:r>
      <w:r w:rsidR="004C264B" w:rsidRPr="008B2270">
        <w:t xml:space="preserve">and other </w:t>
      </w:r>
      <w:r w:rsidRPr="008B2270">
        <w:t xml:space="preserve">benefits of Australia’s tertiary education sector </w:t>
      </w:r>
      <w:r w:rsidR="004C264B" w:rsidRPr="008B2270">
        <w:t>to more</w:t>
      </w:r>
      <w:r w:rsidRPr="008B2270">
        <w:t xml:space="preserve"> regional </w:t>
      </w:r>
      <w:r w:rsidR="004C264B" w:rsidRPr="008B2270">
        <w:t>communities</w:t>
      </w:r>
      <w:r w:rsidRPr="008B2270">
        <w:t>.</w:t>
      </w:r>
    </w:p>
    <w:p w:rsidR="00CE3F03" w:rsidRPr="008B2270" w:rsidRDefault="00CE3F03" w:rsidP="00CE3F03">
      <w:pPr>
        <w:pStyle w:val="PBS16BulletList"/>
      </w:pPr>
      <w:r w:rsidRPr="008B2270">
        <w:t xml:space="preserve">As part of the Government’s commitment to Closing the Gap, the Government will </w:t>
      </w:r>
      <w:r w:rsidR="004C264B" w:rsidRPr="008B2270">
        <w:t xml:space="preserve">remit </w:t>
      </w:r>
      <w:r w:rsidRPr="008B2270">
        <w:t>Higher Education Loan Program (HELP) debts for teachers in very remote areas of Australia. This recognises the geographic, social, cultural and economic challenges that are unique to delivering education in such locations, as well as the much higher level of relative need.</w:t>
      </w:r>
    </w:p>
    <w:p w:rsidR="00CE3F03" w:rsidRPr="008B2270" w:rsidRDefault="00CE3F03" w:rsidP="00CE3F03">
      <w:pPr>
        <w:pStyle w:val="PBS16BulletList"/>
      </w:pPr>
      <w:r w:rsidRPr="008B2270">
        <w:t>An increase to the combined HELP loan limit to $150,000 for eligible students undertaking aviation courses at a VET Student Loans approved provider from 1 January 2020. The increase will improve accessibility to courses to better support students and the commercial aviation sector.</w:t>
      </w:r>
    </w:p>
    <w:p w:rsidR="00CE3F03" w:rsidRPr="008B2270" w:rsidRDefault="00CE3F03" w:rsidP="00CE3F03">
      <w:pPr>
        <w:pStyle w:val="PBS16BulletList"/>
      </w:pPr>
      <w:r w:rsidRPr="008B2270">
        <w:lastRenderedPageBreak/>
        <w:t xml:space="preserve">$5.0 million over two years from 2018–19 to the University of Melbourne to commence construction of the Stawell Underground Physics Laboratory. As the only such facility in the Southern Hemisphere, the Stawell laboratory will be part of a global research effort. </w:t>
      </w:r>
    </w:p>
    <w:p w:rsidR="00CE3F03" w:rsidRPr="008B2270" w:rsidRDefault="00CE3F03" w:rsidP="006C799D">
      <w:r w:rsidRPr="008B2270">
        <w:t xml:space="preserve">The Australian Government commissioned the </w:t>
      </w:r>
      <w:r w:rsidRPr="008B2270">
        <w:rPr>
          <w:i/>
          <w:iCs/>
        </w:rPr>
        <w:t>Expert Review of Australia’s Vocational Education and Training (VET) System</w:t>
      </w:r>
      <w:r w:rsidRPr="008B2270">
        <w:t xml:space="preserve"> in late 2018. In response to the Review, conducted by the former New Zealand Minister for Skills and Employment, the Hon. Steven Joyce, the Government is providing a comprehensive package of VET initiatives, totalling $5</w:t>
      </w:r>
      <w:r w:rsidR="00EB334C">
        <w:t>25.3</w:t>
      </w:r>
      <w:r w:rsidR="00D03E6B" w:rsidRPr="008B2270">
        <w:t> million</w:t>
      </w:r>
      <w:r w:rsidRPr="008B2270">
        <w:t xml:space="preserve"> over f</w:t>
      </w:r>
      <w:r w:rsidR="00EB334C">
        <w:t>ive</w:t>
      </w:r>
      <w:r w:rsidRPr="008B2270">
        <w:t xml:space="preserve"> years from 201</w:t>
      </w:r>
      <w:r w:rsidR="00EB334C">
        <w:t>8</w:t>
      </w:r>
      <w:r w:rsidRPr="008B2270">
        <w:t>–</w:t>
      </w:r>
      <w:r w:rsidR="00EB334C">
        <w:t>19</w:t>
      </w:r>
      <w:r w:rsidRPr="008B2270">
        <w:t>.</w:t>
      </w:r>
    </w:p>
    <w:p w:rsidR="00CE3F03" w:rsidRPr="008B2270" w:rsidRDefault="00CE3F03" w:rsidP="006C799D">
      <w:r w:rsidRPr="008B2270">
        <w:t xml:space="preserve">The </w:t>
      </w:r>
      <w:r w:rsidR="00816AB7">
        <w:t>Australian Government’s</w:t>
      </w:r>
      <w:r w:rsidR="00CB631C">
        <w:t xml:space="preserve"> </w:t>
      </w:r>
      <w:r w:rsidR="00CB631C" w:rsidRPr="00071E47">
        <w:rPr>
          <w:i/>
        </w:rPr>
        <w:t xml:space="preserve">Skills Package </w:t>
      </w:r>
      <w:r w:rsidR="00CB631C">
        <w:rPr>
          <w:i/>
        </w:rPr>
        <w:t>–</w:t>
      </w:r>
      <w:r w:rsidR="00816AB7" w:rsidRPr="00071E47">
        <w:rPr>
          <w:i/>
        </w:rPr>
        <w:t xml:space="preserve"> </w:t>
      </w:r>
      <w:r w:rsidR="00CB631C">
        <w:rPr>
          <w:i/>
        </w:rPr>
        <w:t>delivering skills for today and tomorrow</w:t>
      </w:r>
      <w:r w:rsidR="00816AB7">
        <w:t xml:space="preserve"> </w:t>
      </w:r>
      <w:r w:rsidRPr="008B2270">
        <w:t>seeks to reposition the sector to deliver the skills needed for Australia’s future prosperity and address issues faced by today’s workforce, including low literacy and numeracy, and a lack of digital skills, while tackling priority areas of skills shortage. The Government’s response to the review includes targeted initiatives to respond to immediate priorities and position the VET system for the future:</w:t>
      </w:r>
    </w:p>
    <w:p w:rsidR="00CE3F03" w:rsidRPr="008B2270" w:rsidRDefault="00CE3F03" w:rsidP="00CE3F03">
      <w:pPr>
        <w:pStyle w:val="PBS16BulletList"/>
      </w:pPr>
      <w:r w:rsidRPr="008B2270">
        <w:t>$36.3</w:t>
      </w:r>
      <w:r w:rsidR="00D03E6B" w:rsidRPr="008B2270">
        <w:t> million</w:t>
      </w:r>
      <w:r w:rsidRPr="008B2270">
        <w:t xml:space="preserve"> over four years from 2019–20 to establish a new </w:t>
      </w:r>
      <w:r w:rsidRPr="008B2270">
        <w:rPr>
          <w:i/>
        </w:rPr>
        <w:t>National Careers Institute</w:t>
      </w:r>
      <w:r w:rsidRPr="008B2270">
        <w:t xml:space="preserve"> and appoint a </w:t>
      </w:r>
      <w:r w:rsidRPr="008B2270">
        <w:rPr>
          <w:i/>
        </w:rPr>
        <w:t>National Careers Ambassador</w:t>
      </w:r>
      <w:r w:rsidRPr="008B2270">
        <w:t xml:space="preserve"> to work with industry, governments, schools and tertiary providers to ensure every working age Australian has access to high-quality, evidence-based career advice to support and inform their study and career choices.</w:t>
      </w:r>
    </w:p>
    <w:p w:rsidR="00CE3F03" w:rsidRPr="008B2270" w:rsidRDefault="00CE3F03" w:rsidP="00CE3F03">
      <w:pPr>
        <w:pStyle w:val="PBS16BulletList"/>
      </w:pPr>
      <w:r w:rsidRPr="008B2270">
        <w:t>$6.1</w:t>
      </w:r>
      <w:r w:rsidR="00D03E6B" w:rsidRPr="008B2270">
        <w:t> million</w:t>
      </w:r>
      <w:r w:rsidRPr="008B2270">
        <w:t xml:space="preserve"> over four years from 2019–20 to continue the </w:t>
      </w:r>
      <w:r w:rsidRPr="008B2270">
        <w:rPr>
          <w:i/>
        </w:rPr>
        <w:t>VET Information Strategy</w:t>
      </w:r>
      <w:r w:rsidRPr="008B2270">
        <w:t xml:space="preserve"> to raise the profile of VET and promote career opportunities available through VET pathways, including addressing skill shortages.</w:t>
      </w:r>
    </w:p>
    <w:p w:rsidR="00CE3F03" w:rsidRPr="008B2270" w:rsidRDefault="00CE3F03" w:rsidP="00CE3F03">
      <w:pPr>
        <w:pStyle w:val="PBS16BulletList"/>
      </w:pPr>
      <w:r w:rsidRPr="008B2270">
        <w:t xml:space="preserve">Establishment of a new </w:t>
      </w:r>
      <w:r w:rsidR="00816AB7" w:rsidRPr="00071E47">
        <w:t>l</w:t>
      </w:r>
      <w:r w:rsidRPr="00071E47">
        <w:t xml:space="preserve">anguage, </w:t>
      </w:r>
      <w:r w:rsidR="00816AB7" w:rsidRPr="00071E47">
        <w:t>l</w:t>
      </w:r>
      <w:r w:rsidRPr="00071E47">
        <w:t xml:space="preserve">iteracy, </w:t>
      </w:r>
      <w:r w:rsidR="00816AB7" w:rsidRPr="00071E47">
        <w:t>n</w:t>
      </w:r>
      <w:r w:rsidRPr="00071E47">
        <w:t xml:space="preserve">umeracy and </w:t>
      </w:r>
      <w:r w:rsidR="00816AB7" w:rsidRPr="00071E47">
        <w:t>d</w:t>
      </w:r>
      <w:r w:rsidRPr="00071E47">
        <w:t xml:space="preserve">igital </w:t>
      </w:r>
      <w:r w:rsidR="00816AB7" w:rsidRPr="00071E47">
        <w:t>l</w:t>
      </w:r>
      <w:r w:rsidRPr="00071E47">
        <w:t>iteracy</w:t>
      </w:r>
      <w:r w:rsidRPr="008B2270">
        <w:t xml:space="preserve"> (LLND) program, including:</w:t>
      </w:r>
    </w:p>
    <w:p w:rsidR="00CE3F03" w:rsidRPr="008B2270" w:rsidRDefault="00CE3F03" w:rsidP="00CE3F03">
      <w:pPr>
        <w:pStyle w:val="PBS16BulletList2"/>
      </w:pPr>
      <w:r w:rsidRPr="008B2270">
        <w:t>$52.5 million over four years from 2019–20 to upskill at-risk workers by supporting more than 11,000 workers with low-level language, literacy, numeracy and digital skills.</w:t>
      </w:r>
    </w:p>
    <w:p w:rsidR="00CE3F03" w:rsidRPr="008B2270" w:rsidRDefault="00CE3F03" w:rsidP="00CE3F03">
      <w:pPr>
        <w:pStyle w:val="PBS16BulletList2"/>
      </w:pPr>
      <w:r w:rsidRPr="008B2270">
        <w:t xml:space="preserve">$9.9 million over three years from 2019–20 to establish a new </w:t>
      </w:r>
      <w:r w:rsidRPr="00071E47">
        <w:t xml:space="preserve">Indigenous </w:t>
      </w:r>
      <w:r w:rsidR="00816AB7">
        <w:t>d</w:t>
      </w:r>
      <w:r w:rsidRPr="00071E47">
        <w:t xml:space="preserve">elivery </w:t>
      </w:r>
      <w:r w:rsidR="00816AB7">
        <w:t>p</w:t>
      </w:r>
      <w:r w:rsidRPr="00071E47">
        <w:t>ilot</w:t>
      </w:r>
      <w:r w:rsidRPr="00816AB7">
        <w:t xml:space="preserve"> </w:t>
      </w:r>
      <w:r w:rsidR="00816AB7">
        <w:t xml:space="preserve">of an LLND program </w:t>
      </w:r>
      <w:r w:rsidRPr="008B2270">
        <w:t>to provide project</w:t>
      </w:r>
      <w:r w:rsidR="00816AB7">
        <w:t>-</w:t>
      </w:r>
      <w:r w:rsidRPr="008B2270">
        <w:t>based delivery of LLND skills to individuals in remote Indigenous communities in four pilot areas.</w:t>
      </w:r>
    </w:p>
    <w:p w:rsidR="00CE3F03" w:rsidRPr="008B2270" w:rsidRDefault="00CE3F03" w:rsidP="000710CC">
      <w:pPr>
        <w:pStyle w:val="PBS16BulletList"/>
      </w:pPr>
      <w:r w:rsidRPr="008B2270">
        <w:t>$48.3</w:t>
      </w:r>
      <w:r w:rsidR="00D03E6B" w:rsidRPr="008B2270">
        <w:t> million</w:t>
      </w:r>
      <w:r w:rsidRPr="008B2270">
        <w:t xml:space="preserve"> over four years from 2019–20 for the establishment of a</w:t>
      </w:r>
      <w:r w:rsidRPr="008B2270">
        <w:rPr>
          <w:i/>
        </w:rPr>
        <w:t xml:space="preserve"> National Skills Commission</w:t>
      </w:r>
      <w:r w:rsidRPr="008B2270">
        <w:t xml:space="preserve"> that will develop efficient pricing for training, informed by the work of the Productivity Commission. The Skills Commission will also oversee Skills Organisations to ensure industry is leading the development of VET qualifications and training products.</w:t>
      </w:r>
    </w:p>
    <w:p w:rsidR="00CE3F03" w:rsidRPr="008B2270" w:rsidRDefault="00CE3F03" w:rsidP="000710CC">
      <w:pPr>
        <w:pStyle w:val="PBS16BulletList"/>
      </w:pPr>
      <w:r w:rsidRPr="008B2270">
        <w:t>$41.7</w:t>
      </w:r>
      <w:r w:rsidR="00D03E6B" w:rsidRPr="008B2270">
        <w:t> million</w:t>
      </w:r>
      <w:r w:rsidRPr="008B2270">
        <w:t xml:space="preserve"> over four years from 2019–20 for a national pilot of two </w:t>
      </w:r>
      <w:r w:rsidRPr="008B2270">
        <w:rPr>
          <w:i/>
        </w:rPr>
        <w:t>Skills Organisations</w:t>
      </w:r>
      <w:r w:rsidRPr="008B2270">
        <w:t xml:space="preserve"> in the areas of digital technologies and the human services workforce. The organisations will trial new, industry-led methods of qualification </w:t>
      </w:r>
      <w:r w:rsidRPr="008B2270">
        <w:lastRenderedPageBreak/>
        <w:t>development and assessment, and develop standards for industry to accredit Registered Training Organisations.</w:t>
      </w:r>
    </w:p>
    <w:p w:rsidR="00CE3F03" w:rsidRPr="008B2270" w:rsidRDefault="00CE3F03" w:rsidP="000710CC">
      <w:pPr>
        <w:pStyle w:val="PBS16BulletList"/>
      </w:pPr>
      <w:r w:rsidRPr="008B2270">
        <w:t>$6</w:t>
      </w:r>
      <w:r w:rsidR="00EB334C">
        <w:t>7.5</w:t>
      </w:r>
      <w:r w:rsidR="00D03E6B" w:rsidRPr="008B2270">
        <w:t> million</w:t>
      </w:r>
      <w:r w:rsidRPr="008B2270">
        <w:t xml:space="preserve"> over f</w:t>
      </w:r>
      <w:r w:rsidR="00EB334C">
        <w:t>ive</w:t>
      </w:r>
      <w:r w:rsidRPr="008B2270">
        <w:t xml:space="preserve"> years from 201</w:t>
      </w:r>
      <w:r w:rsidR="00EB334C">
        <w:t>8</w:t>
      </w:r>
      <w:r w:rsidRPr="008B2270">
        <w:t>–</w:t>
      </w:r>
      <w:r w:rsidR="00EB334C">
        <w:t>19</w:t>
      </w:r>
      <w:r w:rsidRPr="008B2270">
        <w:t xml:space="preserve"> to </w:t>
      </w:r>
      <w:r w:rsidR="00816AB7">
        <w:t>establish</w:t>
      </w:r>
      <w:r w:rsidR="00EB334C">
        <w:t xml:space="preserve"> ten </w:t>
      </w:r>
      <w:r w:rsidR="00EB334C" w:rsidRPr="0028796D">
        <w:rPr>
          <w:i/>
        </w:rPr>
        <w:t>Industry Training Hubs</w:t>
      </w:r>
      <w:r w:rsidR="00EB334C">
        <w:t xml:space="preserve"> supporting school</w:t>
      </w:r>
      <w:r w:rsidR="00EB334C">
        <w:noBreakHyphen/>
        <w:t>based vocational education in regions with high youth unemployment, with an aim of creating better linkages between schools and local industry, and other skills development measures</w:t>
      </w:r>
      <w:r w:rsidRPr="008B2270">
        <w:t>.</w:t>
      </w:r>
    </w:p>
    <w:p w:rsidR="00CE3F03" w:rsidRPr="008B2270" w:rsidRDefault="00CE3F03" w:rsidP="000710CC">
      <w:pPr>
        <w:pStyle w:val="PBS16BulletList"/>
      </w:pPr>
      <w:r w:rsidRPr="008B2270">
        <w:t>$44.0</w:t>
      </w:r>
      <w:r w:rsidR="00D03E6B" w:rsidRPr="008B2270">
        <w:t> million</w:t>
      </w:r>
      <w:r w:rsidRPr="008B2270">
        <w:t xml:space="preserve"> over four years from 2019–20 for a new </w:t>
      </w:r>
      <w:r w:rsidRPr="008B2270">
        <w:rPr>
          <w:i/>
        </w:rPr>
        <w:t>Streamlined Incentives Program</w:t>
      </w:r>
      <w:r w:rsidRPr="008B2270">
        <w:t xml:space="preserve"> to make it simpler and easier for employers to take on an apprentice or trainee. The Program will be responsive to industry and national skills needs with a streamlined payment structure and eligibility criteria, underpinned by a forward-looking National Skills Priority List.</w:t>
      </w:r>
    </w:p>
    <w:p w:rsidR="00CE3F03" w:rsidRPr="008B2270" w:rsidRDefault="00CE3F03" w:rsidP="000710CC">
      <w:pPr>
        <w:pStyle w:val="PBS16BulletList"/>
      </w:pPr>
      <w:r w:rsidRPr="008B2270">
        <w:t>$156.3</w:t>
      </w:r>
      <w:r w:rsidR="00D03E6B" w:rsidRPr="008B2270">
        <w:t> million</w:t>
      </w:r>
      <w:r w:rsidRPr="008B2270">
        <w:t xml:space="preserve"> over four years from 2019–20 </w:t>
      </w:r>
      <w:r w:rsidR="00816AB7">
        <w:t>(and $108.0 million from 2023</w:t>
      </w:r>
      <w:r w:rsidR="00F50F07">
        <w:t>–</w:t>
      </w:r>
      <w:r w:rsidR="00816AB7">
        <w:t xml:space="preserve">24) </w:t>
      </w:r>
      <w:r w:rsidRPr="008B2270">
        <w:t xml:space="preserve">for a new </w:t>
      </w:r>
      <w:r w:rsidRPr="008B2270">
        <w:rPr>
          <w:i/>
        </w:rPr>
        <w:t>Additional Identified Skills Shortage Payment</w:t>
      </w:r>
      <w:r w:rsidRPr="008B2270">
        <w:t xml:space="preserve"> for employers and apprentices in the top 10 occupations where there is a demonstrated need for increased apprenticeship commencements and where the primary entry pathway into the occupation is through an apprenticeship. This specifically targets new workers to grow the number of apprentices in training to meet future workforce needs and the new payment is expected to support up to </w:t>
      </w:r>
      <w:r w:rsidR="00816AB7">
        <w:t>80</w:t>
      </w:r>
      <w:r w:rsidRPr="008B2270">
        <w:t xml:space="preserve">,000 new commencements over </w:t>
      </w:r>
      <w:r w:rsidR="00816AB7">
        <w:t>five</w:t>
      </w:r>
      <w:r w:rsidRPr="008B2270">
        <w:t xml:space="preserve"> years of operation.</w:t>
      </w:r>
    </w:p>
    <w:p w:rsidR="00CE3F03" w:rsidRPr="008B2270" w:rsidRDefault="00CE3F03" w:rsidP="000710CC">
      <w:pPr>
        <w:pStyle w:val="PBS16BulletList"/>
      </w:pPr>
      <w:r w:rsidRPr="008B2270">
        <w:t xml:space="preserve">$8.2 million through an expanded </w:t>
      </w:r>
      <w:r w:rsidRPr="008B2270">
        <w:rPr>
          <w:i/>
        </w:rPr>
        <w:t>Commonwealth Scholarships Program for Young Australians</w:t>
      </w:r>
      <w:r w:rsidRPr="008B2270">
        <w:t xml:space="preserve"> to provide</w:t>
      </w:r>
      <w:r w:rsidR="00816AB7">
        <w:t xml:space="preserve"> up to</w:t>
      </w:r>
      <w:r w:rsidRPr="008B2270">
        <w:t xml:space="preserve"> 400 scholarships across more trial areas and to support people in selected regions experiencing high youth unemployment to participate in vocational education and training with strong pathways to jobs in areas of skills needs.</w:t>
      </w:r>
    </w:p>
    <w:p w:rsidR="00EB334C" w:rsidRPr="008B2270" w:rsidRDefault="00EB334C" w:rsidP="00EB334C">
      <w:pPr>
        <w:pStyle w:val="PBS16BulletList"/>
      </w:pPr>
      <w:r w:rsidRPr="008B2270">
        <w:t xml:space="preserve">$15.8 million over four years from 2019–20 to extend the Unique Student Identifier (USI) service – currently available only to VET students – to all higher education students. This will be supplemented by $2.2 million in 2019–20 to develop the first stage of a </w:t>
      </w:r>
      <w:r>
        <w:t xml:space="preserve">tertiary learning </w:t>
      </w:r>
      <w:r w:rsidR="006D53A5">
        <w:t>repository</w:t>
      </w:r>
      <w:r>
        <w:t xml:space="preserve"> in</w:t>
      </w:r>
      <w:r w:rsidRPr="008B2270">
        <w:t xml:space="preserve"> 2020 to record an individual’s higher education and training records.</w:t>
      </w:r>
    </w:p>
    <w:p w:rsidR="00CE3F03" w:rsidRPr="008B2270" w:rsidRDefault="00CE3F03" w:rsidP="000710CC">
      <w:pPr>
        <w:pStyle w:val="PBS16BulletList"/>
      </w:pPr>
      <w:r w:rsidRPr="008B2270">
        <w:t xml:space="preserve">$1.8 million over two years from 2019–20 to continue </w:t>
      </w:r>
      <w:r w:rsidRPr="008B2270">
        <w:rPr>
          <w:i/>
        </w:rPr>
        <w:t>the Jobs and Education Data Infrastructure Project</w:t>
      </w:r>
      <w:r w:rsidRPr="008B2270">
        <w:t>. The third phase of this project will develop a prototype tool to assist education providers respond to the skills needs of employers and industry.</w:t>
      </w:r>
    </w:p>
    <w:p w:rsidR="00CE3F03" w:rsidRPr="008B2270" w:rsidRDefault="00CE3F03" w:rsidP="000710CC">
      <w:pPr>
        <w:pStyle w:val="PBS16BulletList"/>
      </w:pPr>
      <w:r w:rsidRPr="008B2270">
        <w:t>$350,000 in 2019–20 to support the National Rugby League’s (NRL) VET Apprenticeship Awareness Program. The funding will help the NRL provide ongoing player and community education.</w:t>
      </w:r>
    </w:p>
    <w:p w:rsidR="00CE3F03" w:rsidRPr="008B2270" w:rsidRDefault="00CE3F03">
      <w:r w:rsidRPr="008B2270">
        <w:t>The Government is also providing $34.2</w:t>
      </w:r>
      <w:r w:rsidR="00D03E6B" w:rsidRPr="008B2270">
        <w:t> million</w:t>
      </w:r>
      <w:r w:rsidRPr="008B2270">
        <w:t xml:space="preserve"> of additional funding in 2019–20 to the six signatory states and territories of the </w:t>
      </w:r>
      <w:r w:rsidRPr="008B2270">
        <w:rPr>
          <w:i/>
        </w:rPr>
        <w:t>Skilling Australians Fund</w:t>
      </w:r>
      <w:r w:rsidRPr="008B2270">
        <w:t xml:space="preserve"> (SAF) National Partnership Agreement in response to an expected drop in SAF levy revenue.</w:t>
      </w:r>
    </w:p>
    <w:p w:rsidR="00CE3F03" w:rsidRPr="008B2270" w:rsidRDefault="00CE3F03">
      <w:r w:rsidRPr="008B2270">
        <w:t>For further information on the resourcing impact of the Budget and other measures, refer to Table 1.2: Department of Education and Training 2019–20 Budget measures on page </w:t>
      </w:r>
      <w:r w:rsidRPr="008B2270">
        <w:fldChar w:fldCharType="begin"/>
      </w:r>
      <w:r w:rsidRPr="008B2270">
        <w:instrText xml:space="preserve"> PAGEREF DET_Table_1_2 \h </w:instrText>
      </w:r>
      <w:r w:rsidRPr="008B2270">
        <w:fldChar w:fldCharType="separate"/>
      </w:r>
      <w:r w:rsidR="00E775E3">
        <w:rPr>
          <w:noProof/>
        </w:rPr>
        <w:t>17</w:t>
      </w:r>
      <w:r w:rsidRPr="008B2270">
        <w:fldChar w:fldCharType="end"/>
      </w:r>
      <w:r w:rsidRPr="008B2270">
        <w:t>.</w:t>
      </w:r>
    </w:p>
    <w:p w:rsidR="00CE3F03" w:rsidRPr="008B2270" w:rsidRDefault="00CE3F03" w:rsidP="0079797F">
      <w:pPr>
        <w:pStyle w:val="Heading3"/>
      </w:pPr>
      <w:r w:rsidRPr="008B2270">
        <w:br w:type="page"/>
      </w:r>
      <w:bookmarkStart w:id="15" w:name="_Toc444523510"/>
      <w:bookmarkStart w:id="16" w:name="_Toc476145048"/>
      <w:bookmarkStart w:id="17" w:name="DET_1_2"/>
      <w:r w:rsidRPr="008B2270">
        <w:lastRenderedPageBreak/>
        <w:t>1.2</w:t>
      </w:r>
      <w:r w:rsidRPr="008B2270">
        <w:tab/>
        <w:t>Entity resource statement</w:t>
      </w:r>
      <w:bookmarkEnd w:id="13"/>
      <w:bookmarkEnd w:id="14"/>
      <w:bookmarkEnd w:id="15"/>
      <w:bookmarkEnd w:id="16"/>
      <w:bookmarkEnd w:id="17"/>
    </w:p>
    <w:p w:rsidR="00CE3F03" w:rsidRPr="008B2270" w:rsidRDefault="00CE3F03" w:rsidP="00257FF4">
      <w:r w:rsidRPr="008B2270">
        <w:t>Table 1.1 shows the total funding from all sources available to the entity for its operations and to deliver programs and services on behalf of the Government.</w:t>
      </w:r>
    </w:p>
    <w:p w:rsidR="00CE3F03" w:rsidRPr="008B2270" w:rsidRDefault="00CE3F03" w:rsidP="00257FF4">
      <w:r w:rsidRPr="008B2270">
        <w:t>The table summarises how resources will be applied by outcome (government strategic policy objectives) and by administered (on behalf of the Government or the public) and departmental (for the entity’s operations) classification.</w:t>
      </w:r>
    </w:p>
    <w:p w:rsidR="00CE3F03" w:rsidRPr="008B2270" w:rsidRDefault="00CE3F03" w:rsidP="00257FF4">
      <w:r w:rsidRPr="008B2270">
        <w:t xml:space="preserve">For more detailed information on special accounts and special appropriations, please refer to </w:t>
      </w:r>
      <w:r w:rsidRPr="008B2270">
        <w:rPr>
          <w:i/>
        </w:rPr>
        <w:t>Budget Paper No. 4 – Agency Resourcing</w:t>
      </w:r>
      <w:r w:rsidRPr="008B2270">
        <w:t>.</w:t>
      </w:r>
    </w:p>
    <w:p w:rsidR="00CE3F03" w:rsidRPr="008B2270" w:rsidRDefault="00CE3F03" w:rsidP="00257FF4">
      <w:r w:rsidRPr="008B2270">
        <w:t>Information in this table is presented on a resourcing (that is, appropriations/cash available) basis, whilst the ‘Budgeted expenses by Outcome’ tables in Section 2 and the financial statements in Section 3 are presented on an accrual basis.</w:t>
      </w:r>
    </w:p>
    <w:p w:rsidR="00CE3F03" w:rsidRPr="008B2270" w:rsidRDefault="00CE3F03" w:rsidP="005731D3">
      <w:pPr>
        <w:pStyle w:val="TableHeading"/>
        <w:rPr>
          <w:lang w:val="en-AU"/>
        </w:rPr>
      </w:pPr>
      <w:r w:rsidRPr="008B2270">
        <w:rPr>
          <w:lang w:val="en-AU"/>
        </w:rPr>
        <w:t>Table 1.1: Department of Education and Training resource statement — Budget estimates for 2019–20 as at Budget April 2019</w:t>
      </w:r>
    </w:p>
    <w:p w:rsidR="00CE3F03" w:rsidRPr="008B2270" w:rsidRDefault="006D53A5" w:rsidP="00594C84">
      <w:pPr>
        <w:pStyle w:val="ChartGraphic"/>
        <w:rPr>
          <w:noProof w:val="0"/>
        </w:rPr>
      </w:pPr>
      <w:r w:rsidRPr="006D53A5">
        <w:drawing>
          <wp:inline distT="0" distB="0" distL="0" distR="0">
            <wp:extent cx="4895850" cy="3148455"/>
            <wp:effectExtent l="0" t="0" r="0" b="0"/>
            <wp:docPr id="59" name="Picture 5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5850" cy="3148455"/>
                    </a:xfrm>
                    <a:prstGeom prst="rect">
                      <a:avLst/>
                    </a:prstGeom>
                    <a:noFill/>
                    <a:ln>
                      <a:noFill/>
                    </a:ln>
                  </pic:spPr>
                </pic:pic>
              </a:graphicData>
            </a:graphic>
          </wp:inline>
        </w:drawing>
      </w:r>
    </w:p>
    <w:p w:rsidR="00CE3F03" w:rsidRPr="008B2270" w:rsidRDefault="00CE3F03" w:rsidP="00466381">
      <w:pPr>
        <w:pStyle w:val="ChartandTableFootnote"/>
      </w:pP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594C84">
      <w:pPr>
        <w:pStyle w:val="TableHeadingcontinued"/>
      </w:pPr>
      <w:r w:rsidRPr="008B2270">
        <w:lastRenderedPageBreak/>
        <w:t>Table 1.1: Department of Education and Training resource statement — Budget estimates for 2019–20 as at Budget April 2019 (continued)</w:t>
      </w:r>
    </w:p>
    <w:p w:rsidR="00CE3F03" w:rsidRPr="008B2270" w:rsidRDefault="006D53A5" w:rsidP="00C7638D">
      <w:pPr>
        <w:pStyle w:val="TableHeading"/>
        <w:rPr>
          <w:lang w:val="en-AU"/>
        </w:rPr>
      </w:pPr>
      <w:r w:rsidRPr="006D53A5">
        <w:rPr>
          <w:noProof/>
          <w:lang w:val="en-AU" w:eastAsia="en-AU"/>
        </w:rPr>
        <w:drawing>
          <wp:inline distT="0" distB="0" distL="0" distR="0">
            <wp:extent cx="4895850" cy="3604789"/>
            <wp:effectExtent l="0" t="0" r="0" b="0"/>
            <wp:docPr id="65" name="Picture 6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5850" cy="3604789"/>
                    </a:xfrm>
                    <a:prstGeom prst="rect">
                      <a:avLst/>
                    </a:prstGeom>
                    <a:noFill/>
                    <a:ln>
                      <a:noFill/>
                    </a:ln>
                  </pic:spPr>
                </pic:pic>
              </a:graphicData>
            </a:graphic>
          </wp:inline>
        </w:drawing>
      </w:r>
    </w:p>
    <w:p w:rsidR="00CE3F03" w:rsidRPr="008B2270" w:rsidRDefault="00CE3F03" w:rsidP="00594C84">
      <w:pPr>
        <w:pStyle w:val="TableHeadingcontinued"/>
      </w:pPr>
      <w:r w:rsidRPr="008B2270">
        <w:t>Third party payments from and on behalf of other entities</w:t>
      </w:r>
    </w:p>
    <w:p w:rsidR="00CE3F03" w:rsidRPr="008B2270" w:rsidRDefault="006D53A5" w:rsidP="00594C84">
      <w:pPr>
        <w:pStyle w:val="ChartGraphic"/>
        <w:rPr>
          <w:noProof w:val="0"/>
        </w:rPr>
      </w:pPr>
      <w:bookmarkStart w:id="18" w:name="_Toc190682311"/>
      <w:bookmarkStart w:id="19" w:name="_Toc190682529"/>
      <w:r w:rsidRPr="006D53A5">
        <w:drawing>
          <wp:inline distT="0" distB="0" distL="0" distR="0">
            <wp:extent cx="4895850" cy="2069846"/>
            <wp:effectExtent l="0" t="0" r="0" b="6985"/>
            <wp:docPr id="71" name="Picture 7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2069846"/>
                    </a:xfrm>
                    <a:prstGeom prst="rect">
                      <a:avLst/>
                    </a:prstGeom>
                    <a:noFill/>
                    <a:ln>
                      <a:noFill/>
                    </a:ln>
                  </pic:spPr>
                </pic:pic>
              </a:graphicData>
            </a:graphic>
          </wp:inline>
        </w:drawing>
      </w:r>
    </w:p>
    <w:p w:rsidR="00D24AF7" w:rsidRPr="008B2270" w:rsidRDefault="00D24AF7" w:rsidP="00D24AF7">
      <w:pPr>
        <w:pStyle w:val="ChartandTableFootnote"/>
      </w:pPr>
      <w:r w:rsidRPr="008B2270">
        <w:t>(a)</w:t>
      </w:r>
      <w:r w:rsidRPr="008B2270">
        <w:tab/>
        <w:t>Annual appropriation amounts appearing for 2018–19 exclude amounts in Appropriation Bills (No. 3) and (No. 4), which are yet to receive Royal Assent.</w:t>
      </w:r>
      <w:r w:rsidRPr="008B2270">
        <w:tab/>
      </w:r>
      <w:r w:rsidRPr="008B2270">
        <w:tab/>
      </w:r>
    </w:p>
    <w:p w:rsidR="00CA6102" w:rsidRDefault="00D24AF7" w:rsidP="00D24AF7">
      <w:pPr>
        <w:pStyle w:val="ChartandTableFootnote"/>
      </w:pPr>
      <w:r w:rsidRPr="008B2270">
        <w:t>(b)</w:t>
      </w:r>
      <w:r w:rsidRPr="008B2270">
        <w:tab/>
        <w:t>Appropriation Bill (No. 1) 2019–20.</w:t>
      </w:r>
    </w:p>
    <w:p w:rsidR="00D24AF7" w:rsidRPr="008B2270" w:rsidRDefault="006467BA" w:rsidP="00D24AF7">
      <w:pPr>
        <w:pStyle w:val="ChartandTableFootnote"/>
      </w:pPr>
      <w:r>
        <w:t>(c)</w:t>
      </w:r>
      <w:r>
        <w:tab/>
        <w:t>Excludes D</w:t>
      </w:r>
      <w:r w:rsidR="00D24AF7" w:rsidRPr="008B2270">
        <w:t xml:space="preserve">epartmental </w:t>
      </w:r>
      <w:r>
        <w:t>C</w:t>
      </w:r>
      <w:r w:rsidR="00D24AF7" w:rsidRPr="008B2270">
        <w:t xml:space="preserve">apital </w:t>
      </w:r>
      <w:r>
        <w:t>Budget</w:t>
      </w:r>
      <w:r w:rsidR="00D24AF7" w:rsidRPr="008B2270">
        <w:t>.</w:t>
      </w:r>
      <w:r w:rsidR="00D24AF7" w:rsidRPr="008B2270">
        <w:tab/>
      </w:r>
      <w:r w:rsidR="00D24AF7" w:rsidRPr="008B2270">
        <w:tab/>
      </w:r>
    </w:p>
    <w:p w:rsidR="00D24AF7" w:rsidRPr="008B2270" w:rsidRDefault="00D24AF7" w:rsidP="00D24AF7">
      <w:pPr>
        <w:pStyle w:val="ChartandTableFootnote"/>
      </w:pPr>
      <w:r w:rsidRPr="008B2270">
        <w:t>(d)</w:t>
      </w:r>
      <w:r w:rsidRPr="008B2270">
        <w:tab/>
        <w:t xml:space="preserve">Estimated External Revenue receipts under section 74 of the </w:t>
      </w:r>
      <w:r w:rsidRPr="008B2270">
        <w:rPr>
          <w:i/>
        </w:rPr>
        <w:t>Public Governance, Performance and Accountability Act 2013</w:t>
      </w:r>
      <w:r w:rsidRPr="008B2270">
        <w:t xml:space="preserve"> (PGPA Act).</w:t>
      </w:r>
      <w:r w:rsidRPr="008B2270">
        <w:tab/>
      </w:r>
      <w:r w:rsidRPr="008B2270">
        <w:tab/>
      </w:r>
    </w:p>
    <w:p w:rsidR="00D24AF7" w:rsidRPr="008B2270" w:rsidRDefault="00D24AF7" w:rsidP="00D24AF7">
      <w:pPr>
        <w:pStyle w:val="ChartandTableFootnote"/>
      </w:pPr>
      <w:r w:rsidRPr="008B2270">
        <w:t>(e)</w:t>
      </w:r>
      <w:r w:rsidRPr="008B2270">
        <w:tab/>
        <w:t xml:space="preserve">Departmental </w:t>
      </w:r>
      <w:r w:rsidR="006467BA">
        <w:t>C</w:t>
      </w:r>
      <w:r w:rsidRPr="008B2270">
        <w:t xml:space="preserve">apital </w:t>
      </w:r>
      <w:r w:rsidR="006467BA">
        <w:t>B</w:t>
      </w:r>
      <w:r w:rsidRPr="008B2270">
        <w:t>udgets are not separately identified in Appropriation Bill (No. 1) and form part of ordinary annual services items. Please refer to Table 3.5 for further details. For accounting purposes, this amount has been designated as a 'contribution by owner'.</w:t>
      </w:r>
      <w:r w:rsidRPr="008B2270">
        <w:tab/>
      </w:r>
      <w:r w:rsidRPr="008B2270">
        <w:tab/>
      </w:r>
    </w:p>
    <w:p w:rsidR="00D24AF7" w:rsidRPr="008B2270" w:rsidRDefault="006467BA" w:rsidP="00D24AF7">
      <w:pPr>
        <w:pStyle w:val="ChartandTableFootnote"/>
      </w:pPr>
      <w:r>
        <w:t>(f</w:t>
      </w:r>
      <w:r w:rsidR="00D24AF7" w:rsidRPr="008B2270">
        <w:t>)</w:t>
      </w:r>
      <w:r w:rsidR="00D24AF7" w:rsidRPr="008B2270">
        <w:tab/>
        <w:t>Excludes $</w:t>
      </w:r>
      <w:r w:rsidR="007073E7">
        <w:t>40.447</w:t>
      </w:r>
      <w:r w:rsidR="00D24AF7" w:rsidRPr="008B2270">
        <w:t> million subject to administrative quarantine by Finance or withheld under section 51 of the PGPA Act.</w:t>
      </w:r>
      <w:r w:rsidR="00D24AF7" w:rsidRPr="008B2270">
        <w:tab/>
      </w:r>
      <w:r w:rsidR="00D24AF7" w:rsidRPr="008B2270">
        <w:tab/>
      </w:r>
    </w:p>
    <w:p w:rsidR="006467BA" w:rsidRPr="008B2270" w:rsidRDefault="006467BA" w:rsidP="006467BA">
      <w:pPr>
        <w:pStyle w:val="ChartandTableFootnote"/>
      </w:pPr>
      <w:r w:rsidRPr="008B2270">
        <w:lastRenderedPageBreak/>
        <w:t>(</w:t>
      </w:r>
      <w:r>
        <w:t>g</w:t>
      </w:r>
      <w:r w:rsidRPr="008B2270">
        <w:t>)</w:t>
      </w:r>
      <w:r w:rsidRPr="008B2270">
        <w:tab/>
        <w:t>Appropriation Bill (No. 2) 2019–20.</w:t>
      </w:r>
      <w:r w:rsidRPr="008B2270">
        <w:tab/>
      </w:r>
      <w:r w:rsidRPr="008B2270">
        <w:tab/>
      </w:r>
    </w:p>
    <w:p w:rsidR="00D24AF7" w:rsidRPr="008B2270" w:rsidRDefault="00D24AF7" w:rsidP="006467BA">
      <w:pPr>
        <w:pStyle w:val="ChartandTableFootnote"/>
      </w:pPr>
      <w:r w:rsidRPr="008B2270">
        <w:t>(h)</w:t>
      </w:r>
      <w:r w:rsidRPr="008B2270">
        <w:tab/>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r w:rsidRPr="008B2270">
        <w:tab/>
      </w:r>
    </w:p>
    <w:p w:rsidR="00CA6102" w:rsidRDefault="00D24AF7" w:rsidP="00D24AF7">
      <w:pPr>
        <w:pStyle w:val="ChartandTableFootnote"/>
      </w:pPr>
      <w:r w:rsidRPr="008B2270">
        <w:t>(i)</w:t>
      </w:r>
      <w:r w:rsidRPr="008B2270">
        <w:tab/>
        <w:t>Amounts credited to the special accounts from Education and Training's an</w:t>
      </w:r>
      <w:r w:rsidR="00CA6102">
        <w:t>nual and special appropriations.</w:t>
      </w:r>
    </w:p>
    <w:p w:rsidR="00D24AF7" w:rsidRPr="008B2270" w:rsidRDefault="00D24AF7" w:rsidP="00D24AF7">
      <w:pPr>
        <w:pStyle w:val="ChartandTableFootnote"/>
      </w:pPr>
      <w:r w:rsidRPr="008B2270">
        <w:t>(j)</w:t>
      </w:r>
      <w:r w:rsidRPr="008B2270">
        <w:tab/>
        <w:t>For the 2019–20 Portfolio Budget Statements, the Government continues to grow its investment in Australian Schools. This includes $66.043 million for payments to states and territories in Appropriation Bill (No. 2), 2019–20 under Outcome 1, for Program 1.3 - Additional Support for Northern Territory Schools ($8.575 million), for Program 1.4 - Adjustment Assistance ($12.458 million); Non-Government Representative Bodies ($40.013 million); and Special Circumstances funding ($2.997 million), and for Program 1.5 - Literacy Support for Tasmanian Students ($2.000</w:t>
      </w:r>
      <w:r w:rsidR="00FA3AB4" w:rsidRPr="008B2270">
        <w:t> million</w:t>
      </w:r>
      <w:r w:rsidRPr="008B2270">
        <w:t xml:space="preserve">). Funding for the Additional Support for Northern Territory Schools is for Northern Territory only. The distribution of the funding under the Non-Government Representative Bodies program is based on advice from the Independent Schools Council of Australia and the National Catholic Education Commission. The distribution of the Adjustment Assistance program will be determined following consideration of applications from eligible schools for national adjustment assistance funding and based on advice from the ACT Catholic system and ACT Association of Independent Schools for assistance to the ACT non-government sector. Funding under the Special Circumstances funding program is for short term emergency assistance and is determined following consideration of applications from schools as events occur. Funding under the Literacy Support for Tasmanian Students is for Tasmania only. Terms and conditions are made under the authority from the </w:t>
      </w:r>
      <w:r w:rsidRPr="008B2270">
        <w:rPr>
          <w:i/>
        </w:rPr>
        <w:t>Australian Education Act 2013</w:t>
      </w:r>
      <w:r w:rsidRPr="008B2270">
        <w:t xml:space="preserve"> and the Australian Education Regulation.</w:t>
      </w:r>
    </w:p>
    <w:p w:rsidR="00D24AF7" w:rsidRPr="008B2270" w:rsidRDefault="00D24AF7" w:rsidP="00D24AF7">
      <w:pPr>
        <w:pStyle w:val="ChartandTableFootnote"/>
      </w:pPr>
      <w:r w:rsidRPr="008B2270">
        <w:t>(k)</w:t>
      </w:r>
      <w:r w:rsidRPr="008B2270">
        <w:tab/>
        <w:t>Paid as a grant from Outcome 1 annual appropriations.</w:t>
      </w:r>
      <w:r w:rsidRPr="008B2270">
        <w:tab/>
      </w:r>
      <w:r w:rsidRPr="008B2270">
        <w:tab/>
      </w:r>
    </w:p>
    <w:p w:rsidR="00CE3F03" w:rsidRPr="008B2270" w:rsidRDefault="00CE3F03" w:rsidP="00D24AF7">
      <w:pPr>
        <w:pStyle w:val="ChartandTableFootnote"/>
        <w:ind w:hanging="424"/>
      </w:pPr>
      <w:r w:rsidRPr="008B2270">
        <w:t>All figures shown above are GST exclusive - these may not match figures in the cash flow statement.</w:t>
      </w:r>
      <w:r w:rsidRPr="008B2270">
        <w:tab/>
      </w:r>
      <w:r w:rsidRPr="008B2270">
        <w:tab/>
      </w:r>
    </w:p>
    <w:p w:rsidR="00CE3F03" w:rsidRPr="008B2270" w:rsidRDefault="00CE3F03" w:rsidP="00CE3F03">
      <w:pPr>
        <w:pStyle w:val="ChartandTableFootnote"/>
      </w:pPr>
      <w:r w:rsidRPr="008B2270">
        <w:t>Prepared on a resourcing (i.e. appropriations available) basis.</w:t>
      </w:r>
      <w:r w:rsidRPr="008B2270">
        <w:tab/>
      </w:r>
      <w:r w:rsidRPr="008B2270">
        <w:tab/>
      </w:r>
    </w:p>
    <w:p w:rsidR="00CE3F03" w:rsidRPr="008B2270" w:rsidRDefault="00CE3F03" w:rsidP="00AD42E2">
      <w:pPr>
        <w:pStyle w:val="Heading3"/>
        <w:spacing w:before="0"/>
      </w:pPr>
      <w:r w:rsidRPr="008B2270">
        <w:br w:type="page"/>
      </w:r>
      <w:bookmarkStart w:id="20" w:name="_Toc444523511"/>
      <w:bookmarkStart w:id="21" w:name="_Toc476145049"/>
      <w:bookmarkStart w:id="22" w:name="DET_1_3"/>
      <w:r w:rsidRPr="008B2270">
        <w:lastRenderedPageBreak/>
        <w:t>1.3</w:t>
      </w:r>
      <w:r w:rsidRPr="008B2270">
        <w:tab/>
        <w:t>Budget measures</w:t>
      </w:r>
      <w:bookmarkEnd w:id="18"/>
      <w:bookmarkEnd w:id="19"/>
      <w:bookmarkEnd w:id="20"/>
      <w:bookmarkEnd w:id="21"/>
      <w:bookmarkEnd w:id="22"/>
    </w:p>
    <w:p w:rsidR="00CE3F03" w:rsidRPr="008B2270" w:rsidRDefault="00CE3F03" w:rsidP="0008449F">
      <w:r w:rsidRPr="008B2270">
        <w:t>Budget measures in Part 1 relating to the Department of Education and Training are detailed in Budget Paper No. 2 and are summarised below.</w:t>
      </w:r>
    </w:p>
    <w:p w:rsidR="00CE3F03" w:rsidRPr="008B2270" w:rsidRDefault="00CE3F03" w:rsidP="00E5444F">
      <w:pPr>
        <w:pStyle w:val="TableHeading"/>
        <w:rPr>
          <w:lang w:val="en-AU"/>
        </w:rPr>
      </w:pPr>
      <w:bookmarkStart w:id="23" w:name="DET_Table_1_2"/>
      <w:r w:rsidRPr="008B2270">
        <w:rPr>
          <w:lang w:val="en-AU"/>
        </w:rPr>
        <w:t>Table 1.2: Department of Education and Training 2019–20 Budget measures</w:t>
      </w:r>
      <w:bookmarkEnd w:id="23"/>
    </w:p>
    <w:p w:rsidR="00CE3F03" w:rsidRPr="008B2270" w:rsidRDefault="00CE3F03" w:rsidP="00E5444F">
      <w:pPr>
        <w:pStyle w:val="TableHeadingcontinued"/>
      </w:pPr>
      <w:r w:rsidRPr="008B2270">
        <w:t>Part 1: Measures announced since the 2018–19 Mid-Year Economic and Fiscal Outlook (MYEFO)</w:t>
      </w:r>
    </w:p>
    <w:p w:rsidR="00CE3F03" w:rsidRPr="008B2270" w:rsidRDefault="00091B5C" w:rsidP="00594C84">
      <w:pPr>
        <w:pStyle w:val="ChartGraphic"/>
        <w:rPr>
          <w:noProof w:val="0"/>
        </w:rPr>
      </w:pPr>
      <w:r w:rsidRPr="00091B5C">
        <w:drawing>
          <wp:inline distT="0" distB="0" distL="0" distR="0">
            <wp:extent cx="4895850" cy="5875385"/>
            <wp:effectExtent l="0" t="0" r="0" b="0"/>
            <wp:docPr id="9" name="Picture 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5875385"/>
                    </a:xfrm>
                    <a:prstGeom prst="rect">
                      <a:avLst/>
                    </a:prstGeom>
                    <a:noFill/>
                    <a:ln>
                      <a:noFill/>
                    </a:ln>
                  </pic:spPr>
                </pic:pic>
              </a:graphicData>
            </a:graphic>
          </wp:inline>
        </w:drawing>
      </w:r>
    </w:p>
    <w:p w:rsidR="00CE3F03" w:rsidRPr="008B2270" w:rsidRDefault="00CE3F03">
      <w:pPr>
        <w:spacing w:after="0" w:line="240" w:lineRule="auto"/>
        <w:jc w:val="left"/>
        <w:rPr>
          <w:rFonts w:ascii="Arial" w:hAnsi="Arial"/>
        </w:rPr>
      </w:pPr>
      <w:r w:rsidRPr="008B2270">
        <w:br w:type="page"/>
      </w:r>
    </w:p>
    <w:p w:rsidR="00CE3F03" w:rsidRPr="008B2270" w:rsidRDefault="00CE3F03" w:rsidP="00594C84">
      <w:pPr>
        <w:pStyle w:val="TableHeadingcontinued"/>
      </w:pPr>
      <w:r w:rsidRPr="008B2270">
        <w:lastRenderedPageBreak/>
        <w:t>Table 1.2: Department of Education and Training 2019–20 Budget measures (continued)</w:t>
      </w:r>
    </w:p>
    <w:p w:rsidR="00CE3F03" w:rsidRPr="008B2270" w:rsidRDefault="00091B5C" w:rsidP="00594C84">
      <w:pPr>
        <w:pStyle w:val="ChartGraphic"/>
        <w:rPr>
          <w:noProof w:val="0"/>
        </w:rPr>
      </w:pPr>
      <w:r w:rsidRPr="00091B5C">
        <w:drawing>
          <wp:inline distT="0" distB="0" distL="0" distR="0">
            <wp:extent cx="4895850" cy="5681671"/>
            <wp:effectExtent l="0" t="0" r="0" b="0"/>
            <wp:docPr id="10" name="Picture 1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5681671"/>
                    </a:xfrm>
                    <a:prstGeom prst="rect">
                      <a:avLst/>
                    </a:prstGeom>
                    <a:noFill/>
                    <a:ln>
                      <a:noFill/>
                    </a:ln>
                  </pic:spPr>
                </pic:pic>
              </a:graphicData>
            </a:graphic>
          </wp:inline>
        </w:drawing>
      </w:r>
    </w:p>
    <w:p w:rsidR="00CE3F03" w:rsidRPr="008B2270" w:rsidRDefault="00CE3F03">
      <w:pPr>
        <w:spacing w:after="0" w:line="240" w:lineRule="auto"/>
        <w:jc w:val="left"/>
        <w:rPr>
          <w:rFonts w:ascii="Arial Bold" w:hAnsi="Arial Bold"/>
          <w:b/>
        </w:rPr>
      </w:pPr>
      <w:r w:rsidRPr="008B2270">
        <w:br w:type="page"/>
      </w:r>
    </w:p>
    <w:p w:rsidR="00CE3F03" w:rsidRPr="008B2270" w:rsidRDefault="00CE3F03" w:rsidP="00594C84">
      <w:pPr>
        <w:pStyle w:val="TableHeadingcontinued"/>
      </w:pPr>
      <w:r w:rsidRPr="008B2270">
        <w:lastRenderedPageBreak/>
        <w:t>Table 1.2: Department of Education and Training 2019–20 Budget measures (continued)</w:t>
      </w:r>
    </w:p>
    <w:p w:rsidR="00CE3F03" w:rsidRPr="008B2270" w:rsidRDefault="00091B5C" w:rsidP="00594C84">
      <w:pPr>
        <w:pStyle w:val="ChartGraphic"/>
      </w:pPr>
      <w:r w:rsidRPr="00091B5C">
        <w:drawing>
          <wp:inline distT="0" distB="0" distL="0" distR="0">
            <wp:extent cx="4895850" cy="4130740"/>
            <wp:effectExtent l="0" t="0" r="0" b="3175"/>
            <wp:docPr id="19" name="Picture 1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4130740"/>
                    </a:xfrm>
                    <a:prstGeom prst="rect">
                      <a:avLst/>
                    </a:prstGeom>
                    <a:noFill/>
                    <a:ln>
                      <a:noFill/>
                    </a:ln>
                  </pic:spPr>
                </pic:pic>
              </a:graphicData>
            </a:graphic>
          </wp:inline>
        </w:drawing>
      </w:r>
    </w:p>
    <w:p w:rsidR="00CA6102" w:rsidRDefault="007C59CC" w:rsidP="00CA6102">
      <w:pPr>
        <w:pStyle w:val="ChartandTableFootnotenotab"/>
      </w:pPr>
      <w:bookmarkStart w:id="24" w:name="_Toc444523512"/>
      <w:bookmarkStart w:id="25" w:name="_Toc476145050"/>
      <w:bookmarkStart w:id="26" w:name="_Toc190682312"/>
      <w:bookmarkStart w:id="27" w:name="_Toc190682530"/>
      <w:r>
        <w:t>Prepared on a Government Finance Statistics (fiscal) basis. Figures displayed in brackets are negative and represent a decrease in funds. Non-bracketed figures are positive and represent an increase in funds.</w:t>
      </w:r>
    </w:p>
    <w:p w:rsidR="007C59CC" w:rsidRPr="007C59CC" w:rsidRDefault="007C59CC" w:rsidP="00CA6102">
      <w:pPr>
        <w:pStyle w:val="ChartandTableFootnotenotab"/>
      </w:pPr>
      <w:r w:rsidRPr="007C59CC">
        <w:t xml:space="preserve">(a) </w:t>
      </w:r>
      <w:r>
        <w:tab/>
      </w:r>
      <w:r w:rsidRPr="007C59CC">
        <w:t>This measure has financial impacts for the Australian Tax Office. Refer to the Treasury 2019</w:t>
      </w:r>
      <w:r>
        <w:t>–</w:t>
      </w:r>
      <w:r w:rsidRPr="007C59CC">
        <w:t xml:space="preserve">20 </w:t>
      </w:r>
      <w:r w:rsidR="00CA6102">
        <w:t>Portfolio Budget Statements.</w:t>
      </w:r>
    </w:p>
    <w:p w:rsidR="00CA6102" w:rsidRDefault="007C59CC" w:rsidP="00061454">
      <w:pPr>
        <w:pStyle w:val="ChartandTableFootnote"/>
      </w:pPr>
      <w:r>
        <w:t>(b)</w:t>
      </w:r>
      <w:r>
        <w:tab/>
      </w:r>
      <w:r w:rsidRPr="007C59CC">
        <w:t>The Department of the Treasury will administer payments to states and territories for this measure. Refer to the Treasury 2019</w:t>
      </w:r>
      <w:r>
        <w:t>–</w:t>
      </w:r>
      <w:r w:rsidRPr="007C59CC">
        <w:t>20 Portfolio Budget Statements.</w:t>
      </w:r>
    </w:p>
    <w:p w:rsidR="00CA6102" w:rsidRDefault="007C59CC" w:rsidP="00061454">
      <w:pPr>
        <w:pStyle w:val="ChartandTableFootnote"/>
      </w:pPr>
      <w:r w:rsidRPr="007C59CC">
        <w:t xml:space="preserve">(c) </w:t>
      </w:r>
      <w:r>
        <w:tab/>
      </w:r>
      <w:r w:rsidR="00061454">
        <w:tab/>
        <w:t>This measure has financial impacts for the Department of Jobs and Small Business. Refer to the Jobs and Small Business 2019–20 Portfolio Budget Statements.</w:t>
      </w:r>
    </w:p>
    <w:p w:rsidR="00CA6102" w:rsidRDefault="00061454" w:rsidP="00061454">
      <w:pPr>
        <w:pStyle w:val="ChartandTableFootnote"/>
      </w:pPr>
      <w:r>
        <w:t>(</w:t>
      </w:r>
      <w:r w:rsidR="00091B5C">
        <w:t>d</w:t>
      </w:r>
      <w:r>
        <w:t>)</w:t>
      </w:r>
      <w:r>
        <w:tab/>
        <w:t>The Government decided not to proceed with this measure as included in the Education and Training 2018–19 Portfolio Additional Estimates Statement.</w:t>
      </w:r>
    </w:p>
    <w:p w:rsidR="007C59CC" w:rsidRDefault="00061454" w:rsidP="00CA6102">
      <w:pPr>
        <w:pStyle w:val="ChartandTableFootnote"/>
      </w:pPr>
      <w:r>
        <w:t>(</w:t>
      </w:r>
      <w:r w:rsidR="00091B5C">
        <w:t>e</w:t>
      </w:r>
      <w:r>
        <w:t>)</w:t>
      </w:r>
      <w:r>
        <w:tab/>
        <w:t xml:space="preserve">The 2019–20 Budget Paper No. 2 includes the measure Trades Recognition Australia </w:t>
      </w:r>
      <w:r w:rsidR="00E775E3">
        <w:t>–</w:t>
      </w:r>
      <w:r>
        <w:t xml:space="preserve"> full cost recovery. This measure was published in the Education and Training 2018–19 Portfolio Additional Estimates Statements.</w:t>
      </w:r>
    </w:p>
    <w:p w:rsidR="00CA6102" w:rsidRPr="00CA6102" w:rsidRDefault="00CA6102" w:rsidP="00CA6102">
      <w:pPr>
        <w:rPr>
          <w:lang w:eastAsia="x-none"/>
        </w:rPr>
      </w:pPr>
    </w:p>
    <w:p w:rsidR="00CE3F03" w:rsidRPr="008B2270" w:rsidRDefault="00CE3F03" w:rsidP="00646B71">
      <w:pPr>
        <w:rPr>
          <w:lang w:eastAsia="x-none"/>
        </w:rPr>
        <w:sectPr w:rsidR="00CE3F03" w:rsidRPr="008B2270" w:rsidSect="00594C84">
          <w:headerReference w:type="even" r:id="rId24"/>
          <w:headerReference w:type="default" r:id="rId25"/>
          <w:headerReference w:type="first" r:id="rId26"/>
          <w:footerReference w:type="first" r:id="rId27"/>
          <w:pgSz w:w="11906" w:h="16838" w:code="9"/>
          <w:pgMar w:top="2466" w:right="2098" w:bottom="2466" w:left="2098" w:header="1899" w:footer="1899" w:gutter="0"/>
          <w:cols w:space="708"/>
          <w:titlePg/>
          <w:docGrid w:linePitch="360"/>
        </w:sectPr>
      </w:pPr>
    </w:p>
    <w:p w:rsidR="00CE3F03" w:rsidRPr="008B2270" w:rsidRDefault="00CE3F03" w:rsidP="00CE3F03">
      <w:pPr>
        <w:pStyle w:val="Heading2"/>
      </w:pPr>
      <w:bookmarkStart w:id="28" w:name="DET_2_0"/>
      <w:bookmarkStart w:id="29" w:name="_Toc444523513"/>
      <w:bookmarkStart w:id="30" w:name="_Toc476145051"/>
      <w:bookmarkEnd w:id="24"/>
      <w:bookmarkEnd w:id="25"/>
      <w:bookmarkEnd w:id="26"/>
      <w:bookmarkEnd w:id="27"/>
      <w:r w:rsidRPr="008B2270">
        <w:lastRenderedPageBreak/>
        <w:t>Section 2: Outcomes and planned performance</w:t>
      </w:r>
      <w:bookmarkEnd w:id="28"/>
    </w:p>
    <w:p w:rsidR="00CE3F03" w:rsidRPr="008B2270" w:rsidRDefault="00CE3F03" w:rsidP="00CE3F03">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CE3F03">
      <w:r w:rsidRPr="008B2270">
        <w:t xml:space="preserve">Each outcome is described below together with its related programs. Detailed information on expenses for each outcome and program is also provided, further broken down by funding source. </w:t>
      </w:r>
    </w:p>
    <w:p w:rsidR="00CE3F03" w:rsidRPr="008B2270" w:rsidRDefault="00CE3F03" w:rsidP="00CE3F03">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CE3F03">
      <w:pPr>
        <w:pBdr>
          <w:top w:val="single" w:sz="2" w:space="6" w:color="auto"/>
          <w:left w:val="single" w:sz="2" w:space="4" w:color="auto"/>
          <w:bottom w:val="single" w:sz="2" w:space="6" w:color="auto"/>
          <w:right w:val="single" w:sz="2" w:space="4" w:color="auto"/>
        </w:pBdr>
      </w:pPr>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CE3F03" w:rsidRPr="008B2270" w:rsidRDefault="00CE3F03" w:rsidP="00CE3F03">
      <w:pPr>
        <w:pBdr>
          <w:top w:val="single" w:sz="2" w:space="6" w:color="auto"/>
          <w:left w:val="single" w:sz="2" w:space="4" w:color="auto"/>
          <w:bottom w:val="single" w:sz="2" w:space="6" w:color="auto"/>
          <w:right w:val="single" w:sz="2" w:space="4" w:color="auto"/>
        </w:pBdr>
      </w:pPr>
      <w:r w:rsidRPr="008B2270">
        <w:t xml:space="preserve">The most recent corporate plan for the Department of Education and Training can be found at: </w:t>
      </w:r>
      <w:hyperlink r:id="rId28" w:history="1">
        <w:r w:rsidRPr="008B2270">
          <w:rPr>
            <w:rStyle w:val="Hyperlink"/>
          </w:rPr>
          <w:t>education.gov.au/corporate-plan</w:t>
        </w:r>
      </w:hyperlink>
    </w:p>
    <w:p w:rsidR="00CE3F03" w:rsidRPr="008B2270" w:rsidRDefault="00CE3F03" w:rsidP="00CE3F03">
      <w:pPr>
        <w:pBdr>
          <w:top w:val="single" w:sz="2" w:space="6" w:color="auto"/>
          <w:left w:val="single" w:sz="2" w:space="4" w:color="auto"/>
          <w:bottom w:val="single" w:sz="2" w:space="6" w:color="auto"/>
          <w:right w:val="single" w:sz="2" w:space="4" w:color="auto"/>
        </w:pBdr>
      </w:pPr>
      <w:r w:rsidRPr="008B2270">
        <w:t xml:space="preserve">The most recent annual performance statement can be found in the Department of Education and Training Annual Report at: </w:t>
      </w:r>
      <w:hyperlink r:id="rId29" w:history="1">
        <w:r w:rsidRPr="008B2270">
          <w:rPr>
            <w:rStyle w:val="Hyperlink"/>
          </w:rPr>
          <w:t>education.gov.au/annual-reports</w:t>
        </w:r>
      </w:hyperlink>
    </w:p>
    <w:p w:rsidR="00CE3F03" w:rsidRPr="008B2270" w:rsidRDefault="00CE3F03">
      <w:pPr>
        <w:spacing w:after="0" w:line="240" w:lineRule="auto"/>
        <w:jc w:val="left"/>
      </w:pPr>
      <w:r w:rsidRPr="008B2270">
        <w:br w:type="page"/>
      </w:r>
    </w:p>
    <w:p w:rsidR="00CE3F03" w:rsidRPr="008B2270" w:rsidRDefault="00CE3F03" w:rsidP="00CE3F03">
      <w:pPr>
        <w:pStyle w:val="FigureHeading"/>
      </w:pPr>
      <w:r w:rsidRPr="008B2270">
        <w:lastRenderedPageBreak/>
        <w:t>Figure 2: Department of Education and Training Outcome 1 changes to program numbering</w:t>
      </w:r>
    </w:p>
    <w:p w:rsidR="00CE3F03" w:rsidRPr="008B2270" w:rsidRDefault="00CE3F03" w:rsidP="00CE3F03">
      <w:r w:rsidRPr="008B2270">
        <w:t>The numbering of the programs of Outcome 1 has changed since the publication of the Portfolio Additional Estimates Statements 2018–19. The change reflects that the previously published ‘</w:t>
      </w:r>
      <w:r w:rsidRPr="008B2270">
        <w:tab/>
        <w:t>Program 1.2: Child Care Benefit’ and ‘</w:t>
      </w:r>
      <w:r w:rsidRPr="008B2270">
        <w:tab/>
        <w:t>Program 1.3: Child Care Rebate’ have ceased and do not appear in these Portfolio Budget Statements. There is no change to the program structure for Outcome 2.</w:t>
      </w:r>
    </w:p>
    <w:tbl>
      <w:tblPr>
        <w:tblW w:w="7992" w:type="dxa"/>
        <w:tblLook w:val="04A0" w:firstRow="1" w:lastRow="0" w:firstColumn="1" w:lastColumn="0" w:noHBand="0" w:noVBand="1"/>
      </w:tblPr>
      <w:tblGrid>
        <w:gridCol w:w="3288"/>
        <w:gridCol w:w="236"/>
        <w:gridCol w:w="236"/>
        <w:gridCol w:w="236"/>
        <w:gridCol w:w="236"/>
        <w:gridCol w:w="236"/>
        <w:gridCol w:w="236"/>
        <w:gridCol w:w="3288"/>
      </w:tblGrid>
      <w:tr w:rsidR="00CE3F03" w:rsidRPr="008B2270" w:rsidTr="00CE3F03">
        <w:trPr>
          <w:trHeight w:val="300"/>
        </w:trPr>
        <w:tc>
          <w:tcPr>
            <w:tcW w:w="32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E3F03" w:rsidRPr="008B2270" w:rsidRDefault="00CE3F03" w:rsidP="00CE3F03">
            <w:pPr>
              <w:pStyle w:val="PBS16TableNormalHeading"/>
              <w:spacing w:before="120" w:after="120"/>
            </w:pPr>
            <w:r w:rsidRPr="008B2270">
              <w:t>Outcome 1 programs at Budget 2018–19</w:t>
            </w:r>
          </w:p>
        </w:tc>
        <w:tc>
          <w:tcPr>
            <w:tcW w:w="236" w:type="dxa"/>
            <w:tcBorders>
              <w:top w:val="nil"/>
              <w:left w:val="single" w:sz="4" w:space="0" w:color="auto"/>
              <w:right w:val="nil"/>
            </w:tcBorders>
            <w:vAlign w:val="center"/>
          </w:tcPr>
          <w:p w:rsidR="00CE3F03" w:rsidRPr="008B2270" w:rsidRDefault="00CE3F03" w:rsidP="00CE3F03">
            <w:pPr>
              <w:pStyle w:val="PBS16TableNormal"/>
              <w:spacing w:before="120" w:after="120"/>
              <w:jc w:val="center"/>
            </w:pPr>
          </w:p>
        </w:tc>
        <w:tc>
          <w:tcPr>
            <w:tcW w:w="236" w:type="dxa"/>
            <w:tcBorders>
              <w:top w:val="nil"/>
              <w:left w:val="nil"/>
              <w:right w:val="nil"/>
            </w:tcBorders>
            <w:vAlign w:val="center"/>
          </w:tcPr>
          <w:p w:rsidR="00CE3F03" w:rsidRPr="008B2270" w:rsidRDefault="00CE3F03" w:rsidP="00CE3F03">
            <w:pPr>
              <w:pStyle w:val="PBS16TableNormal"/>
              <w:spacing w:before="120" w:after="120"/>
              <w:jc w:val="center"/>
            </w:pPr>
          </w:p>
        </w:tc>
        <w:tc>
          <w:tcPr>
            <w:tcW w:w="236" w:type="dxa"/>
            <w:tcBorders>
              <w:top w:val="nil"/>
              <w:left w:val="nil"/>
              <w:right w:val="nil"/>
            </w:tcBorders>
            <w:vAlign w:val="center"/>
          </w:tcPr>
          <w:p w:rsidR="00CE3F03" w:rsidRPr="008B2270" w:rsidRDefault="00CE3F03" w:rsidP="00CE3F03">
            <w:pPr>
              <w:pStyle w:val="PBS16TableNormal"/>
              <w:spacing w:before="120" w:after="120"/>
              <w:jc w:val="center"/>
            </w:pPr>
          </w:p>
        </w:tc>
        <w:tc>
          <w:tcPr>
            <w:tcW w:w="236" w:type="dxa"/>
            <w:tcBorders>
              <w:top w:val="nil"/>
              <w:left w:val="nil"/>
              <w:right w:val="nil"/>
            </w:tcBorders>
            <w:vAlign w:val="center"/>
          </w:tcPr>
          <w:p w:rsidR="00CE3F03" w:rsidRPr="008B2270" w:rsidRDefault="00CE3F03" w:rsidP="00CE3F03">
            <w:pPr>
              <w:pStyle w:val="PBS16TableNormal"/>
              <w:spacing w:before="120" w:after="120"/>
              <w:jc w:val="center"/>
            </w:pPr>
          </w:p>
        </w:tc>
        <w:tc>
          <w:tcPr>
            <w:tcW w:w="236" w:type="dxa"/>
            <w:tcBorders>
              <w:top w:val="nil"/>
              <w:left w:val="nil"/>
              <w:right w:val="nil"/>
            </w:tcBorders>
          </w:tcPr>
          <w:p w:rsidR="00CE3F03" w:rsidRPr="008B2270" w:rsidRDefault="00CE3F03" w:rsidP="00CE3F03">
            <w:pPr>
              <w:pStyle w:val="PBS16TableNormal"/>
              <w:spacing w:before="120" w:after="120"/>
              <w:jc w:val="center"/>
            </w:pPr>
          </w:p>
        </w:tc>
        <w:tc>
          <w:tcPr>
            <w:tcW w:w="236" w:type="dxa"/>
            <w:tcBorders>
              <w:top w:val="nil"/>
              <w:left w:val="nil"/>
              <w:right w:val="single" w:sz="4" w:space="0" w:color="auto"/>
            </w:tcBorders>
            <w:shd w:val="clear" w:color="auto" w:fill="auto"/>
            <w:vAlign w:val="center"/>
            <w:hideMark/>
          </w:tcPr>
          <w:p w:rsidR="00CE3F03" w:rsidRPr="008B2270" w:rsidRDefault="00CE3F03" w:rsidP="00CE3F03">
            <w:pPr>
              <w:pStyle w:val="PBS16TableNormal"/>
              <w:spacing w:before="120" w:after="120"/>
              <w:jc w:val="center"/>
            </w:pPr>
          </w:p>
        </w:tc>
        <w:tc>
          <w:tcPr>
            <w:tcW w:w="328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E3F03" w:rsidRPr="008B2270" w:rsidRDefault="00CE3F03" w:rsidP="00CE3F03">
            <w:pPr>
              <w:pStyle w:val="PBS16TableNormalHeading"/>
              <w:spacing w:before="120" w:after="120"/>
            </w:pPr>
            <w:r w:rsidRPr="008B2270">
              <w:t>Outcome 1 programs at Budget 2019–20</w:t>
            </w: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
              <w:jc w:val="center"/>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
              <w:jc w:val="center"/>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
              <w:jc w:val="center"/>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
              <w:jc w:val="center"/>
              <w:rPr>
                <w:sz w:val="2"/>
              </w:rPr>
            </w:pPr>
          </w:p>
        </w:tc>
        <w:tc>
          <w:tcPr>
            <w:tcW w:w="236" w:type="dxa"/>
            <w:tcBorders>
              <w:top w:val="nil"/>
              <w:left w:val="nil"/>
              <w:right w:val="nil"/>
            </w:tcBorders>
            <w:shd w:val="clear" w:color="auto" w:fill="auto"/>
          </w:tcPr>
          <w:p w:rsidR="00CE3F03" w:rsidRPr="008B2270" w:rsidRDefault="00CE3F03" w:rsidP="00CE3F03">
            <w:pPr>
              <w:pStyle w:val="PBS16TableNormal"/>
              <w:jc w:val="center"/>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
              <w:jc w:val="center"/>
              <w:rPr>
                <w:sz w:val="2"/>
              </w:rPr>
            </w:pPr>
          </w:p>
        </w:tc>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1.1: Support for the Child Care System</w:t>
            </w:r>
          </w:p>
        </w:tc>
        <w:tc>
          <w:tcPr>
            <w:tcW w:w="236" w:type="dxa"/>
            <w:tcBorders>
              <w:top w:val="nil"/>
              <w:left w:val="single" w:sz="4" w:space="0" w:color="auto"/>
              <w:bottom w:val="single" w:sz="4" w:space="0" w:color="auto"/>
              <w:right w:val="nil"/>
            </w:tcBorders>
            <w:vAlign w:val="center"/>
          </w:tcPr>
          <w:p w:rsidR="00CE3F03" w:rsidRPr="008B2270" w:rsidRDefault="00CE3F03" w:rsidP="00CE3F03">
            <w:pPr>
              <w:pStyle w:val="PBS16TableNormal"/>
              <w:jc w:val="center"/>
            </w:pPr>
          </w:p>
        </w:tc>
        <w:tc>
          <w:tcPr>
            <w:tcW w:w="236" w:type="dxa"/>
            <w:tcBorders>
              <w:top w:val="nil"/>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top w:val="nil"/>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top w:val="nil"/>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top w:val="nil"/>
              <w:left w:val="nil"/>
              <w:bottom w:val="single" w:sz="4" w:space="0" w:color="auto"/>
              <w:right w:val="nil"/>
            </w:tcBorders>
          </w:tcPr>
          <w:p w:rsidR="00CE3F03" w:rsidRPr="008B2270" w:rsidRDefault="00CE3F03" w:rsidP="00CE3F03">
            <w:pPr>
              <w:pStyle w:val="PBS16TableNormal"/>
              <w:jc w:val="center"/>
            </w:pPr>
          </w:p>
        </w:tc>
        <w:tc>
          <w:tcPr>
            <w:tcW w:w="236" w:type="dxa"/>
            <w:tcBorders>
              <w:top w:val="nil"/>
              <w:left w:val="nil"/>
              <w:bottom w:val="single" w:sz="4" w:space="0" w:color="auto"/>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1.1: Support for the Child Care System</w:t>
            </w: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c>
          <w:tcPr>
            <w:tcW w:w="236" w:type="dxa"/>
            <w:tcBorders>
              <w:top w:val="single" w:sz="4" w:space="0" w:color="auto"/>
              <w:left w:val="single" w:sz="4" w:space="0" w:color="auto"/>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tcPr>
          <w:p w:rsidR="00CE3F03" w:rsidRPr="008B2270" w:rsidRDefault="00CE3F03" w:rsidP="00CE3F03">
            <w:pPr>
              <w:pStyle w:val="PBS16TableNormal"/>
              <w:jc w:val="center"/>
            </w:pPr>
          </w:p>
        </w:tc>
        <w:tc>
          <w:tcPr>
            <w:tcW w:w="236" w:type="dxa"/>
            <w:tcBorders>
              <w:top w:val="single" w:sz="4" w:space="0" w:color="auto"/>
              <w:left w:val="nil"/>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E3F03" w:rsidRPr="008B2270" w:rsidRDefault="00CE3F03" w:rsidP="00CE3F03">
            <w:pPr>
              <w:pStyle w:val="PBS16TableNormal"/>
            </w:pPr>
            <w:r w:rsidRPr="008B2270">
              <w:t>Program 1.2: Child Care Benefit</w:t>
            </w:r>
          </w:p>
        </w:tc>
        <w:tc>
          <w:tcPr>
            <w:tcW w:w="236" w:type="dxa"/>
            <w:tcBorders>
              <w:top w:val="nil"/>
              <w:left w:val="single" w:sz="4" w:space="0" w:color="auto"/>
              <w:bottom w:val="nil"/>
              <w:right w:val="nil"/>
            </w:tcBorders>
            <w:vAlign w:val="center"/>
          </w:tcPr>
          <w:p w:rsidR="00CE3F03" w:rsidRPr="008B2270" w:rsidRDefault="00CE3F03" w:rsidP="00CE3F03">
            <w:pPr>
              <w:pStyle w:val="PBS16TableNormal"/>
              <w:jc w:val="center"/>
            </w:pPr>
          </w:p>
        </w:tc>
        <w:tc>
          <w:tcPr>
            <w:tcW w:w="236" w:type="dxa"/>
            <w:tcBorders>
              <w:top w:val="nil"/>
              <w:left w:val="nil"/>
              <w:bottom w:val="nil"/>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tcPr>
          <w:p w:rsidR="00CE3F03" w:rsidRPr="008B2270" w:rsidRDefault="00CE3F03" w:rsidP="00CE3F03">
            <w:pPr>
              <w:pStyle w:val="PBS16TableNormal"/>
              <w:jc w:val="center"/>
            </w:pPr>
          </w:p>
        </w:tc>
        <w:tc>
          <w:tcPr>
            <w:tcW w:w="236" w:type="dxa"/>
            <w:tcBorders>
              <w:left w:val="nil"/>
              <w:bottom w:val="single" w:sz="4" w:space="0" w:color="auto"/>
              <w:right w:val="single" w:sz="4" w:space="0" w:color="auto"/>
            </w:tcBorders>
            <w:shd w:val="clear" w:color="auto" w:fill="auto"/>
            <w:vAlign w:val="center"/>
            <w:hideMark/>
          </w:tcPr>
          <w:p w:rsidR="00CE3F03" w:rsidRPr="008B2270" w:rsidRDefault="00CE3F03" w:rsidP="00CE3F03">
            <w:pPr>
              <w:pStyle w:val="PBS16TableNormal"/>
              <w:jc w:val="center"/>
            </w:pP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1.2: Child Care Subsidy</w:t>
            </w: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E3F03" w:rsidRPr="008B2270" w:rsidRDefault="00CE3F03" w:rsidP="00CE3F03">
            <w:pPr>
              <w:pStyle w:val="PBS16TableNormal"/>
            </w:pPr>
          </w:p>
        </w:tc>
        <w:tc>
          <w:tcPr>
            <w:tcW w:w="236" w:type="dxa"/>
            <w:tcBorders>
              <w:top w:val="nil"/>
              <w:left w:val="single" w:sz="4" w:space="0" w:color="auto"/>
              <w:bottom w:val="nil"/>
              <w:right w:val="nil"/>
            </w:tcBorders>
            <w:vAlign w:val="center"/>
          </w:tcPr>
          <w:p w:rsidR="00CE3F03" w:rsidRPr="008B2270" w:rsidRDefault="00CE3F03" w:rsidP="00CE3F03">
            <w:pPr>
              <w:pStyle w:val="PBS16TableNormal"/>
              <w:jc w:val="center"/>
            </w:pPr>
          </w:p>
        </w:tc>
        <w:tc>
          <w:tcPr>
            <w:tcW w:w="236" w:type="dxa"/>
            <w:vMerge w:val="restart"/>
            <w:tcBorders>
              <w:top w:val="nil"/>
              <w:left w:val="nil"/>
              <w:right w:val="nil"/>
              <w:tr2bl w:val="single" w:sz="4" w:space="0" w:color="auto"/>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tcPr>
          <w:p w:rsidR="00CE3F03" w:rsidRPr="008B2270" w:rsidRDefault="00CE3F03" w:rsidP="00CE3F03">
            <w:pPr>
              <w:pStyle w:val="PBS16TableNormal"/>
              <w:jc w:val="center"/>
            </w:pPr>
          </w:p>
        </w:tc>
        <w:tc>
          <w:tcPr>
            <w:tcW w:w="236" w:type="dxa"/>
            <w:tcBorders>
              <w:top w:val="single" w:sz="4" w:space="0" w:color="auto"/>
              <w:left w:val="nil"/>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E3F03" w:rsidRPr="008B2270" w:rsidRDefault="00CE3F03" w:rsidP="00CE3F03">
            <w:pPr>
              <w:pStyle w:val="PBS16TableNormal"/>
            </w:pPr>
            <w:r w:rsidRPr="008B2270">
              <w:t>Program 1.3: Child Care Rebate</w:t>
            </w:r>
          </w:p>
        </w:tc>
        <w:tc>
          <w:tcPr>
            <w:tcW w:w="236" w:type="dxa"/>
            <w:tcBorders>
              <w:top w:val="nil"/>
              <w:left w:val="single" w:sz="4" w:space="0" w:color="auto"/>
              <w:bottom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tcBorders>
              <w:top w:val="nil"/>
              <w:left w:val="nil"/>
              <w:bottom w:val="nil"/>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tcPr>
          <w:p w:rsidR="00CE3F03" w:rsidRPr="008B2270" w:rsidRDefault="00CE3F03" w:rsidP="00CE3F03">
            <w:pPr>
              <w:pStyle w:val="PBS16TableNormal"/>
              <w:jc w:val="center"/>
            </w:pPr>
          </w:p>
        </w:tc>
        <w:tc>
          <w:tcPr>
            <w:tcW w:w="236" w:type="dxa"/>
            <w:tcBorders>
              <w:left w:val="nil"/>
              <w:bottom w:val="single" w:sz="4" w:space="0" w:color="auto"/>
              <w:right w:val="single" w:sz="4" w:space="0" w:color="auto"/>
            </w:tcBorders>
            <w:shd w:val="clear" w:color="auto" w:fill="auto"/>
            <w:vAlign w:val="center"/>
            <w:hideMark/>
          </w:tcPr>
          <w:p w:rsidR="00CE3F03" w:rsidRPr="008B2270" w:rsidRDefault="00CE3F03" w:rsidP="00CE3F03">
            <w:pPr>
              <w:pStyle w:val="PBS16TableNormal"/>
              <w:jc w:val="center"/>
            </w:pP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1.3: Government Schools National Support</w:t>
            </w: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CE3F03" w:rsidRPr="008B2270" w:rsidRDefault="00CE3F03" w:rsidP="00CE3F03">
            <w:pPr>
              <w:pStyle w:val="PBS16TableNormal"/>
            </w:pPr>
          </w:p>
        </w:tc>
        <w:tc>
          <w:tcPr>
            <w:tcW w:w="236" w:type="dxa"/>
            <w:tcBorders>
              <w:top w:val="nil"/>
              <w:left w:val="single" w:sz="4" w:space="0" w:color="auto"/>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vMerge w:val="restart"/>
            <w:tcBorders>
              <w:top w:val="nil"/>
              <w:left w:val="nil"/>
              <w:right w:val="nil"/>
              <w:tr2bl w:val="single" w:sz="4" w:space="0" w:color="auto"/>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tcPr>
          <w:p w:rsidR="00CE3F03" w:rsidRPr="008B2270" w:rsidRDefault="00CE3F03" w:rsidP="00CE3F03">
            <w:pPr>
              <w:pStyle w:val="PBS16TableNormal"/>
              <w:jc w:val="center"/>
            </w:pPr>
          </w:p>
        </w:tc>
        <w:tc>
          <w:tcPr>
            <w:tcW w:w="236" w:type="dxa"/>
            <w:tcBorders>
              <w:top w:val="single" w:sz="4" w:space="0" w:color="auto"/>
              <w:left w:val="nil"/>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1.4: Child Care Subsidy</w:t>
            </w:r>
          </w:p>
        </w:tc>
        <w:tc>
          <w:tcPr>
            <w:tcW w:w="236" w:type="dxa"/>
            <w:tcBorders>
              <w:left w:val="single" w:sz="4" w:space="0" w:color="auto"/>
              <w:bottom w:val="single" w:sz="4" w:space="0" w:color="auto"/>
              <w:right w:val="nil"/>
            </w:tcBorders>
            <w:vAlign w:val="center"/>
          </w:tcPr>
          <w:p w:rsidR="00CE3F03" w:rsidRPr="008B2270" w:rsidRDefault="00CE3F03" w:rsidP="00CE3F03">
            <w:pPr>
              <w:pStyle w:val="PBS16TableNormal"/>
              <w:jc w:val="center"/>
            </w:pPr>
          </w:p>
        </w:tc>
        <w:tc>
          <w:tcPr>
            <w:tcW w:w="236" w:type="dxa"/>
            <w:vMerge/>
            <w:tcBorders>
              <w:left w:val="nil"/>
              <w:bottom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tcBorders>
              <w:top w:val="nil"/>
              <w:left w:val="nil"/>
              <w:bottom w:val="nil"/>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tcPr>
          <w:p w:rsidR="00CE3F03" w:rsidRPr="008B2270" w:rsidRDefault="00CE3F03" w:rsidP="00CE3F03">
            <w:pPr>
              <w:pStyle w:val="PBS16TableNormal"/>
              <w:jc w:val="center"/>
            </w:pPr>
          </w:p>
        </w:tc>
        <w:tc>
          <w:tcPr>
            <w:tcW w:w="236" w:type="dxa"/>
            <w:tcBorders>
              <w:left w:val="nil"/>
              <w:bottom w:val="single" w:sz="4" w:space="0" w:color="auto"/>
              <w:right w:val="single" w:sz="4" w:space="0" w:color="auto"/>
            </w:tcBorders>
            <w:shd w:val="clear" w:color="auto" w:fill="auto"/>
            <w:vAlign w:val="center"/>
            <w:hideMark/>
          </w:tcPr>
          <w:p w:rsidR="00CE3F03" w:rsidRPr="008B2270" w:rsidRDefault="00CE3F03" w:rsidP="00CE3F03">
            <w:pPr>
              <w:pStyle w:val="PBS16TableNormal"/>
              <w:jc w:val="center"/>
            </w:pP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1.4: Non-Government Schools National Support</w:t>
            </w: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c>
          <w:tcPr>
            <w:tcW w:w="236" w:type="dxa"/>
            <w:tcBorders>
              <w:top w:val="single" w:sz="4" w:space="0" w:color="auto"/>
              <w:left w:val="single" w:sz="4" w:space="0" w:color="auto"/>
              <w:right w:val="nil"/>
            </w:tcBorders>
            <w:vAlign w:val="center"/>
          </w:tcPr>
          <w:p w:rsidR="00CE3F03" w:rsidRPr="008B2270" w:rsidRDefault="00CE3F03" w:rsidP="00CE3F03">
            <w:pPr>
              <w:pStyle w:val="PBS16TableNormal"/>
              <w:jc w:val="center"/>
            </w:pPr>
          </w:p>
        </w:tc>
        <w:tc>
          <w:tcPr>
            <w:tcW w:w="236" w:type="dxa"/>
            <w:tcBorders>
              <w:top w:val="nil"/>
              <w:left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vMerge w:val="restart"/>
            <w:tcBorders>
              <w:top w:val="nil"/>
              <w:left w:val="nil"/>
              <w:right w:val="nil"/>
              <w:tr2bl w:val="single" w:sz="4" w:space="0" w:color="auto"/>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tcPr>
          <w:p w:rsidR="00CE3F03" w:rsidRPr="008B2270" w:rsidRDefault="00CE3F03" w:rsidP="00CE3F03">
            <w:pPr>
              <w:pStyle w:val="PBS16TableNormal"/>
              <w:jc w:val="center"/>
            </w:pPr>
          </w:p>
        </w:tc>
        <w:tc>
          <w:tcPr>
            <w:tcW w:w="236" w:type="dxa"/>
            <w:tcBorders>
              <w:top w:val="single" w:sz="4" w:space="0" w:color="auto"/>
              <w:left w:val="nil"/>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1.5: Government Schools National Support</w:t>
            </w:r>
          </w:p>
        </w:tc>
        <w:tc>
          <w:tcPr>
            <w:tcW w:w="236" w:type="dxa"/>
            <w:tcBorders>
              <w:left w:val="single" w:sz="4" w:space="0" w:color="auto"/>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vMerge/>
            <w:tcBorders>
              <w:left w:val="nil"/>
              <w:bottom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tcBorders>
              <w:top w:val="nil"/>
              <w:left w:val="nil"/>
              <w:bottom w:val="nil"/>
              <w:right w:val="nil"/>
            </w:tcBorders>
          </w:tcPr>
          <w:p w:rsidR="00CE3F03" w:rsidRPr="008B2270" w:rsidRDefault="00CE3F03" w:rsidP="00CE3F03">
            <w:pPr>
              <w:pStyle w:val="PBS16TableNormal"/>
              <w:jc w:val="center"/>
            </w:pPr>
          </w:p>
        </w:tc>
        <w:tc>
          <w:tcPr>
            <w:tcW w:w="236" w:type="dxa"/>
            <w:tcBorders>
              <w:left w:val="nil"/>
              <w:bottom w:val="single" w:sz="4" w:space="0" w:color="auto"/>
              <w:right w:val="single" w:sz="4" w:space="0" w:color="auto"/>
            </w:tcBorders>
            <w:shd w:val="clear" w:color="auto" w:fill="auto"/>
            <w:vAlign w:val="center"/>
            <w:hideMark/>
          </w:tcPr>
          <w:p w:rsidR="00CE3F03" w:rsidRPr="008B2270" w:rsidRDefault="00CE3F03" w:rsidP="00CE3F03">
            <w:pPr>
              <w:pStyle w:val="PBS16TableNormal"/>
              <w:jc w:val="center"/>
            </w:pP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1.5: Early Learning and Schools Support</w:t>
            </w: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c>
          <w:tcPr>
            <w:tcW w:w="236" w:type="dxa"/>
            <w:tcBorders>
              <w:top w:val="single" w:sz="4" w:space="0" w:color="auto"/>
              <w:left w:val="single" w:sz="4" w:space="0" w:color="auto"/>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nil"/>
              <w:left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vAlign w:val="center"/>
          </w:tcPr>
          <w:p w:rsidR="00CE3F03" w:rsidRPr="008B2270" w:rsidRDefault="00CE3F03" w:rsidP="00CE3F03">
            <w:pPr>
              <w:pStyle w:val="PBS16TableNormal"/>
              <w:jc w:val="center"/>
            </w:pPr>
          </w:p>
        </w:tc>
        <w:tc>
          <w:tcPr>
            <w:tcW w:w="236" w:type="dxa"/>
            <w:vMerge w:val="restart"/>
            <w:tcBorders>
              <w:top w:val="nil"/>
              <w:left w:val="nil"/>
              <w:right w:val="nil"/>
              <w:tr2bl w:val="single" w:sz="4" w:space="0" w:color="auto"/>
            </w:tcBorders>
          </w:tcPr>
          <w:p w:rsidR="00CE3F03" w:rsidRPr="008B2270" w:rsidRDefault="00CE3F03" w:rsidP="00CE3F03">
            <w:pPr>
              <w:pStyle w:val="PBS16TableNormal"/>
              <w:jc w:val="center"/>
            </w:pPr>
          </w:p>
        </w:tc>
        <w:tc>
          <w:tcPr>
            <w:tcW w:w="236" w:type="dxa"/>
            <w:tcBorders>
              <w:top w:val="single" w:sz="4" w:space="0" w:color="auto"/>
              <w:left w:val="nil"/>
              <w:bottom w:val="nil"/>
              <w:right w:val="single" w:sz="4" w:space="0" w:color="auto"/>
            </w:tcBorders>
            <w:shd w:val="clear" w:color="auto" w:fill="auto"/>
            <w:vAlign w:val="center"/>
          </w:tcPr>
          <w:p w:rsidR="00CE3F03" w:rsidRPr="008B2270" w:rsidRDefault="00CE3F03" w:rsidP="00CE3F03">
            <w:pPr>
              <w:pStyle w:val="PBS16TableNormal"/>
              <w:jc w:val="center"/>
            </w:pPr>
          </w:p>
        </w:tc>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bottom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single" w:sz="4" w:space="0" w:color="auto"/>
              <w:left w:val="nil"/>
              <w:bottom w:val="nil"/>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1.6: Non-Government Schools National Support</w:t>
            </w:r>
          </w:p>
        </w:tc>
        <w:tc>
          <w:tcPr>
            <w:tcW w:w="236" w:type="dxa"/>
            <w:tcBorders>
              <w:left w:val="single" w:sz="4" w:space="0" w:color="auto"/>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vMerge/>
            <w:tcBorders>
              <w:left w:val="nil"/>
              <w:bottom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tcPr>
          <w:p w:rsidR="00CE3F03" w:rsidRPr="008B2270" w:rsidRDefault="00CE3F03" w:rsidP="00CE3F03">
            <w:pPr>
              <w:pStyle w:val="PBS16TableNormal"/>
              <w:jc w:val="center"/>
            </w:pPr>
          </w:p>
        </w:tc>
        <w:tc>
          <w:tcPr>
            <w:tcW w:w="236" w:type="dxa"/>
            <w:tcBorders>
              <w:top w:val="nil"/>
              <w:left w:val="nil"/>
              <w:bottom w:val="nil"/>
              <w:right w:val="nil"/>
            </w:tcBorders>
            <w:shd w:val="clear" w:color="auto" w:fill="auto"/>
            <w:vAlign w:val="center"/>
            <w:hideMark/>
          </w:tcPr>
          <w:p w:rsidR="00CE3F03" w:rsidRPr="008B2270" w:rsidRDefault="00CE3F03" w:rsidP="00CE3F03">
            <w:pPr>
              <w:pStyle w:val="PBS16TableNormal"/>
              <w:jc w:val="center"/>
            </w:pPr>
          </w:p>
        </w:tc>
        <w:tc>
          <w:tcPr>
            <w:tcW w:w="3288" w:type="dxa"/>
            <w:tcBorders>
              <w:top w:val="nil"/>
              <w:left w:val="nil"/>
              <w:bottom w:val="nil"/>
              <w:right w:val="nil"/>
            </w:tcBorders>
            <w:shd w:val="clear" w:color="auto" w:fill="auto"/>
            <w:vAlign w:val="center"/>
            <w:hideMark/>
          </w:tcPr>
          <w:p w:rsidR="00CE3F03" w:rsidRPr="008B2270" w:rsidRDefault="00CE3F03" w:rsidP="00CE3F03">
            <w:pPr>
              <w:pStyle w:val="PBS16TableNormal"/>
              <w:rPr>
                <w:rFonts w:ascii="Times New Roman" w:hAnsi="Times New Roman"/>
              </w:rPr>
            </w:pP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c>
          <w:tcPr>
            <w:tcW w:w="236" w:type="dxa"/>
            <w:tcBorders>
              <w:top w:val="single" w:sz="4" w:space="0" w:color="auto"/>
              <w:left w:val="single" w:sz="4" w:space="0" w:color="auto"/>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right w:val="nil"/>
            </w:tcBorders>
            <w:vAlign w:val="center"/>
          </w:tcPr>
          <w:p w:rsidR="00CE3F03" w:rsidRPr="008B2270" w:rsidRDefault="00CE3F03" w:rsidP="00CE3F03">
            <w:pPr>
              <w:pStyle w:val="PBS16TableNormal"/>
              <w:jc w:val="center"/>
            </w:pPr>
          </w:p>
        </w:tc>
        <w:tc>
          <w:tcPr>
            <w:tcW w:w="236" w:type="dxa"/>
            <w:tcBorders>
              <w:top w:val="nil"/>
              <w:left w:val="nil"/>
              <w:right w:val="nil"/>
            </w:tcBorders>
            <w:vAlign w:val="center"/>
          </w:tcPr>
          <w:p w:rsidR="00CE3F03" w:rsidRPr="008B2270" w:rsidRDefault="00CE3F03" w:rsidP="00CE3F03">
            <w:pPr>
              <w:pStyle w:val="PBS16TableNormal"/>
              <w:jc w:val="center"/>
            </w:pPr>
          </w:p>
        </w:tc>
        <w:tc>
          <w:tcPr>
            <w:tcW w:w="236" w:type="dxa"/>
            <w:vMerge/>
            <w:tcBorders>
              <w:left w:val="nil"/>
              <w:right w:val="nil"/>
            </w:tcBorders>
          </w:tcPr>
          <w:p w:rsidR="00CE3F03" w:rsidRPr="008B2270" w:rsidRDefault="00CE3F03" w:rsidP="00CE3F03">
            <w:pPr>
              <w:pStyle w:val="PBS16TableNormal"/>
              <w:jc w:val="center"/>
            </w:pPr>
          </w:p>
        </w:tc>
        <w:tc>
          <w:tcPr>
            <w:tcW w:w="236" w:type="dxa"/>
            <w:tcBorders>
              <w:top w:val="nil"/>
              <w:left w:val="nil"/>
              <w:bottom w:val="nil"/>
              <w:right w:val="nil"/>
            </w:tcBorders>
            <w:shd w:val="clear" w:color="auto" w:fill="auto"/>
            <w:vAlign w:val="center"/>
          </w:tcPr>
          <w:p w:rsidR="00CE3F03" w:rsidRPr="008B2270" w:rsidRDefault="00CE3F03" w:rsidP="00CE3F03">
            <w:pPr>
              <w:pStyle w:val="PBS16TableNormal"/>
              <w:jc w:val="center"/>
            </w:pPr>
          </w:p>
        </w:tc>
        <w:tc>
          <w:tcPr>
            <w:tcW w:w="3288" w:type="dxa"/>
            <w:tcBorders>
              <w:top w:val="nil"/>
              <w:left w:val="nil"/>
              <w:bottom w:val="nil"/>
              <w:right w:val="nil"/>
            </w:tcBorders>
            <w:shd w:val="clear" w:color="auto" w:fill="auto"/>
            <w:vAlign w:val="center"/>
          </w:tcPr>
          <w:p w:rsidR="00CE3F03" w:rsidRPr="008B2270" w:rsidRDefault="00CE3F03" w:rsidP="00CE3F03">
            <w:pPr>
              <w:pStyle w:val="PBS16TableNormal"/>
              <w:rPr>
                <w:rFonts w:ascii="Times New Roman" w:hAnsi="Times New Roman"/>
              </w:rPr>
            </w:pPr>
          </w:p>
        </w:tc>
      </w:tr>
      <w:tr w:rsidR="00CE3F03" w:rsidRPr="008B2270" w:rsidTr="00CE3F03">
        <w:trPr>
          <w:trHeight w:val="113"/>
        </w:trPr>
        <w:tc>
          <w:tcPr>
            <w:tcW w:w="3288" w:type="dxa"/>
            <w:tcBorders>
              <w:top w:val="single" w:sz="4" w:space="0" w:color="auto"/>
              <w:left w:val="nil"/>
              <w:bottom w:val="single" w:sz="4" w:space="0" w:color="auto"/>
              <w:right w:val="nil"/>
            </w:tcBorders>
            <w:shd w:val="clear" w:color="auto" w:fill="auto"/>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tcBorders>
              <w:top w:val="nil"/>
              <w:left w:val="nil"/>
              <w:right w:val="nil"/>
            </w:tcBorders>
            <w:vAlign w:val="center"/>
          </w:tcPr>
          <w:p w:rsidR="00CE3F03" w:rsidRPr="008B2270" w:rsidRDefault="00CE3F03" w:rsidP="00CE3F03">
            <w:pPr>
              <w:pStyle w:val="PBS16TableNormalHeading"/>
              <w:spacing w:before="0" w:after="0"/>
              <w:rPr>
                <w:sz w:val="2"/>
              </w:rPr>
            </w:pPr>
          </w:p>
        </w:tc>
        <w:tc>
          <w:tcPr>
            <w:tcW w:w="236" w:type="dxa"/>
            <w:vMerge/>
            <w:tcBorders>
              <w:left w:val="nil"/>
              <w:bottom w:val="nil"/>
              <w:right w:val="nil"/>
            </w:tcBorders>
          </w:tcPr>
          <w:p w:rsidR="00CE3F03" w:rsidRPr="008B2270" w:rsidRDefault="00CE3F03" w:rsidP="00CE3F03">
            <w:pPr>
              <w:pStyle w:val="PBS16TableNormalHeading"/>
              <w:spacing w:before="0" w:after="0"/>
              <w:rPr>
                <w:sz w:val="2"/>
              </w:rPr>
            </w:pPr>
          </w:p>
        </w:tc>
        <w:tc>
          <w:tcPr>
            <w:tcW w:w="236" w:type="dxa"/>
            <w:tcBorders>
              <w:top w:val="nil"/>
              <w:left w:val="nil"/>
              <w:bottom w:val="nil"/>
              <w:right w:val="nil"/>
            </w:tcBorders>
            <w:shd w:val="clear" w:color="auto" w:fill="auto"/>
            <w:vAlign w:val="center"/>
          </w:tcPr>
          <w:p w:rsidR="00CE3F03" w:rsidRPr="008B2270" w:rsidRDefault="00CE3F03" w:rsidP="00CE3F03">
            <w:pPr>
              <w:pStyle w:val="PBS16TableNormalHeading"/>
              <w:spacing w:before="0" w:after="0"/>
              <w:rPr>
                <w:sz w:val="2"/>
              </w:rPr>
            </w:pPr>
          </w:p>
        </w:tc>
        <w:tc>
          <w:tcPr>
            <w:tcW w:w="3288" w:type="dxa"/>
            <w:tcBorders>
              <w:top w:val="nil"/>
              <w:left w:val="nil"/>
              <w:bottom w:val="nil"/>
              <w:right w:val="nil"/>
            </w:tcBorders>
            <w:shd w:val="clear" w:color="auto" w:fill="auto"/>
            <w:vAlign w:val="center"/>
          </w:tcPr>
          <w:p w:rsidR="00CE3F03" w:rsidRPr="008B2270" w:rsidRDefault="00CE3F03" w:rsidP="00CE3F03">
            <w:pPr>
              <w:pStyle w:val="PBS16TableNormalHeading"/>
              <w:spacing w:before="0" w:after="0"/>
              <w:rPr>
                <w:sz w:val="2"/>
              </w:rPr>
            </w:pPr>
          </w:p>
        </w:tc>
      </w:tr>
      <w:tr w:rsidR="00CE3F03" w:rsidRPr="008B2270" w:rsidTr="00CE3F03">
        <w:trPr>
          <w:trHeight w:val="300"/>
        </w:trPr>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F03" w:rsidRPr="008B2270" w:rsidRDefault="00CE3F03" w:rsidP="00CE3F03">
            <w:pPr>
              <w:pStyle w:val="PBS16TableNormal"/>
            </w:pPr>
            <w:r w:rsidRPr="008B2270">
              <w:t>Program 1.7: Early Learning and Schools Support</w:t>
            </w:r>
          </w:p>
        </w:tc>
        <w:tc>
          <w:tcPr>
            <w:tcW w:w="236" w:type="dxa"/>
            <w:tcBorders>
              <w:left w:val="single" w:sz="4" w:space="0" w:color="auto"/>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tcBorders>
              <w:left w:val="nil"/>
              <w:bottom w:val="single" w:sz="4" w:space="0" w:color="auto"/>
              <w:right w:val="nil"/>
            </w:tcBorders>
            <w:vAlign w:val="center"/>
          </w:tcPr>
          <w:p w:rsidR="00CE3F03" w:rsidRPr="008B2270" w:rsidRDefault="00CE3F03" w:rsidP="00CE3F03">
            <w:pPr>
              <w:pStyle w:val="PBS16TableNormal"/>
              <w:jc w:val="center"/>
            </w:pPr>
          </w:p>
        </w:tc>
        <w:tc>
          <w:tcPr>
            <w:tcW w:w="236" w:type="dxa"/>
            <w:vMerge/>
            <w:tcBorders>
              <w:left w:val="nil"/>
              <w:bottom w:val="nil"/>
              <w:right w:val="nil"/>
            </w:tcBorders>
          </w:tcPr>
          <w:p w:rsidR="00CE3F03" w:rsidRPr="008B2270" w:rsidRDefault="00CE3F03" w:rsidP="00CE3F03">
            <w:pPr>
              <w:pStyle w:val="PBS16TableNormal"/>
              <w:jc w:val="center"/>
            </w:pPr>
          </w:p>
        </w:tc>
        <w:tc>
          <w:tcPr>
            <w:tcW w:w="236" w:type="dxa"/>
            <w:tcBorders>
              <w:top w:val="nil"/>
              <w:left w:val="nil"/>
              <w:bottom w:val="nil"/>
              <w:right w:val="nil"/>
            </w:tcBorders>
            <w:shd w:val="clear" w:color="auto" w:fill="auto"/>
            <w:vAlign w:val="center"/>
            <w:hideMark/>
          </w:tcPr>
          <w:p w:rsidR="00CE3F03" w:rsidRPr="008B2270" w:rsidRDefault="00CE3F03" w:rsidP="00CE3F03">
            <w:pPr>
              <w:pStyle w:val="PBS16TableNormal"/>
              <w:jc w:val="center"/>
            </w:pPr>
          </w:p>
        </w:tc>
        <w:tc>
          <w:tcPr>
            <w:tcW w:w="3288" w:type="dxa"/>
            <w:tcBorders>
              <w:top w:val="nil"/>
              <w:left w:val="nil"/>
              <w:bottom w:val="nil"/>
              <w:right w:val="nil"/>
            </w:tcBorders>
            <w:shd w:val="clear" w:color="auto" w:fill="auto"/>
            <w:vAlign w:val="center"/>
            <w:hideMark/>
          </w:tcPr>
          <w:p w:rsidR="00CE3F03" w:rsidRPr="008B2270" w:rsidRDefault="00CE3F03" w:rsidP="00CE3F03">
            <w:pPr>
              <w:pStyle w:val="PBS16TableNormal"/>
              <w:rPr>
                <w:rFonts w:ascii="Times New Roman" w:hAnsi="Times New Roman"/>
              </w:rPr>
            </w:pPr>
          </w:p>
        </w:tc>
      </w:tr>
      <w:tr w:rsidR="00CE3F03" w:rsidRPr="008B2270" w:rsidTr="00CE3F03">
        <w:trPr>
          <w:trHeight w:val="300"/>
        </w:trPr>
        <w:tc>
          <w:tcPr>
            <w:tcW w:w="3288" w:type="dxa"/>
            <w:vMerge/>
            <w:tcBorders>
              <w:left w:val="single" w:sz="4" w:space="0" w:color="auto"/>
              <w:bottom w:val="single" w:sz="4" w:space="0" w:color="auto"/>
              <w:right w:val="single" w:sz="4" w:space="0" w:color="auto"/>
            </w:tcBorders>
            <w:shd w:val="clear" w:color="auto" w:fill="auto"/>
            <w:vAlign w:val="center"/>
          </w:tcPr>
          <w:p w:rsidR="00CE3F03" w:rsidRPr="008B2270" w:rsidRDefault="00CE3F03" w:rsidP="00CE3F03">
            <w:pPr>
              <w:pStyle w:val="PBS16TableNormal"/>
            </w:pPr>
          </w:p>
        </w:tc>
        <w:tc>
          <w:tcPr>
            <w:tcW w:w="236" w:type="dxa"/>
            <w:tcBorders>
              <w:top w:val="single" w:sz="4" w:space="0" w:color="auto"/>
              <w:left w:val="single" w:sz="4" w:space="0" w:color="auto"/>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single" w:sz="4" w:space="0" w:color="auto"/>
              <w:left w:val="nil"/>
              <w:bottom w:val="nil"/>
              <w:right w:val="nil"/>
            </w:tcBorders>
            <w:vAlign w:val="center"/>
          </w:tcPr>
          <w:p w:rsidR="00CE3F03" w:rsidRPr="008B2270" w:rsidRDefault="00CE3F03" w:rsidP="00CE3F03">
            <w:pPr>
              <w:pStyle w:val="PBS16TableNormal"/>
              <w:jc w:val="center"/>
            </w:pPr>
          </w:p>
        </w:tc>
        <w:tc>
          <w:tcPr>
            <w:tcW w:w="236" w:type="dxa"/>
            <w:tcBorders>
              <w:top w:val="nil"/>
              <w:left w:val="nil"/>
              <w:bottom w:val="nil"/>
              <w:right w:val="nil"/>
            </w:tcBorders>
          </w:tcPr>
          <w:p w:rsidR="00CE3F03" w:rsidRPr="008B2270" w:rsidRDefault="00CE3F03" w:rsidP="00CE3F03">
            <w:pPr>
              <w:pStyle w:val="PBS16TableNormal"/>
              <w:jc w:val="center"/>
            </w:pPr>
          </w:p>
        </w:tc>
        <w:tc>
          <w:tcPr>
            <w:tcW w:w="236" w:type="dxa"/>
            <w:tcBorders>
              <w:top w:val="nil"/>
              <w:left w:val="nil"/>
              <w:bottom w:val="nil"/>
              <w:right w:val="nil"/>
            </w:tcBorders>
            <w:shd w:val="clear" w:color="auto" w:fill="auto"/>
            <w:vAlign w:val="center"/>
          </w:tcPr>
          <w:p w:rsidR="00CE3F03" w:rsidRPr="008B2270" w:rsidRDefault="00CE3F03" w:rsidP="00CE3F03">
            <w:pPr>
              <w:pStyle w:val="PBS16TableNormal"/>
              <w:jc w:val="center"/>
            </w:pPr>
          </w:p>
        </w:tc>
        <w:tc>
          <w:tcPr>
            <w:tcW w:w="3288" w:type="dxa"/>
            <w:tcBorders>
              <w:top w:val="nil"/>
              <w:left w:val="nil"/>
              <w:bottom w:val="nil"/>
              <w:right w:val="nil"/>
            </w:tcBorders>
            <w:shd w:val="clear" w:color="auto" w:fill="auto"/>
            <w:vAlign w:val="center"/>
          </w:tcPr>
          <w:p w:rsidR="00CE3F03" w:rsidRPr="008B2270" w:rsidRDefault="00CE3F03" w:rsidP="00CE3F03">
            <w:pPr>
              <w:pStyle w:val="PBS16TableNormal"/>
              <w:rPr>
                <w:rFonts w:ascii="Times New Roman" w:hAnsi="Times New Roman"/>
              </w:rPr>
            </w:pPr>
          </w:p>
        </w:tc>
      </w:tr>
    </w:tbl>
    <w:p w:rsidR="00CE3F03" w:rsidRPr="008B2270" w:rsidRDefault="00CE3F03" w:rsidP="00CE3F03"/>
    <w:p w:rsidR="00CE3F03" w:rsidRPr="008B2270" w:rsidRDefault="00CE3F03" w:rsidP="00CE3F03">
      <w:pPr>
        <w:sectPr w:rsidR="00CE3F03" w:rsidRPr="008B2270" w:rsidSect="00594C84">
          <w:headerReference w:type="even" r:id="rId30"/>
          <w:headerReference w:type="default" r:id="rId31"/>
          <w:footerReference w:type="even" r:id="rId32"/>
          <w:footerReference w:type="default" r:id="rId33"/>
          <w:headerReference w:type="first" r:id="rId34"/>
          <w:pgSz w:w="11906" w:h="16838" w:code="9"/>
          <w:pgMar w:top="2466" w:right="2098" w:bottom="2466" w:left="2098" w:header="1899" w:footer="1899" w:gutter="0"/>
          <w:cols w:space="708"/>
          <w:docGrid w:linePitch="360"/>
        </w:sectPr>
      </w:pPr>
    </w:p>
    <w:p w:rsidR="00CE3F03" w:rsidRPr="008B2270" w:rsidRDefault="00CE3F03" w:rsidP="003876AB">
      <w:pPr>
        <w:pStyle w:val="Heading3"/>
      </w:pPr>
      <w:bookmarkStart w:id="31" w:name="DET_2_1"/>
      <w:r w:rsidRPr="008B2270">
        <w:lastRenderedPageBreak/>
        <w:t xml:space="preserve">2.1 </w:t>
      </w:r>
      <w:r w:rsidRPr="008B2270">
        <w:tab/>
        <w:t>Budgeted expenses and performance for Outcome 1</w:t>
      </w:r>
      <w:bookmarkEnd w:id="29"/>
      <w:bookmarkEnd w:id="30"/>
      <w:bookmarkEnd w:id="31"/>
    </w:p>
    <w:tbl>
      <w:tblPr>
        <w:tblStyle w:val="TableGrid"/>
        <w:tblW w:w="0" w:type="auto"/>
        <w:tblLayout w:type="fixed"/>
        <w:tblLook w:val="04A0" w:firstRow="1" w:lastRow="0" w:firstColumn="1" w:lastColumn="0" w:noHBand="0" w:noVBand="1"/>
        <w:tblDescription w:val="Outcome 1: Improved early learning, schooling, student educational outcomes and transitions to and from school through access to quality child care, support, parent engagement, quality teaching and learning environments."/>
      </w:tblPr>
      <w:tblGrid>
        <w:gridCol w:w="7767"/>
      </w:tblGrid>
      <w:tr w:rsidR="00CE3F03" w:rsidRPr="008B2270" w:rsidTr="00646B71">
        <w:trPr>
          <w:cantSplit/>
          <w:trHeight w:val="23"/>
          <w:tblHeader/>
        </w:trPr>
        <w:tc>
          <w:tcPr>
            <w:tcW w:w="7767" w:type="dxa"/>
            <w:shd w:val="clear" w:color="auto" w:fill="D9D9D9" w:themeFill="background1" w:themeFillShade="D9"/>
          </w:tcPr>
          <w:p w:rsidR="00CE3F03" w:rsidRPr="008B2270" w:rsidRDefault="00CE3F03" w:rsidP="00594C84">
            <w:pPr>
              <w:pStyle w:val="TableColumnHeadingLeft"/>
            </w:pPr>
            <w:r w:rsidRPr="008B2270">
              <w:t>Outcome 1: Improved early learning, schooling, student educational outcomes and transitions to and from school through access to quality child care, support, parent engagement, quality teaching and learning environments.</w:t>
            </w:r>
          </w:p>
        </w:tc>
      </w:tr>
    </w:tbl>
    <w:p w:rsidR="00CE3F03" w:rsidRPr="008B2270" w:rsidRDefault="00CE3F03" w:rsidP="00594C84">
      <w:pPr>
        <w:pStyle w:val="Heading4"/>
        <w:rPr>
          <w:rFonts w:cs="Arial"/>
        </w:rPr>
      </w:pPr>
      <w:r w:rsidRPr="008B2270">
        <w:rPr>
          <w:rFonts w:cs="Arial"/>
        </w:rPr>
        <w:t>Programs contributing to Outcome 1</w:t>
      </w:r>
    </w:p>
    <w:p w:rsidR="00CE3F03" w:rsidRPr="008B2270" w:rsidRDefault="00CE3F03" w:rsidP="00594C84">
      <w:pPr>
        <w:pStyle w:val="PBS16BulletList"/>
      </w:pPr>
      <w:r w:rsidRPr="008B2270">
        <w:t>Program 1.1: Support for the Child Care System</w:t>
      </w:r>
    </w:p>
    <w:p w:rsidR="00CE3F03" w:rsidRPr="008B2270" w:rsidRDefault="00CE3F03" w:rsidP="00594C84">
      <w:pPr>
        <w:pStyle w:val="PBS16BulletList"/>
      </w:pPr>
      <w:r w:rsidRPr="008B2270">
        <w:t>Program 1.2: Child Care Subsidy</w:t>
      </w:r>
    </w:p>
    <w:p w:rsidR="00CE3F03" w:rsidRPr="008B2270" w:rsidRDefault="00CE3F03" w:rsidP="00594C84">
      <w:pPr>
        <w:pStyle w:val="PBS16BulletList"/>
      </w:pPr>
      <w:r w:rsidRPr="008B2270">
        <w:t>Program 1.3: Government Schools National Support</w:t>
      </w:r>
    </w:p>
    <w:p w:rsidR="00CE3F03" w:rsidRPr="008B2270" w:rsidRDefault="00CE3F03" w:rsidP="00594C84">
      <w:pPr>
        <w:pStyle w:val="PBS16BulletList"/>
      </w:pPr>
      <w:r w:rsidRPr="008B2270">
        <w:t>Program 1.4: Non-Government Schools National Support</w:t>
      </w:r>
    </w:p>
    <w:p w:rsidR="00CE3F03" w:rsidRPr="008B2270" w:rsidRDefault="00CE3F03" w:rsidP="00594C84">
      <w:pPr>
        <w:pStyle w:val="PBS16BulletList"/>
      </w:pPr>
      <w:r w:rsidRPr="008B2270">
        <w:t>Program 1.5: Early Learning and Schools Support</w:t>
      </w:r>
    </w:p>
    <w:p w:rsidR="00CE3F03" w:rsidRPr="008B2270" w:rsidRDefault="00CE3F03" w:rsidP="00CE3F03"/>
    <w:p w:rsidR="00CE3F03" w:rsidRPr="008B2270" w:rsidRDefault="00CE3F03" w:rsidP="00810C6A">
      <w:pPr>
        <w:pStyle w:val="Heading4"/>
      </w:pPr>
      <w:r w:rsidRPr="008B2270">
        <w:t>Linked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Human Services</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1.1 - Services to the Community - Social Security and Welfare</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1 made by linked programs</w:t>
            </w:r>
          </w:p>
          <w:p w:rsidR="00CE3F03" w:rsidRPr="008B2270" w:rsidRDefault="00CE3F03" w:rsidP="00594C84">
            <w:pPr>
              <w:pStyle w:val="PBS17LinkedProgNormal"/>
            </w:pPr>
            <w:r w:rsidRPr="008B2270">
              <w:t>The linked program contributes to Outcome 1 by administering child care payments to eligible families.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the Prime Minister and Cabinet</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2.1 - Jobs, Land and Economy</w:t>
            </w:r>
          </w:p>
          <w:p w:rsidR="00CE3F03" w:rsidRPr="008B2270" w:rsidRDefault="00CE3F03" w:rsidP="00594C84">
            <w:pPr>
              <w:pStyle w:val="PBS17LinkedProgbullet"/>
            </w:pPr>
            <w:r w:rsidRPr="008B2270">
              <w:t>Program 2.2 - Children and Schooling</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1 made by linked programs</w:t>
            </w:r>
          </w:p>
          <w:p w:rsidR="00CE3F03" w:rsidRPr="008B2270" w:rsidRDefault="00CE3F03" w:rsidP="00CE3F03">
            <w:pPr>
              <w:pStyle w:val="PBS17LinkedProgNormal"/>
            </w:pPr>
            <w:r w:rsidRPr="008B2270">
              <w:t>The linked programs contribute to Outcome 1 by supporting school attendance, improved educational outcomes and access to further education, training and employment for Indigenous students.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the Treasury</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1.9 - National Partnership Payments to the States</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1 made by linked programs</w:t>
            </w:r>
          </w:p>
          <w:p w:rsidR="00CE3F03" w:rsidRPr="008B2270" w:rsidRDefault="00CE3F03" w:rsidP="00594C84">
            <w:pPr>
              <w:pStyle w:val="PBS17LinkedProgNormal"/>
            </w:pPr>
            <w:r w:rsidRPr="008B2270">
              <w:t>The linked program contributes to Outcome 1 by making National Partnership Payments to the States.</w:t>
            </w:r>
          </w:p>
        </w:tc>
      </w:tr>
    </w:tbl>
    <w:p w:rsidR="00CE3F03" w:rsidRPr="008B2270" w:rsidRDefault="00CE3F03" w:rsidP="001A34F2">
      <w:pPr>
        <w:pStyle w:val="Heading4"/>
      </w:pPr>
      <w:r w:rsidRPr="008B2270">
        <w:br w:type="page"/>
      </w:r>
      <w:r w:rsidRPr="008B2270">
        <w:lastRenderedPageBreak/>
        <w:t>Budgeted expenses for Outcome 1</w:t>
      </w:r>
    </w:p>
    <w:p w:rsidR="00CE3F03" w:rsidRPr="008B2270" w:rsidRDefault="00CE3F03" w:rsidP="0051207B">
      <w:r w:rsidRPr="008B2270">
        <w:t>This table shows how much the department intends to spend (on an accrual basis) on achieving the outcome, broken down by program, as well as by administered and departmental funding sources.</w:t>
      </w:r>
    </w:p>
    <w:p w:rsidR="00CE3F03" w:rsidRPr="008B2270" w:rsidRDefault="00CE3F03" w:rsidP="00DF2C5D">
      <w:pPr>
        <w:pStyle w:val="TableHeading"/>
        <w:rPr>
          <w:lang w:val="en-AU"/>
        </w:rPr>
      </w:pPr>
      <w:r w:rsidRPr="008B2270">
        <w:rPr>
          <w:lang w:val="en-AU"/>
        </w:rPr>
        <w:t>Table 2.1.1: Budgeted expenses for Outcome 1</w:t>
      </w:r>
    </w:p>
    <w:p w:rsidR="00CE3F03" w:rsidRPr="008B2270" w:rsidRDefault="001925AD" w:rsidP="00CE3F03">
      <w:pPr>
        <w:pStyle w:val="ChartGraphic"/>
      </w:pPr>
      <w:r w:rsidRPr="001925AD">
        <w:drawing>
          <wp:inline distT="0" distB="0" distL="0" distR="0">
            <wp:extent cx="4895850" cy="5558521"/>
            <wp:effectExtent l="0" t="0" r="0" b="4445"/>
            <wp:docPr id="90" name="Picture 9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95850" cy="5558521"/>
                    </a:xfrm>
                    <a:prstGeom prst="rect">
                      <a:avLst/>
                    </a:prstGeom>
                    <a:noFill/>
                    <a:ln>
                      <a:noFill/>
                    </a:ln>
                  </pic:spPr>
                </pic:pic>
              </a:graphicData>
            </a:graphic>
          </wp:inline>
        </w:drawing>
      </w:r>
    </w:p>
    <w:p w:rsidR="00CE3F03" w:rsidRPr="008B2270" w:rsidRDefault="00CE3F03">
      <w:pPr>
        <w:spacing w:after="0" w:line="240" w:lineRule="auto"/>
        <w:jc w:val="left"/>
      </w:pPr>
      <w:r w:rsidRPr="008B2270">
        <w:br w:type="page"/>
      </w:r>
      <w:bookmarkStart w:id="32" w:name="_Toc190682315"/>
      <w:bookmarkStart w:id="33" w:name="_Toc190682532"/>
    </w:p>
    <w:p w:rsidR="00CE3F03" w:rsidRPr="008B2270" w:rsidRDefault="00CE3F03" w:rsidP="00CE3F03">
      <w:pPr>
        <w:pStyle w:val="TableHeadingcontinued"/>
      </w:pPr>
      <w:r w:rsidRPr="008B2270">
        <w:lastRenderedPageBreak/>
        <w:t>Table 2.1.1: Budgeted expenses for Outcome 1</w:t>
      </w:r>
    </w:p>
    <w:p w:rsidR="00CE3F03" w:rsidRPr="008B2270" w:rsidRDefault="000710CC" w:rsidP="00CE3F03">
      <w:pPr>
        <w:pStyle w:val="ChartGraphic"/>
      </w:pPr>
      <w:r w:rsidRPr="000710CC">
        <w:drawing>
          <wp:inline distT="0" distB="0" distL="0" distR="0">
            <wp:extent cx="4895850" cy="4837088"/>
            <wp:effectExtent l="0" t="0" r="0" b="1905"/>
            <wp:docPr id="22" name="Picture 2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95850" cy="4837088"/>
                    </a:xfrm>
                    <a:prstGeom prst="rect">
                      <a:avLst/>
                    </a:prstGeom>
                    <a:noFill/>
                    <a:ln>
                      <a:noFill/>
                    </a:ln>
                  </pic:spPr>
                </pic:pic>
              </a:graphicData>
            </a:graphic>
          </wp:inline>
        </w:drawing>
      </w:r>
    </w:p>
    <w:p w:rsidR="00CA6102" w:rsidRDefault="00CE3F03" w:rsidP="00CE3F03">
      <w:pPr>
        <w:pStyle w:val="ChartandTableFootnote"/>
      </w:pPr>
      <w:r w:rsidRPr="008B2270">
        <w:t xml:space="preserve">(a) </w:t>
      </w:r>
      <w:r w:rsidRPr="008B2270">
        <w:tab/>
        <w:t>Estimated expenses incurred in relation to receipts retained under section 74 of the PGPA Act 2013.</w:t>
      </w:r>
    </w:p>
    <w:p w:rsidR="00CA6102" w:rsidRDefault="00CE3F03" w:rsidP="00CE3F03">
      <w:pPr>
        <w:pStyle w:val="ChartandTableFootnote"/>
      </w:pPr>
      <w:r w:rsidRPr="008B2270">
        <w:t xml:space="preserve">(b) </w:t>
      </w:r>
      <w:r w:rsidRPr="008B2270">
        <w:tab/>
        <w:t>Expenses not requiring appropriation in the Budget year are made up of depreciation expenses, amortisation expenses, make good expenses and audit fees.</w:t>
      </w:r>
    </w:p>
    <w:p w:rsidR="00CA6102" w:rsidRDefault="00CE3F03" w:rsidP="00CE3F03">
      <w:pPr>
        <w:pStyle w:val="ChartandTableFootnote"/>
      </w:pPr>
      <w:r w:rsidRPr="008B2270">
        <w:t xml:space="preserve">(c) </w:t>
      </w:r>
      <w:r w:rsidRPr="008B2270">
        <w:tab/>
        <w:t>Figures displayed as a negative (-) represent a decrease in funds and a positive (+) represent an increase in funds.</w:t>
      </w:r>
    </w:p>
    <w:p w:rsidR="00CA6102" w:rsidRDefault="00CE3F03" w:rsidP="00CA6102">
      <w:pPr>
        <w:pStyle w:val="ChartandTableFootnote"/>
      </w:pPr>
      <w:r w:rsidRPr="008B2270">
        <w:t>Note:</w:t>
      </w:r>
      <w:r w:rsidRPr="008B2270">
        <w:tab/>
        <w:t>Departmental appropriation splits and totals are indicative estimates and may change in the course of the budget year as government priorities change.</w:t>
      </w:r>
    </w:p>
    <w:p w:rsidR="00CE3F03" w:rsidRPr="008B2270" w:rsidRDefault="00CE3F03" w:rsidP="00CA6102">
      <w:pPr>
        <w:pStyle w:val="ChartandTableFootnote"/>
      </w:pPr>
      <w:r w:rsidRPr="008B2270">
        <w:br w:type="page"/>
      </w:r>
    </w:p>
    <w:p w:rsidR="00CE3F03" w:rsidRPr="008B2270" w:rsidRDefault="00CE3F03" w:rsidP="00594C84">
      <w:pPr>
        <w:pStyle w:val="Heading4"/>
      </w:pPr>
      <w:r w:rsidRPr="008B2270">
        <w:lastRenderedPageBreak/>
        <w:t>Performance criteria for Outcome 1</w:t>
      </w:r>
    </w:p>
    <w:p w:rsidR="00CE3F03" w:rsidRPr="008B2270" w:rsidRDefault="00CE3F03" w:rsidP="00B166C6">
      <w:r w:rsidRPr="008B2270">
        <w:t>This section details the performance criteria for each program associated with Outcome 1. It also summarises how each program is delivered and where 2019–20 Budget measures have created new programs or materially changed existing programs.</w:t>
      </w:r>
    </w:p>
    <w:tbl>
      <w:tblPr>
        <w:tblStyle w:val="TableGrid"/>
        <w:tblW w:w="7767" w:type="dxa"/>
        <w:tblLayout w:type="fixed"/>
        <w:tblLook w:val="04A0" w:firstRow="1" w:lastRow="0" w:firstColumn="1" w:lastColumn="0" w:noHBand="0" w:noVBand="1"/>
        <w:tblDescription w:val="Outcome 1: Improved early learning, schooling, student educational outcomes and transitions to and from school through access to quality child care, support, parent engagement, quality teaching and learning environments."/>
      </w:tblPr>
      <w:tblGrid>
        <w:gridCol w:w="7767"/>
      </w:tblGrid>
      <w:tr w:rsidR="00CE3F03" w:rsidRPr="008B2270" w:rsidTr="00646B71">
        <w:trPr>
          <w:cantSplit/>
          <w:trHeight w:val="23"/>
          <w:tblHeader/>
        </w:trPr>
        <w:tc>
          <w:tcPr>
            <w:tcW w:w="7767" w:type="dxa"/>
            <w:shd w:val="clear" w:color="auto" w:fill="D9D9D9" w:themeFill="background1" w:themeFillShade="D9"/>
          </w:tcPr>
          <w:p w:rsidR="00CE3F03" w:rsidRPr="008B2270" w:rsidRDefault="00CE3F03" w:rsidP="00594C84">
            <w:pPr>
              <w:pStyle w:val="TableColumnHeadingLeft"/>
            </w:pPr>
            <w:r w:rsidRPr="008B2270">
              <w:t>Outcome 1: Improved early learning, schooling, student educational outcomes and transitions to and from school through access to quality child care, support, parent engagement, quality teaching and learning environments.</w:t>
            </w:r>
          </w:p>
        </w:tc>
      </w:tr>
    </w:tbl>
    <w:p w:rsidR="00CE3F03" w:rsidRPr="008B2270" w:rsidRDefault="00CE3F03" w:rsidP="00594C84">
      <w:pPr>
        <w:pStyle w:val="Heading5"/>
        <w:rPr>
          <w:rFonts w:cs="Arial"/>
          <w:bCs w:val="0"/>
        </w:rPr>
      </w:pPr>
      <w:bookmarkStart w:id="34" w:name="_Toc444523516"/>
      <w:bookmarkStart w:id="35" w:name="_Toc476145054"/>
      <w:bookmarkEnd w:id="32"/>
      <w:bookmarkEnd w:id="33"/>
      <w:r w:rsidRPr="008B2270">
        <w:rPr>
          <w:rFonts w:cs="Arial"/>
          <w:bCs w:val="0"/>
        </w:rPr>
        <w:t>Program 1.1: Support for the Child Care System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1A34F2">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The program helps families to participate in the social and economic life of the community by promoting and supporting quality and affordable child care, and assisting services to improve access and inclusion for vulnerable or disadvantaged children and families, including children with disabilities and their families.</w:t>
            </w:r>
          </w:p>
        </w:tc>
      </w:tr>
      <w:tr w:rsidR="00CE3F03" w:rsidRPr="008B2270" w:rsidTr="001A34F2">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Support for the Child Care System incorporates a number of activities and payment types that are tailored to different types of child care in different circumstances to meet the above objective. Since 2 July 2018, funding is being provided directly to child care services on behalf of eligible recipients.</w:t>
            </w:r>
          </w:p>
          <w:p w:rsidR="00CE3F03" w:rsidRPr="008B2270" w:rsidRDefault="00CE3F03" w:rsidP="00594C84">
            <w:pPr>
              <w:pStyle w:val="PBS16TableNormal"/>
            </w:pPr>
            <w:r w:rsidRPr="008B2270">
              <w:t>In 2019–20, the department will continue bedding down the Child Care Safety Net, which involves:</w:t>
            </w:r>
          </w:p>
          <w:p w:rsidR="00CE3F03" w:rsidRPr="008B2270" w:rsidRDefault="00CE3F03" w:rsidP="00594C84">
            <w:pPr>
              <w:pStyle w:val="PBS16TableListBullet"/>
            </w:pPr>
            <w:r w:rsidRPr="008B2270">
              <w:t>grant funding under the Community Child Care Fund, Connected Beginnings and Inclusion Support Programme, and</w:t>
            </w:r>
          </w:p>
          <w:p w:rsidR="00CE3F03" w:rsidRPr="008B2270" w:rsidRDefault="00CE3F03" w:rsidP="00594C84">
            <w:pPr>
              <w:pStyle w:val="PBS16TableListBullet"/>
            </w:pPr>
            <w:r w:rsidRPr="008B2270">
              <w:t>payment of the Additional Child Care Subsidy, a top up payment to eligible recipients of Child Care Subsidy (CCS).</w:t>
            </w:r>
          </w:p>
        </w:tc>
      </w:tr>
      <w:tr w:rsidR="00CE3F03" w:rsidRPr="008B2270" w:rsidTr="001A34F2">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rPr>
            </w:pPr>
            <w:r w:rsidRPr="008B2270">
              <w:t>Maximising opportunity and prosperity through national leadership on education and training.</w:t>
            </w:r>
          </w:p>
        </w:tc>
      </w:tr>
    </w:tbl>
    <w:p w:rsidR="00CE3F03" w:rsidRPr="008B2270" w:rsidRDefault="00CE3F03" w:rsidP="00594C84">
      <w:pPr>
        <w:pStyle w:val="Heading6"/>
        <w:rPr>
          <w:rFonts w:cs="Arial"/>
          <w:bCs w:val="0"/>
        </w:rPr>
      </w:pPr>
      <w:r w:rsidRPr="008B2270">
        <w:rPr>
          <w:rFonts w:cs="Arial"/>
          <w:bCs w:val="0"/>
        </w:rPr>
        <w:t>Performance information 1.1 Support for the Child Care System</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0"/>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keepNext/>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keepNext/>
            </w:pPr>
            <w:r w:rsidRPr="008B2270">
              <w:t xml:space="preserve">Expected achievement </w:t>
            </w:r>
          </w:p>
        </w:tc>
      </w:tr>
      <w:tr w:rsidR="00CE3F03" w:rsidRPr="008B2270" w:rsidTr="00CE3F03">
        <w:trPr>
          <w:cantSplit/>
          <w:trHeight w:val="20"/>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Child care support is targeted to vulnerable and disadvantaged families and communities.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100% of the Child Care Safety Net supports vulnerable and disadvantaged families and communities.</w:t>
            </w:r>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0"/>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
              <w:rPr>
                <w:b/>
              </w:rPr>
            </w:pPr>
            <w:r w:rsidRPr="008B2270">
              <w:rPr>
                <w:b/>
              </w:rPr>
              <w:t>Year</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
              <w:rPr>
                <w:b/>
              </w:rPr>
            </w:pPr>
            <w:r w:rsidRPr="008B2270">
              <w:rPr>
                <w:b/>
              </w:rPr>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014AD5">
            <w:pPr>
              <w:pStyle w:val="PBS16TableNormalHeading"/>
            </w:pPr>
            <w:r w:rsidRPr="008B2270">
              <w:t>Target</w:t>
            </w:r>
          </w:p>
        </w:tc>
      </w:tr>
      <w:tr w:rsidR="00CE3F03" w:rsidRPr="008B2270" w:rsidTr="00CE3F03">
        <w:trPr>
          <w:cantSplit/>
          <w:trHeight w:val="20"/>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
              <w:rPr>
                <w:b/>
              </w:rPr>
            </w:pPr>
            <w:r w:rsidRPr="008B2270">
              <w:t>2019–20</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Child care support is targeted to vulnerable and disadvantaged families and communities.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ListBullet"/>
            </w:pPr>
            <w:r w:rsidRPr="008B2270">
              <w:t>100% of the Child Care Safety Net supports vulnerable and disadvantaged families and communities.</w:t>
            </w:r>
          </w:p>
        </w:tc>
      </w:tr>
      <w:tr w:rsidR="00CE3F03" w:rsidRPr="008B2270" w:rsidTr="00CE3F03">
        <w:trPr>
          <w:cantSplit/>
          <w:trHeight w:val="20"/>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rPr>
                <w:b/>
              </w:rPr>
            </w:pPr>
            <w:r w:rsidRPr="008B2270">
              <w:t>As per 2019–20.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As per 2019–20.</w:t>
            </w:r>
          </w:p>
        </w:tc>
      </w:tr>
    </w:tbl>
    <w:p w:rsidR="00CE3F03" w:rsidRPr="008B2270" w:rsidRDefault="00CE3F03" w:rsidP="00594C84">
      <w:pPr>
        <w:pStyle w:val="Heading6"/>
      </w:pPr>
      <w:r w:rsidRPr="008B2270">
        <w:lastRenderedPageBreak/>
        <w:t>Program expenses 1.1 Support for the Child Care System</w:t>
      </w:r>
    </w:p>
    <w:p w:rsidR="00CE3F03" w:rsidRPr="008B2270" w:rsidRDefault="001A34F2" w:rsidP="00CE3F03">
      <w:pPr>
        <w:pStyle w:val="ChartGraphic"/>
      </w:pPr>
      <w:r w:rsidRPr="008B2270">
        <w:drawing>
          <wp:inline distT="0" distB="0" distL="0" distR="0">
            <wp:extent cx="4895850" cy="1371363"/>
            <wp:effectExtent l="0" t="0" r="0" b="635"/>
            <wp:docPr id="134" name="Picture 13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95850" cy="1371363"/>
                    </a:xfrm>
                    <a:prstGeom prst="rect">
                      <a:avLst/>
                    </a:prstGeom>
                    <a:noFill/>
                    <a:ln>
                      <a:noFill/>
                    </a:ln>
                  </pic:spPr>
                </pic:pic>
              </a:graphicData>
            </a:graphic>
          </wp:inline>
        </w:drawing>
      </w:r>
    </w:p>
    <w:p w:rsidR="001925AD" w:rsidRDefault="001925AD">
      <w:pPr>
        <w:spacing w:after="0" w:line="240" w:lineRule="auto"/>
        <w:jc w:val="left"/>
        <w:rPr>
          <w:rFonts w:ascii="Arial" w:hAnsi="Arial" w:cs="Arial"/>
          <w:b/>
          <w:iCs/>
          <w:szCs w:val="26"/>
        </w:rPr>
      </w:pPr>
      <w:r>
        <w:rPr>
          <w:rFonts w:cs="Arial"/>
          <w:bCs/>
        </w:rPr>
        <w:br w:type="page"/>
      </w:r>
    </w:p>
    <w:p w:rsidR="00CE3F03" w:rsidRPr="008B2270" w:rsidRDefault="00CE3F03" w:rsidP="00594C84">
      <w:pPr>
        <w:pStyle w:val="Heading5"/>
        <w:rPr>
          <w:rFonts w:cs="Arial"/>
          <w:bCs w:val="0"/>
        </w:rPr>
      </w:pPr>
      <w:r w:rsidRPr="008B2270">
        <w:rPr>
          <w:rFonts w:cs="Arial"/>
          <w:bCs w:val="0"/>
        </w:rPr>
        <w:lastRenderedPageBreak/>
        <w:t>Program 1.2: Child Care Subsidy</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The Child Care Subsidy</w:t>
            </w:r>
            <w:r w:rsidRPr="008B2270">
              <w:rPr>
                <w:vertAlign w:val="superscript"/>
              </w:rPr>
              <w:t xml:space="preserve"> </w:t>
            </w:r>
            <w:r w:rsidRPr="008B2270">
              <w:t>(CCS) aims to improve access to quality child care by providing assistance to meet the cost of child care for families engaged in work, training, study or other recognised activity.</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CCS replaced the Child Care Benefit and Child Care Rebate from 2 July 2018. CCS is paid directly to services through the Department of Human Services, to reduce the fees that eligible families pay.</w:t>
            </w:r>
          </w:p>
          <w:p w:rsidR="00CE3F03" w:rsidRPr="008B2270" w:rsidRDefault="00CE3F03" w:rsidP="00594C84">
            <w:pPr>
              <w:pStyle w:val="PBS16TableNormal"/>
            </w:pPr>
            <w:r w:rsidRPr="008B2270">
              <w:t>The rate of subsidy to which a family will be entitled will be based on family income. The number of subsidised hours per fortnight will be determined by families’ level of work, training, study or other recognised activity (which can be combined). For families earning $186,958 or less an annual subsidy cap will no longer apply.</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594C84">
      <w:pPr>
        <w:pStyle w:val="Heading6"/>
        <w:rPr>
          <w:rFonts w:cs="Arial"/>
          <w:bCs w:val="0"/>
        </w:rPr>
      </w:pPr>
      <w:r w:rsidRPr="008B2270">
        <w:rPr>
          <w:rFonts w:cs="Arial"/>
          <w:bCs w:val="0"/>
        </w:rPr>
        <w:t>Performance information 1.2 Child Care Subsidy</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rPr>
                <w:bCs/>
              </w:rPr>
              <w:t>Existing families transition to the new child care arrangements.</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At least 90% of families transition to the new Child Care Subsidy.</w:t>
            </w:r>
            <w:r w:rsidRPr="008B2270">
              <w:rPr>
                <w:rStyle w:val="FootnoteReference"/>
              </w:rPr>
              <w:footnoteReference w:id="1"/>
            </w:r>
          </w:p>
          <w:p w:rsidR="00CE3F03" w:rsidRPr="008B2270" w:rsidRDefault="00CE3F03" w:rsidP="00CE3F03">
            <w:pPr>
              <w:pStyle w:val="PBS16TableListBullet"/>
              <w:numPr>
                <w:ilvl w:val="0"/>
                <w:numId w:val="0"/>
              </w:numPr>
              <w:ind w:left="195"/>
            </w:pPr>
            <w:r w:rsidRPr="008B2270">
              <w:rPr>
                <w:b/>
              </w:rPr>
              <w:t>Achieved</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Cs/>
              </w:rPr>
            </w:pPr>
            <w:r w:rsidRPr="008B2270">
              <w:rPr>
                <w:bCs/>
              </w:rPr>
              <w:t>Ensuring accurate child care payments.</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At least 90% of child care payments to all services are accurate.</w:t>
            </w:r>
            <w:bookmarkStart w:id="36" w:name="_Ref3553369"/>
            <w:r w:rsidRPr="008B2270">
              <w:rPr>
                <w:rStyle w:val="FootnoteReference"/>
              </w:rPr>
              <w:footnoteReference w:id="2"/>
            </w:r>
            <w:bookmarkEnd w:id="36"/>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pStyle w:val="PBS16TableNormalHeading"/>
            </w:pPr>
            <w:r w:rsidRPr="008B2270">
              <w:t>Year</w:t>
            </w:r>
          </w:p>
        </w:tc>
        <w:tc>
          <w:tcPr>
            <w:tcW w:w="3317" w:type="dxa"/>
            <w:hideMark/>
          </w:tcPr>
          <w:p w:rsidR="00CE3F03" w:rsidRPr="008B2270" w:rsidRDefault="00CE3F03" w:rsidP="00594C84">
            <w:pPr>
              <w:pStyle w:val="PBS16TableNormalHeading"/>
            </w:pPr>
            <w:r w:rsidRPr="008B2270">
              <w:t>Performance criteria</w:t>
            </w:r>
          </w:p>
        </w:tc>
        <w:tc>
          <w:tcPr>
            <w:tcW w:w="3402" w:type="dxa"/>
            <w:hideMark/>
          </w:tcPr>
          <w:p w:rsidR="00CE3F03" w:rsidRPr="008B2270" w:rsidRDefault="00CE3F03" w:rsidP="00594C84">
            <w:pPr>
              <w:pStyle w:val="PBS16TableNormalHeading"/>
            </w:pPr>
            <w:r w:rsidRPr="008B2270">
              <w:t xml:space="preserve">Target </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rPr>
                <w:bCs/>
              </w:rPr>
            </w:pPr>
            <w:r w:rsidRPr="008B2270">
              <w:t>2019–20</w:t>
            </w: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rPr>
                <w:bCs/>
              </w:rPr>
            </w:pPr>
            <w:r w:rsidRPr="008B2270">
              <w:rPr>
                <w:bCs/>
              </w:rPr>
              <w:t>Ensuring accurate child care payments.</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ListBullet"/>
            </w:pPr>
            <w:r w:rsidRPr="008B2270">
              <w:t>At least 90% of child care payments to all services are accurate.</w:t>
            </w:r>
            <w:r w:rsidRPr="008B2270">
              <w:rPr>
                <w:rStyle w:val="FootnoteReference"/>
              </w:rPr>
              <w:t xml:space="preserve"> </w:t>
            </w:r>
            <w:r w:rsidRPr="008B2270">
              <w:fldChar w:fldCharType="begin"/>
            </w:r>
            <w:r w:rsidRPr="008B2270">
              <w:rPr>
                <w:rStyle w:val="FootnoteReference"/>
              </w:rPr>
              <w:instrText xml:space="preserve"> NOTEREF _Ref3553369 \h </w:instrText>
            </w:r>
            <w:r w:rsidRPr="008B2270">
              <w:instrText xml:space="preserve"> \* MERGEFORMAT </w:instrText>
            </w:r>
            <w:r w:rsidRPr="008B2270">
              <w:fldChar w:fldCharType="separate"/>
            </w:r>
            <w:r w:rsidR="00E775E3">
              <w:rPr>
                <w:rStyle w:val="FootnoteReference"/>
              </w:rPr>
              <w:t>2</w:t>
            </w:r>
            <w:r w:rsidRPr="008B2270">
              <w:fldChar w:fldCharType="end"/>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Cs/>
              </w:rPr>
            </w:pPr>
            <w:r w:rsidRPr="008B2270">
              <w:rPr>
                <w:bCs/>
              </w:rPr>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F50F07" w:rsidRDefault="00CE3F03" w:rsidP="00F50F07">
            <w:pPr>
              <w:pStyle w:val="PBS16TableNormal"/>
              <w:rPr>
                <w:bCs/>
              </w:rPr>
            </w:pPr>
            <w:r w:rsidRPr="008B2270">
              <w:rPr>
                <w:bCs/>
              </w:rPr>
              <w:t>As per 2019–20</w:t>
            </w:r>
          </w:p>
        </w:tc>
      </w:tr>
    </w:tbl>
    <w:p w:rsidR="00CE3F03" w:rsidRPr="008B2270" w:rsidRDefault="00CE3F03" w:rsidP="00594C84">
      <w:pPr>
        <w:pStyle w:val="Heading6"/>
      </w:pPr>
      <w:r w:rsidRPr="008B2270">
        <w:t>Program expenses 1.2 Child Care Subsidy</w:t>
      </w:r>
    </w:p>
    <w:p w:rsidR="00CE3F03" w:rsidRPr="008B2270" w:rsidRDefault="00737718" w:rsidP="00CE3F03">
      <w:pPr>
        <w:pStyle w:val="ChartGraphic"/>
      </w:pPr>
      <w:r w:rsidRPr="008B2270">
        <w:drawing>
          <wp:inline distT="0" distB="0" distL="0" distR="0">
            <wp:extent cx="4895850" cy="1022392"/>
            <wp:effectExtent l="0" t="0" r="0" b="6350"/>
            <wp:docPr id="113" name="Picture 11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95850" cy="1022392"/>
                    </a:xfrm>
                    <a:prstGeom prst="rect">
                      <a:avLst/>
                    </a:prstGeom>
                    <a:noFill/>
                    <a:ln>
                      <a:noFill/>
                    </a:ln>
                  </pic:spPr>
                </pic:pic>
              </a:graphicData>
            </a:graphic>
          </wp:inline>
        </w:drawing>
      </w:r>
    </w:p>
    <w:p w:rsidR="00CE3F03" w:rsidRPr="008B2270" w:rsidRDefault="00CE3F03" w:rsidP="00CE3F03">
      <w:pPr>
        <w:pStyle w:val="ChartandTableFootnote"/>
      </w:pPr>
      <w:r w:rsidRPr="008B2270">
        <w:t xml:space="preserve">(a) </w:t>
      </w:r>
      <w:r w:rsidRPr="008B2270">
        <w:tab/>
        <w:t>This program commenced 2 July 2018 and replaced the Child Care Benefit and Child Care Rebate programs.</w:t>
      </w:r>
    </w:p>
    <w:p w:rsidR="00CE3F03" w:rsidRPr="008B2270" w:rsidRDefault="00CE3F03" w:rsidP="00594C84">
      <w:pPr>
        <w:spacing w:after="0" w:line="240" w:lineRule="auto"/>
        <w:jc w:val="left"/>
        <w:rPr>
          <w:rFonts w:ascii="Arial" w:hAnsi="Arial" w:cs="Arial"/>
          <w:b/>
          <w:iCs/>
          <w:szCs w:val="26"/>
        </w:rPr>
      </w:pPr>
      <w:r w:rsidRPr="008B2270">
        <w:rPr>
          <w:rFonts w:cs="Arial"/>
          <w:bCs/>
        </w:rPr>
        <w:br w:type="page"/>
      </w:r>
    </w:p>
    <w:p w:rsidR="00CE3F03" w:rsidRPr="008B2270" w:rsidRDefault="00CE3F03" w:rsidP="00594C84">
      <w:pPr>
        <w:pStyle w:val="Heading5"/>
        <w:rPr>
          <w:rFonts w:cs="Arial"/>
          <w:bCs w:val="0"/>
        </w:rPr>
      </w:pPr>
      <w:r w:rsidRPr="008B2270">
        <w:rPr>
          <w:rFonts w:cs="Arial"/>
          <w:bCs w:val="0"/>
        </w:rPr>
        <w:lastRenderedPageBreak/>
        <w:t>Program 1.3: Government Schools National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The program provides supplementary financial assistance to state and territory governments to facilitate the delivery of a quality education within government schools.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The Government’s Quality Schools reforms will provide consistent, transparent and needs-based school funding arrangements. Under the new arrangements, states and territories are party to the National School Reform Agreement to lift performance outcomes for Australian students.</w:t>
            </w:r>
          </w:p>
          <w:p w:rsidR="00CE3F03" w:rsidRPr="008B2270" w:rsidRDefault="00CE3F03" w:rsidP="00594C84">
            <w:pPr>
              <w:pStyle w:val="PBS16TableNormalHeading2"/>
            </w:pPr>
            <w:r w:rsidRPr="008B2270">
              <w:t>Recurrent grants – government schools</w:t>
            </w:r>
          </w:p>
          <w:p w:rsidR="00CE3F03" w:rsidRPr="008B2270" w:rsidRDefault="00CE3F03" w:rsidP="00594C84">
            <w:pPr>
              <w:pStyle w:val="PBS16TableNormal"/>
            </w:pPr>
            <w:r w:rsidRPr="008B2270">
              <w:t xml:space="preserve">Recurrent funding for all schools, both government and non-government, is delivered under the needs-based funding arrangements in the </w:t>
            </w:r>
            <w:r w:rsidRPr="008B2270">
              <w:rPr>
                <w:i/>
              </w:rPr>
              <w:t>Australian Education Act 2013</w:t>
            </w:r>
            <w:r w:rsidRPr="008B2270">
              <w:t xml:space="preserve"> informed by the Schooling Resource Standard (SRS). The SRS includes a base amount for every primary and secondary school student plus additional loadings to target disadvantage, including loadings for:</w:t>
            </w:r>
          </w:p>
          <w:p w:rsidR="00CE3F03" w:rsidRPr="008B2270" w:rsidRDefault="00CE3F03" w:rsidP="00594C84">
            <w:pPr>
              <w:pStyle w:val="PBS16TableListBullet"/>
            </w:pPr>
            <w:r w:rsidRPr="008B2270">
              <w:t xml:space="preserve">students with low socioeconomic status </w:t>
            </w:r>
          </w:p>
          <w:p w:rsidR="00CE3F03" w:rsidRPr="008B2270" w:rsidRDefault="00CE3F03" w:rsidP="00594C84">
            <w:pPr>
              <w:pStyle w:val="PBS16TableListBullet"/>
            </w:pPr>
            <w:r w:rsidRPr="008B2270">
              <w:t>students with disability</w:t>
            </w:r>
          </w:p>
          <w:p w:rsidR="00CE3F03" w:rsidRPr="008B2270" w:rsidRDefault="00CE3F03" w:rsidP="00594C84">
            <w:pPr>
              <w:pStyle w:val="PBS16TableListBullet"/>
            </w:pPr>
            <w:r w:rsidRPr="008B2270">
              <w:t>Aboriginal and Torres Strait Islander students</w:t>
            </w:r>
          </w:p>
          <w:p w:rsidR="00CE3F03" w:rsidRPr="008B2270" w:rsidRDefault="00CE3F03" w:rsidP="00594C84">
            <w:pPr>
              <w:pStyle w:val="PBS16TableListBullet"/>
            </w:pPr>
            <w:r w:rsidRPr="008B2270">
              <w:t>students with low English proficiency</w:t>
            </w:r>
          </w:p>
          <w:p w:rsidR="00CE3F03" w:rsidRPr="008B2270" w:rsidRDefault="00CE3F03" w:rsidP="00594C84">
            <w:pPr>
              <w:pStyle w:val="PBS16TableListBullet"/>
            </w:pPr>
            <w:r w:rsidRPr="008B2270">
              <w:t xml:space="preserve">school size </w:t>
            </w:r>
          </w:p>
          <w:p w:rsidR="00CE3F03" w:rsidRPr="008B2270" w:rsidRDefault="00CE3F03" w:rsidP="00594C84">
            <w:pPr>
              <w:pStyle w:val="PBS16TableListBullet"/>
            </w:pPr>
            <w:r w:rsidRPr="008B2270">
              <w:t xml:space="preserve">location.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594C84">
      <w:pPr>
        <w:pStyle w:val="Heading6"/>
        <w:rPr>
          <w:rFonts w:cs="Arial"/>
          <w:bCs w:val="0"/>
        </w:rPr>
      </w:pPr>
      <w:r w:rsidRPr="008B2270">
        <w:rPr>
          <w:rFonts w:cs="Arial"/>
          <w:bCs w:val="0"/>
        </w:rPr>
        <w:t>Performance information 1.3 Government Schools National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rPr>
                <w:b/>
              </w:rPr>
            </w:pPr>
            <w:r w:rsidRPr="008B2270">
              <w:t>Lifting outcomes in Australian schools – student attainment.</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Lift the Year 12 (or equivalent) or Certificate III attainment rate to 90% by 2020 (</w:t>
            </w:r>
            <w:r w:rsidRPr="008B2270">
              <w:rPr>
                <w:i/>
              </w:rPr>
              <w:t>measured as trend towards target</w:t>
            </w:r>
            <w:r w:rsidRPr="008B2270">
              <w:t>).</w:t>
            </w:r>
            <w:bookmarkStart w:id="37" w:name="_Ref3559536"/>
            <w:r w:rsidRPr="008B2270">
              <w:rPr>
                <w:rStyle w:val="FootnoteReference"/>
              </w:rPr>
              <w:footnoteReference w:id="3"/>
            </w:r>
            <w:bookmarkEnd w:id="37"/>
          </w:p>
          <w:p w:rsidR="00CE3F03" w:rsidRPr="008B2270" w:rsidRDefault="00CE3F03" w:rsidP="00CE3F03">
            <w:pPr>
              <w:pStyle w:val="PBS16TableListBullet"/>
              <w:numPr>
                <w:ilvl w:val="0"/>
                <w:numId w:val="0"/>
              </w:numPr>
              <w:ind w:left="195"/>
            </w:pPr>
            <w:r w:rsidRPr="008B2270">
              <w:rPr>
                <w:b/>
              </w:rPr>
              <w:t>On Track</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Closing the Gap for Aboriginal and Torres Strait Islander students in schools.</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Halve the gap for Indigenous children in reading, writing and numeracy within a decade (2018).</w:t>
            </w:r>
            <w:r w:rsidRPr="008B2270">
              <w:rPr>
                <w:rStyle w:val="FootnoteReference"/>
              </w:rPr>
              <w:fldChar w:fldCharType="begin"/>
            </w:r>
            <w:r w:rsidRPr="008B2270">
              <w:rPr>
                <w:rStyle w:val="FootnoteReference"/>
              </w:rPr>
              <w:instrText xml:space="preserve"> NOTEREF _Ref3559536 \h  \* MERGEFORMAT </w:instrText>
            </w:r>
            <w:r w:rsidRPr="008B2270">
              <w:rPr>
                <w:rStyle w:val="FootnoteReference"/>
              </w:rPr>
            </w:r>
            <w:r w:rsidRPr="008B2270">
              <w:rPr>
                <w:rStyle w:val="FootnoteReference"/>
              </w:rPr>
              <w:fldChar w:fldCharType="separate"/>
            </w:r>
            <w:r w:rsidR="00E775E3">
              <w:rPr>
                <w:rStyle w:val="FootnoteReference"/>
              </w:rPr>
              <w:t>3</w:t>
            </w:r>
            <w:r w:rsidRPr="008B2270">
              <w:rPr>
                <w:rStyle w:val="FootnoteReference"/>
              </w:rPr>
              <w:fldChar w:fldCharType="end"/>
            </w:r>
            <w:r w:rsidRPr="008B2270">
              <w:t xml:space="preserve"> </w:t>
            </w:r>
          </w:p>
          <w:p w:rsidR="00CE3F03" w:rsidRPr="008B2270" w:rsidRDefault="00CE3F03" w:rsidP="00CE3F03">
            <w:pPr>
              <w:pStyle w:val="PBS16TableListBullet"/>
              <w:numPr>
                <w:ilvl w:val="0"/>
                <w:numId w:val="0"/>
              </w:numPr>
              <w:ind w:left="195"/>
            </w:pPr>
            <w:r w:rsidRPr="008B2270">
              <w:rPr>
                <w:b/>
              </w:rPr>
              <w:t>Not achieved</w:t>
            </w:r>
          </w:p>
          <w:p w:rsidR="00CE3F03" w:rsidRPr="008B2270" w:rsidRDefault="00CE3F03" w:rsidP="00CE3F03">
            <w:pPr>
              <w:pStyle w:val="PBS16TableListBullet"/>
            </w:pPr>
            <w:r w:rsidRPr="008B2270">
              <w:t>Reduce the gap in school attendance for Indigenous students (2018).</w:t>
            </w:r>
            <w:bookmarkStart w:id="38" w:name="_Ref3559616"/>
            <w:r w:rsidRPr="008B2270">
              <w:rPr>
                <w:rStyle w:val="FootnoteReference"/>
              </w:rPr>
              <w:footnoteReference w:id="4"/>
            </w:r>
            <w:bookmarkEnd w:id="38"/>
          </w:p>
          <w:p w:rsidR="00CE3F03" w:rsidRPr="008B2270" w:rsidRDefault="00CE3F03" w:rsidP="00CE3F03">
            <w:pPr>
              <w:pStyle w:val="PBS16TableListBullet"/>
              <w:numPr>
                <w:ilvl w:val="0"/>
                <w:numId w:val="0"/>
              </w:numPr>
              <w:ind w:left="195"/>
            </w:pPr>
            <w:r w:rsidRPr="008B2270">
              <w:rPr>
                <w:b/>
              </w:rPr>
              <w:t>Not achieved</w:t>
            </w:r>
          </w:p>
          <w:p w:rsidR="00CE3F03" w:rsidRPr="008B2270" w:rsidRDefault="00CE3F03" w:rsidP="00CE3F03">
            <w:pPr>
              <w:pStyle w:val="PBS16TableListBullet"/>
            </w:pPr>
            <w:r w:rsidRPr="008B2270">
              <w:t>Halve the gap in attainment rates in Year 12 or equivalent, for Indigenous people aged 20–24 by 2020 (</w:t>
            </w:r>
            <w:r w:rsidRPr="008B2270">
              <w:rPr>
                <w:i/>
              </w:rPr>
              <w:t>measured as trend towards target</w:t>
            </w:r>
            <w:r w:rsidRPr="008B2270">
              <w:t>).</w:t>
            </w:r>
            <w:r w:rsidRPr="008B2270">
              <w:rPr>
                <w:rStyle w:val="FootnoteReference"/>
              </w:rPr>
              <w:fldChar w:fldCharType="begin"/>
            </w:r>
            <w:r w:rsidRPr="008B2270">
              <w:rPr>
                <w:rStyle w:val="FootnoteReference"/>
              </w:rPr>
              <w:instrText xml:space="preserve"> NOTEREF _Ref3559616 \h  \* MERGEFORMAT </w:instrText>
            </w:r>
            <w:r w:rsidRPr="008B2270">
              <w:rPr>
                <w:rStyle w:val="FootnoteReference"/>
              </w:rPr>
            </w:r>
            <w:r w:rsidRPr="008B2270">
              <w:rPr>
                <w:rStyle w:val="FootnoteReference"/>
              </w:rPr>
              <w:fldChar w:fldCharType="separate"/>
            </w:r>
            <w:r w:rsidR="00E775E3">
              <w:rPr>
                <w:rStyle w:val="FootnoteReference"/>
              </w:rPr>
              <w:t>4</w:t>
            </w:r>
            <w:r w:rsidRPr="008B2270">
              <w:rPr>
                <w:rStyle w:val="FootnoteReference"/>
              </w:rPr>
              <w:fldChar w:fldCharType="end"/>
            </w:r>
            <w:r w:rsidRPr="008B2270">
              <w:t xml:space="preserve"> </w:t>
            </w:r>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lastRenderedPageBreak/>
              <w:t>Year</w:t>
            </w:r>
          </w:p>
        </w:tc>
        <w:tc>
          <w:tcPr>
            <w:tcW w:w="3317" w:type="dxa"/>
            <w:tcBorders>
              <w:bottom w:val="single" w:sz="4" w:space="0" w:color="auto"/>
            </w:tcBorders>
            <w:hideMark/>
          </w:tcPr>
          <w:p w:rsidR="00CE3F03" w:rsidRPr="008B2270" w:rsidRDefault="00CE3F03" w:rsidP="00594C84">
            <w:pPr>
              <w:tabs>
                <w:tab w:val="left" w:pos="709"/>
              </w:tabs>
              <w:spacing w:before="60" w:after="60" w:line="240" w:lineRule="auto"/>
              <w:jc w:val="left"/>
              <w:rPr>
                <w:rFonts w:ascii="Arial" w:hAnsi="Arial" w:cs="Arial"/>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tcPr>
          <w:p w:rsidR="00CE3F03" w:rsidRPr="008B2270" w:rsidRDefault="00CE3F03" w:rsidP="00594C84">
            <w:pPr>
              <w:pStyle w:val="PBS16TableNormal"/>
              <w:rPr>
                <w:b/>
              </w:rPr>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rPr>
                <w:b/>
              </w:rPr>
            </w:pPr>
            <w:r w:rsidRPr="008B2270">
              <w:t>Lifting outcomes in Australian schools – student attainment.</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ListBullet"/>
            </w:pPr>
            <w:r w:rsidRPr="008B2270">
              <w:t>Lift the Year 12 (or equivalent) or Certificate III attainment rate to 90% by 2020 (</w:t>
            </w:r>
            <w:r w:rsidRPr="008B2270">
              <w:rPr>
                <w:i/>
              </w:rPr>
              <w:t>measured as trend towards target</w:t>
            </w:r>
            <w:r w:rsidRPr="008B2270">
              <w:t>)</w:t>
            </w:r>
            <w:bookmarkStart w:id="39" w:name="_Ref500241791"/>
            <w:r w:rsidRPr="008B2270">
              <w:t>.</w:t>
            </w:r>
            <w:r w:rsidRPr="008B2270">
              <w:rPr>
                <w:rStyle w:val="FootnoteReference"/>
              </w:rPr>
              <w:t> </w:t>
            </w:r>
            <w:r w:rsidRPr="008B2270">
              <w:rPr>
                <w:rStyle w:val="FootnoteReference"/>
              </w:rPr>
              <w:footnoteReference w:id="5"/>
            </w:r>
            <w:bookmarkEnd w:id="39"/>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Closing the Gap for Aboriginal and Torres Strait Islander students in schools.</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ListBullet"/>
            </w:pPr>
            <w:r w:rsidRPr="008B2270">
              <w:t>Reduce the gap for Indigenous students in Year 12 or equivalent attainment rate by 2020.</w:t>
            </w:r>
            <w:r w:rsidRPr="008B2270">
              <w:rPr>
                <w:rStyle w:val="FootnoteReference"/>
              </w:rPr>
              <w:footnoteReference w:id="6"/>
            </w:r>
            <w:r w:rsidRPr="008B2270">
              <w:t xml:space="preserve"> </w:t>
            </w:r>
            <w:r w:rsidRPr="008B2270">
              <w:rPr>
                <w:rStyle w:val="FootnoteReference"/>
              </w:rPr>
              <w:footnoteReference w:id="7"/>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keepNext/>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keepNext/>
            </w:pPr>
            <w:r w:rsidRPr="008B2270">
              <w:t>As per 2019–20.</w:t>
            </w:r>
          </w:p>
        </w:tc>
      </w:tr>
    </w:tbl>
    <w:p w:rsidR="00CE3F03" w:rsidRPr="008B2270" w:rsidRDefault="00CE3F03" w:rsidP="00594C84">
      <w:pPr>
        <w:pStyle w:val="Heading6"/>
      </w:pPr>
      <w:r w:rsidRPr="008B2270">
        <w:t>Program expenses 1.3 Government Schools National Support</w:t>
      </w:r>
    </w:p>
    <w:p w:rsidR="00CE3F03" w:rsidRPr="008B2270" w:rsidRDefault="00CE3F03" w:rsidP="00CE3F03">
      <w:pPr>
        <w:pStyle w:val="ChartGraphic"/>
      </w:pPr>
      <w:r w:rsidRPr="008B2270">
        <w:drawing>
          <wp:inline distT="0" distB="0" distL="0" distR="0" wp14:anchorId="2B01B889" wp14:editId="6CC9ED93">
            <wp:extent cx="4895850" cy="1393109"/>
            <wp:effectExtent l="0" t="0" r="0" b="0"/>
            <wp:docPr id="18" name="Picture 1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95850" cy="1393109"/>
                    </a:xfrm>
                    <a:prstGeom prst="rect">
                      <a:avLst/>
                    </a:prstGeom>
                    <a:noFill/>
                    <a:ln>
                      <a:noFill/>
                    </a:ln>
                  </pic:spPr>
                </pic:pic>
              </a:graphicData>
            </a:graphic>
          </wp:inline>
        </w:drawing>
      </w:r>
    </w:p>
    <w:p w:rsidR="00CE3F03" w:rsidRPr="008B2270" w:rsidRDefault="00CE3F03">
      <w:pPr>
        <w:spacing w:after="0" w:line="240" w:lineRule="auto"/>
        <w:jc w:val="left"/>
        <w:rPr>
          <w:rFonts w:ascii="Arial" w:hAnsi="Arial" w:cs="Arial"/>
          <w:b/>
          <w:iCs/>
          <w:szCs w:val="26"/>
        </w:rPr>
      </w:pPr>
      <w:r w:rsidRPr="008B2270">
        <w:rPr>
          <w:rFonts w:cs="Arial"/>
          <w:bCs/>
        </w:rPr>
        <w:br w:type="page"/>
      </w:r>
    </w:p>
    <w:p w:rsidR="00CE3F03" w:rsidRPr="008B2270" w:rsidRDefault="00CE3F03" w:rsidP="00594C84">
      <w:pPr>
        <w:pStyle w:val="Heading5"/>
        <w:rPr>
          <w:rFonts w:cs="Arial"/>
          <w:bCs w:val="0"/>
        </w:rPr>
      </w:pPr>
      <w:r w:rsidRPr="008B2270">
        <w:rPr>
          <w:rFonts w:cs="Arial"/>
          <w:bCs w:val="0"/>
        </w:rPr>
        <w:lastRenderedPageBreak/>
        <w:t>Program 1.4: Non-Government Schools National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keepNext/>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keepNext/>
            </w:pPr>
            <w:r w:rsidRPr="008B2270">
              <w:t>The program provides financial assistance to approved authorities for non-government schools to facilitate the delivery of a quality education within non-government schools.</w:t>
            </w:r>
          </w:p>
        </w:tc>
      </w:tr>
      <w:tr w:rsidR="00CE3F03" w:rsidRPr="008B2270" w:rsidTr="00CE3F03">
        <w:trPr>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 xml:space="preserve">The Government’s Quality Schools reforms will provide consistent, transparent and needs-based school funding arrangements. Under the new arrangements, states and territories are party to the National School Reform Agreement to help lift performance outcomes for Australian students. </w:t>
            </w:r>
          </w:p>
          <w:p w:rsidR="00CE3F03" w:rsidRPr="008B2270" w:rsidRDefault="00CE3F03" w:rsidP="00594C84">
            <w:pPr>
              <w:pStyle w:val="PBS16TableNormalHeading2"/>
            </w:pPr>
            <w:r w:rsidRPr="008B2270">
              <w:t>Recurrent grants – non-government schools</w:t>
            </w:r>
          </w:p>
          <w:p w:rsidR="00CE3F03" w:rsidRPr="008B2270" w:rsidRDefault="00CE3F03" w:rsidP="00594C84">
            <w:pPr>
              <w:pStyle w:val="PBS16TableNormal"/>
            </w:pPr>
            <w:r w:rsidRPr="008B2270">
              <w:t xml:space="preserve">Recurrent funding for all schools, both government and non-government, is delivered under the needs-based funding arrangements in the </w:t>
            </w:r>
            <w:r w:rsidRPr="008B2270">
              <w:rPr>
                <w:i/>
                <w:iCs/>
              </w:rPr>
              <w:t>Australian Education Act 2013</w:t>
            </w:r>
            <w:r w:rsidRPr="008B2270">
              <w:t xml:space="preserve"> informed by the Schooling Resource Standard (SRS). The SRS includes a base amount for every primary and secondary school student plus additional loadings to target disadvantage, including loadings for:</w:t>
            </w:r>
          </w:p>
          <w:p w:rsidR="00CE3F03" w:rsidRPr="008B2270" w:rsidRDefault="00CE3F03" w:rsidP="00594C84">
            <w:pPr>
              <w:pStyle w:val="PBS16TableListBullet"/>
            </w:pPr>
            <w:r w:rsidRPr="008B2270">
              <w:t xml:space="preserve">students with low socioeconomic status </w:t>
            </w:r>
          </w:p>
          <w:p w:rsidR="00CE3F03" w:rsidRPr="008B2270" w:rsidRDefault="00CE3F03" w:rsidP="00594C84">
            <w:pPr>
              <w:pStyle w:val="PBS16TableListBullet"/>
            </w:pPr>
            <w:r w:rsidRPr="008B2270">
              <w:t>students with disability</w:t>
            </w:r>
          </w:p>
          <w:p w:rsidR="00CE3F03" w:rsidRPr="008B2270" w:rsidRDefault="00CE3F03" w:rsidP="00594C84">
            <w:pPr>
              <w:pStyle w:val="PBS16TableListBullet"/>
            </w:pPr>
            <w:r w:rsidRPr="008B2270">
              <w:t>Aboriginal and Torres Strait Islander students</w:t>
            </w:r>
          </w:p>
          <w:p w:rsidR="00CE3F03" w:rsidRPr="008B2270" w:rsidRDefault="00CE3F03" w:rsidP="00594C84">
            <w:pPr>
              <w:pStyle w:val="PBS16TableListBullet"/>
            </w:pPr>
            <w:r w:rsidRPr="008B2270">
              <w:t>students with low English proficiency</w:t>
            </w:r>
          </w:p>
          <w:p w:rsidR="00CE3F03" w:rsidRPr="008B2270" w:rsidRDefault="00CE3F03" w:rsidP="00594C84">
            <w:pPr>
              <w:pStyle w:val="PBS16TableListBullet"/>
            </w:pPr>
            <w:r w:rsidRPr="008B2270">
              <w:t xml:space="preserve">school size </w:t>
            </w:r>
          </w:p>
          <w:p w:rsidR="00CE3F03" w:rsidRPr="008B2270" w:rsidRDefault="00CE3F03" w:rsidP="00594C84">
            <w:pPr>
              <w:pStyle w:val="PBS16TableListBullet"/>
            </w:pPr>
            <w:r w:rsidRPr="008B2270">
              <w:t xml:space="preserve">location. </w:t>
            </w:r>
          </w:p>
          <w:p w:rsidR="00CE3F03" w:rsidRPr="008B2270" w:rsidRDefault="00CE3F03" w:rsidP="00594C84">
            <w:pPr>
              <w:pStyle w:val="PBS16TableNormalHeading2"/>
              <w:rPr>
                <w:u w:val="none"/>
              </w:rPr>
            </w:pPr>
            <w:r w:rsidRPr="008B2270">
              <w:rPr>
                <w:u w:val="none"/>
              </w:rPr>
              <w:t xml:space="preserve">The Government is introducing a new method for calculating the capacity of a school community to contribute toward the school’s operating costs. The new method will be based on a direct measure of the income of the parents and/or guardians of students at a school. This replaces the current method which uses the average income in the area the student lives. This new method will be more accurate and ensure the Australian Government funding is directed to schools with the most need. </w:t>
            </w:r>
          </w:p>
          <w:p w:rsidR="00CE3F03" w:rsidRPr="008B2270" w:rsidRDefault="00CE3F03" w:rsidP="00594C84">
            <w:pPr>
              <w:pStyle w:val="PBS16TableNormalHeading2"/>
            </w:pPr>
            <w:r w:rsidRPr="008B2270">
              <w:t>Transition support</w:t>
            </w:r>
          </w:p>
          <w:p w:rsidR="00CE3F03" w:rsidRPr="008B2270" w:rsidRDefault="00CE3F03" w:rsidP="00594C84">
            <w:pPr>
              <w:pStyle w:val="PBS16TableNormal"/>
            </w:pPr>
            <w:r w:rsidRPr="008B2270">
              <w:t>The Government will provide approximately $170.8 million in additional funding for 2019 for non</w:t>
            </w:r>
            <w:r w:rsidRPr="008B2270">
              <w:noBreakHyphen/>
              <w:t xml:space="preserve">government schools. This support builds on similar provisions in 2018, allowing schools to plan with confidence for the 2019 school year while work is underway to test and refine the direct income measure and settle the new funding arrangements. </w:t>
            </w:r>
          </w:p>
          <w:p w:rsidR="00CE3F03" w:rsidRPr="008B2270" w:rsidRDefault="00CE3F03" w:rsidP="00594C84">
            <w:pPr>
              <w:pStyle w:val="PBS16TableNormal"/>
              <w:rPr>
                <w:rFonts w:eastAsiaTheme="minorHAnsi"/>
                <w:u w:val="single"/>
              </w:rPr>
            </w:pPr>
            <w:r w:rsidRPr="008B2270">
              <w:t>To complement the funding arrangements, the Government will create the new Choice and Affordability Fund to commence in 2020. This fund will provide the non</w:t>
            </w:r>
            <w:r w:rsidRPr="008B2270">
              <w:noBreakHyphen/>
              <w:t>government sector with a flexible means of driving other government priorities, including supporting parental choice and affordability, supporting schools during the transition and strengthening educational outcomes in schools.</w:t>
            </w:r>
          </w:p>
          <w:p w:rsidR="00CE3F03" w:rsidRPr="008B2270" w:rsidRDefault="00CE3F03" w:rsidP="00594C84">
            <w:pPr>
              <w:pStyle w:val="PBS16TableNormal"/>
            </w:pPr>
            <w:r w:rsidRPr="008B2270">
              <w:rPr>
                <w:rFonts w:eastAsiaTheme="minorHAnsi"/>
                <w:u w:val="single"/>
              </w:rPr>
              <w:t>Non-government reform support</w:t>
            </w:r>
          </w:p>
          <w:p w:rsidR="00CE3F03" w:rsidRPr="008B2270" w:rsidRDefault="00CE3F03" w:rsidP="00594C84">
            <w:pPr>
              <w:pStyle w:val="PBS16TableNormal"/>
            </w:pPr>
            <w:r w:rsidRPr="008B2270">
              <w:t>Funding is provided to state and territory Catholic Education Commissions and Associations of Independent Schools as approved non-government representative bodies. The funding is provided to assist with implementation of national reforms in non</w:t>
            </w:r>
            <w:r w:rsidRPr="008B2270">
              <w:noBreakHyphen/>
              <w:t>government schools.</w:t>
            </w:r>
          </w:p>
          <w:p w:rsidR="00CE3F03" w:rsidRPr="008B2270" w:rsidRDefault="00CE3F03" w:rsidP="00594C84">
            <w:pPr>
              <w:pStyle w:val="PBS16TableNormalHeading2"/>
            </w:pPr>
            <w:r w:rsidRPr="008B2270">
              <w:t>Capital Grants Program</w:t>
            </w:r>
          </w:p>
          <w:p w:rsidR="00CE3F03" w:rsidRPr="008B2270" w:rsidRDefault="00CE3F03" w:rsidP="00594C84">
            <w:pPr>
              <w:pStyle w:val="PBS16TableNormal"/>
            </w:pPr>
            <w:r w:rsidRPr="008B2270">
              <w:t>Capital funding is provided to assist non-government school communities to improve school capital infrastructure, particularly for the most educationally-disadvantaged students. Capital grants are supplementary to funding provided by school communities and non</w:t>
            </w:r>
            <w:r w:rsidRPr="008B2270">
              <w:noBreakHyphen/>
              <w:t>government school authorities. Educational authorities have primary responsibility for providing, maintaining and upgrading their school facilities.</w:t>
            </w:r>
          </w:p>
          <w:p w:rsidR="00CE3F03" w:rsidRPr="008B2270" w:rsidRDefault="00CE3F03" w:rsidP="00594C84">
            <w:pPr>
              <w:pStyle w:val="PBS16TableNormalHeading2"/>
            </w:pPr>
            <w:r w:rsidRPr="008B2270">
              <w:t>Special Circumstances Funding</w:t>
            </w:r>
          </w:p>
          <w:p w:rsidR="00CE3F03" w:rsidRPr="008B2270" w:rsidRDefault="00CE3F03" w:rsidP="00CE3F03">
            <w:pPr>
              <w:pStyle w:val="PBS16TableNormal"/>
            </w:pPr>
            <w:r w:rsidRPr="008B2270">
              <w:t xml:space="preserve">Special circumstances funding is provided under the </w:t>
            </w:r>
            <w:r w:rsidRPr="008B2270">
              <w:rPr>
                <w:rStyle w:val="PBS16Actsitalics"/>
                <w:rFonts w:eastAsia="Calibri"/>
              </w:rPr>
              <w:t xml:space="preserve">Australian Education Act 2013 to </w:t>
            </w:r>
            <w:r w:rsidRPr="008B2270">
              <w:t>provide financial assistance to schools that are experiencing unexpected circumstances causing severe temporary financial difficulty.</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t>Measures impacting program 1.4:</w:t>
            </w:r>
          </w:p>
          <w:p w:rsidR="00CE3F03" w:rsidRPr="008B2270" w:rsidRDefault="00A97A77" w:rsidP="00A97A77">
            <w:pPr>
              <w:pStyle w:val="PBS16TableListBullet"/>
            </w:pPr>
            <w:r w:rsidRPr="00A97A77">
              <w:t>North Queensland Flood Recovery Package</w:t>
            </w:r>
          </w:p>
        </w:tc>
      </w:tr>
    </w:tbl>
    <w:p w:rsidR="00CE3F03" w:rsidRPr="008B2270" w:rsidRDefault="00CE3F03" w:rsidP="00594C84">
      <w:pPr>
        <w:pStyle w:val="Heading6"/>
        <w:rPr>
          <w:rFonts w:cs="Arial"/>
          <w:bCs w:val="0"/>
        </w:rPr>
      </w:pPr>
      <w:r w:rsidRPr="008B2270">
        <w:rPr>
          <w:rFonts w:cs="Arial"/>
          <w:bCs w:val="0"/>
        </w:rPr>
        <w:lastRenderedPageBreak/>
        <w:t>Performance information 1.4 Non-Government Schools National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Program 1.3.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pPr>
            <w:r w:rsidRPr="008B2270">
              <w:t>As per Program 1.3.</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hideMark/>
          </w:tcPr>
          <w:p w:rsidR="00CE3F03" w:rsidRPr="008B2270" w:rsidRDefault="00CE3F03" w:rsidP="00594C84">
            <w:pPr>
              <w:tabs>
                <w:tab w:val="left" w:pos="709"/>
              </w:tabs>
              <w:spacing w:before="60" w:after="60" w:line="240" w:lineRule="auto"/>
              <w:jc w:val="left"/>
              <w:rPr>
                <w:rFonts w:ascii="Arial" w:hAnsi="Arial" w:cs="Arial"/>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As per Program 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As per Program 1.3.</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pPr>
            <w:r w:rsidRPr="008B2270">
              <w:t>As per Program 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pPr>
            <w:r w:rsidRPr="008B2270">
              <w:t>As per Program 1.3.</w:t>
            </w:r>
          </w:p>
        </w:tc>
      </w:tr>
    </w:tbl>
    <w:p w:rsidR="00CE3F03" w:rsidRPr="008B2270" w:rsidRDefault="00CE3F03" w:rsidP="00594C84">
      <w:pPr>
        <w:pStyle w:val="Heading6"/>
      </w:pPr>
      <w:r w:rsidRPr="008B2270">
        <w:t>Program Expenses 1.4 Non-Government Schools National Support</w:t>
      </w:r>
    </w:p>
    <w:p w:rsidR="00CE3F03" w:rsidRPr="008B2270" w:rsidRDefault="00AA7462" w:rsidP="00CE3F03">
      <w:pPr>
        <w:pStyle w:val="ChartGraphic"/>
      </w:pPr>
      <w:r w:rsidRPr="008B2270">
        <w:drawing>
          <wp:inline distT="0" distB="0" distL="0" distR="0">
            <wp:extent cx="4895850" cy="1765221"/>
            <wp:effectExtent l="0" t="0" r="0" b="6985"/>
            <wp:docPr id="106" name="Picture 10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5850" cy="1765221"/>
                    </a:xfrm>
                    <a:prstGeom prst="rect">
                      <a:avLst/>
                    </a:prstGeom>
                    <a:noFill/>
                    <a:ln>
                      <a:noFill/>
                    </a:ln>
                  </pic:spPr>
                </pic:pic>
              </a:graphicData>
            </a:graphic>
          </wp:inline>
        </w:drawing>
      </w:r>
    </w:p>
    <w:p w:rsidR="00CE3F03" w:rsidRPr="008B2270" w:rsidRDefault="00CE3F03" w:rsidP="00594C84">
      <w:pPr>
        <w:rPr>
          <w:rFonts w:ascii="Arial" w:hAnsi="Arial"/>
          <w:szCs w:val="26"/>
        </w:rPr>
      </w:pPr>
      <w:r w:rsidRPr="008B2270">
        <w:br w:type="page"/>
      </w:r>
    </w:p>
    <w:p w:rsidR="00CE3F03" w:rsidRPr="008B2270" w:rsidRDefault="00CE3F03" w:rsidP="00594C84">
      <w:pPr>
        <w:pStyle w:val="Heading5"/>
        <w:rPr>
          <w:rFonts w:cs="Arial"/>
          <w:bCs w:val="0"/>
        </w:rPr>
      </w:pPr>
      <w:r w:rsidRPr="008B2270">
        <w:rPr>
          <w:rFonts w:cs="Arial"/>
          <w:bCs w:val="0"/>
        </w:rPr>
        <w:lastRenderedPageBreak/>
        <w:t>Program 1.5: Early Learning and Schools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This program supports initiatives that contribute to improved access to high quality teaching and learning in early learning and school education for all Australian students.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This program supports national leadership and work in partnerships with state and territory governments and non-government education authorities, the Australian Curriculum, Assessment and Reporting Authority (ACARA), the Australian Institute for Teaching and School Leadership (AITSL) and Education Services Australia (ESA) through various platforms, such as Education Council, to implement priority initiatives.</w:t>
            </w:r>
          </w:p>
          <w:p w:rsidR="00CE3F03" w:rsidRPr="008B2270" w:rsidRDefault="00CE3F03" w:rsidP="00594C84">
            <w:pPr>
              <w:pStyle w:val="PBS16TableNormal"/>
            </w:pPr>
            <w:r w:rsidRPr="008B2270">
              <w:t>Priority initiatives include:</w:t>
            </w:r>
          </w:p>
          <w:p w:rsidR="00CE3F03" w:rsidRPr="008B2270" w:rsidRDefault="00CE3F03" w:rsidP="00594C84">
            <w:pPr>
              <w:pStyle w:val="PBS16TableListBullet"/>
            </w:pPr>
            <w:r w:rsidRPr="008B2270">
              <w:t>supporting early learning preschool programs to facilitate children’s transition to full</w:t>
            </w:r>
            <w:r w:rsidRPr="008B2270">
              <w:noBreakHyphen/>
              <w:t>time school</w:t>
            </w:r>
          </w:p>
          <w:p w:rsidR="00CE3F03" w:rsidRPr="008B2270" w:rsidRDefault="00CE3F03" w:rsidP="00594C84">
            <w:pPr>
              <w:pStyle w:val="PBS16TableListBullet"/>
            </w:pPr>
            <w:r w:rsidRPr="008B2270">
              <w:t>measuring educational outcomes through national assessments and international benchmarking and building the national evidence base to inform decision making</w:t>
            </w:r>
          </w:p>
          <w:p w:rsidR="00CE3F03" w:rsidRPr="008B2270" w:rsidRDefault="00CE3F03" w:rsidP="00594C84">
            <w:pPr>
              <w:pStyle w:val="PBS16TableListBullet"/>
            </w:pPr>
            <w:r w:rsidRPr="008B2270">
              <w:t>supporting students to successfully transition to further education, training or work by ensuring they gain the skills required for the jobs of the future through the development of a National Career Education Strategy</w:t>
            </w:r>
          </w:p>
          <w:p w:rsidR="00CE3F03" w:rsidRPr="008B2270" w:rsidRDefault="00CE3F03" w:rsidP="00594C84">
            <w:pPr>
              <w:pStyle w:val="PBS16TableListBullet"/>
            </w:pPr>
            <w:r w:rsidRPr="008B2270">
              <w:t>implementing science, technology, engineering and mathematics (STEM) initiatives, including the Pathways in Technology (P-TECH) pilot</w:t>
            </w:r>
          </w:p>
          <w:p w:rsidR="00CE3F03" w:rsidRPr="008B2270" w:rsidRDefault="00CE3F03" w:rsidP="00594C84">
            <w:pPr>
              <w:pStyle w:val="PBS16TableListBullet"/>
            </w:pPr>
            <w:r w:rsidRPr="008B2270">
              <w:t>supporting disadvantaged students through the Learning for Life program</w:t>
            </w:r>
          </w:p>
          <w:p w:rsidR="00CE3F03" w:rsidRPr="008B2270" w:rsidRDefault="00CE3F03" w:rsidP="00594C84">
            <w:pPr>
              <w:pStyle w:val="PBS16TableListBullet"/>
            </w:pPr>
            <w:r w:rsidRPr="008B2270">
              <w:t>supporting quality teachers and school leaders</w:t>
            </w:r>
          </w:p>
          <w:p w:rsidR="00CE3F03" w:rsidRPr="008B2270" w:rsidRDefault="00CE3F03" w:rsidP="00594C84">
            <w:pPr>
              <w:pStyle w:val="PBS16TableListBullet"/>
            </w:pPr>
            <w:r w:rsidRPr="008B2270">
              <w:t>supporting the implementation of National Policy Initiatives under the National School Reform Agreement.</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t>Measures impacting program 1.5:</w:t>
            </w:r>
          </w:p>
          <w:p w:rsidR="00A97A77" w:rsidRDefault="00A97A77" w:rsidP="00A97A77">
            <w:pPr>
              <w:pStyle w:val="PBS16TableListBullet"/>
            </w:pPr>
            <w:r>
              <w:t>Fou</w:t>
            </w:r>
            <w:r w:rsidR="000716BA">
              <w:t>r</w:t>
            </w:r>
            <w:r>
              <w:t>th Action Plan (2019</w:t>
            </w:r>
            <w:r w:rsidR="00F50F07">
              <w:t>–</w:t>
            </w:r>
            <w:r>
              <w:t xml:space="preserve">22) to reduce violence against women and </w:t>
            </w:r>
            <w:r w:rsidR="008D0CAA">
              <w:t xml:space="preserve">their </w:t>
            </w:r>
            <w:r>
              <w:t>children</w:t>
            </w:r>
          </w:p>
          <w:p w:rsidR="00A97A77" w:rsidRDefault="00A97A77" w:rsidP="00A97A77">
            <w:pPr>
              <w:pStyle w:val="PBS16TableListBullet"/>
            </w:pPr>
            <w:r>
              <w:t>Local School Community Fund</w:t>
            </w:r>
          </w:p>
          <w:p w:rsidR="00A97A77" w:rsidRDefault="00A97A77" w:rsidP="00A97A77">
            <w:pPr>
              <w:pStyle w:val="PBS16TableListBullet"/>
            </w:pPr>
            <w:r>
              <w:t>National Partnership Agreement on Universal Access to Early Childhood Education — further extension</w:t>
            </w:r>
          </w:p>
          <w:p w:rsidR="00A97A77" w:rsidRPr="008B2270" w:rsidRDefault="00A97A77" w:rsidP="00E8395F">
            <w:pPr>
              <w:pStyle w:val="PBS16TableListBullet"/>
            </w:pPr>
            <w:r>
              <w:t xml:space="preserve">School Funding </w:t>
            </w:r>
            <w:r w:rsidR="00E8395F">
              <w:t>—</w:t>
            </w:r>
            <w:r>
              <w:t xml:space="preserve"> initiatives to support students and teachers</w:t>
            </w:r>
          </w:p>
        </w:tc>
      </w:tr>
    </w:tbl>
    <w:p w:rsidR="00CE3F03" w:rsidRPr="008B2270" w:rsidRDefault="00CE3F03" w:rsidP="00594C84">
      <w:pPr>
        <w:pStyle w:val="Heading6"/>
        <w:rPr>
          <w:rFonts w:cs="Arial"/>
          <w:bCs w:val="0"/>
        </w:rPr>
      </w:pPr>
      <w:r w:rsidRPr="008B2270">
        <w:rPr>
          <w:rFonts w:cs="Arial"/>
          <w:bCs w:val="0"/>
        </w:rPr>
        <w:t>Performance information 1.5 Early Learning and Schools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8F63BB">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8F63BB">
        <w:trPr>
          <w:cantSplit/>
          <w:trHeight w:val="23"/>
        </w:trPr>
        <w:tc>
          <w:tcPr>
            <w:tcW w:w="1049" w:type="dxa"/>
            <w:tcBorders>
              <w:top w:val="single" w:sz="4" w:space="0" w:color="auto"/>
              <w:left w:val="single" w:sz="4" w:space="0" w:color="auto"/>
              <w:bottom w:val="dotted"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keepNext/>
              <w:rPr>
                <w:u w:val="single"/>
              </w:rPr>
            </w:pPr>
            <w:r w:rsidRPr="008B2270">
              <w:rPr>
                <w:u w:val="single"/>
              </w:rPr>
              <w:t>Preschool</w:t>
            </w:r>
          </w:p>
          <w:p w:rsidR="00CE3F03" w:rsidRPr="008B2270" w:rsidRDefault="00CE3F03" w:rsidP="00CE3F03">
            <w:pPr>
              <w:pStyle w:val="PBS16TableNormal"/>
              <w:keepNext/>
              <w:rPr>
                <w:b/>
              </w:rPr>
            </w:pPr>
            <w:r w:rsidRPr="008B2270">
              <w:t>Universal access to quality early childhood education.</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Normal"/>
              <w:keepNext/>
              <w:rPr>
                <w:u w:val="single"/>
              </w:rPr>
            </w:pPr>
            <w:r w:rsidRPr="008B2270">
              <w:rPr>
                <w:u w:val="single"/>
              </w:rPr>
              <w:t>Preschool</w:t>
            </w:r>
          </w:p>
          <w:p w:rsidR="00CE3F03" w:rsidRPr="008B2270" w:rsidRDefault="00CE3F03" w:rsidP="00CE3F03">
            <w:pPr>
              <w:pStyle w:val="PBS16TableListBullet"/>
            </w:pPr>
            <w:r w:rsidRPr="008B2270">
              <w:t>95% of Indigenous children enrolled in early childhood education in the year before full-time school are enrolled for 600 hours per year.</w:t>
            </w:r>
            <w:bookmarkStart w:id="40" w:name="_Ref3559820"/>
            <w:r w:rsidRPr="008B2270">
              <w:rPr>
                <w:rStyle w:val="FootnoteReference"/>
              </w:rPr>
              <w:footnoteReference w:id="8"/>
            </w:r>
            <w:bookmarkEnd w:id="40"/>
          </w:p>
          <w:p w:rsidR="00CE3F03" w:rsidRPr="008B2270" w:rsidRDefault="00CE3F03" w:rsidP="00CE3F03">
            <w:pPr>
              <w:pStyle w:val="PBS16TableListBullet"/>
              <w:numPr>
                <w:ilvl w:val="0"/>
                <w:numId w:val="0"/>
              </w:numPr>
              <w:ind w:left="195"/>
            </w:pPr>
            <w:r w:rsidRPr="008B2270">
              <w:rPr>
                <w:b/>
              </w:rPr>
              <w:t>On Track</w:t>
            </w:r>
          </w:p>
          <w:p w:rsidR="00CE3F03" w:rsidRPr="008B2270" w:rsidRDefault="00CE3F03" w:rsidP="00CE3F03">
            <w:pPr>
              <w:pStyle w:val="PBS16TableListBullet"/>
              <w:rPr>
                <w:b/>
              </w:rPr>
            </w:pPr>
            <w:r w:rsidRPr="008B2270">
              <w:t>95% of vulnerable and disadvantaged children enrolled in the year before full</w:t>
            </w:r>
            <w:r w:rsidRPr="008B2270">
              <w:noBreakHyphen/>
              <w:t>time school are enrolled for 600 hours per year.</w:t>
            </w:r>
            <w:r w:rsidRPr="008B2270">
              <w:rPr>
                <w:rStyle w:val="FootnoteReference"/>
              </w:rPr>
              <w:fldChar w:fldCharType="begin"/>
            </w:r>
            <w:r w:rsidRPr="008B2270">
              <w:rPr>
                <w:rStyle w:val="FootnoteReference"/>
              </w:rPr>
              <w:instrText xml:space="preserve"> NOTEREF _Ref3559820 \h  \* MERGEFORMAT </w:instrText>
            </w:r>
            <w:r w:rsidRPr="008B2270">
              <w:rPr>
                <w:rStyle w:val="FootnoteReference"/>
              </w:rPr>
            </w:r>
            <w:r w:rsidRPr="008B2270">
              <w:rPr>
                <w:rStyle w:val="FootnoteReference"/>
              </w:rPr>
              <w:fldChar w:fldCharType="separate"/>
            </w:r>
            <w:r w:rsidR="00E775E3">
              <w:rPr>
                <w:rStyle w:val="FootnoteReference"/>
              </w:rPr>
              <w:t>8</w:t>
            </w:r>
            <w:r w:rsidRPr="008B2270">
              <w:rPr>
                <w:rStyle w:val="FootnoteReference"/>
              </w:rPr>
              <w:fldChar w:fldCharType="end"/>
            </w:r>
            <w:r w:rsidRPr="008B2270">
              <w:rPr>
                <w:rStyle w:val="FootnoteReference"/>
              </w:rPr>
              <w:t xml:space="preserve"> </w:t>
            </w:r>
          </w:p>
          <w:p w:rsidR="00CE3F03" w:rsidRPr="008B2270" w:rsidRDefault="00CE3F03" w:rsidP="00CE3F03">
            <w:pPr>
              <w:pStyle w:val="PBS16TableListBullet"/>
              <w:numPr>
                <w:ilvl w:val="0"/>
                <w:numId w:val="0"/>
              </w:numPr>
              <w:ind w:left="195"/>
            </w:pPr>
            <w:r w:rsidRPr="008B2270">
              <w:rPr>
                <w:b/>
              </w:rPr>
              <w:t>Not on track</w:t>
            </w:r>
            <w:r w:rsidRPr="008B2270">
              <w:t xml:space="preserve"> - The 2018 performance result is currently sitting at approximately 94 per cent.</w:t>
            </w:r>
          </w:p>
        </w:tc>
      </w:tr>
      <w:tr w:rsidR="008F63BB" w:rsidRPr="008B2270" w:rsidTr="008F63BB">
        <w:trPr>
          <w:cantSplit/>
          <w:trHeight w:val="23"/>
        </w:trPr>
        <w:tc>
          <w:tcPr>
            <w:tcW w:w="1049" w:type="dxa"/>
            <w:tcBorders>
              <w:top w:val="dotted" w:sz="4" w:space="0" w:color="auto"/>
              <w:left w:val="single" w:sz="4" w:space="0" w:color="auto"/>
              <w:bottom w:val="single" w:sz="4" w:space="0" w:color="auto"/>
              <w:right w:val="single" w:sz="4" w:space="0" w:color="auto"/>
            </w:tcBorders>
          </w:tcPr>
          <w:p w:rsidR="008F63BB" w:rsidRPr="008B2270" w:rsidRDefault="008F63BB" w:rsidP="008F63BB">
            <w:pPr>
              <w:pStyle w:val="PBS16TableNormal"/>
            </w:pPr>
            <w:r w:rsidRPr="008B2270">
              <w:lastRenderedPageBreak/>
              <w:t>2018–19</w:t>
            </w:r>
          </w:p>
        </w:tc>
        <w:tc>
          <w:tcPr>
            <w:tcW w:w="3317" w:type="dxa"/>
            <w:tcBorders>
              <w:top w:val="dotted" w:sz="4" w:space="0" w:color="auto"/>
              <w:left w:val="single" w:sz="4" w:space="0" w:color="auto"/>
              <w:bottom w:val="single" w:sz="4" w:space="0" w:color="auto"/>
              <w:right w:val="single" w:sz="4" w:space="0" w:color="auto"/>
            </w:tcBorders>
          </w:tcPr>
          <w:p w:rsidR="008F63BB" w:rsidRPr="008B2270" w:rsidRDefault="008F63BB" w:rsidP="008F63BB">
            <w:pPr>
              <w:pStyle w:val="PBS16TableNormal"/>
              <w:rPr>
                <w:u w:val="single"/>
              </w:rPr>
            </w:pPr>
            <w:r w:rsidRPr="008B2270">
              <w:rPr>
                <w:u w:val="single"/>
              </w:rPr>
              <w:t>School</w:t>
            </w:r>
          </w:p>
          <w:p w:rsidR="008F63BB" w:rsidRPr="008B2270" w:rsidRDefault="008F63BB" w:rsidP="008F63BB">
            <w:pPr>
              <w:pStyle w:val="PBS16TableNormal"/>
              <w:rPr>
                <w:b/>
              </w:rPr>
            </w:pPr>
            <w:r w:rsidRPr="008B2270">
              <w:t>As per Program 1.3.</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8F63BB" w:rsidRPr="008B2270" w:rsidRDefault="008F63BB" w:rsidP="008F63BB">
            <w:pPr>
              <w:pStyle w:val="PBS16TableNormal"/>
              <w:rPr>
                <w:u w:val="single"/>
              </w:rPr>
            </w:pPr>
            <w:r w:rsidRPr="008B2270">
              <w:rPr>
                <w:u w:val="single"/>
              </w:rPr>
              <w:t>School</w:t>
            </w:r>
          </w:p>
          <w:p w:rsidR="008F63BB" w:rsidRPr="008B2270" w:rsidRDefault="008F63BB" w:rsidP="008F63BB">
            <w:pPr>
              <w:pStyle w:val="PBS16TableNormal"/>
            </w:pPr>
            <w:r w:rsidRPr="008B2270">
              <w:t>As per Program 1.3.</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tcBorders>
              <w:bottom w:val="single" w:sz="4" w:space="0" w:color="auto"/>
            </w:tcBorders>
            <w:hideMark/>
          </w:tcPr>
          <w:p w:rsidR="00CE3F03" w:rsidRPr="008B2270" w:rsidRDefault="00CE3F03" w:rsidP="00594C84">
            <w:pPr>
              <w:tabs>
                <w:tab w:val="left" w:pos="709"/>
              </w:tabs>
              <w:spacing w:before="60" w:after="60" w:line="240" w:lineRule="auto"/>
              <w:jc w:val="left"/>
              <w:rPr>
                <w:rFonts w:ascii="Arial" w:hAnsi="Arial" w:cs="Arial"/>
                <w:sz w:val="16"/>
                <w:szCs w:val="16"/>
              </w:rPr>
            </w:pPr>
            <w:r w:rsidRPr="008B2270">
              <w:rPr>
                <w:rFonts w:ascii="Arial" w:hAnsi="Arial" w:cs="Arial"/>
                <w:b/>
                <w:sz w:val="16"/>
                <w:szCs w:val="16"/>
              </w:rPr>
              <w:t>Performance criteria</w:t>
            </w:r>
          </w:p>
        </w:tc>
        <w:tc>
          <w:tcPr>
            <w:tcW w:w="3402" w:type="dxa"/>
            <w:tcBorders>
              <w:bottom w:val="single" w:sz="4" w:space="0" w:color="auto"/>
            </w:tcBorders>
            <w:hideMark/>
          </w:tcPr>
          <w:p w:rsidR="00CE3F03" w:rsidRPr="008B2270" w:rsidRDefault="00CE3F03" w:rsidP="00594C84">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tcPr>
          <w:p w:rsidR="00CE3F03" w:rsidRPr="008B2270" w:rsidRDefault="00CE3F03" w:rsidP="00594C84">
            <w:pPr>
              <w:pStyle w:val="PBS16TableNormal"/>
              <w:keepNext/>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keepNext/>
              <w:rPr>
                <w:u w:val="single"/>
              </w:rPr>
            </w:pPr>
            <w:r w:rsidRPr="008B2270">
              <w:rPr>
                <w:u w:val="single"/>
              </w:rPr>
              <w:t>Preschool</w:t>
            </w:r>
          </w:p>
          <w:p w:rsidR="00CE3F03" w:rsidRPr="008B2270" w:rsidRDefault="00CE3F03" w:rsidP="00594C84">
            <w:pPr>
              <w:pStyle w:val="PBS16TableNormal"/>
              <w:keepNext/>
              <w:rPr>
                <w:b/>
              </w:rPr>
            </w:pPr>
            <w:r w:rsidRPr="008B2270">
              <w:t>Universal access to quality early childhood education.</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keepNext/>
              <w:rPr>
                <w:u w:val="single"/>
              </w:rPr>
            </w:pPr>
            <w:r w:rsidRPr="008B2270">
              <w:rPr>
                <w:u w:val="single"/>
              </w:rPr>
              <w:t>Preschool</w:t>
            </w:r>
          </w:p>
          <w:p w:rsidR="00CE3F03" w:rsidRPr="008B2270" w:rsidRDefault="00CE3F03" w:rsidP="00594C84">
            <w:pPr>
              <w:pStyle w:val="PBS16TableListBullet"/>
            </w:pPr>
            <w:r w:rsidRPr="008B2270">
              <w:t>95% of Indigenous children enrolled in early childhood education in the year before full-time school are enrolled for 600 hours per year</w:t>
            </w:r>
            <w:bookmarkStart w:id="41" w:name="_Ref500849289"/>
            <w:r w:rsidRPr="008B2270">
              <w:t>.</w:t>
            </w:r>
            <w:r w:rsidRPr="008B2270">
              <w:rPr>
                <w:rStyle w:val="FootnoteReference"/>
              </w:rPr>
              <w:footnoteReference w:id="9"/>
            </w:r>
            <w:bookmarkEnd w:id="41"/>
          </w:p>
          <w:p w:rsidR="00CE3F03" w:rsidRPr="008B2270" w:rsidRDefault="00CE3F03" w:rsidP="009A43AE">
            <w:pPr>
              <w:pStyle w:val="PBS16TableListBullet"/>
              <w:rPr>
                <w:b/>
              </w:rPr>
            </w:pPr>
            <w:r w:rsidRPr="008B2270">
              <w:t>95% of vulnerable and disadvantaged children enrolled in the year before full</w:t>
            </w:r>
            <w:r w:rsidRPr="008B2270">
              <w:noBreakHyphen/>
              <w:t>time school are enrolled for 600 hours per year.</w:t>
            </w:r>
            <w:r w:rsidRPr="008B2270">
              <w:rPr>
                <w:rStyle w:val="FootnoteReference"/>
              </w:rPr>
              <w:fldChar w:fldCharType="begin"/>
            </w:r>
            <w:r w:rsidRPr="008B2270">
              <w:rPr>
                <w:rStyle w:val="FootnoteReference"/>
              </w:rPr>
              <w:instrText xml:space="preserve"> NOTEREF _Ref500849289 \h  \* MERGEFORMAT </w:instrText>
            </w:r>
            <w:r w:rsidRPr="008B2270">
              <w:rPr>
                <w:rStyle w:val="FootnoteReference"/>
              </w:rPr>
            </w:r>
            <w:r w:rsidRPr="008B2270">
              <w:rPr>
                <w:rStyle w:val="FootnoteReference"/>
              </w:rPr>
              <w:fldChar w:fldCharType="separate"/>
            </w:r>
            <w:r w:rsidR="00E775E3">
              <w:rPr>
                <w:rStyle w:val="FootnoteReference"/>
              </w:rPr>
              <w:t>9</w:t>
            </w:r>
            <w:r w:rsidRPr="008B2270">
              <w:rPr>
                <w:rStyle w:val="FootnoteReference"/>
              </w:rPr>
              <w:fldChar w:fldCharType="end"/>
            </w:r>
          </w:p>
        </w:tc>
      </w:tr>
      <w:tr w:rsidR="00CE3F03" w:rsidRPr="008B2270" w:rsidTr="00CE3F03">
        <w:trPr>
          <w:cantSplit/>
          <w:trHeight w:val="23"/>
        </w:trPr>
        <w:tc>
          <w:tcPr>
            <w:tcW w:w="1049" w:type="dxa"/>
            <w:tcBorders>
              <w:top w:val="nil"/>
              <w:left w:val="single" w:sz="4" w:space="0" w:color="auto"/>
              <w:bottom w:val="nil"/>
              <w:right w:val="single" w:sz="4" w:space="0" w:color="auto"/>
            </w:tcBorders>
          </w:tcPr>
          <w:p w:rsidR="00CE3F03" w:rsidRPr="008B2270" w:rsidRDefault="00CE3F03"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rPr>
                <w:u w:val="single"/>
              </w:rPr>
            </w:pPr>
            <w:r w:rsidRPr="008B2270">
              <w:rPr>
                <w:u w:val="single"/>
              </w:rPr>
              <w:t>School</w:t>
            </w:r>
          </w:p>
          <w:p w:rsidR="00CE3F03" w:rsidRPr="008B2270" w:rsidRDefault="00CE3F03" w:rsidP="00594C84">
            <w:pPr>
              <w:pStyle w:val="PBS16TableNormal"/>
              <w:rPr>
                <w:b/>
              </w:rPr>
            </w:pPr>
            <w:r w:rsidRPr="008B2270">
              <w:t>As per Program 1.3.</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rPr>
                <w:u w:val="single"/>
              </w:rPr>
            </w:pPr>
            <w:r w:rsidRPr="008B2270">
              <w:rPr>
                <w:u w:val="single"/>
              </w:rPr>
              <w:t>School</w:t>
            </w:r>
          </w:p>
          <w:p w:rsidR="00CE3F03" w:rsidRPr="008B2270" w:rsidRDefault="00CE3F03" w:rsidP="00594C84">
            <w:pPr>
              <w:pStyle w:val="PBS16TableNormal"/>
            </w:pPr>
            <w:r w:rsidRPr="008B2270">
              <w:t>As per Program 1.3.</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lastRenderedPageBreak/>
        <w:t>Program expenses 1.5 Early Learning and Schools Support</w:t>
      </w:r>
    </w:p>
    <w:p w:rsidR="00CE3F03" w:rsidRPr="008B2270" w:rsidRDefault="006166EA" w:rsidP="00CE3F03">
      <w:pPr>
        <w:pStyle w:val="ChartGraphic"/>
      </w:pPr>
      <w:r w:rsidRPr="006166EA">
        <w:drawing>
          <wp:inline distT="0" distB="0" distL="0" distR="0">
            <wp:extent cx="4895850" cy="5446683"/>
            <wp:effectExtent l="0" t="0" r="0" b="1905"/>
            <wp:docPr id="2" name="Picture 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95850" cy="5446683"/>
                    </a:xfrm>
                    <a:prstGeom prst="rect">
                      <a:avLst/>
                    </a:prstGeom>
                    <a:noFill/>
                    <a:ln>
                      <a:noFill/>
                    </a:ln>
                  </pic:spPr>
                </pic:pic>
              </a:graphicData>
            </a:graphic>
          </wp:inline>
        </w:drawing>
      </w:r>
    </w:p>
    <w:p w:rsidR="00CE3F03" w:rsidRPr="008B2270" w:rsidRDefault="00CE3F03" w:rsidP="00C52498"/>
    <w:p w:rsidR="00CE3F03" w:rsidRPr="008B2270" w:rsidRDefault="00CE3F03" w:rsidP="00C52498">
      <w:pPr>
        <w:sectPr w:rsidR="00CE3F03" w:rsidRPr="008B2270" w:rsidSect="00594C84">
          <w:footnotePr>
            <w:numRestart w:val="eachSect"/>
          </w:footnotePr>
          <w:pgSz w:w="11906" w:h="16838" w:code="9"/>
          <w:pgMar w:top="2466" w:right="2098" w:bottom="2466" w:left="2098" w:header="1899" w:footer="1899" w:gutter="0"/>
          <w:cols w:space="708"/>
          <w:docGrid w:linePitch="360"/>
        </w:sectPr>
      </w:pPr>
    </w:p>
    <w:p w:rsidR="00CE3F03" w:rsidRPr="008B2270" w:rsidRDefault="00CE3F03" w:rsidP="00594C84">
      <w:pPr>
        <w:pStyle w:val="Heading3"/>
      </w:pPr>
      <w:bookmarkStart w:id="42" w:name="DET_2_2"/>
      <w:r w:rsidRPr="008B2270">
        <w:lastRenderedPageBreak/>
        <w:t xml:space="preserve">2.2 </w:t>
      </w:r>
      <w:r w:rsidRPr="008B2270">
        <w:tab/>
        <w:t>Budgeted expenses and performance for Outcome 2</w:t>
      </w:r>
      <w:bookmarkEnd w:id="42"/>
    </w:p>
    <w:tbl>
      <w:tblPr>
        <w:tblStyle w:val="TableGrid"/>
        <w:tblW w:w="0" w:type="auto"/>
        <w:tblLayout w:type="fixed"/>
        <w:tblLook w:val="04A0" w:firstRow="1" w:lastRow="0" w:firstColumn="1" w:lastColumn="0" w:noHBand="0" w:noVBand="1"/>
        <w:tblDescription w:val="Outcome 2: Promote growth in economic productivity and social wellbeing through access to quality higher education, international education, and international quality research, skills and training."/>
      </w:tblPr>
      <w:tblGrid>
        <w:gridCol w:w="7767"/>
      </w:tblGrid>
      <w:tr w:rsidR="00CE3F03" w:rsidRPr="008B2270" w:rsidTr="00646B71">
        <w:trPr>
          <w:cantSplit/>
          <w:trHeight w:val="23"/>
          <w:tblHeader/>
        </w:trPr>
        <w:tc>
          <w:tcPr>
            <w:tcW w:w="7767" w:type="dxa"/>
            <w:shd w:val="clear" w:color="auto" w:fill="D9D9D9" w:themeFill="background1" w:themeFillShade="D9"/>
          </w:tcPr>
          <w:p w:rsidR="00CE3F03" w:rsidRPr="008B2270" w:rsidRDefault="00CE3F03" w:rsidP="00594C84">
            <w:pPr>
              <w:pStyle w:val="TableColumnHeadingLeft"/>
            </w:pPr>
            <w:r w:rsidRPr="008B2270">
              <w:t>Outcome 2: Promote growth in economic productivity and social wellbeing through access to quality higher education, international education, and international quality research, skills and training.</w:t>
            </w:r>
          </w:p>
        </w:tc>
      </w:tr>
    </w:tbl>
    <w:p w:rsidR="00CE3F03" w:rsidRPr="008B2270" w:rsidRDefault="00CE3F03" w:rsidP="00594C84">
      <w:pPr>
        <w:pStyle w:val="Heading4"/>
        <w:rPr>
          <w:rFonts w:cs="Arial"/>
        </w:rPr>
      </w:pPr>
      <w:r w:rsidRPr="008B2270">
        <w:rPr>
          <w:rFonts w:cs="Arial"/>
        </w:rPr>
        <w:t>Programs contributing to Outcome 2</w:t>
      </w:r>
    </w:p>
    <w:p w:rsidR="00CE3F03" w:rsidRPr="008B2270" w:rsidRDefault="00CE3F03" w:rsidP="00594C84">
      <w:pPr>
        <w:pStyle w:val="PBS16BulletList"/>
      </w:pPr>
      <w:r w:rsidRPr="008B2270">
        <w:t>Program 2.1: Commonwealth Grant Scheme</w:t>
      </w:r>
    </w:p>
    <w:p w:rsidR="00CE3F03" w:rsidRPr="008B2270" w:rsidRDefault="00CE3F03" w:rsidP="00594C84">
      <w:pPr>
        <w:pStyle w:val="PBS16BulletList"/>
      </w:pPr>
      <w:r w:rsidRPr="008B2270">
        <w:t>Program 2.2: Higher Education Superannuation Program</w:t>
      </w:r>
    </w:p>
    <w:p w:rsidR="00CE3F03" w:rsidRPr="008B2270" w:rsidRDefault="00CE3F03" w:rsidP="00594C84">
      <w:pPr>
        <w:pStyle w:val="PBS16BulletList"/>
      </w:pPr>
      <w:r w:rsidRPr="008B2270">
        <w:t>Program 2.3: Higher Education Support</w:t>
      </w:r>
    </w:p>
    <w:p w:rsidR="00CE3F03" w:rsidRPr="008B2270" w:rsidRDefault="00CE3F03" w:rsidP="00594C84">
      <w:pPr>
        <w:pStyle w:val="PBS16BulletList"/>
      </w:pPr>
      <w:r w:rsidRPr="008B2270">
        <w:t>Program 2.4: Higher Education Loan Program</w:t>
      </w:r>
    </w:p>
    <w:p w:rsidR="00CE3F03" w:rsidRPr="008B2270" w:rsidRDefault="00CE3F03" w:rsidP="00594C84">
      <w:pPr>
        <w:pStyle w:val="PBS16BulletList"/>
      </w:pPr>
      <w:r w:rsidRPr="008B2270">
        <w:t>Program 2.5: Investment in Higher Education Research</w:t>
      </w:r>
    </w:p>
    <w:p w:rsidR="00CE3F03" w:rsidRPr="008B2270" w:rsidRDefault="00CE3F03" w:rsidP="00594C84">
      <w:pPr>
        <w:pStyle w:val="PBS16BulletList"/>
      </w:pPr>
      <w:r w:rsidRPr="008B2270">
        <w:t>Program 2.6: Research Capacity</w:t>
      </w:r>
    </w:p>
    <w:p w:rsidR="00CE3F03" w:rsidRPr="008B2270" w:rsidRDefault="00CE3F03" w:rsidP="00594C84">
      <w:pPr>
        <w:pStyle w:val="PBS16BulletList"/>
      </w:pPr>
      <w:r w:rsidRPr="008B2270">
        <w:t>Program 2.7: International Education Support</w:t>
      </w:r>
    </w:p>
    <w:p w:rsidR="00CE3F03" w:rsidRPr="008B2270" w:rsidRDefault="00CE3F03" w:rsidP="00594C84">
      <w:pPr>
        <w:pStyle w:val="PBS16BulletList"/>
      </w:pPr>
      <w:r w:rsidRPr="008B2270">
        <w:t>Program 2.8: Building Skills and Capability</w:t>
      </w:r>
    </w:p>
    <w:p w:rsidR="00CE3F03" w:rsidRPr="008B2270" w:rsidRDefault="00CE3F03" w:rsidP="00594C84">
      <w:pPr>
        <w:pStyle w:val="Heading4"/>
      </w:pPr>
      <w:r w:rsidRPr="008B2270">
        <w:t>Linked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Australian Trade and Investment Commission (Austrade)</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1.1 - Promotion of Australia's export and other international economic interests</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pPr>
            <w:r w:rsidRPr="008B2270">
              <w:t>The linked program contributes to Outcome 2 by promoting the Australian education and training sector in international markets.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Foreign Affairs and Trade</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 xml:space="preserve">Program 1.4 - New Colombo Plan - Transforming Regional Relationships </w:t>
            </w:r>
          </w:p>
          <w:p w:rsidR="00CE3F03" w:rsidRPr="008B2270" w:rsidRDefault="00CE3F03" w:rsidP="00594C84">
            <w:pPr>
              <w:pStyle w:val="PBS17LinkedProgbullet"/>
              <w:rPr>
                <w:b/>
              </w:rPr>
            </w:pPr>
            <w:r w:rsidRPr="008B2270">
              <w:t>Program 1.7 - Public Information Services and Public Diplomacy</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rPr>
                <w:b/>
              </w:rPr>
            </w:pPr>
            <w:r w:rsidRPr="008B2270">
              <w:t>The linked programs contribute to Outcome 2 by promoting international education through advocacy and coordination roles at overseas missions.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Home Affairs</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 xml:space="preserve">Program 2.3 - Visas </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pPr>
            <w:r w:rsidRPr="008B2270">
              <w:t>The linked program contributes to Outcome 2 by supporting a sustainable international education sector through administering student visas.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lastRenderedPageBreak/>
              <w:t>Department of Human Services</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1.1 - Services to the Community - Social Security and Welfare</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rPr>
                <w:rFonts w:eastAsiaTheme="minorHAnsi"/>
                <w:lang w:eastAsia="en-US"/>
              </w:rPr>
            </w:pPr>
            <w:r w:rsidRPr="008B2270">
              <w:t>Contribution to Outcome 2 made by linked programs</w:t>
            </w:r>
          </w:p>
          <w:p w:rsidR="00CE3F03" w:rsidRPr="008B2270" w:rsidRDefault="00CE3F03" w:rsidP="00594C84">
            <w:pPr>
              <w:pStyle w:val="PBS17LinkedProgNormal"/>
            </w:pPr>
            <w:r w:rsidRPr="008B2270">
              <w:t>The linked program contributes to Outcome 2 by making payments to eligible job seekers and recent migrants participating in foundation skills programs.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Social Services</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1.11 - Student Payments</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pPr>
            <w:r w:rsidRPr="008B2270">
              <w:t>The linked program contributes to Outcome 2 by providing financial support to individuals and families to undertake further education and training. This also includes enhancing educational outcomes for Australian Indigenous students by increasing their access and participation in further education.</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the Prime Minister and Cabinet</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2.1 - Jobs, Land and Economy</w:t>
            </w:r>
          </w:p>
          <w:p w:rsidR="00CE3F03" w:rsidRPr="008B2270" w:rsidRDefault="00CE3F03" w:rsidP="00594C84">
            <w:pPr>
              <w:pStyle w:val="PBS17LinkedProgbullet"/>
            </w:pPr>
            <w:r w:rsidRPr="008B2270">
              <w:t>Program 2.2 - Children and Schooling</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pPr>
            <w:r w:rsidRPr="008B2270">
              <w:t>The linked programs contributes to Outcome 2 by supporting school attendance, improved educational outcomes and access to further education, training and employment for Indigenous students.</w:t>
            </w:r>
          </w:p>
        </w:tc>
      </w:tr>
      <w:tr w:rsidR="00CE3F03" w:rsidRPr="008B2270"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Department of the Treasury</w:t>
            </w:r>
          </w:p>
        </w:tc>
      </w:tr>
      <w:tr w:rsidR="00CE3F03" w:rsidRPr="008B2270"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CE3F03" w:rsidRPr="008B2270" w:rsidRDefault="00CE3F03" w:rsidP="00594C84">
            <w:pPr>
              <w:pStyle w:val="PBS17LinkedProgHeading"/>
            </w:pPr>
            <w:r w:rsidRPr="008B2270">
              <w:t>Programs</w:t>
            </w:r>
          </w:p>
          <w:p w:rsidR="00CE3F03" w:rsidRPr="008B2270" w:rsidRDefault="00CE3F03" w:rsidP="00594C84">
            <w:pPr>
              <w:pStyle w:val="PBS17LinkedProgbullet"/>
            </w:pPr>
            <w:r w:rsidRPr="008B2270">
              <w:t>Program 1.9 - National Partnership Payments to the States</w:t>
            </w:r>
          </w:p>
        </w:tc>
      </w:tr>
      <w:tr w:rsidR="00CE3F03" w:rsidRPr="008B2270"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CE3F03" w:rsidRPr="008B2270" w:rsidRDefault="00CE3F03" w:rsidP="00594C84">
            <w:pPr>
              <w:pStyle w:val="PBS17LinkedProgHeading2"/>
            </w:pPr>
            <w:r w:rsidRPr="008B2270">
              <w:t>Contribution to Outcome 2 made by linked programs</w:t>
            </w:r>
          </w:p>
          <w:p w:rsidR="00CE3F03" w:rsidRPr="008B2270" w:rsidRDefault="00CE3F03" w:rsidP="00594C84">
            <w:pPr>
              <w:pStyle w:val="PBS17LinkedProgNormal"/>
            </w:pPr>
            <w:r w:rsidRPr="008B2270">
              <w:t>The linked program contributes to Outcome 2 by making National Partnership Payments to the States.</w:t>
            </w:r>
          </w:p>
        </w:tc>
      </w:tr>
    </w:tbl>
    <w:p w:rsidR="00CE3F03" w:rsidRPr="008B2270" w:rsidRDefault="00CE3F03" w:rsidP="00CE3F03"/>
    <w:p w:rsidR="00CE3F03" w:rsidRPr="008B2270" w:rsidRDefault="00CE3F03">
      <w:pPr>
        <w:spacing w:after="0" w:line="240" w:lineRule="auto"/>
        <w:jc w:val="left"/>
        <w:rPr>
          <w:rFonts w:ascii="Arial" w:hAnsi="Arial"/>
          <w:b/>
          <w:bCs/>
          <w:iCs/>
          <w:szCs w:val="26"/>
        </w:rPr>
      </w:pPr>
      <w:r w:rsidRPr="008B2270">
        <w:br w:type="page"/>
      </w:r>
    </w:p>
    <w:p w:rsidR="00CE3F03" w:rsidRPr="008B2270" w:rsidRDefault="00CE3F03" w:rsidP="001A34F2">
      <w:pPr>
        <w:pStyle w:val="Heading4"/>
      </w:pPr>
      <w:r w:rsidRPr="008B2270">
        <w:lastRenderedPageBreak/>
        <w:t>Budgeted expenses for Outcome 2</w:t>
      </w:r>
    </w:p>
    <w:p w:rsidR="00CE3F03" w:rsidRPr="008B2270" w:rsidRDefault="00CE3F03" w:rsidP="00CE3F03">
      <w:r w:rsidRPr="008B2270">
        <w:t>This table shows how much the department intends to spend (on an accrual basis) on achieving the outcome, broken down by program, as well as by administered and departmental funding sources.</w:t>
      </w:r>
    </w:p>
    <w:p w:rsidR="00CE3F03" w:rsidRPr="008B2270" w:rsidRDefault="00CE3F03" w:rsidP="00CE3F03">
      <w:pPr>
        <w:pStyle w:val="TableHeading"/>
        <w:rPr>
          <w:lang w:val="en-AU"/>
        </w:rPr>
      </w:pPr>
      <w:r w:rsidRPr="008B2270">
        <w:rPr>
          <w:lang w:val="en-AU"/>
        </w:rPr>
        <w:t>Table 2.2.1: Budgeted expenses for Outcome 2</w:t>
      </w:r>
    </w:p>
    <w:p w:rsidR="00CE3F03" w:rsidRPr="008B2270" w:rsidRDefault="00D53AE6" w:rsidP="00CE3F03">
      <w:pPr>
        <w:pStyle w:val="ChartGraphic"/>
      </w:pPr>
      <w:r w:rsidRPr="008B2270">
        <w:drawing>
          <wp:inline distT="0" distB="0" distL="0" distR="0">
            <wp:extent cx="4895850" cy="5076052"/>
            <wp:effectExtent l="0" t="0" r="0" b="0"/>
            <wp:docPr id="131" name="Picture 13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5850" cy="5076052"/>
                    </a:xfrm>
                    <a:prstGeom prst="rect">
                      <a:avLst/>
                    </a:prstGeom>
                    <a:noFill/>
                    <a:ln>
                      <a:noFill/>
                    </a:ln>
                  </pic:spPr>
                </pic:pic>
              </a:graphicData>
            </a:graphic>
          </wp:inline>
        </w:drawing>
      </w:r>
    </w:p>
    <w:p w:rsidR="00CE3F03" w:rsidRPr="008B2270" w:rsidRDefault="00CE3F03">
      <w:pPr>
        <w:spacing w:after="0" w:line="240" w:lineRule="auto"/>
        <w:jc w:val="left"/>
      </w:pPr>
      <w:r w:rsidRPr="008B2270">
        <w:br w:type="page"/>
      </w:r>
    </w:p>
    <w:p w:rsidR="00CE3F03" w:rsidRPr="008B2270" w:rsidRDefault="00CE3F03" w:rsidP="00CE3F03">
      <w:pPr>
        <w:pStyle w:val="TableHeadingcontinued"/>
      </w:pPr>
      <w:r w:rsidRPr="008B2270">
        <w:lastRenderedPageBreak/>
        <w:t>Table 2.2.1: Budgeted expenses for Outcome 2 (continued)</w:t>
      </w:r>
    </w:p>
    <w:p w:rsidR="00CE3F03" w:rsidRPr="008B2270" w:rsidRDefault="00D53AE6" w:rsidP="00CE3F03">
      <w:pPr>
        <w:pStyle w:val="ChartGraphic"/>
      </w:pPr>
      <w:r w:rsidRPr="008B2270">
        <w:drawing>
          <wp:inline distT="0" distB="0" distL="0" distR="0">
            <wp:extent cx="4895850" cy="6510480"/>
            <wp:effectExtent l="0" t="0" r="0" b="5080"/>
            <wp:docPr id="132" name="Picture 13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95850" cy="6510480"/>
                    </a:xfrm>
                    <a:prstGeom prst="rect">
                      <a:avLst/>
                    </a:prstGeom>
                    <a:noFill/>
                    <a:ln>
                      <a:noFill/>
                    </a:ln>
                  </pic:spPr>
                </pic:pic>
              </a:graphicData>
            </a:graphic>
          </wp:inline>
        </w:drawing>
      </w:r>
    </w:p>
    <w:p w:rsidR="00CE3F03" w:rsidRPr="008B2270" w:rsidRDefault="00CE3F03">
      <w:pPr>
        <w:spacing w:after="0" w:line="240" w:lineRule="auto"/>
        <w:jc w:val="left"/>
        <w:rPr>
          <w:rFonts w:ascii="Arial" w:hAnsi="Arial"/>
          <w:noProof/>
        </w:rPr>
      </w:pPr>
      <w:r w:rsidRPr="008B2270">
        <w:br w:type="page"/>
      </w:r>
    </w:p>
    <w:p w:rsidR="00CE3F03" w:rsidRPr="008B2270" w:rsidRDefault="00CE3F03" w:rsidP="00CE3F03">
      <w:pPr>
        <w:pStyle w:val="TableHeadingcontinued"/>
      </w:pPr>
      <w:r w:rsidRPr="008B2270">
        <w:lastRenderedPageBreak/>
        <w:t>Table 2.2.1: Budgeted expenses for Outcome 2 (continued)</w:t>
      </w:r>
    </w:p>
    <w:p w:rsidR="00CE3F03" w:rsidRPr="008B2270" w:rsidRDefault="00D53AE6" w:rsidP="00CE3F03">
      <w:pPr>
        <w:pStyle w:val="ChartGraphic"/>
      </w:pPr>
      <w:r w:rsidRPr="008B2270">
        <w:drawing>
          <wp:inline distT="0" distB="0" distL="0" distR="0">
            <wp:extent cx="4895850" cy="2185085"/>
            <wp:effectExtent l="0" t="0" r="0" b="5715"/>
            <wp:docPr id="133" name="Picture 13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95850" cy="2185085"/>
                    </a:xfrm>
                    <a:prstGeom prst="rect">
                      <a:avLst/>
                    </a:prstGeom>
                    <a:noFill/>
                    <a:ln>
                      <a:noFill/>
                    </a:ln>
                  </pic:spPr>
                </pic:pic>
              </a:graphicData>
            </a:graphic>
          </wp:inline>
        </w:drawing>
      </w:r>
    </w:p>
    <w:p w:rsidR="009C29F4" w:rsidRPr="008B2270" w:rsidRDefault="009C29F4" w:rsidP="009C29F4">
      <w:pPr>
        <w:pStyle w:val="ChartandTableFootnote"/>
      </w:pPr>
      <w:r w:rsidRPr="008B2270">
        <w:t>(a)</w:t>
      </w:r>
      <w:r w:rsidRPr="008B2270">
        <w:tab/>
        <w:t>This special account is funded by Annual Appropriation Bill (No. 1) and receipts from Independent Sources.</w:t>
      </w:r>
    </w:p>
    <w:p w:rsidR="00CA6102" w:rsidRDefault="009C29F4" w:rsidP="009C29F4">
      <w:pPr>
        <w:pStyle w:val="ChartandTableFootnote"/>
      </w:pPr>
      <w:r w:rsidRPr="008B2270">
        <w:t>(b)</w:t>
      </w:r>
      <w:r w:rsidRPr="008B2270">
        <w:tab/>
        <w:t>Estimated expenses incurred in relation to receipts retained under section 74 of the PGPA Act 2013.</w:t>
      </w:r>
    </w:p>
    <w:p w:rsidR="00CA6102" w:rsidRDefault="009C29F4" w:rsidP="009C29F4">
      <w:pPr>
        <w:pStyle w:val="ChartandTableFootnote"/>
      </w:pPr>
      <w:r w:rsidRPr="008B2270">
        <w:t>(c)</w:t>
      </w:r>
      <w:r w:rsidRPr="008B2270">
        <w:tab/>
        <w:t>Expenses not requiring appropriation in the Budget year are made up of depreciation expenses, amortisation expenses, make good expenses</w:t>
      </w:r>
      <w:r w:rsidR="0028796D">
        <w:t xml:space="preserve"> and</w:t>
      </w:r>
      <w:r w:rsidRPr="008B2270">
        <w:t xml:space="preserve"> audit fees.</w:t>
      </w:r>
    </w:p>
    <w:p w:rsidR="009C29F4" w:rsidRPr="008B2270" w:rsidRDefault="009C29F4" w:rsidP="009C29F4">
      <w:pPr>
        <w:pStyle w:val="ChartandTableFootnote"/>
      </w:pPr>
      <w:r w:rsidRPr="008B2270">
        <w:t>(d)</w:t>
      </w:r>
      <w:r w:rsidRPr="008B2270">
        <w:tab/>
        <w:t>Figures displayed as a negative (-) represent a decrease in funds and a positive (+) represent an increase in funds.</w:t>
      </w:r>
    </w:p>
    <w:p w:rsidR="00CA6102" w:rsidRDefault="009C29F4" w:rsidP="00CA6102">
      <w:pPr>
        <w:pStyle w:val="ChartandTableFootnote"/>
      </w:pPr>
      <w:r w:rsidRPr="008B2270">
        <w:t>Note:</w:t>
      </w:r>
      <w:r w:rsidRPr="008B2270">
        <w:tab/>
        <w:t>Departmental appropriation splits and totals are indicative estimates and may change in the course of the budget year as government priorities change.</w:t>
      </w:r>
    </w:p>
    <w:p w:rsidR="00CE3F03" w:rsidRPr="008B2270" w:rsidRDefault="00CE3F03" w:rsidP="00CA6102">
      <w:pPr>
        <w:pStyle w:val="ChartandTableFootnote"/>
        <w:rPr>
          <w:sz w:val="22"/>
        </w:rPr>
      </w:pPr>
      <w:r w:rsidRPr="008B2270">
        <w:br w:type="page"/>
      </w:r>
    </w:p>
    <w:p w:rsidR="00CE3F03" w:rsidRPr="008B2270" w:rsidRDefault="00CE3F03" w:rsidP="00594C84">
      <w:pPr>
        <w:pStyle w:val="Heading4"/>
      </w:pPr>
      <w:r w:rsidRPr="008B2270">
        <w:lastRenderedPageBreak/>
        <w:t>Performance criteria for Outcome 2</w:t>
      </w:r>
    </w:p>
    <w:p w:rsidR="00CE3F03" w:rsidRPr="008B2270" w:rsidRDefault="00CE3F03" w:rsidP="00594C84">
      <w:r w:rsidRPr="008B2270">
        <w:t>This section details the performance criteria for each program associated with Outcome 2. It also summarises how each program is delivered and where 2019–20 Budget measures have created new programs or materially changed existing programs.</w:t>
      </w:r>
    </w:p>
    <w:tbl>
      <w:tblPr>
        <w:tblStyle w:val="TableGrid"/>
        <w:tblW w:w="7767" w:type="dxa"/>
        <w:tblLayout w:type="fixed"/>
        <w:tblLook w:val="04A0" w:firstRow="1" w:lastRow="0" w:firstColumn="1" w:lastColumn="0" w:noHBand="0" w:noVBand="1"/>
        <w:tblDescription w:val="Outcome 2: Promote growth in economic productivity and social wellbeing through access to quality higher education, international education, and international quality research, skills and training."/>
      </w:tblPr>
      <w:tblGrid>
        <w:gridCol w:w="7767"/>
      </w:tblGrid>
      <w:tr w:rsidR="00CE3F03" w:rsidRPr="008B2270" w:rsidTr="00646B71">
        <w:trPr>
          <w:cantSplit/>
          <w:trHeight w:val="23"/>
          <w:tblHeader/>
        </w:trPr>
        <w:tc>
          <w:tcPr>
            <w:tcW w:w="7767" w:type="dxa"/>
            <w:shd w:val="clear" w:color="auto" w:fill="D9D9D9" w:themeFill="background1" w:themeFillShade="D9"/>
          </w:tcPr>
          <w:p w:rsidR="00CE3F03" w:rsidRPr="008B2270" w:rsidRDefault="00CE3F03" w:rsidP="00594C84">
            <w:pPr>
              <w:pStyle w:val="TableColumnHeadingLeft"/>
            </w:pPr>
            <w:r w:rsidRPr="008B2270">
              <w:t>Outcome 2: Promote growth in economic productivity and social wellbeing through access to quality higher education, international education, and international quality research, skills and training.</w:t>
            </w:r>
          </w:p>
        </w:tc>
      </w:tr>
    </w:tbl>
    <w:p w:rsidR="00CE3F03" w:rsidRPr="008B2270" w:rsidRDefault="00CE3F03" w:rsidP="00594C84">
      <w:pPr>
        <w:pStyle w:val="Heading5"/>
        <w:rPr>
          <w:rFonts w:cs="Arial"/>
          <w:bCs w:val="0"/>
        </w:rPr>
      </w:pPr>
      <w:r w:rsidRPr="008B2270">
        <w:rPr>
          <w:rFonts w:cs="Arial"/>
          <w:bCs w:val="0"/>
        </w:rPr>
        <w:t>Program 2.1: Commonwealth Grant Scheme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A highly skilled workforce and educated community is important for economic productivity and social wellbeing. The Commonwealth Grant Scheme (CGS) contributes to achieving this objective through:</w:t>
            </w:r>
          </w:p>
          <w:p w:rsidR="00CE3F03" w:rsidRPr="008B2270" w:rsidRDefault="00CE3F03" w:rsidP="00594C84">
            <w:pPr>
              <w:pStyle w:val="PBS16TableListBullet"/>
            </w:pPr>
            <w:r w:rsidRPr="008B2270">
              <w:t>making a direct contribution to the cost of educating Commonwealth supported students enrolled in undergraduate and postgraduate degrees</w:t>
            </w:r>
          </w:p>
          <w:p w:rsidR="00CE3F03" w:rsidRPr="008B2270" w:rsidRDefault="00CE3F03" w:rsidP="00594C84">
            <w:pPr>
              <w:pStyle w:val="PBS16TableListBullet"/>
            </w:pPr>
            <w:r w:rsidRPr="008B2270">
              <w:t>increasing the number of regional students participating in higher education by providing additional funding to regional universities to meet the higher costs associated with delivery of higher education in regional locations</w:t>
            </w:r>
          </w:p>
          <w:p w:rsidR="00CE3F03" w:rsidRPr="008B2270" w:rsidRDefault="00CE3F03" w:rsidP="00594C84">
            <w:pPr>
              <w:pStyle w:val="PBS16TableListBullet"/>
            </w:pPr>
            <w:r w:rsidRPr="008B2270">
              <w:t>supporting educationally disadvantaged students to prepare for and successfully complete higher education through funding for enabling courses</w:t>
            </w:r>
          </w:p>
          <w:p w:rsidR="00CE3F03" w:rsidRPr="008B2270" w:rsidRDefault="00CE3F03" w:rsidP="00594C84">
            <w:pPr>
              <w:pStyle w:val="PBS16TableListBullet"/>
            </w:pPr>
            <w:r w:rsidRPr="008B2270">
              <w:t>meeting medical workforce training needs through the provision of targeted support for initial-entry medical programs.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The CGS subsidises the tuition costs for higher education students enrolled in undergraduate and selected postgraduate degrees at public universities. CGS funding also supports a limited number of student places in designated national priority areas at other higher education providers.</w:t>
            </w:r>
          </w:p>
          <w:p w:rsidR="00CE3F03" w:rsidRPr="008B2270" w:rsidRDefault="00CE3F03" w:rsidP="00594C84">
            <w:pPr>
              <w:pStyle w:val="PBS16TableNormal"/>
            </w:pPr>
            <w:r w:rsidRPr="008B2270">
              <w:t>The Government provides funding to universities, in instalments, for domestic students enrolled in a bachelor degree at a public university. This funding reduces the direct cost to students in Commonwealth supported places.</w:t>
            </w:r>
          </w:p>
          <w:p w:rsidR="00CE3F03" w:rsidRPr="008B2270" w:rsidRDefault="00CE3F03" w:rsidP="00594C84">
            <w:pPr>
              <w:pStyle w:val="PBS16TableNormal"/>
            </w:pPr>
            <w:r w:rsidRPr="008B2270">
              <w:t xml:space="preserve">Limited funding is also provided for students enrolled in a sub-degree and postgraduate degree programs based on an agreed amount in Funding Agreements with public universities.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594C84">
      <w:pPr>
        <w:pStyle w:val="Heading6"/>
        <w:rPr>
          <w:rFonts w:cs="Arial"/>
          <w:bCs w:val="0"/>
        </w:rPr>
      </w:pPr>
      <w:r w:rsidRPr="008B2270">
        <w:rPr>
          <w:rFonts w:cs="Arial"/>
          <w:bCs w:val="0"/>
        </w:rPr>
        <w:t>Performance information 2.1 Commonwealth Grant Scheme</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Creating a highly skilled workforce and educated community.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 xml:space="preserve">The proportion of the 20–34 year old population with a tertiary qualification is stable or increases from previous year. </w:t>
            </w:r>
            <w:r w:rsidRPr="008B2270">
              <w:rPr>
                <w:b/>
              </w:rPr>
              <w:t>On Track</w:t>
            </w:r>
          </w:p>
          <w:p w:rsidR="00CE3F03" w:rsidRPr="008B2270" w:rsidRDefault="00CE3F03" w:rsidP="00CE3F03">
            <w:pPr>
              <w:pStyle w:val="PBS16TableListBullet"/>
            </w:pPr>
            <w:r w:rsidRPr="008B2270">
              <w:t>The rate of attrition for domestic bachelor students is less than 15%.</w:t>
            </w:r>
          </w:p>
          <w:p w:rsidR="00CE3F03" w:rsidRPr="008B2270" w:rsidRDefault="00CE3F03" w:rsidP="00CE3F03">
            <w:pPr>
              <w:pStyle w:val="PBS16TableListBullet"/>
              <w:numPr>
                <w:ilvl w:val="0"/>
                <w:numId w:val="0"/>
              </w:numPr>
              <w:ind w:left="195"/>
            </w:pPr>
            <w:r w:rsidRPr="008B2270">
              <w:rPr>
                <w:b/>
              </w:rPr>
              <w:t>On Track</w:t>
            </w:r>
          </w:p>
          <w:p w:rsidR="00CE3F03" w:rsidRPr="008B2270" w:rsidRDefault="00CE3F03" w:rsidP="00CE3F03">
            <w:pPr>
              <w:pStyle w:val="PBS16TableListBullet"/>
            </w:pPr>
            <w:r w:rsidRPr="008B2270">
              <w:t>At least 85% of undergraduates are employed within four months of completing degree.</w:t>
            </w:r>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646B71">
        <w:trPr>
          <w:cantSplit/>
          <w:trHeight w:val="23"/>
          <w:tblHeader/>
        </w:trPr>
        <w:tc>
          <w:tcPr>
            <w:tcW w:w="1049" w:type="dxa"/>
            <w:hideMark/>
          </w:tcPr>
          <w:p w:rsidR="00CE3F03" w:rsidRPr="008B2270" w:rsidRDefault="00CE3F03" w:rsidP="00594C84">
            <w:pPr>
              <w:pStyle w:val="PBS16TableNormalHeading"/>
              <w:keepNext/>
            </w:pPr>
            <w:r w:rsidRPr="008B2270">
              <w:lastRenderedPageBreak/>
              <w:t>Year</w:t>
            </w:r>
          </w:p>
        </w:tc>
        <w:tc>
          <w:tcPr>
            <w:tcW w:w="3317" w:type="dxa"/>
            <w:hideMark/>
          </w:tcPr>
          <w:p w:rsidR="00CE3F03" w:rsidRPr="008B2270" w:rsidRDefault="00CE3F03" w:rsidP="00594C84">
            <w:pPr>
              <w:pStyle w:val="PBS16TableNormalHeading"/>
              <w:keepNext/>
            </w:pPr>
            <w:r w:rsidRPr="008B2270">
              <w:t>Performance criteria</w:t>
            </w:r>
          </w:p>
        </w:tc>
        <w:tc>
          <w:tcPr>
            <w:tcW w:w="3402" w:type="dxa"/>
            <w:hideMark/>
          </w:tcPr>
          <w:p w:rsidR="00CE3F03" w:rsidRPr="008B2270" w:rsidRDefault="00CE3F03" w:rsidP="00594C84">
            <w:pPr>
              <w:pStyle w:val="PBS16TableNormalHeading"/>
              <w:keepNext/>
            </w:pPr>
            <w:r w:rsidRPr="008B2270">
              <w:t>Target</w:t>
            </w:r>
          </w:p>
        </w:tc>
      </w:tr>
      <w:tr w:rsidR="00CE3F03" w:rsidRPr="008B2270" w:rsidTr="00CE3F03">
        <w:trPr>
          <w:cantSplit/>
          <w:trHeight w:val="23"/>
        </w:trPr>
        <w:tc>
          <w:tcPr>
            <w:tcW w:w="1049" w:type="dxa"/>
            <w:tcBorders>
              <w:top w:val="single" w:sz="4" w:space="0" w:color="auto"/>
              <w:left w:val="single" w:sz="4" w:space="0" w:color="auto"/>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right w:val="single" w:sz="4" w:space="0" w:color="auto"/>
            </w:tcBorders>
            <w:shd w:val="clear" w:color="auto" w:fill="auto"/>
          </w:tcPr>
          <w:p w:rsidR="00CE3F03" w:rsidRPr="008B2270" w:rsidRDefault="00CE3F03" w:rsidP="00594C84">
            <w:pPr>
              <w:pStyle w:val="PBS16TableNormal"/>
            </w:pPr>
            <w:r w:rsidRPr="008B2270">
              <w:t>Creating a highly skilled workforce and educated community.</w:t>
            </w:r>
          </w:p>
        </w:tc>
        <w:tc>
          <w:tcPr>
            <w:tcW w:w="3402" w:type="dxa"/>
            <w:tcBorders>
              <w:top w:val="single" w:sz="4" w:space="0" w:color="auto"/>
              <w:left w:val="single" w:sz="4" w:space="0" w:color="auto"/>
              <w:right w:val="single" w:sz="4" w:space="0" w:color="auto"/>
            </w:tcBorders>
            <w:shd w:val="clear" w:color="auto" w:fill="auto"/>
          </w:tcPr>
          <w:p w:rsidR="00CE3F03" w:rsidRPr="008B2270" w:rsidRDefault="00CE3F03" w:rsidP="00594C84">
            <w:pPr>
              <w:pStyle w:val="PBS16TableListBullet"/>
            </w:pPr>
            <w:r w:rsidRPr="008B2270">
              <w:t>The proportion of the 20–34 year old population with a tertiary qualification is stable or increases from previous year.</w:t>
            </w:r>
          </w:p>
          <w:p w:rsidR="00CE3F03" w:rsidRPr="008B2270" w:rsidRDefault="00CE3F03" w:rsidP="00594C84">
            <w:pPr>
              <w:pStyle w:val="PBS16TableListBullet"/>
            </w:pPr>
            <w:r w:rsidRPr="008B2270">
              <w:t>The rate of attrition for domestic bachelor students is less than 15%.</w:t>
            </w:r>
          </w:p>
          <w:p w:rsidR="00CE3F03" w:rsidRPr="008B2270" w:rsidRDefault="00CE3F03" w:rsidP="00594C84">
            <w:pPr>
              <w:pStyle w:val="PBS16TableListBullet"/>
            </w:pPr>
            <w:r w:rsidRPr="008B2270">
              <w:t>At least 85% of undergraduates are employed within four months of completing a degree.</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t>Program expenses 2.1 Commonwealth Grant Scheme</w:t>
      </w:r>
    </w:p>
    <w:p w:rsidR="00CE3F03" w:rsidRPr="008B2270" w:rsidRDefault="00CE3F03" w:rsidP="00CE3F03">
      <w:pPr>
        <w:pStyle w:val="ChartGraphic"/>
      </w:pPr>
      <w:r w:rsidRPr="008B2270">
        <w:drawing>
          <wp:inline distT="0" distB="0" distL="0" distR="0" wp14:anchorId="291583CE" wp14:editId="67C14090">
            <wp:extent cx="4895850" cy="1188466"/>
            <wp:effectExtent l="0" t="0" r="0" b="0"/>
            <wp:docPr id="14" name="Picture 1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95850" cy="1188466"/>
                    </a:xfrm>
                    <a:prstGeom prst="rect">
                      <a:avLst/>
                    </a:prstGeom>
                    <a:noFill/>
                    <a:ln>
                      <a:noFill/>
                    </a:ln>
                  </pic:spPr>
                </pic:pic>
              </a:graphicData>
            </a:graphic>
          </wp:inline>
        </w:drawing>
      </w:r>
    </w:p>
    <w:p w:rsidR="00CE3F03" w:rsidRPr="008B2270" w:rsidRDefault="00CE3F03" w:rsidP="00594C84">
      <w:pPr>
        <w:spacing w:after="0" w:line="240" w:lineRule="auto"/>
        <w:jc w:val="left"/>
        <w:rPr>
          <w:rFonts w:ascii="Arial" w:hAnsi="Arial" w:cs="Arial"/>
          <w:b/>
          <w:iCs/>
          <w:szCs w:val="26"/>
        </w:rPr>
      </w:pPr>
      <w:r w:rsidRPr="008B2270">
        <w:rPr>
          <w:rFonts w:cs="Arial"/>
          <w:bCs/>
        </w:rPr>
        <w:br w:type="page"/>
      </w:r>
    </w:p>
    <w:p w:rsidR="00CE3F03" w:rsidRPr="008B2270" w:rsidRDefault="00CE3F03" w:rsidP="00594C84">
      <w:pPr>
        <w:pStyle w:val="Heading5"/>
        <w:rPr>
          <w:rFonts w:cs="Arial"/>
          <w:bCs w:val="0"/>
        </w:rPr>
      </w:pPr>
      <w:r w:rsidRPr="008B2270">
        <w:rPr>
          <w:rFonts w:cs="Arial"/>
          <w:bCs w:val="0"/>
        </w:rPr>
        <w:lastRenderedPageBreak/>
        <w:t>Program 2.2: Higher Education Superannuation Program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 xml:space="preserve">The program provides supplementary funding to assist eligible universities to meet certain superannuation expenses for eligible current and former university employees who are members of identified state government emerging cost superannuation schemes. </w:t>
            </w:r>
          </w:p>
          <w:p w:rsidR="00CE3F03" w:rsidRPr="008B2270" w:rsidRDefault="00CE3F03" w:rsidP="00594C84">
            <w:pPr>
              <w:pStyle w:val="PBS16TableNormal"/>
            </w:pPr>
            <w:r w:rsidRPr="008B2270">
              <w:t xml:space="preserve">Cost-share arrangements are in place with relevant state governments and a proportion of Higher Education Superannuation Program (HESP) funding is recovered from these states as a result of their historical responsibilities for funding higher education. </w:t>
            </w:r>
          </w:p>
          <w:p w:rsidR="00CE3F03" w:rsidRPr="008B2270" w:rsidRDefault="00CE3F03" w:rsidP="00594C84">
            <w:pPr>
              <w:pStyle w:val="PBS16TableNormal"/>
            </w:pPr>
            <w:r w:rsidRPr="008B2270">
              <w:t>These schemes have been closed to new members for some time but are still active for existing members.</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 xml:space="preserve">The program is demand driven. Funding is paid to eligible universities in instalments based on verified annual claims for payment. University claims are based on the emerging costs charged by the identified state government emerging cost superannuation funds for payments to eligible retirees. Funding is administered in accordance with the </w:t>
            </w:r>
            <w:r w:rsidRPr="008B2270">
              <w:rPr>
                <w:rStyle w:val="PBS16Actsitalics"/>
                <w:rFonts w:eastAsia="Calibri"/>
              </w:rPr>
              <w:t>Higher Education Support Act 2003</w:t>
            </w:r>
            <w:r w:rsidRPr="008B2270">
              <w:t xml:space="preserve"> Other Grants Guidelines (Education) 2012. </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594C84">
      <w:pPr>
        <w:pStyle w:val="Heading6"/>
        <w:rPr>
          <w:rFonts w:cs="Arial"/>
          <w:bCs w:val="0"/>
        </w:rPr>
      </w:pPr>
      <w:r w:rsidRPr="008B2270">
        <w:rPr>
          <w:rFonts w:cs="Arial"/>
          <w:bCs w:val="0"/>
        </w:rPr>
        <w:t>Performance information 2.2 Higher Education Superannuation Program</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Eligible current and former university employees receive support for certain superannuation expenses.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All 27 eligible universities are able to meet specified superannuation expenses.</w:t>
            </w:r>
            <w:bookmarkStart w:id="43" w:name="_Ref3559928"/>
            <w:r w:rsidRPr="008B2270">
              <w:rPr>
                <w:rStyle w:val="FootnoteReference"/>
              </w:rPr>
              <w:footnoteReference w:id="10"/>
            </w:r>
            <w:bookmarkEnd w:id="43"/>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pStyle w:val="PBS16TableNormalHeading"/>
            </w:pPr>
            <w:r w:rsidRPr="008B2270">
              <w:t>Year</w:t>
            </w:r>
          </w:p>
        </w:tc>
        <w:tc>
          <w:tcPr>
            <w:tcW w:w="3317" w:type="dxa"/>
            <w:hideMark/>
          </w:tcPr>
          <w:p w:rsidR="00CE3F03" w:rsidRPr="008B2270" w:rsidRDefault="00CE3F03" w:rsidP="00594C84">
            <w:pPr>
              <w:pStyle w:val="PBS16TableNormalHeading"/>
            </w:pPr>
            <w:r w:rsidRPr="008B2270">
              <w:t>Performance criteria</w:t>
            </w:r>
          </w:p>
        </w:tc>
        <w:tc>
          <w:tcPr>
            <w:tcW w:w="3402" w:type="dxa"/>
            <w:hideMark/>
          </w:tcPr>
          <w:p w:rsidR="00CE3F03" w:rsidRPr="008B2270" w:rsidRDefault="00CE3F03" w:rsidP="00594C84">
            <w:pPr>
              <w:pStyle w:val="PBS16TableNormalHeading"/>
            </w:pPr>
            <w:r w:rsidRPr="008B2270">
              <w:t>Target</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Eligible current and former university employees receive support for certain superannuation expenses.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ListBullet"/>
            </w:pPr>
            <w:r w:rsidRPr="008B2270">
              <w:t>All 27 eligible universities are able to meet specified superannuation expenses.</w:t>
            </w:r>
            <w:r w:rsidRPr="008B2270">
              <w:rPr>
                <w:rStyle w:val="FootnoteReference"/>
              </w:rPr>
              <w:fldChar w:fldCharType="begin"/>
            </w:r>
            <w:r w:rsidRPr="008B2270">
              <w:rPr>
                <w:rStyle w:val="FootnoteReference"/>
              </w:rPr>
              <w:instrText xml:space="preserve"> NOTEREF _Ref3559928 \h  \* MERGEFORMAT </w:instrText>
            </w:r>
            <w:r w:rsidRPr="008B2270">
              <w:rPr>
                <w:rStyle w:val="FootnoteReference"/>
              </w:rPr>
            </w:r>
            <w:r w:rsidRPr="008B2270">
              <w:rPr>
                <w:rStyle w:val="FootnoteReference"/>
              </w:rPr>
              <w:fldChar w:fldCharType="separate"/>
            </w:r>
            <w:r w:rsidR="00E775E3">
              <w:rPr>
                <w:rStyle w:val="FootnoteReference"/>
              </w:rPr>
              <w:t>11</w:t>
            </w:r>
            <w:r w:rsidRPr="008B2270">
              <w:rPr>
                <w:rStyle w:val="FootnoteReference"/>
              </w:rPr>
              <w:fldChar w:fldCharType="end"/>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t>Program expenses 2.2 Higher Education Superannuation Program</w:t>
      </w:r>
    </w:p>
    <w:p w:rsidR="00CE3F03" w:rsidRPr="008B2270" w:rsidRDefault="00CE3F03" w:rsidP="00CE3F03">
      <w:pPr>
        <w:pStyle w:val="ChartGraphic"/>
      </w:pPr>
      <w:r w:rsidRPr="008B2270">
        <w:drawing>
          <wp:inline distT="0" distB="0" distL="0" distR="0" wp14:anchorId="6D18EAB1" wp14:editId="641DB1BA">
            <wp:extent cx="4895850" cy="1190719"/>
            <wp:effectExtent l="0" t="0" r="0" b="9525"/>
            <wp:docPr id="24" name="Picture 2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95850" cy="1190719"/>
                    </a:xfrm>
                    <a:prstGeom prst="rect">
                      <a:avLst/>
                    </a:prstGeom>
                    <a:noFill/>
                    <a:ln>
                      <a:noFill/>
                    </a:ln>
                  </pic:spPr>
                </pic:pic>
              </a:graphicData>
            </a:graphic>
          </wp:inline>
        </w:drawing>
      </w:r>
    </w:p>
    <w:p w:rsidR="00CE3F03" w:rsidRPr="008B2270" w:rsidRDefault="00CE3F03" w:rsidP="00594C84">
      <w:pPr>
        <w:spacing w:after="0" w:line="240" w:lineRule="auto"/>
        <w:jc w:val="left"/>
      </w:pPr>
      <w:r w:rsidRPr="008B2270">
        <w:br w:type="page"/>
      </w:r>
    </w:p>
    <w:p w:rsidR="00CE3F03" w:rsidRPr="008B2270" w:rsidRDefault="00CE3F03" w:rsidP="00594C84">
      <w:pPr>
        <w:pStyle w:val="Heading5"/>
      </w:pPr>
      <w:r w:rsidRPr="008B2270">
        <w:rPr>
          <w:rFonts w:cs="Arial"/>
          <w:bCs w:val="0"/>
        </w:rPr>
        <w:lastRenderedPageBreak/>
        <w:t xml:space="preserve">Program </w:t>
      </w:r>
      <w:r w:rsidRPr="008B2270">
        <w:rPr>
          <w:rFonts w:eastAsia="Cambria"/>
        </w:rPr>
        <w:t>2.3: Higher Education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rPr>
                <w:sz w:val="15"/>
                <w:szCs w:val="15"/>
              </w:rPr>
            </w:pPr>
            <w:r w:rsidRPr="008B2270">
              <w:rPr>
                <w:rFonts w:eastAsia="Cambria"/>
              </w:rPr>
              <w:t>The program aims to ensure the quality of our higher education system is maintained and improved, including improving the quality of training for teachers of mathematics and science. The program also aims to improve access to, and the education outcomes for, students from disadvantaged backgrounds.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Heading2"/>
            </w:pPr>
            <w:r w:rsidRPr="008B2270">
              <w:t>Quality in learning and teaching</w:t>
            </w:r>
          </w:p>
          <w:p w:rsidR="00CE3F03" w:rsidRPr="008B2270" w:rsidRDefault="00CE3F03" w:rsidP="00594C84">
            <w:pPr>
              <w:pStyle w:val="PBS16TableNormal"/>
              <w:rPr>
                <w:rFonts w:eastAsia="Cambria"/>
              </w:rPr>
            </w:pPr>
            <w:r w:rsidRPr="008B2270">
              <w:rPr>
                <w:rFonts w:eastAsia="Cambria"/>
              </w:rPr>
              <w:t>The program includes a range of activities that focus on quality, promote the enhancement of learning and teaching, and provide better information for student choice, including:</w:t>
            </w:r>
          </w:p>
          <w:p w:rsidR="00CE3F03" w:rsidRPr="008B2270" w:rsidRDefault="00CE3F03" w:rsidP="00594C84">
            <w:pPr>
              <w:pStyle w:val="PBS16TableListBullet"/>
            </w:pPr>
            <w:r w:rsidRPr="008B2270">
              <w:t>administering the Quality Indicators for Learning and Teaching (QILT), which is delivered through the QILT website and captures and publishes data on the student life-cycle from commencement to employment</w:t>
            </w:r>
          </w:p>
          <w:p w:rsidR="00CE3F03" w:rsidRPr="008B2270" w:rsidRDefault="00CE3F03" w:rsidP="00594C84">
            <w:pPr>
              <w:pStyle w:val="PBS16TableListBullet"/>
            </w:pPr>
            <w:r w:rsidRPr="008B2270">
              <w:t xml:space="preserve">supporting the ongoing operations of quality National Institutes </w:t>
            </w:r>
          </w:p>
          <w:p w:rsidR="00CE3F03" w:rsidRPr="008B2270" w:rsidRDefault="00CE3F03" w:rsidP="00594C84">
            <w:pPr>
              <w:pStyle w:val="PBS16TableListBullet"/>
            </w:pPr>
            <w:r w:rsidRPr="008B2270">
              <w:t>supporting the quality and teaching of mathematics and science through grants</w:t>
            </w:r>
          </w:p>
          <w:p w:rsidR="00CE3F03" w:rsidRPr="008B2270" w:rsidRDefault="00CE3F03" w:rsidP="00594C84">
            <w:pPr>
              <w:pStyle w:val="PBS16TableListBullet"/>
            </w:pPr>
            <w:r w:rsidRPr="008B2270">
              <w:t>improving the quality of PhD student research training, and supporting more women into STEM careers, through research based industry internships.</w:t>
            </w:r>
          </w:p>
          <w:p w:rsidR="00CE3F03" w:rsidRPr="008B2270" w:rsidRDefault="00CE3F03" w:rsidP="00594C84">
            <w:pPr>
              <w:pStyle w:val="PBS16TableNormalHeading2"/>
            </w:pPr>
            <w:r w:rsidRPr="008B2270">
              <w:t>Access and participation in higher education</w:t>
            </w:r>
          </w:p>
          <w:p w:rsidR="00CE3F03" w:rsidRPr="008B2270" w:rsidRDefault="00CE3F03" w:rsidP="00594C84">
            <w:pPr>
              <w:pStyle w:val="PBS16TableNormal"/>
              <w:rPr>
                <w:rFonts w:eastAsia="Cambria"/>
              </w:rPr>
            </w:pPr>
            <w:r w:rsidRPr="008B2270">
              <w:t xml:space="preserve">The program includes a range of activities to improve access </w:t>
            </w:r>
            <w:r w:rsidRPr="008B2270">
              <w:rPr>
                <w:rFonts w:eastAsia="Cambria"/>
              </w:rPr>
              <w:t>to and participation in higher education, including:</w:t>
            </w:r>
          </w:p>
          <w:p w:rsidR="00CE3F03" w:rsidRPr="008B2270" w:rsidRDefault="00CE3F03" w:rsidP="00594C84">
            <w:pPr>
              <w:pStyle w:val="PBS16TableListBullet"/>
            </w:pPr>
            <w:r w:rsidRPr="008B2270">
              <w:t>improving access to, and participation and success in higher education for, students from low socioeconomic status backgrounds through the Higher Education Participation and Partnerships Program</w:t>
            </w:r>
          </w:p>
          <w:p w:rsidR="00CE3F03" w:rsidRPr="008B2270" w:rsidRDefault="00CE3F03" w:rsidP="00594C84">
            <w:pPr>
              <w:pStyle w:val="PBS16TableListBullet"/>
              <w:rPr>
                <w:rFonts w:eastAsiaTheme="minorHAnsi"/>
              </w:rPr>
            </w:pPr>
            <w:r w:rsidRPr="008B2270">
              <w:t xml:space="preserve">removing barriers to access and participation by students with disability by providing specialised equipment (Higher Education Disability Support Program) and providing a national network of regionally based officers to assist in the transition from school to tertiary education and employment (National Disability Coordination Officer Program) </w:t>
            </w:r>
          </w:p>
          <w:p w:rsidR="00CE3F03" w:rsidRPr="008B2270" w:rsidRDefault="00CE3F03" w:rsidP="00594C84">
            <w:pPr>
              <w:pStyle w:val="PBS16TableListBullet"/>
              <w:rPr>
                <w:rFonts w:eastAsiaTheme="minorHAnsi"/>
              </w:rPr>
            </w:pPr>
            <w:r w:rsidRPr="008B2270">
              <w:t>supporting regional and remote access to higher education, by establishing Regional Study Hubs and offering Rural and Regional Enterprise Scholarships in STEM studies.</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594C84">
      <w:pPr>
        <w:pStyle w:val="Heading6"/>
      </w:pPr>
      <w:r w:rsidRPr="008B2270">
        <w:rPr>
          <w:rFonts w:cs="Arial"/>
          <w:bCs w:val="0"/>
        </w:rPr>
        <w:t xml:space="preserve">Performance information </w:t>
      </w:r>
      <w:r w:rsidRPr="008B2270">
        <w:rPr>
          <w:rFonts w:eastAsia="Cambria"/>
        </w:rPr>
        <w:t>2.3 Higher Education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0A7B30">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0A7B30">
        <w:trPr>
          <w:cantSplit/>
          <w:trHeight w:val="23"/>
        </w:trPr>
        <w:tc>
          <w:tcPr>
            <w:tcW w:w="1049" w:type="dxa"/>
            <w:tcBorders>
              <w:top w:val="single" w:sz="4" w:space="0" w:color="auto"/>
              <w:left w:val="single" w:sz="4" w:space="0" w:color="auto"/>
              <w:bottom w:val="dotted"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t>Improving participation in higher education for students from previously disadvantaged groups.</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ListBullet"/>
            </w:pPr>
            <w:r w:rsidRPr="008B2270">
              <w:t>At least 18% of domestic undergraduates are from a low socioeconomic</w:t>
            </w:r>
            <w:r w:rsidRPr="008B2270" w:rsidDel="005A0442">
              <w:t xml:space="preserve"> </w:t>
            </w:r>
            <w:r w:rsidRPr="008B2270">
              <w:t>background (based on postcode).</w:t>
            </w:r>
            <w:bookmarkStart w:id="44" w:name="_Ref3560161"/>
            <w:r w:rsidRPr="008B2270">
              <w:rPr>
                <w:rStyle w:val="FootnoteReference"/>
              </w:rPr>
              <w:footnoteReference w:id="11"/>
            </w:r>
            <w:bookmarkEnd w:id="44"/>
          </w:p>
          <w:p w:rsidR="00CE3F03" w:rsidRPr="008B2270" w:rsidRDefault="00CE3F03" w:rsidP="00CE3F03">
            <w:pPr>
              <w:pStyle w:val="PBS16TableListBullet"/>
              <w:numPr>
                <w:ilvl w:val="0"/>
                <w:numId w:val="0"/>
              </w:numPr>
              <w:ind w:left="195"/>
            </w:pPr>
            <w:r w:rsidRPr="008B2270">
              <w:rPr>
                <w:b/>
              </w:rPr>
              <w:t>On Track</w:t>
            </w:r>
          </w:p>
          <w:p w:rsidR="00CE3F03" w:rsidRPr="008B2270" w:rsidRDefault="00CE3F03" w:rsidP="00CE3F03">
            <w:pPr>
              <w:pStyle w:val="PBS16TableListBullet"/>
            </w:pPr>
            <w:r w:rsidRPr="008B2270">
              <w:t>At least 16% of domestic undergraduates are from a low socioeconomic</w:t>
            </w:r>
            <w:r w:rsidRPr="008B2270" w:rsidDel="005A0442">
              <w:t xml:space="preserve"> </w:t>
            </w:r>
            <w:r w:rsidRPr="008B2270">
              <w:t>background (based on Statistical Area level 1).</w:t>
            </w:r>
            <w:bookmarkStart w:id="45" w:name="_Ref511226030"/>
            <w:r w:rsidRPr="008B2270">
              <w:rPr>
                <w:rStyle w:val="FootnoteReference"/>
              </w:rPr>
              <w:footnoteReference w:id="12"/>
            </w:r>
            <w:bookmarkEnd w:id="45"/>
            <w:r w:rsidRPr="008B2270">
              <w:t xml:space="preserve"> </w:t>
            </w:r>
          </w:p>
          <w:p w:rsidR="00CE3F03" w:rsidRPr="008B2270" w:rsidRDefault="00CE3F03" w:rsidP="00CE3F03">
            <w:pPr>
              <w:pStyle w:val="PBS16TableListBullet"/>
              <w:numPr>
                <w:ilvl w:val="0"/>
                <w:numId w:val="0"/>
              </w:numPr>
              <w:ind w:left="195"/>
            </w:pPr>
            <w:r w:rsidRPr="008B2270">
              <w:rPr>
                <w:b/>
              </w:rPr>
              <w:t>On Track</w:t>
            </w:r>
          </w:p>
          <w:p w:rsidR="00CE3F03" w:rsidRPr="008B2270" w:rsidRDefault="00CE3F03" w:rsidP="00CE3F03">
            <w:pPr>
              <w:pStyle w:val="PBS16TableListBullet"/>
            </w:pPr>
            <w:r w:rsidRPr="008B2270">
              <w:t>At least 2% of higher education students are Indigenous.</w:t>
            </w:r>
            <w:bookmarkStart w:id="46" w:name="_Ref4145829"/>
            <w:r w:rsidRPr="008B2270">
              <w:rPr>
                <w:rStyle w:val="FootnoteReference"/>
              </w:rPr>
              <w:footnoteReference w:id="13"/>
            </w:r>
            <w:bookmarkEnd w:id="46"/>
          </w:p>
          <w:p w:rsidR="00CE3F03" w:rsidRPr="008B2270" w:rsidRDefault="00CE3F03" w:rsidP="00CE3F03">
            <w:pPr>
              <w:pStyle w:val="PBS16TableListBullet"/>
              <w:numPr>
                <w:ilvl w:val="0"/>
                <w:numId w:val="0"/>
              </w:numPr>
              <w:ind w:left="195"/>
            </w:pPr>
            <w:r w:rsidRPr="008B2270">
              <w:rPr>
                <w:b/>
              </w:rPr>
              <w:t>Not on track</w:t>
            </w:r>
          </w:p>
        </w:tc>
      </w:tr>
      <w:tr w:rsidR="000A7B30" w:rsidRPr="008B2270" w:rsidTr="000A7B30">
        <w:trPr>
          <w:cantSplit/>
          <w:trHeight w:val="23"/>
        </w:trPr>
        <w:tc>
          <w:tcPr>
            <w:tcW w:w="1049" w:type="dxa"/>
            <w:tcBorders>
              <w:top w:val="dotted" w:sz="4" w:space="0" w:color="auto"/>
              <w:left w:val="single" w:sz="4" w:space="0" w:color="auto"/>
              <w:bottom w:val="single" w:sz="4" w:space="0" w:color="auto"/>
              <w:right w:val="single" w:sz="4" w:space="0" w:color="auto"/>
            </w:tcBorders>
          </w:tcPr>
          <w:p w:rsidR="000A7B30" w:rsidRPr="008B2270" w:rsidRDefault="000A7B30" w:rsidP="000A7B30">
            <w:pPr>
              <w:pStyle w:val="PBS16TableNormal"/>
            </w:pPr>
            <w:r w:rsidRPr="008B2270">
              <w:lastRenderedPageBreak/>
              <w:t>2018–19</w:t>
            </w:r>
          </w:p>
        </w:tc>
        <w:tc>
          <w:tcPr>
            <w:tcW w:w="3317" w:type="dxa"/>
            <w:tcBorders>
              <w:top w:val="dotted" w:sz="4" w:space="0" w:color="auto"/>
              <w:left w:val="single" w:sz="4" w:space="0" w:color="auto"/>
              <w:bottom w:val="single" w:sz="4" w:space="0" w:color="auto"/>
              <w:right w:val="single" w:sz="4" w:space="0" w:color="auto"/>
            </w:tcBorders>
          </w:tcPr>
          <w:p w:rsidR="000A7B30" w:rsidRPr="008B2270" w:rsidRDefault="000A7B30" w:rsidP="000A7B30">
            <w:pPr>
              <w:pStyle w:val="PBS16TableNormal"/>
            </w:pPr>
            <w:r w:rsidRPr="008B2270">
              <w:t>Maintaining the quality of higher education</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0A7B30" w:rsidRPr="008B2270" w:rsidRDefault="000A7B30" w:rsidP="000A7B30">
            <w:pPr>
              <w:pStyle w:val="PBS16TableListBullet"/>
            </w:pPr>
            <w:r w:rsidRPr="008B2270">
              <w:t>At least 80% of undergraduate students rate the teaching quality at their institution positively</w:t>
            </w:r>
          </w:p>
          <w:p w:rsidR="000A7B30" w:rsidRPr="008B2270" w:rsidRDefault="000A7B30" w:rsidP="000A7B30">
            <w:pPr>
              <w:pStyle w:val="PBS16TableListBullet"/>
              <w:numPr>
                <w:ilvl w:val="0"/>
                <w:numId w:val="0"/>
              </w:numPr>
              <w:ind w:left="195"/>
            </w:pPr>
            <w:r w:rsidRPr="008B2270">
              <w:rPr>
                <w:b/>
              </w:rPr>
              <w:t>On Track</w:t>
            </w:r>
          </w:p>
          <w:p w:rsidR="000A7B30" w:rsidRPr="008B2270" w:rsidRDefault="000A7B30" w:rsidP="000A7B30">
            <w:pPr>
              <w:pStyle w:val="PBS16TableListBullet"/>
            </w:pPr>
            <w:r w:rsidRPr="008B2270">
              <w:t>At least 85% of employers are satisfied with the skills of graduates (overall across all skills).</w:t>
            </w:r>
          </w:p>
          <w:p w:rsidR="000A7B30" w:rsidRPr="008B2270" w:rsidRDefault="000A7B30" w:rsidP="000A7B30">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pStyle w:val="PBS16TableNormalHeading"/>
            </w:pPr>
            <w:r w:rsidRPr="008B2270">
              <w:t>Year</w:t>
            </w:r>
          </w:p>
        </w:tc>
        <w:tc>
          <w:tcPr>
            <w:tcW w:w="3317" w:type="dxa"/>
            <w:hideMark/>
          </w:tcPr>
          <w:p w:rsidR="00CE3F03" w:rsidRPr="008B2270" w:rsidRDefault="00CE3F03" w:rsidP="00594C84">
            <w:pPr>
              <w:pStyle w:val="PBS16TableNormalHeading"/>
            </w:pPr>
            <w:r w:rsidRPr="008B2270">
              <w:t>Performance criteria</w:t>
            </w:r>
          </w:p>
        </w:tc>
        <w:tc>
          <w:tcPr>
            <w:tcW w:w="3402" w:type="dxa"/>
            <w:hideMark/>
          </w:tcPr>
          <w:p w:rsidR="00CE3F03" w:rsidRPr="008B2270" w:rsidRDefault="00CE3F03" w:rsidP="00594C84">
            <w:pPr>
              <w:pStyle w:val="PBS16TableNormalHeading"/>
            </w:pPr>
            <w:r w:rsidRPr="008B2270">
              <w:t>Target</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pPr>
            <w:r w:rsidRPr="008B2270">
              <w:t>Improving participation in higher education for students from previously disadvantaged groups.</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ListBullet"/>
            </w:pPr>
            <w:r w:rsidRPr="008B2270">
              <w:t>At least 18% of domestic undergraduates are from a low socioeconomic</w:t>
            </w:r>
            <w:r w:rsidRPr="008B2270" w:rsidDel="005A0442">
              <w:t xml:space="preserve"> </w:t>
            </w:r>
            <w:r w:rsidRPr="008B2270">
              <w:t>background (based on postcode).</w:t>
            </w:r>
            <w:r w:rsidRPr="008B2270">
              <w:rPr>
                <w:rStyle w:val="FootnoteReference"/>
                <w:bCs/>
                <w:lang w:val="en-US"/>
              </w:rPr>
              <w:fldChar w:fldCharType="begin"/>
            </w:r>
            <w:r w:rsidRPr="008B2270">
              <w:rPr>
                <w:rStyle w:val="FootnoteReference"/>
                <w:bCs/>
                <w:lang w:val="en-US"/>
              </w:rPr>
              <w:instrText xml:space="preserve"> NOTEREF _Ref3560161 \h  \* MERGEFORMAT </w:instrText>
            </w:r>
            <w:r w:rsidRPr="008B2270">
              <w:rPr>
                <w:rStyle w:val="FootnoteReference"/>
                <w:bCs/>
                <w:lang w:val="en-US"/>
              </w:rPr>
            </w:r>
            <w:r w:rsidRPr="008B2270">
              <w:rPr>
                <w:rStyle w:val="FootnoteReference"/>
                <w:bCs/>
                <w:lang w:val="en-US"/>
              </w:rPr>
              <w:fldChar w:fldCharType="separate"/>
            </w:r>
            <w:r w:rsidR="00E775E3">
              <w:rPr>
                <w:rStyle w:val="FootnoteReference"/>
                <w:bCs/>
                <w:lang w:val="en-US"/>
              </w:rPr>
              <w:t>12</w:t>
            </w:r>
            <w:r w:rsidRPr="008B2270">
              <w:rPr>
                <w:rStyle w:val="FootnoteReference"/>
                <w:bCs/>
                <w:lang w:val="en-US"/>
              </w:rPr>
              <w:fldChar w:fldCharType="end"/>
            </w:r>
          </w:p>
          <w:p w:rsidR="00CE3F03" w:rsidRPr="008B2270" w:rsidRDefault="00CE3F03" w:rsidP="00594C84">
            <w:pPr>
              <w:pStyle w:val="PBS16TableListBullet"/>
            </w:pPr>
            <w:r w:rsidRPr="008B2270">
              <w:t>At least 16% of domestic undergraduates are from a low socioeconomic</w:t>
            </w:r>
            <w:r w:rsidRPr="008B2270" w:rsidDel="005A0442">
              <w:t xml:space="preserve"> </w:t>
            </w:r>
            <w:r w:rsidRPr="008B2270">
              <w:t>background (based on Statistical Area level 1).</w:t>
            </w:r>
            <w:r w:rsidRPr="008B2270">
              <w:rPr>
                <w:rStyle w:val="FootnoteReference"/>
              </w:rPr>
              <w:fldChar w:fldCharType="begin"/>
            </w:r>
            <w:r w:rsidRPr="008B2270">
              <w:rPr>
                <w:rStyle w:val="FootnoteReference"/>
              </w:rPr>
              <w:instrText xml:space="preserve"> NOTEREF _Ref511226030 \h  \* MERGEFORMAT </w:instrText>
            </w:r>
            <w:r w:rsidRPr="008B2270">
              <w:rPr>
                <w:rStyle w:val="FootnoteReference"/>
              </w:rPr>
            </w:r>
            <w:r w:rsidRPr="008B2270">
              <w:rPr>
                <w:rStyle w:val="FootnoteReference"/>
              </w:rPr>
              <w:fldChar w:fldCharType="separate"/>
            </w:r>
            <w:r w:rsidR="00E775E3" w:rsidRPr="00E775E3">
              <w:rPr>
                <w:rStyle w:val="FootnoteReference"/>
                <w:b/>
                <w:bCs/>
                <w:lang w:val="en-US"/>
              </w:rPr>
              <w:t>13</w:t>
            </w:r>
            <w:r w:rsidRPr="008B2270">
              <w:rPr>
                <w:rStyle w:val="FootnoteReference"/>
              </w:rPr>
              <w:fldChar w:fldCharType="end"/>
            </w:r>
          </w:p>
          <w:p w:rsidR="00CE3F03" w:rsidRPr="008B2270" w:rsidRDefault="00CE3F03" w:rsidP="00CE3F03">
            <w:pPr>
              <w:pStyle w:val="PBS16TableListBullet"/>
            </w:pPr>
            <w:r w:rsidRPr="008B2270">
              <w:t>At least 2% of higher education students are Indigenous.</w:t>
            </w:r>
            <w:r w:rsidRPr="008B2270">
              <w:rPr>
                <w:vertAlign w:val="superscript"/>
              </w:rPr>
              <w:fldChar w:fldCharType="begin"/>
            </w:r>
            <w:r w:rsidRPr="008B2270">
              <w:rPr>
                <w:vertAlign w:val="superscript"/>
              </w:rPr>
              <w:instrText xml:space="preserve"> NOTEREF _Ref4145829 \h  \* MERGEFORMAT </w:instrText>
            </w:r>
            <w:r w:rsidRPr="008B2270">
              <w:rPr>
                <w:vertAlign w:val="superscript"/>
              </w:rPr>
            </w:r>
            <w:r w:rsidRPr="008B2270">
              <w:rPr>
                <w:vertAlign w:val="superscript"/>
              </w:rPr>
              <w:fldChar w:fldCharType="separate"/>
            </w:r>
            <w:r w:rsidR="00E775E3">
              <w:rPr>
                <w:vertAlign w:val="superscript"/>
              </w:rPr>
              <w:t>14</w:t>
            </w:r>
            <w:r w:rsidRPr="008B2270">
              <w:rPr>
                <w:vertAlign w:val="superscript"/>
              </w:rPr>
              <w:fldChar w:fldCharType="end"/>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Maintaining the quality of higher education</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ListBullet"/>
            </w:pPr>
            <w:r w:rsidRPr="008B2270">
              <w:t>At least 80% of undergraduate students rate the teaching quality at their institution positively</w:t>
            </w:r>
          </w:p>
          <w:p w:rsidR="00CE3F03" w:rsidRPr="008B2270" w:rsidRDefault="00CE3F03" w:rsidP="00594C84">
            <w:pPr>
              <w:pStyle w:val="PBS16TableListBullet"/>
            </w:pPr>
            <w:r w:rsidRPr="008B2270">
              <w:t>At least 85% of employers are satisfied with the skills of graduates (overall across all skills).</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lastRenderedPageBreak/>
        <w:t>Program expenses 2.3 Higher Education Support</w:t>
      </w:r>
    </w:p>
    <w:p w:rsidR="00CE3F03" w:rsidRPr="008B2270" w:rsidRDefault="00943664" w:rsidP="00CE3F03">
      <w:pPr>
        <w:pStyle w:val="ChartGraphic"/>
      </w:pPr>
      <w:r w:rsidRPr="008B2270">
        <w:drawing>
          <wp:inline distT="0" distB="0" distL="0" distR="0">
            <wp:extent cx="4895850" cy="4544809"/>
            <wp:effectExtent l="0" t="0" r="0" b="8255"/>
            <wp:docPr id="36" name="Picture 3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95850" cy="4544809"/>
                    </a:xfrm>
                    <a:prstGeom prst="rect">
                      <a:avLst/>
                    </a:prstGeom>
                    <a:noFill/>
                    <a:ln>
                      <a:noFill/>
                    </a:ln>
                  </pic:spPr>
                </pic:pic>
              </a:graphicData>
            </a:graphic>
          </wp:inline>
        </w:drawing>
      </w:r>
    </w:p>
    <w:p w:rsidR="00CE3F03" w:rsidRPr="008B2270" w:rsidRDefault="00CE3F03" w:rsidP="00594C84">
      <w:pPr>
        <w:spacing w:after="0" w:line="240" w:lineRule="auto"/>
        <w:jc w:val="left"/>
      </w:pPr>
      <w:r w:rsidRPr="008B2270">
        <w:br w:type="page"/>
      </w:r>
    </w:p>
    <w:p w:rsidR="00CE3F03" w:rsidRPr="008B2270" w:rsidRDefault="00CE3F03" w:rsidP="00594C84">
      <w:pPr>
        <w:pStyle w:val="Heading5"/>
      </w:pPr>
      <w:r w:rsidRPr="008B2270">
        <w:rPr>
          <w:rFonts w:cs="Arial"/>
          <w:bCs w:val="0"/>
        </w:rPr>
        <w:lastRenderedPageBreak/>
        <w:t xml:space="preserve">Program 2.4: </w:t>
      </w:r>
      <w:r w:rsidRPr="008B2270">
        <w:rPr>
          <w:rFonts w:eastAsia="Cambria"/>
        </w:rPr>
        <w:t>Higher Education Loan Program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rPr>
                <w:sz w:val="15"/>
                <w:szCs w:val="15"/>
              </w:rPr>
            </w:pPr>
            <w:r w:rsidRPr="008B2270">
              <w:rPr>
                <w:rFonts w:eastAsia="Cambria"/>
              </w:rPr>
              <w:t>The program aims to remove the up-front cost barriers to tertiary education and training in order to increase access and participation. This is achieved through the provision of income contingent loans for students undertaking higher education courses and in certain higher level vocational education and training (VET) courses.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rPr>
                <w:rFonts w:eastAsia="Cambria"/>
              </w:rPr>
            </w:pPr>
            <w:r w:rsidRPr="008B2270">
              <w:rPr>
                <w:rFonts w:eastAsia="Cambria"/>
              </w:rPr>
              <w:t>The program is delivered through the following activities:</w:t>
            </w:r>
          </w:p>
          <w:p w:rsidR="00CE3F03" w:rsidRPr="008B2270" w:rsidRDefault="00CE3F03" w:rsidP="00594C84">
            <w:pPr>
              <w:pStyle w:val="PBS16TableListBullet"/>
            </w:pPr>
            <w:r w:rsidRPr="008B2270">
              <w:t>HECS-HELP—provides loans to eligible Commonwealth supported higher education students to pay their student contributions</w:t>
            </w:r>
          </w:p>
          <w:p w:rsidR="00CE3F03" w:rsidRPr="008B2270" w:rsidRDefault="00CE3F03" w:rsidP="00594C84">
            <w:pPr>
              <w:pStyle w:val="PBS16TableListBullet"/>
            </w:pPr>
            <w:r w:rsidRPr="008B2270">
              <w:t>FEE-HELP—provides loans to eligible fee-paying higher education students to pay all or part of their tuition fees</w:t>
            </w:r>
          </w:p>
          <w:p w:rsidR="00CE3F03" w:rsidRPr="008B2270" w:rsidRDefault="00CE3F03" w:rsidP="00594C84">
            <w:pPr>
              <w:pStyle w:val="PBS16TableListBullet"/>
            </w:pPr>
            <w:r w:rsidRPr="008B2270">
              <w:t>OS-HELP—provides loans to eligible Commonwealth supported higher education students who wish to undertake some of their Australian course of study overseas</w:t>
            </w:r>
          </w:p>
          <w:p w:rsidR="00CE3F03" w:rsidRPr="008B2270" w:rsidRDefault="00CE3F03" w:rsidP="00594C84">
            <w:pPr>
              <w:pStyle w:val="PBS16TableListBullet"/>
            </w:pPr>
            <w:r w:rsidRPr="008B2270">
              <w:t>SA-HELP—provides loans to eligible higher education students to pay Student Services and Amenities Fees charged by their higher education providers</w:t>
            </w:r>
          </w:p>
          <w:p w:rsidR="00CE3F03" w:rsidRPr="008B2270" w:rsidRDefault="00CE3F03" w:rsidP="00594C84">
            <w:pPr>
              <w:pStyle w:val="PBS16TableListBullet"/>
            </w:pPr>
            <w:r w:rsidRPr="008B2270">
              <w:t>VET Student Loans—provides loans to eligible students to pay for all or part of tuition fees for eligible higher level VET courses, subject to loan caps for each eligible course and fee limits for approved providers.</w:t>
            </w:r>
          </w:p>
          <w:p w:rsidR="00CE3F03" w:rsidRPr="008B2270" w:rsidRDefault="00CE3F03" w:rsidP="00594C84">
            <w:pPr>
              <w:pStyle w:val="PBS16TableNormal"/>
              <w:rPr>
                <w:rFonts w:eastAsia="Cambria"/>
              </w:rPr>
            </w:pPr>
            <w:r w:rsidRPr="008B2270">
              <w:rPr>
                <w:rFonts w:eastAsia="Cambria"/>
              </w:rPr>
              <w:t>Student HELP loan amounts are paid by the Government directly, in instalments, to approved providers on a demand-driven basis for all domestic students who have accessed a HELP loan.</w:t>
            </w:r>
          </w:p>
          <w:p w:rsidR="00CE3F03" w:rsidRPr="008B2270" w:rsidRDefault="00CE3F03" w:rsidP="00594C84">
            <w:pPr>
              <w:pStyle w:val="PBS16TableNormal"/>
              <w:rPr>
                <w:sz w:val="15"/>
                <w:szCs w:val="15"/>
              </w:rPr>
            </w:pPr>
            <w:r w:rsidRPr="008B2270">
              <w:rPr>
                <w:rFonts w:eastAsia="Cambria"/>
              </w:rPr>
              <w:t>Repayment of debt commences once an individual’s HELP repayment income reaches a prescribed level. Repayments are made to the Australian Taxation Office through the taxation system.</w:t>
            </w:r>
            <w:r w:rsidRPr="008B2270">
              <w:rPr>
                <w:sz w:val="15"/>
                <w:szCs w:val="15"/>
              </w:rPr>
              <w:t xml:space="preserve">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t>Measures impacting program 2.4:</w:t>
            </w:r>
          </w:p>
          <w:p w:rsidR="00A97A77" w:rsidRDefault="00A97A77" w:rsidP="00A97A77">
            <w:pPr>
              <w:pStyle w:val="PBS16TableListBullet"/>
            </w:pPr>
            <w:r>
              <w:t>Closing the Gap refresh —</w:t>
            </w:r>
            <w:r w:rsidR="00E8395F">
              <w:t xml:space="preserve"> </w:t>
            </w:r>
            <w:r>
              <w:t>Indigenous Youth Education Package</w:t>
            </w:r>
          </w:p>
          <w:p w:rsidR="00A97A77" w:rsidRDefault="00A97A77" w:rsidP="00A97A77">
            <w:pPr>
              <w:pStyle w:val="PBS16TableListBullet"/>
            </w:pPr>
            <w:r>
              <w:t>Higher Education Loan Program — partial cost recovery delay</w:t>
            </w:r>
          </w:p>
          <w:p w:rsidR="00A97A77" w:rsidRPr="008B2270" w:rsidRDefault="00A97A77" w:rsidP="00A97A77">
            <w:pPr>
              <w:pStyle w:val="PBS16TableListBullet"/>
            </w:pPr>
            <w:r>
              <w:t>VET Student Loans — increase in loan limit for aviation courses</w:t>
            </w:r>
          </w:p>
        </w:tc>
      </w:tr>
    </w:tbl>
    <w:p w:rsidR="00CE3F03" w:rsidRPr="008B2270" w:rsidRDefault="00CE3F03" w:rsidP="00594C84">
      <w:pPr>
        <w:pStyle w:val="Heading6"/>
      </w:pPr>
      <w:r w:rsidRPr="008B2270">
        <w:rPr>
          <w:rFonts w:cs="Arial"/>
          <w:bCs w:val="0"/>
        </w:rPr>
        <w:t xml:space="preserve">Performance information 2.4 </w:t>
      </w:r>
      <w:r w:rsidRPr="008B2270">
        <w:rPr>
          <w:rFonts w:eastAsia="Cambria"/>
        </w:rPr>
        <w:t>Higher Education Loan Program</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6C799D">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6C799D">
        <w:trPr>
          <w:cantSplit/>
          <w:trHeight w:val="23"/>
        </w:trPr>
        <w:tc>
          <w:tcPr>
            <w:tcW w:w="1049" w:type="dxa"/>
            <w:tcBorders>
              <w:top w:val="single" w:sz="4" w:space="0" w:color="auto"/>
              <w:left w:val="single" w:sz="4" w:space="0" w:color="auto"/>
              <w:bottom w:val="nil"/>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Tertiary education is affordable for students and the community.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rPr>
                <w:u w:val="single"/>
              </w:rPr>
            </w:pPr>
            <w:r w:rsidRPr="008B2270">
              <w:rPr>
                <w:u w:val="single"/>
              </w:rPr>
              <w:t>HELP</w:t>
            </w:r>
          </w:p>
          <w:p w:rsidR="00CE3F03" w:rsidRPr="008B2270" w:rsidRDefault="00CE3F03" w:rsidP="00CE3F03">
            <w:pPr>
              <w:pStyle w:val="PBS16TableListBullet"/>
            </w:pPr>
            <w:r w:rsidRPr="008B2270">
              <w:t>The proportion of debt not expected to be repaid is stable or reduces from the previous year.</w:t>
            </w:r>
          </w:p>
          <w:p w:rsidR="00CE3F03" w:rsidRPr="008B2270" w:rsidRDefault="00CE3F03" w:rsidP="00CE3F03">
            <w:pPr>
              <w:pStyle w:val="PBS16TableListBullet"/>
              <w:numPr>
                <w:ilvl w:val="0"/>
                <w:numId w:val="0"/>
              </w:numPr>
              <w:ind w:left="195"/>
            </w:pPr>
            <w:r w:rsidRPr="008B2270">
              <w:rPr>
                <w:b/>
              </w:rPr>
              <w:t>On Track</w:t>
            </w:r>
          </w:p>
        </w:tc>
      </w:tr>
      <w:tr w:rsidR="00CE3F03" w:rsidRPr="008B2270" w:rsidTr="006C799D">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VET training choices are better aligned with industry needs.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rPr>
                <w:u w:val="single"/>
              </w:rPr>
            </w:pPr>
            <w:r w:rsidRPr="008B2270">
              <w:rPr>
                <w:u w:val="single"/>
              </w:rPr>
              <w:t>VET Student Loans</w:t>
            </w:r>
          </w:p>
          <w:p w:rsidR="00CE3F03" w:rsidRPr="008B2270" w:rsidRDefault="00CE3F03" w:rsidP="00CE3F03">
            <w:pPr>
              <w:pStyle w:val="PBS16TableListBullet"/>
            </w:pPr>
            <w:r w:rsidRPr="008B2270">
              <w:t>The proportion of students surveyed that report studying for business or job related reasons remains stable or increases from the previous year.</w:t>
            </w:r>
          </w:p>
          <w:p w:rsidR="00CE3F03" w:rsidRPr="008B2270" w:rsidRDefault="00CE3F03" w:rsidP="00CE3F03">
            <w:pPr>
              <w:pStyle w:val="PBS16TableListBullet"/>
              <w:numPr>
                <w:ilvl w:val="0"/>
                <w:numId w:val="0"/>
              </w:numPr>
              <w:ind w:left="195"/>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0A7B30">
        <w:trPr>
          <w:cantSplit/>
          <w:trHeight w:val="23"/>
          <w:tblHeader/>
        </w:trPr>
        <w:tc>
          <w:tcPr>
            <w:tcW w:w="1049" w:type="dxa"/>
            <w:tcBorders>
              <w:bottom w:val="single" w:sz="4" w:space="0" w:color="auto"/>
            </w:tcBorders>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hideMark/>
          </w:tcPr>
          <w:p w:rsidR="00CE3F03" w:rsidRPr="008B2270" w:rsidRDefault="00CE3F03" w:rsidP="00594C84">
            <w:pPr>
              <w:tabs>
                <w:tab w:val="left" w:pos="709"/>
              </w:tabs>
              <w:spacing w:before="60" w:after="60" w:line="240" w:lineRule="auto"/>
              <w:jc w:val="left"/>
              <w:rPr>
                <w:rFonts w:ascii="Arial" w:hAnsi="Arial" w:cs="Arial"/>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0A7B30">
        <w:trPr>
          <w:cantSplit/>
          <w:trHeight w:val="23"/>
        </w:trPr>
        <w:tc>
          <w:tcPr>
            <w:tcW w:w="1049" w:type="dxa"/>
            <w:tcBorders>
              <w:top w:val="single" w:sz="4" w:space="0" w:color="auto"/>
              <w:left w:val="single" w:sz="4" w:space="0" w:color="auto"/>
              <w:bottom w:val="dotted" w:sz="4" w:space="0" w:color="auto"/>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pPr>
            <w:r w:rsidRPr="008B2270">
              <w:t>Tertiary education is affordable for students and the community.</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rPr>
                <w:u w:val="single"/>
              </w:rPr>
            </w:pPr>
            <w:r w:rsidRPr="008B2270">
              <w:rPr>
                <w:u w:val="single"/>
              </w:rPr>
              <w:t>HELP</w:t>
            </w:r>
          </w:p>
          <w:p w:rsidR="00CE3F03" w:rsidRPr="008B2270" w:rsidRDefault="00CE3F03" w:rsidP="00594C84">
            <w:pPr>
              <w:pStyle w:val="PBS16TableListBullet"/>
            </w:pPr>
            <w:r w:rsidRPr="008B2270">
              <w:t>The proportion of debt not expected to be repaid is stable or reduces from the previous year.</w:t>
            </w:r>
          </w:p>
        </w:tc>
      </w:tr>
      <w:tr w:rsidR="008F63BB" w:rsidRPr="008B2270" w:rsidTr="000A7B30">
        <w:trPr>
          <w:cantSplit/>
          <w:trHeight w:val="23"/>
        </w:trPr>
        <w:tc>
          <w:tcPr>
            <w:tcW w:w="1049" w:type="dxa"/>
            <w:tcBorders>
              <w:top w:val="dotted" w:sz="4" w:space="0" w:color="auto"/>
              <w:left w:val="single" w:sz="4" w:space="0" w:color="auto"/>
              <w:bottom w:val="single" w:sz="4" w:space="0" w:color="auto"/>
              <w:right w:val="single" w:sz="4" w:space="0" w:color="auto"/>
            </w:tcBorders>
          </w:tcPr>
          <w:p w:rsidR="008F63BB" w:rsidRPr="008B2270" w:rsidRDefault="008F63BB" w:rsidP="008F63BB">
            <w:pPr>
              <w:pStyle w:val="PBS16TableNormal"/>
            </w:pPr>
            <w:r w:rsidRPr="008B2270">
              <w:lastRenderedPageBreak/>
              <w:t>2019–20</w:t>
            </w: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8F63BB" w:rsidRPr="008B2270" w:rsidRDefault="008F63BB" w:rsidP="008F63BB">
            <w:pPr>
              <w:pStyle w:val="PBS16TableNormal"/>
            </w:pPr>
            <w:r w:rsidRPr="008B2270">
              <w:t>VET training choices are better aligned with industry needs.</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8F63BB" w:rsidRPr="008B2270" w:rsidRDefault="008F63BB" w:rsidP="008F63BB">
            <w:pPr>
              <w:pStyle w:val="PBS16TableNormal"/>
              <w:rPr>
                <w:u w:val="single"/>
              </w:rPr>
            </w:pPr>
            <w:r w:rsidRPr="008B2270">
              <w:rPr>
                <w:u w:val="single"/>
              </w:rPr>
              <w:t>VET Student Loans</w:t>
            </w:r>
          </w:p>
          <w:p w:rsidR="008F63BB" w:rsidRPr="008B2270" w:rsidRDefault="008F63BB" w:rsidP="008F63BB">
            <w:pPr>
              <w:pStyle w:val="PBS16TableListBullet"/>
            </w:pPr>
            <w:r w:rsidRPr="008B2270">
              <w:t>The proportion of students surveyed that report studying for business or job related reasons remains stable or increases from the previous year.</w:t>
            </w:r>
          </w:p>
        </w:tc>
      </w:tr>
      <w:tr w:rsidR="008F63BB"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8F63BB" w:rsidRPr="008B2270" w:rsidRDefault="008F63BB" w:rsidP="008F63BB">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8F63BB" w:rsidRPr="008B2270" w:rsidRDefault="008F63BB" w:rsidP="008F63BB">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8F63BB" w:rsidRPr="008B2270" w:rsidRDefault="008F63BB" w:rsidP="008F63BB">
            <w:pPr>
              <w:pStyle w:val="PBS16TableNormal"/>
            </w:pPr>
            <w:r w:rsidRPr="008B2270">
              <w:t>As per 2019–20.</w:t>
            </w:r>
          </w:p>
        </w:tc>
      </w:tr>
    </w:tbl>
    <w:p w:rsidR="00CE3F03" w:rsidRPr="008B2270" w:rsidRDefault="00CE3F03" w:rsidP="00594C84">
      <w:pPr>
        <w:pStyle w:val="Heading6"/>
      </w:pPr>
      <w:r w:rsidRPr="008B2270">
        <w:t>Program expenses 2.4 Higher Education Loan Program</w:t>
      </w:r>
    </w:p>
    <w:p w:rsidR="00CE3F03" w:rsidRPr="008B2270" w:rsidRDefault="006467BA" w:rsidP="00CE3F03">
      <w:pPr>
        <w:pStyle w:val="ChartGraphic"/>
      </w:pPr>
      <w:r w:rsidRPr="006467BA">
        <w:drawing>
          <wp:inline distT="0" distB="0" distL="0" distR="0">
            <wp:extent cx="4895850" cy="1959669"/>
            <wp:effectExtent l="0" t="0" r="0" b="2540"/>
            <wp:docPr id="21" name="Picture 2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95850" cy="1959669"/>
                    </a:xfrm>
                    <a:prstGeom prst="rect">
                      <a:avLst/>
                    </a:prstGeom>
                    <a:noFill/>
                    <a:ln>
                      <a:noFill/>
                    </a:ln>
                  </pic:spPr>
                </pic:pic>
              </a:graphicData>
            </a:graphic>
          </wp:inline>
        </w:drawing>
      </w:r>
    </w:p>
    <w:p w:rsidR="00CE3F03" w:rsidRPr="008B2270" w:rsidRDefault="00CE3F03" w:rsidP="00594C84">
      <w:pPr>
        <w:spacing w:after="0" w:line="240" w:lineRule="auto"/>
        <w:jc w:val="left"/>
      </w:pPr>
      <w:r w:rsidRPr="008B2270">
        <w:br w:type="page"/>
      </w:r>
    </w:p>
    <w:p w:rsidR="00CE3F03" w:rsidRPr="008B2270" w:rsidRDefault="00CE3F03" w:rsidP="00594C84">
      <w:pPr>
        <w:pStyle w:val="Heading5"/>
        <w:rPr>
          <w:rFonts w:cs="Arial"/>
          <w:bCs w:val="0"/>
        </w:rPr>
      </w:pPr>
      <w:r w:rsidRPr="008B2270">
        <w:rPr>
          <w:rFonts w:cs="Arial"/>
          <w:bCs w:val="0"/>
        </w:rPr>
        <w:lastRenderedPageBreak/>
        <w:t>Program 2.5: Investment in Higher Education Research</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The program is delivered through annual research block grants to eligible Australian higher education providers to support:</w:t>
            </w:r>
          </w:p>
          <w:p w:rsidR="00CE3F03" w:rsidRPr="008B2270" w:rsidRDefault="00CE3F03" w:rsidP="00594C84">
            <w:pPr>
              <w:pStyle w:val="PBS16TableListBullet"/>
            </w:pPr>
            <w:r w:rsidRPr="008B2270">
              <w:t>their research activities and ensure the delivery of a world-class research system</w:t>
            </w:r>
          </w:p>
          <w:p w:rsidR="00CE3F03" w:rsidRPr="008B2270" w:rsidRDefault="00CE3F03" w:rsidP="00594C84">
            <w:pPr>
              <w:pStyle w:val="PBS16TableListBullet"/>
            </w:pPr>
            <w:r w:rsidRPr="008B2270">
              <w:t>the research training of higher degree by domestic and international research students and meet the skills needs of the Australian and international research community.</w:t>
            </w:r>
          </w:p>
          <w:p w:rsidR="00CE3F03" w:rsidRPr="008B2270" w:rsidRDefault="00CE3F03" w:rsidP="00594C84">
            <w:pPr>
              <w:pStyle w:val="PBS16TableNormal"/>
            </w:pPr>
            <w:r w:rsidRPr="008B2270">
              <w:t xml:space="preserve">Together with competitive research grants and world-class infrastructure, research block grants will support Australia’s high performing research system. </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bl>
    <w:p w:rsidR="00CE3F03" w:rsidRPr="008B2270" w:rsidRDefault="00CE3F03" w:rsidP="00CE3F03"/>
    <w:p w:rsidR="00CE3F03" w:rsidRPr="008B2270" w:rsidRDefault="00CE3F03" w:rsidP="00594C84">
      <w:pPr>
        <w:pStyle w:val="Heading6"/>
        <w:rPr>
          <w:rFonts w:cs="Arial"/>
          <w:bCs w:val="0"/>
        </w:rPr>
      </w:pPr>
      <w:r w:rsidRPr="008B2270">
        <w:rPr>
          <w:rFonts w:cs="Arial"/>
          <w:bCs w:val="0"/>
        </w:rPr>
        <w:t>Performance information 2.5 Investment in Higher Education Research</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t>Australian universities continue to rank highly in research excellence.</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Normal"/>
            </w:pPr>
            <w:r w:rsidRPr="008B2270">
              <w:t xml:space="preserve">Australia’s share of the world’s top 10% most highly-cited research publications remains above the OECD average </w:t>
            </w:r>
          </w:p>
          <w:p w:rsidR="00CE3F03" w:rsidRPr="008B2270" w:rsidRDefault="00CE3F03" w:rsidP="00CE3F03">
            <w:pPr>
              <w:pStyle w:val="PBS16TableNormal"/>
            </w:pPr>
            <w:r w:rsidRPr="008B2270">
              <w:rPr>
                <w:b/>
              </w:rPr>
              <w:t>On Track</w:t>
            </w:r>
          </w:p>
        </w:tc>
      </w:tr>
      <w:tr w:rsidR="00CE3F03" w:rsidRPr="008B2270" w:rsidTr="00CE3F03">
        <w:trPr>
          <w:cantSplit/>
          <w:trHeight w:val="23"/>
        </w:trPr>
        <w:tc>
          <w:tcPr>
            <w:tcW w:w="1049" w:type="dxa"/>
            <w:tcBorders>
              <w:top w:val="nil"/>
              <w:left w:val="single" w:sz="4" w:space="0" w:color="auto"/>
              <w:bottom w:val="nil"/>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t>Research postgraduates continue to have high employability.</w:t>
            </w:r>
          </w:p>
        </w:tc>
        <w:tc>
          <w:tcPr>
            <w:tcW w:w="3402" w:type="dxa"/>
            <w:tcBorders>
              <w:top w:val="dotted"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CE3F03">
            <w:pPr>
              <w:pStyle w:val="PBS16TableNormal"/>
            </w:pPr>
            <w:r w:rsidRPr="008B2270">
              <w:t xml:space="preserve">At least 90% of research postgraduates are employed within four months of completing their degree. </w:t>
            </w:r>
          </w:p>
          <w:p w:rsidR="00CE3F03" w:rsidRPr="008B2270" w:rsidRDefault="00CE3F03" w:rsidP="00CE3F03">
            <w:pPr>
              <w:pStyle w:val="PBS16TableNormal"/>
            </w:pPr>
            <w:r w:rsidRPr="008B2270">
              <w:rPr>
                <w:b/>
              </w:rPr>
              <w:t>On Track</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More Indigenous Australians attain higher degrees by research.</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pPr>
            <w:r w:rsidRPr="008B2270">
              <w:t xml:space="preserve">Indigenous higher degree by research (HDR) completions, as a proportion of all domestic HDR completions, increases from the previous year. </w:t>
            </w:r>
          </w:p>
          <w:p w:rsidR="00CE3F03" w:rsidRPr="008B2270" w:rsidRDefault="00CE3F03" w:rsidP="00CE3F03">
            <w:pPr>
              <w:pStyle w:val="PBS16TableNormal"/>
              <w:rPr>
                <w:b/>
              </w:rPr>
            </w:pPr>
            <w:r w:rsidRPr="008B2270">
              <w:rPr>
                <w:b/>
              </w:rPr>
              <w:t>Not on track</w:t>
            </w:r>
          </w:p>
          <w:p w:rsidR="00CE3F03" w:rsidRPr="008B2270" w:rsidRDefault="00CE3F03" w:rsidP="00CE3F03">
            <w:pPr>
              <w:pStyle w:val="PBS16TableNormal"/>
            </w:pPr>
            <w:r w:rsidRPr="008B2270">
              <w:t>In 2016 there were 61 completions (0.92%) and in 2017 there were 60 completions (0.89%).</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hideMark/>
          </w:tcPr>
          <w:p w:rsidR="00CE3F03" w:rsidRPr="008B2270" w:rsidRDefault="00CE3F03" w:rsidP="00594C84">
            <w:pPr>
              <w:tabs>
                <w:tab w:val="left" w:pos="709"/>
              </w:tabs>
              <w:spacing w:before="60" w:after="60" w:line="240" w:lineRule="auto"/>
              <w:jc w:val="left"/>
              <w:rPr>
                <w:rFonts w:ascii="Arial" w:hAnsi="Arial" w:cs="Arial"/>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pPr>
            <w:r w:rsidRPr="008B2270">
              <w:t>Australian universities continue to rank highly in research excellence.</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pPr>
            <w:r w:rsidRPr="008B2270">
              <w:t>Australia’s share of the world’s top 10% most highly-cited research publications remains above the OECD average.</w:t>
            </w:r>
          </w:p>
        </w:tc>
      </w:tr>
      <w:tr w:rsidR="00CE3F03" w:rsidRPr="008B2270" w:rsidTr="00CE3F03">
        <w:trPr>
          <w:cantSplit/>
          <w:trHeight w:val="23"/>
        </w:trPr>
        <w:tc>
          <w:tcPr>
            <w:tcW w:w="1049" w:type="dxa"/>
            <w:tcBorders>
              <w:top w:val="nil"/>
              <w:left w:val="single" w:sz="4" w:space="0" w:color="auto"/>
              <w:bottom w:val="nil"/>
              <w:right w:val="single" w:sz="4" w:space="0" w:color="auto"/>
            </w:tcBorders>
          </w:tcPr>
          <w:p w:rsidR="00CE3F03" w:rsidRPr="008B2270" w:rsidRDefault="00CE3F03"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shd w:val="clear" w:color="auto" w:fill="auto"/>
          </w:tcPr>
          <w:p w:rsidR="00CE3F03" w:rsidRPr="008B2270" w:rsidRDefault="00CE3F03" w:rsidP="00594C84">
            <w:pPr>
              <w:pStyle w:val="PBS16TableNormal"/>
            </w:pPr>
            <w:r w:rsidRPr="008B2270">
              <w:t>Research postgraduates continue to have high employability.</w:t>
            </w:r>
          </w:p>
        </w:tc>
        <w:tc>
          <w:tcPr>
            <w:tcW w:w="3402" w:type="dxa"/>
            <w:tcBorders>
              <w:top w:val="dotted" w:sz="4" w:space="0" w:color="auto"/>
              <w:left w:val="single" w:sz="4" w:space="0" w:color="auto"/>
              <w:bottom w:val="dotted" w:sz="4" w:space="0" w:color="auto"/>
              <w:right w:val="single" w:sz="4" w:space="0" w:color="auto"/>
            </w:tcBorders>
            <w:shd w:val="clear" w:color="auto" w:fill="auto"/>
          </w:tcPr>
          <w:p w:rsidR="00CE3F03" w:rsidRPr="008B2270" w:rsidRDefault="00CE3F03" w:rsidP="00CE3F03">
            <w:pPr>
              <w:pStyle w:val="PBS16TableListBullet"/>
              <w:numPr>
                <w:ilvl w:val="0"/>
                <w:numId w:val="0"/>
              </w:numPr>
            </w:pPr>
            <w:r w:rsidRPr="008B2270">
              <w:t>At least 90% of research postgraduates are employed within four months of completing their degree.</w:t>
            </w:r>
            <w:r w:rsidRPr="008B2270" w:rsidDel="007739B8">
              <w:t xml:space="preserve"> </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594C84">
            <w:pPr>
              <w:pStyle w:val="PBS16TableNormal"/>
            </w:pPr>
            <w:r w:rsidRPr="008B2270">
              <w:t>More Indigenous Australians attain higher degrees by research.</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pPr>
            <w:r w:rsidRPr="008B2270">
              <w:t>Indigenous higher degree by research (HDR) completions, as a proportion of all domestic HDR completions, increases from the previous year.</w:t>
            </w:r>
            <w:r w:rsidRPr="008B2270" w:rsidDel="007739B8">
              <w:t xml:space="preserve"> </w:t>
            </w:r>
          </w:p>
        </w:tc>
      </w:tr>
      <w:tr w:rsidR="00CE3F03" w:rsidRPr="008B2270"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lastRenderedPageBreak/>
        <w:t>Program expenses 2.5 Investment in Higher Education Research</w:t>
      </w:r>
    </w:p>
    <w:p w:rsidR="00CE3F03" w:rsidRPr="008B2270" w:rsidRDefault="00943664" w:rsidP="00CE3F03">
      <w:pPr>
        <w:pStyle w:val="ChartGraphic"/>
      </w:pPr>
      <w:r w:rsidRPr="008B2270">
        <w:drawing>
          <wp:inline distT="0" distB="0" distL="0" distR="0">
            <wp:extent cx="4895850" cy="1188466"/>
            <wp:effectExtent l="0" t="0" r="0" b="0"/>
            <wp:docPr id="38" name="Picture 3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95850" cy="1188466"/>
                    </a:xfrm>
                    <a:prstGeom prst="rect">
                      <a:avLst/>
                    </a:prstGeom>
                    <a:noFill/>
                    <a:ln>
                      <a:noFill/>
                    </a:ln>
                  </pic:spPr>
                </pic:pic>
              </a:graphicData>
            </a:graphic>
          </wp:inline>
        </w:drawing>
      </w:r>
    </w:p>
    <w:p w:rsidR="00CE3F03" w:rsidRPr="008B2270" w:rsidRDefault="00CE3F03" w:rsidP="00594C84">
      <w:pPr>
        <w:spacing w:after="0" w:line="240" w:lineRule="auto"/>
        <w:jc w:val="left"/>
      </w:pPr>
      <w:r w:rsidRPr="008B2270">
        <w:br w:type="page"/>
      </w:r>
    </w:p>
    <w:p w:rsidR="00CE3F03" w:rsidRPr="008B2270" w:rsidRDefault="00CE3F03" w:rsidP="00594C84">
      <w:pPr>
        <w:pStyle w:val="Heading5"/>
      </w:pPr>
      <w:r w:rsidRPr="008B2270">
        <w:rPr>
          <w:rFonts w:cs="Arial"/>
          <w:bCs w:val="0"/>
        </w:rPr>
        <w:lastRenderedPageBreak/>
        <w:t xml:space="preserve">Program </w:t>
      </w:r>
      <w:r w:rsidRPr="008B2270">
        <w:rPr>
          <w:rFonts w:eastAsia="Cambria"/>
        </w:rPr>
        <w:t>2.6: Research Capacity</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rPr>
                <w:sz w:val="15"/>
                <w:szCs w:val="15"/>
              </w:rPr>
            </w:pPr>
            <w:r w:rsidRPr="008B2270">
              <w:rPr>
                <w:rFonts w:eastAsia="Cambria"/>
              </w:rPr>
              <w:t>Research advances our knowledge and drives our potential for innovation, economic competitiveness and social change. The program aims to increase the production, use and awareness of research knowledge and to improve collaboration between government, industry and the research sector in the production of research knowledge.</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rPr>
                <w:rFonts w:eastAsia="Calibri"/>
              </w:rPr>
            </w:pPr>
            <w:r w:rsidRPr="008B2270">
              <w:rPr>
                <w:rFonts w:eastAsia="Cambria"/>
              </w:rPr>
              <w:t xml:space="preserve">The program invests in Australia’s research capacity by providing financial support to organisations, including universities, learned academies and other research organisations. </w:t>
            </w:r>
          </w:p>
          <w:p w:rsidR="00CE3F03" w:rsidRPr="008B2270" w:rsidRDefault="00CE3F03" w:rsidP="00594C84">
            <w:pPr>
              <w:pStyle w:val="PBS16TableNormal"/>
              <w:rPr>
                <w:rFonts w:eastAsia="Cambria"/>
              </w:rPr>
            </w:pPr>
            <w:r w:rsidRPr="008B2270">
              <w:rPr>
                <w:rFonts w:eastAsia="Cambria"/>
              </w:rPr>
              <w:t>Activities under this program include:</w:t>
            </w:r>
          </w:p>
          <w:p w:rsidR="00CE3F03" w:rsidRPr="008B2270" w:rsidRDefault="00CE3F03" w:rsidP="00594C84">
            <w:pPr>
              <w:pStyle w:val="PBS16TableListBullet"/>
            </w:pPr>
            <w:r w:rsidRPr="008B2270">
              <w:t>supporting the costs of operating capabilities, and updating associated research infrastructure, funded through grants under the National Collaborative Research Infrastructure Strategy (NCRIS)</w:t>
            </w:r>
          </w:p>
          <w:p w:rsidR="00CE3F03" w:rsidRPr="008B2270" w:rsidRDefault="00CE3F03" w:rsidP="00594C84">
            <w:pPr>
              <w:pStyle w:val="PBS16TableListBullet"/>
            </w:pPr>
            <w:r w:rsidRPr="008B2270">
              <w:t>supporting training of specialised cyber security professionals in Academic Centres of Cyber Security Excellence (ACCSE) in Australian universities</w:t>
            </w:r>
          </w:p>
          <w:p w:rsidR="00CE3F03" w:rsidRPr="008B2270" w:rsidRDefault="00CE3F03" w:rsidP="00594C84">
            <w:pPr>
              <w:pStyle w:val="PBS16TableListBullet"/>
            </w:pPr>
            <w:r w:rsidRPr="008B2270">
              <w:t>promoting the central role of research, science and technology, including through funding provided to Australia’s learned academies and other organisations under the Higher Education Research Promotion (HERP) scheme</w:t>
            </w:r>
          </w:p>
          <w:p w:rsidR="00CE3F03" w:rsidRPr="008B2270" w:rsidRDefault="00CE3F03" w:rsidP="00594C84">
            <w:pPr>
              <w:pStyle w:val="PBS16TableListBullet"/>
            </w:pPr>
            <w:r w:rsidRPr="008B2270">
              <w:t>improved measurement of educational outcomes through creation of the National Education Evidence Base (NEEB) to inform decision making.</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t>Measures impacting program 2.6:</w:t>
            </w:r>
          </w:p>
          <w:p w:rsidR="00CE3F03" w:rsidRPr="008B2270" w:rsidRDefault="00CE3F03" w:rsidP="00A97A77">
            <w:pPr>
              <w:pStyle w:val="PBS16TableListBullet"/>
            </w:pPr>
            <w:r w:rsidRPr="008B2270">
              <w:t>Stawell Underground Physics Laboratory</w:t>
            </w:r>
            <w:r w:rsidR="00A97A77" w:rsidRPr="00A97A77">
              <w:t xml:space="preserve"> — establishment</w:t>
            </w:r>
          </w:p>
        </w:tc>
      </w:tr>
    </w:tbl>
    <w:p w:rsidR="00CE3F03" w:rsidRPr="008B2270" w:rsidRDefault="00CE3F03" w:rsidP="00594C84">
      <w:pPr>
        <w:pStyle w:val="Heading6"/>
      </w:pPr>
      <w:r w:rsidRPr="008B2270">
        <w:rPr>
          <w:rFonts w:cs="Arial"/>
          <w:bCs w:val="0"/>
        </w:rPr>
        <w:t xml:space="preserve">Performance information </w:t>
      </w:r>
      <w:r w:rsidRPr="008B2270">
        <w:rPr>
          <w:rFonts w:eastAsia="Cambria"/>
        </w:rPr>
        <w:t>2.6 Research Capacity</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Investments are prioritised to ensure researchers have access to the resources needed to undertake world-class research.</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pPr>
            <w:r w:rsidRPr="008B2270">
              <w:t>At least 85% of research conducted by Australian universities and related to priority investment areas is rated as world standard or above.</w:t>
            </w:r>
          </w:p>
          <w:p w:rsidR="00CE3F03" w:rsidRPr="008B2270" w:rsidRDefault="00CE3F03" w:rsidP="00CE3F03">
            <w:pPr>
              <w:pStyle w:val="PBS16TableNormal"/>
            </w:pPr>
            <w:r w:rsidRPr="008B2270">
              <w:rPr>
                <w:b/>
              </w:rPr>
              <w:t>On Track</w:t>
            </w:r>
          </w:p>
          <w:p w:rsidR="00CE3F03" w:rsidRPr="008B2270" w:rsidRDefault="00CE3F03" w:rsidP="00CE3F03">
            <w:pPr>
              <w:pStyle w:val="PBS16TableNormal"/>
            </w:pPr>
            <w:r w:rsidRPr="008B2270">
              <w:t>At least 90% of researchers report access to NCRIS facilities and projects improved research quality and outputs.</w:t>
            </w:r>
          </w:p>
          <w:p w:rsidR="00CE3F03" w:rsidRPr="008B2270" w:rsidRDefault="00CE3F03" w:rsidP="00CE3F03">
            <w:pPr>
              <w:pStyle w:val="PBS16TableNormal"/>
            </w:pPr>
            <w:r w:rsidRPr="008B2270">
              <w:rPr>
                <w:b/>
              </w:rPr>
              <w:t>On Track</w:t>
            </w:r>
          </w:p>
        </w:tc>
      </w:tr>
    </w:tbl>
    <w:p w:rsidR="00CE3F03" w:rsidRPr="008B2270" w:rsidRDefault="00CE3F03"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Year</w:t>
            </w:r>
          </w:p>
        </w:tc>
        <w:tc>
          <w:tcPr>
            <w:tcW w:w="3317"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right w:val="single" w:sz="4" w:space="0" w:color="auto"/>
            </w:tcBorders>
          </w:tcPr>
          <w:p w:rsidR="00CE3F03" w:rsidRPr="008B2270" w:rsidRDefault="00CE3F03" w:rsidP="00CE3F03">
            <w:pPr>
              <w:pStyle w:val="PBS16TableNormal"/>
            </w:pPr>
            <w:r w:rsidRPr="008B2270">
              <w:t>2019–20</w:t>
            </w:r>
          </w:p>
        </w:tc>
        <w:tc>
          <w:tcPr>
            <w:tcW w:w="3317" w:type="dxa"/>
            <w:tcBorders>
              <w:top w:val="single" w:sz="4" w:space="0" w:color="auto"/>
              <w:left w:val="single" w:sz="4" w:space="0" w:color="auto"/>
              <w:right w:val="single" w:sz="4" w:space="0" w:color="auto"/>
            </w:tcBorders>
            <w:shd w:val="clear" w:color="auto" w:fill="auto"/>
          </w:tcPr>
          <w:p w:rsidR="00CE3F03" w:rsidRPr="008B2270" w:rsidRDefault="00CE3F03" w:rsidP="00CE3F03">
            <w:pPr>
              <w:pStyle w:val="PBS16TableNormal"/>
            </w:pPr>
            <w:r w:rsidRPr="008B2270">
              <w:t>Investments are prioritised to ensure researchers have access to the resources needed to undertake world-class research.</w:t>
            </w:r>
          </w:p>
        </w:tc>
        <w:tc>
          <w:tcPr>
            <w:tcW w:w="3402" w:type="dxa"/>
            <w:tcBorders>
              <w:top w:val="single" w:sz="4" w:space="0" w:color="auto"/>
              <w:left w:val="single" w:sz="4" w:space="0" w:color="auto"/>
              <w:right w:val="single" w:sz="4" w:space="0" w:color="auto"/>
            </w:tcBorders>
            <w:shd w:val="clear" w:color="auto" w:fill="auto"/>
          </w:tcPr>
          <w:p w:rsidR="00CE3F03" w:rsidRPr="008B2270" w:rsidRDefault="00CE3F03" w:rsidP="00CE3F03">
            <w:pPr>
              <w:pStyle w:val="PBS16TableNormal"/>
            </w:pPr>
            <w:r w:rsidRPr="008B2270">
              <w:t>At least 85% of research conducted by Australian universities and related to priority investment areas is rated as world standard or above.</w:t>
            </w:r>
          </w:p>
          <w:p w:rsidR="00CE3F03" w:rsidRPr="008B2270" w:rsidRDefault="00CE3F03" w:rsidP="00CE3F03">
            <w:pPr>
              <w:pStyle w:val="PBS16TableNormal"/>
            </w:pPr>
            <w:r w:rsidRPr="008B2270">
              <w:t>At least 90% of researchers report access to NCRIS facilities and projects improved research quality and outputs.</w:t>
            </w:r>
          </w:p>
        </w:tc>
      </w:tr>
      <w:tr w:rsidR="00CE3F03" w:rsidRPr="008B2270" w:rsidTr="00594C84">
        <w:trPr>
          <w:cantSplit/>
          <w:trHeight w:val="23"/>
        </w:trPr>
        <w:tc>
          <w:tcPr>
            <w:tcW w:w="1049"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lastRenderedPageBreak/>
        <w:t>Program expenses 2.6 Research Capacity</w:t>
      </w:r>
    </w:p>
    <w:p w:rsidR="00CE3F03" w:rsidRPr="008B2270" w:rsidRDefault="00943664" w:rsidP="00CE3F03">
      <w:pPr>
        <w:pStyle w:val="ChartGraphic"/>
      </w:pPr>
      <w:r w:rsidRPr="008B2270">
        <w:drawing>
          <wp:inline distT="0" distB="0" distL="0" distR="0">
            <wp:extent cx="4895850" cy="2233735"/>
            <wp:effectExtent l="0" t="0" r="0" b="0"/>
            <wp:docPr id="41" name="Picture 4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895850" cy="2233735"/>
                    </a:xfrm>
                    <a:prstGeom prst="rect">
                      <a:avLst/>
                    </a:prstGeom>
                    <a:noFill/>
                    <a:ln>
                      <a:noFill/>
                    </a:ln>
                  </pic:spPr>
                </pic:pic>
              </a:graphicData>
            </a:graphic>
          </wp:inline>
        </w:drawing>
      </w:r>
    </w:p>
    <w:p w:rsidR="00CE3F03" w:rsidRPr="008B2270" w:rsidRDefault="00CE3F03" w:rsidP="00DF5CF9">
      <w:r w:rsidRPr="008B2270">
        <w:br w:type="page"/>
      </w:r>
    </w:p>
    <w:p w:rsidR="00CE3F03" w:rsidRPr="008B2270" w:rsidRDefault="00CE3F03" w:rsidP="00594C84">
      <w:pPr>
        <w:pStyle w:val="Heading5"/>
        <w:rPr>
          <w:rFonts w:cs="Arial"/>
          <w:bCs w:val="0"/>
        </w:rPr>
      </w:pPr>
      <w:r w:rsidRPr="008B2270">
        <w:rPr>
          <w:rFonts w:cs="Arial"/>
          <w:bCs w:val="0"/>
        </w:rPr>
        <w:lastRenderedPageBreak/>
        <w:t>Program 2.7: International Education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International education is increasingly important to Australia’s prosperity and our engagement with the world. The program aims to support the sustainable growth of Australia’s high quality international education, training and research through strong government-to-government engagement, international mobility, strategic policy and legislation.</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594C84">
            <w:pPr>
              <w:pStyle w:val="PBS16TableNormal"/>
            </w:pPr>
            <w:r w:rsidRPr="008B2270">
              <w:t xml:space="preserve">The </w:t>
            </w:r>
            <w:r w:rsidRPr="008B2270">
              <w:rPr>
                <w:i/>
              </w:rPr>
              <w:t>National Strategy for International Education 2025</w:t>
            </w:r>
            <w:r w:rsidRPr="008B2270">
              <w:t xml:space="preserve"> sets a ten-year vision for Australian international education and provides a framework of priorities to sustainably grow the sector, while maintaining Australia’s reputation for high quality. The program delivers this vision through the following activities:</w:t>
            </w:r>
          </w:p>
          <w:p w:rsidR="00CE3F03" w:rsidRPr="008B2270" w:rsidRDefault="00CE3F03" w:rsidP="00594C84">
            <w:pPr>
              <w:pStyle w:val="PBS16TableListBullet"/>
            </w:pPr>
            <w:r w:rsidRPr="008B2270">
              <w:t>Policy and project work that develop Australia’s role as a global leader in education, training and research through the Enabling Growth and Innovation program</w:t>
            </w:r>
          </w:p>
          <w:p w:rsidR="00CE3F03" w:rsidRPr="008B2270" w:rsidRDefault="00CE3F03" w:rsidP="00594C84">
            <w:pPr>
              <w:pStyle w:val="PBS16TableListBullet"/>
            </w:pPr>
            <w:r w:rsidRPr="008B2270">
              <w:t>Ongoing support for individual and institutional grants for in-bound and out-bound students, researchers and professionals to undertake projects and study exchanges through the Endeavour Leadership Program, which will cease after the 2019 round</w:t>
            </w:r>
          </w:p>
          <w:p w:rsidR="00CE3F03" w:rsidRPr="008B2270" w:rsidRDefault="00CE3F03" w:rsidP="00594C84">
            <w:pPr>
              <w:pStyle w:val="PBS16TableListBullet"/>
            </w:pPr>
            <w:r w:rsidRPr="008B2270">
              <w:t>Support for institutional grants to support international and domestic students to study in regional Australia under the Destination Australia Program announce</w:t>
            </w:r>
            <w:r w:rsidR="00737718" w:rsidRPr="008B2270">
              <w:t>d</w:t>
            </w:r>
            <w:r w:rsidRPr="008B2270">
              <w:t xml:space="preserve"> in March 2019</w:t>
            </w:r>
          </w:p>
          <w:p w:rsidR="00CE3F03" w:rsidRPr="008B2270" w:rsidRDefault="00CE3F03" w:rsidP="00594C84">
            <w:pPr>
              <w:pStyle w:val="PBS16TableListBullet"/>
            </w:pPr>
            <w:r w:rsidRPr="008B2270">
              <w:t>government-to-government engagement including bilateral working groups and multilateral agreements to facilitate institutional relationships, student and researcher mobility, and strengthen Australia’s position in the highly competitive global international education marketplace</w:t>
            </w:r>
          </w:p>
          <w:p w:rsidR="00CE3F03" w:rsidRPr="008B2270" w:rsidRDefault="00CE3F03" w:rsidP="00594C84">
            <w:pPr>
              <w:pStyle w:val="PBS16TableListBullet"/>
              <w:rPr>
                <w:i/>
              </w:rPr>
            </w:pPr>
            <w:r w:rsidRPr="008B2270">
              <w:t xml:space="preserve">policy and legislation for international students to receive an effective, risk-based, quality assured education, including consumer protection underpinned by the </w:t>
            </w:r>
            <w:r w:rsidRPr="008B2270">
              <w:rPr>
                <w:rStyle w:val="PBS16Actsitalics"/>
              </w:rPr>
              <w:t>Education Services for Overseas Students Act 2000.</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t>Measures impacting program 2.7:</w:t>
            </w:r>
          </w:p>
          <w:p w:rsidR="00CE3F03" w:rsidRPr="008B2270" w:rsidRDefault="00A97A77" w:rsidP="00CE3F03">
            <w:pPr>
              <w:pStyle w:val="PBS16TableListBullet"/>
            </w:pPr>
            <w:r w:rsidRPr="00A97A77">
              <w:t>Population Package</w:t>
            </w:r>
          </w:p>
        </w:tc>
      </w:tr>
    </w:tbl>
    <w:p w:rsidR="00CE3F03" w:rsidRPr="008B2270" w:rsidRDefault="00CE3F03" w:rsidP="00594C84">
      <w:pPr>
        <w:pStyle w:val="Heading6"/>
        <w:rPr>
          <w:rFonts w:cs="Arial"/>
          <w:bCs w:val="0"/>
        </w:rPr>
      </w:pPr>
      <w:r w:rsidRPr="008B2270">
        <w:rPr>
          <w:rFonts w:cs="Arial"/>
          <w:bCs w:val="0"/>
        </w:rPr>
        <w:t>Performance information 2.7 International Education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rPr>
                <w:rFonts w:cstheme="minorHAnsi"/>
              </w:rPr>
              <w:t>Sustainably grow Australia’s international education sector by maintaining quality and increasing diversity.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pPr>
            <w:r w:rsidRPr="008B2270">
              <w:t>Average annual growth rate of 3% to 5% in international education export earnings.</w:t>
            </w:r>
          </w:p>
          <w:p w:rsidR="00CE3F03" w:rsidRPr="008B2270" w:rsidRDefault="00CE3F03" w:rsidP="00CE3F03">
            <w:pPr>
              <w:pStyle w:val="PBS16TableNormal"/>
              <w:rPr>
                <w:b/>
              </w:rPr>
            </w:pPr>
            <w:r w:rsidRPr="008B2270">
              <w:rPr>
                <w:b/>
              </w:rPr>
              <w:t>On Track</w:t>
            </w:r>
          </w:p>
          <w:p w:rsidR="00CE3F03" w:rsidRPr="008B2270" w:rsidRDefault="00CE3F03" w:rsidP="00CE3F03">
            <w:pPr>
              <w:pStyle w:val="PBS16TableNormal"/>
            </w:pPr>
            <w:r w:rsidRPr="008B2270">
              <w:t>At least 85% of international students are satisfied or very satisfied with studying and living in Australia.</w:t>
            </w:r>
          </w:p>
          <w:p w:rsidR="00CE3F03" w:rsidRPr="008B2270" w:rsidRDefault="00CE3F03" w:rsidP="00CE3F03">
            <w:pPr>
              <w:pStyle w:val="PBS16TableNormal"/>
              <w:rPr>
                <w:b/>
              </w:rPr>
            </w:pPr>
            <w:r w:rsidRPr="008B2270">
              <w:rPr>
                <w:b/>
              </w:rPr>
              <w:t>On Track</w:t>
            </w:r>
          </w:p>
          <w:p w:rsidR="00CE3F03" w:rsidRPr="008B2270" w:rsidRDefault="00CE3F03" w:rsidP="00CE3F03">
            <w:pPr>
              <w:pStyle w:val="PBS16TableNormal"/>
            </w:pPr>
            <w:r w:rsidRPr="008B2270">
              <w:t>At least 60% of international students employed or enrolled in further study after graduation.</w:t>
            </w:r>
          </w:p>
          <w:p w:rsidR="00CE3F03" w:rsidRPr="008B2270" w:rsidRDefault="00CE3F03" w:rsidP="00CE3F03">
            <w:pPr>
              <w:pStyle w:val="PBS16TableNormal"/>
              <w:rPr>
                <w:b/>
              </w:rPr>
            </w:pPr>
            <w:r w:rsidRPr="008B2270">
              <w:rPr>
                <w:b/>
              </w:rPr>
              <w:t>On Track</w:t>
            </w:r>
          </w:p>
          <w:p w:rsidR="00CE3F03" w:rsidRPr="008B2270" w:rsidRDefault="00CE3F03" w:rsidP="00CE3F03">
            <w:pPr>
              <w:pStyle w:val="PBS16TableNormal"/>
            </w:pPr>
            <w:r w:rsidRPr="008B2270">
              <w:t>Maintain positive growth in the number of students enrolled in offshore and transnational education and training delivered by Australian providers.</w:t>
            </w:r>
          </w:p>
          <w:p w:rsidR="00CE3F03" w:rsidRPr="008B2270" w:rsidRDefault="00CE3F03" w:rsidP="00CE3F03">
            <w:pPr>
              <w:pStyle w:val="PBS16TableNormal"/>
              <w:rPr>
                <w:b/>
              </w:rPr>
            </w:pPr>
            <w:r w:rsidRPr="008B2270">
              <w:rPr>
                <w:b/>
              </w:rPr>
              <w:t>On Track</w:t>
            </w:r>
          </w:p>
        </w:tc>
      </w:tr>
    </w:tbl>
    <w:p w:rsidR="00CE3F03" w:rsidRPr="008B2270" w:rsidRDefault="00CE3F03" w:rsidP="00CE3F03">
      <w:pPr>
        <w:spacing w:after="0"/>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lastRenderedPageBreak/>
              <w:t>Year</w:t>
            </w:r>
          </w:p>
        </w:tc>
        <w:tc>
          <w:tcPr>
            <w:tcW w:w="3317"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Performance criteria</w:t>
            </w:r>
          </w:p>
        </w:tc>
        <w:tc>
          <w:tcPr>
            <w:tcW w:w="3402" w:type="dxa"/>
            <w:hideMark/>
          </w:tcPr>
          <w:p w:rsidR="00CE3F03" w:rsidRPr="008B2270" w:rsidRDefault="00CE3F03" w:rsidP="00594C84">
            <w:pPr>
              <w:keepNext/>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w:t>
            </w:r>
          </w:p>
        </w:tc>
      </w:tr>
      <w:tr w:rsidR="00CE3F03" w:rsidRPr="008B2270" w:rsidTr="00CE3F03">
        <w:trPr>
          <w:cantSplit/>
          <w:trHeight w:val="23"/>
        </w:trPr>
        <w:tc>
          <w:tcPr>
            <w:tcW w:w="1049" w:type="dxa"/>
            <w:tcBorders>
              <w:top w:val="single" w:sz="4" w:space="0" w:color="auto"/>
              <w:left w:val="single" w:sz="4" w:space="0" w:color="auto"/>
              <w:right w:val="single" w:sz="4" w:space="0" w:color="auto"/>
            </w:tcBorders>
          </w:tcPr>
          <w:p w:rsidR="00CE3F03" w:rsidRPr="008B2270" w:rsidRDefault="00CE3F03" w:rsidP="00594C84">
            <w:pPr>
              <w:pStyle w:val="PBS16TableNormal"/>
            </w:pPr>
            <w:r w:rsidRPr="008B2270">
              <w:t>2019–20</w:t>
            </w:r>
          </w:p>
        </w:tc>
        <w:tc>
          <w:tcPr>
            <w:tcW w:w="3317" w:type="dxa"/>
            <w:tcBorders>
              <w:top w:val="single" w:sz="4" w:space="0" w:color="auto"/>
              <w:left w:val="single" w:sz="4" w:space="0" w:color="auto"/>
              <w:right w:val="single" w:sz="4" w:space="0" w:color="auto"/>
            </w:tcBorders>
            <w:shd w:val="clear" w:color="auto" w:fill="auto"/>
          </w:tcPr>
          <w:p w:rsidR="00CE3F03" w:rsidRPr="008B2270" w:rsidRDefault="00CE3F03" w:rsidP="00594C84">
            <w:pPr>
              <w:pStyle w:val="PBS16TableNormal"/>
            </w:pPr>
            <w:r w:rsidRPr="008B2270">
              <w:rPr>
                <w:rFonts w:cstheme="minorHAnsi"/>
              </w:rPr>
              <w:t>Sustainably grow Australia’s international education sector by maintaining quality and increasing diversity.</w:t>
            </w:r>
          </w:p>
        </w:tc>
        <w:tc>
          <w:tcPr>
            <w:tcW w:w="3402" w:type="dxa"/>
            <w:tcBorders>
              <w:top w:val="single" w:sz="4" w:space="0" w:color="auto"/>
              <w:left w:val="single" w:sz="4" w:space="0" w:color="auto"/>
              <w:right w:val="single" w:sz="4" w:space="0" w:color="auto"/>
            </w:tcBorders>
            <w:shd w:val="clear" w:color="auto" w:fill="auto"/>
          </w:tcPr>
          <w:p w:rsidR="00CE3F03" w:rsidRPr="008B2270" w:rsidRDefault="00CE3F03" w:rsidP="00CE3F03">
            <w:pPr>
              <w:pStyle w:val="PBS16TableNormal"/>
            </w:pPr>
            <w:r w:rsidRPr="008B2270">
              <w:t>Average annual growth rate of 3% to 5% in international education export earnings.</w:t>
            </w:r>
          </w:p>
          <w:p w:rsidR="00CE3F03" w:rsidRPr="008B2270" w:rsidRDefault="00CE3F03" w:rsidP="00CE3F03">
            <w:pPr>
              <w:pStyle w:val="PBS16TableNormal"/>
            </w:pPr>
            <w:r w:rsidRPr="008B2270">
              <w:t>At least 85% of international students are satisfied or very satisfied with studying and living in Australia.</w:t>
            </w:r>
            <w:r w:rsidRPr="008B2270">
              <w:rPr>
                <w:rStyle w:val="FootnoteReference"/>
              </w:rPr>
              <w:footnoteReference w:id="14"/>
            </w:r>
          </w:p>
          <w:p w:rsidR="00CE3F03" w:rsidRPr="008B2270" w:rsidRDefault="00CE3F03" w:rsidP="00CE3F03">
            <w:pPr>
              <w:pStyle w:val="PBS16TableNormal"/>
            </w:pPr>
            <w:r w:rsidRPr="008B2270">
              <w:t>At least 60% of international students employed or enrolled in further study after graduation</w:t>
            </w:r>
          </w:p>
          <w:p w:rsidR="00CE3F03" w:rsidRPr="008B2270" w:rsidRDefault="00CE3F03" w:rsidP="00CE3F03">
            <w:pPr>
              <w:pStyle w:val="PBS16TableNormal"/>
            </w:pPr>
            <w:r w:rsidRPr="008B2270">
              <w:t>Maintain positive growth in the number of students enrolled in offshore and transnational education and training delivered by Australian providers.</w:t>
            </w:r>
          </w:p>
        </w:tc>
      </w:tr>
      <w:tr w:rsidR="00CE3F03" w:rsidRPr="008B2270" w:rsidTr="00CE3F03">
        <w:trPr>
          <w:cantSplit/>
          <w:trHeight w:val="23"/>
        </w:trPr>
        <w:tc>
          <w:tcPr>
            <w:tcW w:w="1049"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CE3F03">
            <w:pPr>
              <w:pStyle w:val="PBS16TableNormal"/>
            </w:pPr>
            <w:r w:rsidRPr="008B2270">
              <w:t>As per 2019–20.</w:t>
            </w:r>
          </w:p>
        </w:tc>
      </w:tr>
    </w:tbl>
    <w:p w:rsidR="00CE3F03" w:rsidRPr="008B2270" w:rsidRDefault="00CE3F03" w:rsidP="00594C84">
      <w:pPr>
        <w:pStyle w:val="Heading6"/>
      </w:pPr>
      <w:r w:rsidRPr="008B2270">
        <w:t>Program expenses 2.7 International Education Support</w:t>
      </w:r>
    </w:p>
    <w:p w:rsidR="00CE3F03" w:rsidRPr="008B2270" w:rsidRDefault="00CE3F03" w:rsidP="00CE3F03">
      <w:pPr>
        <w:pStyle w:val="ChartGraphic"/>
      </w:pPr>
      <w:r w:rsidRPr="008B2270">
        <w:drawing>
          <wp:inline distT="0" distB="0" distL="0" distR="0" wp14:anchorId="1B048606" wp14:editId="78F2F11A">
            <wp:extent cx="4895850" cy="1427708"/>
            <wp:effectExtent l="0" t="0" r="0" b="1270"/>
            <wp:docPr id="23" name="Picture 2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95850" cy="1427708"/>
                    </a:xfrm>
                    <a:prstGeom prst="rect">
                      <a:avLst/>
                    </a:prstGeom>
                    <a:noFill/>
                    <a:ln>
                      <a:noFill/>
                    </a:ln>
                  </pic:spPr>
                </pic:pic>
              </a:graphicData>
            </a:graphic>
          </wp:inline>
        </w:drawing>
      </w:r>
    </w:p>
    <w:p w:rsidR="00CE3F03" w:rsidRPr="008B2270" w:rsidRDefault="00CE3F03" w:rsidP="00594C84">
      <w:pPr>
        <w:spacing w:after="0" w:line="240" w:lineRule="auto"/>
        <w:jc w:val="left"/>
        <w:rPr>
          <w:rFonts w:ascii="Arial" w:hAnsi="Arial"/>
          <w:b/>
          <w:sz w:val="22"/>
        </w:rPr>
      </w:pPr>
      <w:r w:rsidRPr="008B2270">
        <w:br w:type="page"/>
      </w:r>
    </w:p>
    <w:p w:rsidR="00CE3F03" w:rsidRPr="008B2270" w:rsidRDefault="00CE3F03" w:rsidP="00594C84">
      <w:pPr>
        <w:pStyle w:val="Heading5"/>
        <w:rPr>
          <w:rFonts w:cs="Arial"/>
          <w:bCs w:val="0"/>
        </w:rPr>
      </w:pPr>
      <w:r w:rsidRPr="008B2270">
        <w:rPr>
          <w:rFonts w:cs="Arial"/>
          <w:bCs w:val="0"/>
        </w:rPr>
        <w:lastRenderedPageBreak/>
        <w:t>Program 2.8: Building Skills and Capability</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
            </w:pPr>
            <w:r w:rsidRPr="008B2270">
              <w:t>The Australian Government is working to create an effective and efficient skills and training system that is industry led and delivers the skills Australian employers need. Building skills and capabilities is central to Australia’s economic growth, competitiveness, and business productivity. The national training system provides employees or potential employees with the skills and capabilities required for a job or pathway into a job.</w:t>
            </w:r>
            <w:r w:rsidRPr="008B2270" w:rsidDel="0081344F">
              <w:rPr>
                <w:bCs/>
              </w:rPr>
              <w:t xml:space="preserve"> </w:t>
            </w:r>
          </w:p>
        </w:tc>
      </w:tr>
      <w:tr w:rsidR="00CE3F03" w:rsidRPr="008B2270" w:rsidTr="00CE3F03">
        <w:trPr>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shd w:val="clear" w:color="auto" w:fill="auto"/>
            <w:hideMark/>
          </w:tcPr>
          <w:p w:rsidR="00CE3F03" w:rsidRPr="008B2270" w:rsidRDefault="00CE3F03" w:rsidP="00CE3F03">
            <w:pPr>
              <w:pStyle w:val="PBS16TableNormal"/>
            </w:pPr>
            <w:r w:rsidRPr="008B2270">
              <w:t xml:space="preserve">The Australian Government’s Skills Package responds to the </w:t>
            </w:r>
            <w:r w:rsidRPr="008B2270">
              <w:rPr>
                <w:i/>
              </w:rPr>
              <w:t>Expert Review of Australia’s Vocational Education and Training System</w:t>
            </w:r>
            <w:r w:rsidRPr="008B2270">
              <w:t xml:space="preserve">. The package addresses immediate priorities and lays </w:t>
            </w:r>
            <w:r w:rsidR="00737718" w:rsidRPr="008B2270">
              <w:t xml:space="preserve">the </w:t>
            </w:r>
            <w:r w:rsidRPr="008B2270">
              <w:t>foundation for longer term reform.</w:t>
            </w:r>
          </w:p>
          <w:p w:rsidR="00CE3F03" w:rsidRPr="008B2270" w:rsidRDefault="00CE3F03" w:rsidP="00594C84">
            <w:pPr>
              <w:pStyle w:val="PBS16TableNormal"/>
              <w:rPr>
                <w:b/>
                <w:bCs/>
                <w:i/>
              </w:rPr>
            </w:pPr>
            <w:r w:rsidRPr="008B2270">
              <w:rPr>
                <w:b/>
                <w:bCs/>
                <w:i/>
              </w:rPr>
              <w:t>Industry competitiveness</w:t>
            </w:r>
          </w:p>
          <w:p w:rsidR="00CE3F03" w:rsidRPr="008B2270" w:rsidRDefault="00CE3F03" w:rsidP="00594C84">
            <w:pPr>
              <w:pStyle w:val="PBS16TableNormal"/>
            </w:pPr>
            <w:r w:rsidRPr="008B2270">
              <w:t xml:space="preserve">This program component facilitates training to ensure Australian businesses’ competitiveness in domestic and global markets. The Industry Skills Fund (ISF) provided employers with training grants in priority areas and in other industries that are focused on growth opportunities. The ISF is a co-contribution reimbursement funding model. </w:t>
            </w:r>
          </w:p>
          <w:p w:rsidR="00CE3F03" w:rsidRPr="008B2270" w:rsidRDefault="00CE3F03" w:rsidP="00594C84">
            <w:pPr>
              <w:pStyle w:val="PBS16TableNormal"/>
            </w:pPr>
            <w:r w:rsidRPr="008B2270">
              <w:t>The ISF closed to new applications on 31 December 2016. The ISF will continue to deliver assistance to businesses already participating until 30 June 2019.</w:t>
            </w:r>
          </w:p>
          <w:p w:rsidR="00CE3F03" w:rsidRPr="008B2270" w:rsidRDefault="00CE3F03" w:rsidP="00594C84">
            <w:pPr>
              <w:pStyle w:val="PBS16TableNormal"/>
              <w:rPr>
                <w:b/>
                <w:bCs/>
                <w:i/>
              </w:rPr>
            </w:pPr>
            <w:r w:rsidRPr="008B2270">
              <w:rPr>
                <w:b/>
                <w:bCs/>
                <w:i/>
              </w:rPr>
              <w:t>Skills development</w:t>
            </w:r>
          </w:p>
          <w:p w:rsidR="00CE3F03" w:rsidRPr="008B2270" w:rsidRDefault="00CE3F03" w:rsidP="00594C84">
            <w:pPr>
              <w:pStyle w:val="PBS16TableNormal"/>
              <w:rPr>
                <w:rFonts w:eastAsiaTheme="minorHAnsi"/>
              </w:rPr>
            </w:pPr>
            <w:r w:rsidRPr="008B2270">
              <w:rPr>
                <w:bCs/>
              </w:rPr>
              <w:t>T</w:t>
            </w:r>
            <w:r w:rsidRPr="008B2270">
              <w:t xml:space="preserve">his program component is designed to develop the skills of the Australian workforce through support for skills-based training, </w:t>
            </w:r>
            <w:r w:rsidRPr="008B2270">
              <w:rPr>
                <w:rFonts w:eastAsiaTheme="minorHAnsi"/>
              </w:rPr>
              <w:t>including:</w:t>
            </w:r>
          </w:p>
          <w:p w:rsidR="00CE3F03" w:rsidRPr="008B2270" w:rsidRDefault="00CE3F03" w:rsidP="00594C84">
            <w:pPr>
              <w:pStyle w:val="PBS16TableNormal"/>
              <w:rPr>
                <w:rFonts w:eastAsiaTheme="minorHAnsi"/>
                <w:u w:val="single"/>
              </w:rPr>
            </w:pPr>
            <w:r w:rsidRPr="008B2270">
              <w:rPr>
                <w:rFonts w:eastAsiaTheme="minorHAnsi"/>
                <w:u w:val="single"/>
              </w:rPr>
              <w:t>Australian Apprenticeships</w:t>
            </w:r>
          </w:p>
          <w:p w:rsidR="00CE3F03" w:rsidRPr="008B2270" w:rsidRDefault="00CE3F03" w:rsidP="00594C84">
            <w:pPr>
              <w:pStyle w:val="PBS16TableNormal"/>
              <w:rPr>
                <w:rFonts w:eastAsiaTheme="minorHAnsi"/>
              </w:rPr>
            </w:pPr>
            <w:r w:rsidRPr="008B2270">
              <w:rPr>
                <w:rFonts w:eastAsiaTheme="minorHAnsi"/>
              </w:rPr>
              <w:t>Assistance is provided in the form of financial incentives to eligible employers and through incentives and loans to eligible individuals participating in apprenticeships. The program includes contractual arrangements with a national network of Australian Apprenticeship Support Network providers who administer incentives, loans and support apprentices and their employers through to completion of the apprenticeship.</w:t>
            </w:r>
          </w:p>
          <w:p w:rsidR="00CE3F03" w:rsidRPr="008B2270" w:rsidRDefault="00CE3F03" w:rsidP="00594C84">
            <w:pPr>
              <w:pStyle w:val="PBS16TableNormal"/>
              <w:rPr>
                <w:rFonts w:eastAsiaTheme="minorHAnsi"/>
              </w:rPr>
            </w:pPr>
            <w:r w:rsidRPr="008B2270">
              <w:rPr>
                <w:rFonts w:eastAsiaTheme="minorHAnsi"/>
                <w:u w:val="single"/>
              </w:rPr>
              <w:t>Industry Specialist Mentoring for Australian Apprentices</w:t>
            </w:r>
          </w:p>
          <w:p w:rsidR="00CE3F03" w:rsidRPr="008B2270" w:rsidRDefault="00CE3F03" w:rsidP="00594C84">
            <w:pPr>
              <w:pStyle w:val="PBS16TableNormal"/>
              <w:rPr>
                <w:rFonts w:eastAsiaTheme="minorHAnsi"/>
              </w:rPr>
            </w:pPr>
            <w:r w:rsidRPr="008B2270">
              <w:rPr>
                <w:rFonts w:eastAsiaTheme="minorHAnsi"/>
              </w:rPr>
              <w:t>The Industry Specialist Mentoring for Australian Apprentices program aims to increase apprentice retention rates in the first two years of training in order to improve completion rates and support the supply of skilled workers in industries undergoing structural change. The program was launched on 31 January 2018 and will finish on 31 December 2019.</w:t>
            </w:r>
          </w:p>
          <w:p w:rsidR="00CE3F03" w:rsidRPr="008B2270" w:rsidRDefault="00CE3F03" w:rsidP="00594C84">
            <w:pPr>
              <w:pStyle w:val="PBS16TableNormal"/>
              <w:rPr>
                <w:rFonts w:eastAsiaTheme="minorHAnsi"/>
                <w:u w:val="single"/>
              </w:rPr>
            </w:pPr>
            <w:r w:rsidRPr="008B2270">
              <w:rPr>
                <w:rFonts w:eastAsiaTheme="minorHAnsi"/>
                <w:u w:val="single"/>
              </w:rPr>
              <w:t>Commonwealth Scholarships Program for Young Australians</w:t>
            </w:r>
          </w:p>
          <w:p w:rsidR="00CE3F03" w:rsidRPr="008B2270" w:rsidRDefault="00CE3F03" w:rsidP="00594C84">
            <w:pPr>
              <w:pStyle w:val="PBS16TableNormal"/>
              <w:rPr>
                <w:rFonts w:eastAsiaTheme="minorHAnsi"/>
              </w:rPr>
            </w:pPr>
            <w:r w:rsidRPr="008B2270">
              <w:rPr>
                <w:rFonts w:eastAsiaTheme="minorHAnsi"/>
              </w:rPr>
              <w:t>Scholarships to support undergraduate, postgraduate and vocational education and training students to undertake study or training and an industry based work placement in priority industries.</w:t>
            </w:r>
          </w:p>
          <w:p w:rsidR="00CE3F03" w:rsidRPr="008B2270" w:rsidRDefault="00CE3F03" w:rsidP="00594C84">
            <w:pPr>
              <w:pStyle w:val="PBS16TableNormal"/>
            </w:pPr>
            <w:r w:rsidRPr="008B2270">
              <w:rPr>
                <w:b/>
                <w:bCs/>
                <w:i/>
              </w:rPr>
              <w:t>Access to training</w:t>
            </w:r>
          </w:p>
          <w:p w:rsidR="00CE3F03" w:rsidRPr="008B2270" w:rsidRDefault="00CE3F03" w:rsidP="00594C84">
            <w:pPr>
              <w:pStyle w:val="PBS16TableNormal"/>
              <w:rPr>
                <w:b/>
                <w:bCs/>
                <w:i/>
              </w:rPr>
            </w:pPr>
            <w:r w:rsidRPr="008B2270">
              <w:t>This program component is designed to provide clearer pathways and improved access to training which allows Australians to obtain jobs and progress to better career opportunities.</w:t>
            </w:r>
          </w:p>
          <w:p w:rsidR="00CE3F03" w:rsidRPr="008B2270" w:rsidRDefault="00CE3F03" w:rsidP="00594C84">
            <w:pPr>
              <w:pStyle w:val="PBS16TableNormal"/>
              <w:rPr>
                <w:rFonts w:eastAsiaTheme="minorHAnsi"/>
              </w:rPr>
            </w:pPr>
            <w:r w:rsidRPr="008B2270">
              <w:rPr>
                <w:rFonts w:eastAsiaTheme="minorHAnsi"/>
              </w:rPr>
              <w:t>Funding is provided through the Adult Migrant English Program and the Skills for Education and Employment Program to organisations to deliver foundation skills training to eligible individuals, including job seekers and recent migrants. Improved foundation skills enable people to access further training, or gain employment, and better participate in Australian society.</w:t>
            </w:r>
          </w:p>
          <w:p w:rsidR="00CE3F03" w:rsidRPr="008B2270" w:rsidRDefault="00CE3F03" w:rsidP="00594C84">
            <w:pPr>
              <w:pStyle w:val="PBS16TableNormal"/>
              <w:rPr>
                <w:bCs/>
              </w:rPr>
            </w:pPr>
            <w:r w:rsidRPr="008B2270">
              <w:rPr>
                <w:b/>
                <w:bCs/>
                <w:i/>
              </w:rPr>
              <w:t>Support for the national training system</w:t>
            </w:r>
          </w:p>
          <w:p w:rsidR="00CE3F03" w:rsidRPr="008B2270" w:rsidRDefault="00CE3F03" w:rsidP="00594C84">
            <w:pPr>
              <w:pStyle w:val="PBS16TableNormal"/>
            </w:pPr>
            <w:r w:rsidRPr="008B2270">
              <w:rPr>
                <w:bCs/>
              </w:rPr>
              <w:t>T</w:t>
            </w:r>
            <w:r w:rsidRPr="008B2270">
              <w:t>his program component is designed to develop an effective and efficient national training system that meets the needs of Australia’s current and emerging industries. It is delivered in collaboration with industry, business and state and territory governments. Activities include:</w:t>
            </w:r>
          </w:p>
          <w:p w:rsidR="00CE3F03" w:rsidRPr="008B2270" w:rsidRDefault="00CE3F03" w:rsidP="00594C84">
            <w:pPr>
              <w:pStyle w:val="PBS16TableListBullet"/>
            </w:pPr>
            <w:r w:rsidRPr="008B2270">
              <w:t>developing and reviewing nationally recognised training packages</w:t>
            </w:r>
          </w:p>
          <w:p w:rsidR="00CE3F03" w:rsidRPr="008B2270" w:rsidRDefault="00CE3F03" w:rsidP="00594C84">
            <w:pPr>
              <w:pStyle w:val="PBS16TableListBullet"/>
            </w:pPr>
            <w:r w:rsidRPr="008B2270">
              <w:t>enhancing the transparency and performance of the system through data collection and research</w:t>
            </w:r>
          </w:p>
          <w:p w:rsidR="00CE3F03" w:rsidRPr="008B2270" w:rsidRDefault="00CE3F03" w:rsidP="00594C84">
            <w:pPr>
              <w:pStyle w:val="PBS16TableListBullet"/>
            </w:pPr>
            <w:r w:rsidRPr="008B2270">
              <w:t>promoting the system to potential participants locally and internationally</w:t>
            </w:r>
          </w:p>
          <w:p w:rsidR="00CE3F03" w:rsidRPr="008B2270" w:rsidRDefault="00CE3F03" w:rsidP="00594C84">
            <w:pPr>
              <w:pStyle w:val="PBS16TableListBullet"/>
            </w:pPr>
            <w:r w:rsidRPr="008B2270">
              <w:t>ensuring the ongoing operation of key functions to support the effective operation of national training arrangements.</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hideMark/>
          </w:tcPr>
          <w:p w:rsidR="00CE3F03" w:rsidRPr="008B2270" w:rsidRDefault="00CE3F03" w:rsidP="00594C84">
            <w:pPr>
              <w:pStyle w:val="PBS16TableNormalHeading"/>
              <w:rPr>
                <w:rFonts w:eastAsia="Cambria"/>
              </w:rPr>
            </w:pPr>
            <w:r w:rsidRPr="008B2270">
              <w:rPr>
                <w:rFonts w:eastAsia="Cambria"/>
              </w:rPr>
              <w:t>Department of Education and Training Corporate Plan 2018–19:</w:t>
            </w:r>
          </w:p>
          <w:p w:rsidR="00CE3F03" w:rsidRPr="008B2270" w:rsidRDefault="00CE3F03" w:rsidP="00594C84">
            <w:pPr>
              <w:pStyle w:val="PBSTableNormalJustified"/>
              <w:rPr>
                <w:rFonts w:eastAsia="Cambria"/>
                <w:b/>
              </w:rPr>
            </w:pPr>
            <w:r w:rsidRPr="008B2270">
              <w:t>Maximising opportunity and prosperity through national leadership on education and training.</w:t>
            </w:r>
          </w:p>
        </w:tc>
      </w:tr>
      <w:tr w:rsidR="00CE3F03" w:rsidRPr="008B2270" w:rsidTr="00CE3F03">
        <w:tblPrEx>
          <w:tblBorders>
            <w:top w:val="none" w:sz="0" w:space="0" w:color="auto"/>
          </w:tblBorders>
        </w:tblPrEx>
        <w:trPr>
          <w:cantSplit/>
          <w:trHeight w:val="23"/>
        </w:trPr>
        <w:tc>
          <w:tcPr>
            <w:tcW w:w="7767" w:type="dxa"/>
            <w:gridSpan w:val="2"/>
            <w:tcBorders>
              <w:top w:val="single" w:sz="4" w:space="0" w:color="auto"/>
            </w:tcBorders>
            <w:hideMark/>
          </w:tcPr>
          <w:p w:rsidR="00CE3F03" w:rsidRPr="008B2270" w:rsidRDefault="00CE3F03" w:rsidP="00CE3F03">
            <w:pPr>
              <w:pStyle w:val="PBS16TableNormalHeading"/>
              <w:tabs>
                <w:tab w:val="left" w:pos="2880"/>
              </w:tabs>
              <w:rPr>
                <w:rFonts w:eastAsia="Cambria"/>
              </w:rPr>
            </w:pPr>
            <w:r w:rsidRPr="008B2270">
              <w:lastRenderedPageBreak/>
              <w:t>Measures impacting program 2.8:</w:t>
            </w:r>
          </w:p>
          <w:p w:rsidR="00CE3F03" w:rsidRPr="008B2270" w:rsidRDefault="001A77DF" w:rsidP="00E8395F">
            <w:pPr>
              <w:pStyle w:val="PBS16TableListBullet"/>
            </w:pPr>
            <w:r w:rsidRPr="001A77DF">
              <w:t xml:space="preserve">Skills Package </w:t>
            </w:r>
            <w:r w:rsidR="00E8395F">
              <w:t>—</w:t>
            </w:r>
            <w:r w:rsidRPr="001A77DF">
              <w:t xml:space="preserve"> delivering skills for today and tomorrow</w:t>
            </w:r>
          </w:p>
        </w:tc>
      </w:tr>
    </w:tbl>
    <w:p w:rsidR="00CE3F03" w:rsidRPr="008B2270" w:rsidRDefault="00CE3F03" w:rsidP="00594C84">
      <w:pPr>
        <w:pStyle w:val="Heading6"/>
      </w:pPr>
      <w:r w:rsidRPr="008B2270">
        <w:t>Performance information 2.8: Building Skills and Capability</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 xml:space="preserve">Expected achievement </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hideMark/>
          </w:tcPr>
          <w:p w:rsidR="00CE3F03" w:rsidRPr="008B2270" w:rsidRDefault="00CE3F03" w:rsidP="00CE3F03">
            <w:pPr>
              <w:pStyle w:val="PBS16TableNormal"/>
            </w:pPr>
            <w:r w:rsidRPr="008B2270">
              <w:t>2018–19</w:t>
            </w:r>
          </w:p>
        </w:tc>
        <w:tc>
          <w:tcPr>
            <w:tcW w:w="3317" w:type="dxa"/>
            <w:tcBorders>
              <w:top w:val="single"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t>Maintaining the quality of vocational education and training (VET).</w:t>
            </w:r>
          </w:p>
        </w:tc>
        <w:tc>
          <w:tcPr>
            <w:tcW w:w="3402" w:type="dxa"/>
            <w:tcBorders>
              <w:top w:val="single"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73503C">
            <w:pPr>
              <w:pStyle w:val="PBS16TableNormal"/>
              <w:numPr>
                <w:ilvl w:val="0"/>
                <w:numId w:val="9"/>
              </w:numPr>
              <w:spacing w:before="0"/>
              <w:ind w:left="176" w:hanging="176"/>
            </w:pPr>
            <w:r w:rsidRPr="008B2270">
              <w:t>At least 85% of graduates are satisfied with the overall quality of the training.</w:t>
            </w:r>
          </w:p>
          <w:p w:rsidR="00CE3F03" w:rsidRPr="008B2270" w:rsidRDefault="00CE3F03" w:rsidP="00CE3F03">
            <w:pPr>
              <w:pStyle w:val="PBS16TableNormal"/>
              <w:spacing w:before="0"/>
              <w:ind w:left="176"/>
            </w:pPr>
            <w:r w:rsidRPr="008B2270">
              <w:rPr>
                <w:b/>
              </w:rPr>
              <w:t>On Track</w:t>
            </w:r>
          </w:p>
        </w:tc>
      </w:tr>
      <w:tr w:rsidR="00CE3F03" w:rsidRPr="008B2270" w:rsidTr="00CE3F03">
        <w:trPr>
          <w:cantSplit/>
          <w:trHeight w:val="23"/>
        </w:trPr>
        <w:tc>
          <w:tcPr>
            <w:tcW w:w="1049" w:type="dxa"/>
            <w:tcBorders>
              <w:top w:val="nil"/>
              <w:left w:val="single" w:sz="4" w:space="0" w:color="auto"/>
              <w:bottom w:val="nil"/>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CE3F03" w:rsidRPr="008B2270" w:rsidRDefault="00CE3F03" w:rsidP="00CE3F03">
            <w:pPr>
              <w:pStyle w:val="PBS16TableNormal"/>
            </w:pPr>
            <w:r w:rsidRPr="008B2270">
              <w:t>Responding to industry and employers through access to VET graduates with the required skills.</w:t>
            </w:r>
          </w:p>
        </w:tc>
        <w:tc>
          <w:tcPr>
            <w:tcW w:w="3402" w:type="dxa"/>
            <w:tcBorders>
              <w:top w:val="dotted" w:sz="4" w:space="0" w:color="auto"/>
              <w:left w:val="single" w:sz="4" w:space="0" w:color="auto"/>
              <w:bottom w:val="dotted" w:sz="4" w:space="0" w:color="auto"/>
              <w:right w:val="single" w:sz="4" w:space="0" w:color="auto"/>
            </w:tcBorders>
            <w:shd w:val="clear" w:color="auto" w:fill="FFFFFF" w:themeFill="background1"/>
          </w:tcPr>
          <w:p w:rsidR="00CE3F03" w:rsidRPr="008B2270" w:rsidRDefault="00CE3F03" w:rsidP="0073503C">
            <w:pPr>
              <w:pStyle w:val="PBS16TableNormal"/>
              <w:numPr>
                <w:ilvl w:val="0"/>
                <w:numId w:val="9"/>
              </w:numPr>
              <w:spacing w:before="0"/>
              <w:ind w:left="176" w:hanging="176"/>
            </w:pPr>
            <w:r w:rsidRPr="008B2270">
              <w:t>Positive growth in the apprenticeship completion rate from the previous year.</w:t>
            </w:r>
          </w:p>
          <w:p w:rsidR="00CE3F03" w:rsidRPr="008B2270" w:rsidRDefault="00CE3F03" w:rsidP="00CE3F03">
            <w:pPr>
              <w:pStyle w:val="PBS16TableNormal"/>
              <w:spacing w:before="0"/>
              <w:ind w:left="176"/>
              <w:rPr>
                <w:b/>
              </w:rPr>
            </w:pPr>
            <w:r w:rsidRPr="008B2270">
              <w:rPr>
                <w:b/>
              </w:rPr>
              <w:t>Data not yet available</w:t>
            </w:r>
            <w:r w:rsidRPr="008B2270">
              <w:rPr>
                <w:rStyle w:val="FootnoteReference"/>
              </w:rPr>
              <w:footnoteReference w:id="15"/>
            </w:r>
          </w:p>
          <w:p w:rsidR="00CE3F03" w:rsidRPr="008B2270" w:rsidRDefault="00CE3F03" w:rsidP="0073503C">
            <w:pPr>
              <w:pStyle w:val="PBS16TableNormal"/>
              <w:numPr>
                <w:ilvl w:val="0"/>
                <w:numId w:val="9"/>
              </w:numPr>
              <w:spacing w:before="0"/>
              <w:ind w:left="176" w:hanging="176"/>
            </w:pPr>
            <w:r w:rsidRPr="008B2270">
              <w:t>At least 80% of VET graduates are employed or enrolled in further study after training.</w:t>
            </w:r>
          </w:p>
          <w:p w:rsidR="00CE3F03" w:rsidRPr="008B2270" w:rsidRDefault="00CE3F03" w:rsidP="00CE3F03">
            <w:pPr>
              <w:pStyle w:val="PBS16TableNormal"/>
              <w:spacing w:before="0"/>
              <w:ind w:left="176"/>
            </w:pPr>
            <w:r w:rsidRPr="008B2270">
              <w:rPr>
                <w:b/>
              </w:rPr>
              <w:t>On Track</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Improving language, literacy and numeracy for target groups.</w:t>
            </w:r>
          </w:p>
        </w:tc>
        <w:tc>
          <w:tcPr>
            <w:tcW w:w="3402" w:type="dxa"/>
            <w:tcBorders>
              <w:top w:val="dotted" w:sz="4" w:space="0" w:color="auto"/>
              <w:left w:val="single" w:sz="4" w:space="0" w:color="auto"/>
              <w:bottom w:val="single" w:sz="4" w:space="0" w:color="auto"/>
              <w:right w:val="single" w:sz="4" w:space="0" w:color="auto"/>
            </w:tcBorders>
            <w:shd w:val="clear" w:color="auto" w:fill="FFFFFF" w:themeFill="background1"/>
          </w:tcPr>
          <w:p w:rsidR="00CE3F03" w:rsidRPr="008B2270" w:rsidRDefault="00CE3F03" w:rsidP="0073503C">
            <w:pPr>
              <w:pStyle w:val="PBS16TableNormal"/>
              <w:numPr>
                <w:ilvl w:val="0"/>
                <w:numId w:val="9"/>
              </w:numPr>
              <w:spacing w:before="0"/>
              <w:ind w:left="176" w:hanging="176"/>
            </w:pPr>
            <w:r w:rsidRPr="008B2270">
              <w:t>At least 80% of participants in targeted programs increase one or more levels on the Australian Core Skills Framework.</w:t>
            </w:r>
          </w:p>
          <w:p w:rsidR="00CE3F03" w:rsidRPr="008B2270" w:rsidRDefault="00CE3F03" w:rsidP="00CE3F03">
            <w:pPr>
              <w:pStyle w:val="PBS16TableNormal"/>
              <w:spacing w:before="0"/>
              <w:ind w:left="176"/>
            </w:pPr>
            <w:r w:rsidRPr="008B2270">
              <w:rPr>
                <w:b/>
              </w:rPr>
              <w:t>On Track</w:t>
            </w:r>
          </w:p>
        </w:tc>
      </w:tr>
    </w:tbl>
    <w:p w:rsidR="00CE3F03" w:rsidRPr="008B2270" w:rsidRDefault="00CE3F03">
      <w:pPr>
        <w:spacing w:after="0" w:line="240" w:lineRule="auto"/>
        <w:jc w:val="left"/>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CE3F03" w:rsidRPr="008B2270" w:rsidTr="00594C84">
        <w:trPr>
          <w:cantSplit/>
          <w:trHeight w:val="23"/>
          <w:tblHeader/>
        </w:trPr>
        <w:tc>
          <w:tcPr>
            <w:tcW w:w="1049" w:type="dxa"/>
            <w:hideMark/>
          </w:tcPr>
          <w:p w:rsidR="00CE3F03" w:rsidRPr="008B2270" w:rsidRDefault="00CE3F03" w:rsidP="00594C84">
            <w:pPr>
              <w:pStyle w:val="PBS16TableNormalHeading"/>
            </w:pPr>
            <w:r w:rsidRPr="008B2270">
              <w:t>Year</w:t>
            </w:r>
          </w:p>
        </w:tc>
        <w:tc>
          <w:tcPr>
            <w:tcW w:w="3317" w:type="dxa"/>
            <w:hideMark/>
          </w:tcPr>
          <w:p w:rsidR="00CE3F03" w:rsidRPr="008B2270" w:rsidRDefault="00CE3F03" w:rsidP="00594C84">
            <w:pPr>
              <w:pStyle w:val="PBS16TableNormalHeading"/>
            </w:pPr>
            <w:r w:rsidRPr="008B2270">
              <w:t>Performance criteria</w:t>
            </w:r>
          </w:p>
        </w:tc>
        <w:tc>
          <w:tcPr>
            <w:tcW w:w="3402" w:type="dxa"/>
            <w:hideMark/>
          </w:tcPr>
          <w:p w:rsidR="00CE3F03" w:rsidRPr="008B2270" w:rsidRDefault="00CE3F03" w:rsidP="00594C84">
            <w:pPr>
              <w:pStyle w:val="PBS16TableNormalHeading"/>
            </w:pPr>
            <w:r w:rsidRPr="008B2270">
              <w:t>Target</w:t>
            </w:r>
          </w:p>
        </w:tc>
      </w:tr>
      <w:tr w:rsidR="00CE3F03" w:rsidRPr="008B2270" w:rsidTr="00CE3F03">
        <w:trPr>
          <w:cantSplit/>
          <w:trHeight w:val="23"/>
        </w:trPr>
        <w:tc>
          <w:tcPr>
            <w:tcW w:w="1049" w:type="dxa"/>
            <w:tcBorders>
              <w:top w:val="single" w:sz="4" w:space="0" w:color="auto"/>
              <w:left w:val="single" w:sz="4" w:space="0" w:color="auto"/>
              <w:bottom w:val="nil"/>
              <w:right w:val="single" w:sz="4" w:space="0" w:color="auto"/>
            </w:tcBorders>
          </w:tcPr>
          <w:p w:rsidR="00CE3F03" w:rsidRPr="008B2270" w:rsidRDefault="00CE3F03" w:rsidP="00CE3F03">
            <w:pPr>
              <w:pStyle w:val="PBS16TableNormal"/>
            </w:pPr>
            <w:r w:rsidRPr="008B2270">
              <w:t>2019–20</w:t>
            </w:r>
          </w:p>
        </w:tc>
        <w:tc>
          <w:tcPr>
            <w:tcW w:w="3317"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CE3F03">
            <w:pPr>
              <w:pStyle w:val="PBS16TableNormal"/>
            </w:pPr>
            <w:r w:rsidRPr="008B2270">
              <w:t>Maintaining the quality of vocational education and training (VET).</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CE3F03" w:rsidRPr="008B2270" w:rsidRDefault="00CE3F03" w:rsidP="0073503C">
            <w:pPr>
              <w:pStyle w:val="PBS16TableNormal"/>
              <w:numPr>
                <w:ilvl w:val="0"/>
                <w:numId w:val="9"/>
              </w:numPr>
              <w:spacing w:before="0"/>
              <w:ind w:left="176" w:hanging="176"/>
            </w:pPr>
            <w:r w:rsidRPr="008B2270">
              <w:t>At least 85% of graduates are satisfied with the overall quality of the training.</w:t>
            </w:r>
          </w:p>
          <w:p w:rsidR="00CE3F03" w:rsidRPr="008B2270" w:rsidRDefault="00CE3F03" w:rsidP="00CE3F03">
            <w:pPr>
              <w:pStyle w:val="PBS18TableBullet"/>
            </w:pPr>
            <w:r w:rsidRPr="008B2270">
              <w:tab/>
              <w:t>At least 53% of employers report use of the VET system.</w:t>
            </w:r>
            <w:r w:rsidRPr="008B2270">
              <w:rPr>
                <w:rStyle w:val="FootnoteReference"/>
              </w:rPr>
              <w:footnoteReference w:id="16"/>
            </w:r>
          </w:p>
        </w:tc>
      </w:tr>
      <w:tr w:rsidR="00CE3F03" w:rsidRPr="008B2270" w:rsidTr="00CE3F03">
        <w:trPr>
          <w:cantSplit/>
          <w:trHeight w:val="23"/>
        </w:trPr>
        <w:tc>
          <w:tcPr>
            <w:tcW w:w="1049" w:type="dxa"/>
            <w:tcBorders>
              <w:top w:val="nil"/>
              <w:left w:val="single" w:sz="4" w:space="0" w:color="auto"/>
              <w:bottom w:val="nil"/>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dotted" w:sz="4" w:space="0" w:color="auto"/>
              <w:right w:val="single" w:sz="4" w:space="0" w:color="auto"/>
            </w:tcBorders>
            <w:shd w:val="clear" w:color="auto" w:fill="auto"/>
          </w:tcPr>
          <w:p w:rsidR="00CE3F03" w:rsidRPr="008B2270" w:rsidRDefault="00CE3F03" w:rsidP="00CE3F03">
            <w:pPr>
              <w:pStyle w:val="PBS16TableNormal"/>
            </w:pPr>
            <w:r w:rsidRPr="008B2270">
              <w:t>Responding to industry and employers through access to VET graduates with the required skills.</w:t>
            </w:r>
          </w:p>
        </w:tc>
        <w:tc>
          <w:tcPr>
            <w:tcW w:w="3402" w:type="dxa"/>
            <w:tcBorders>
              <w:top w:val="dotted" w:sz="4" w:space="0" w:color="auto"/>
              <w:left w:val="single" w:sz="4" w:space="0" w:color="auto"/>
              <w:bottom w:val="dotted" w:sz="4" w:space="0" w:color="auto"/>
              <w:right w:val="single" w:sz="4" w:space="0" w:color="auto"/>
            </w:tcBorders>
            <w:shd w:val="clear" w:color="auto" w:fill="auto"/>
          </w:tcPr>
          <w:p w:rsidR="00CE3F03" w:rsidRPr="008B2270" w:rsidRDefault="00CE3F03" w:rsidP="0073503C">
            <w:pPr>
              <w:pStyle w:val="PBS16TableNormal"/>
              <w:numPr>
                <w:ilvl w:val="0"/>
                <w:numId w:val="9"/>
              </w:numPr>
              <w:spacing w:before="0"/>
              <w:ind w:left="176" w:hanging="176"/>
            </w:pPr>
            <w:r w:rsidRPr="008B2270">
              <w:t>Positive growth in the apprenticeship completion rate from the previous year.</w:t>
            </w:r>
            <w:r w:rsidRPr="008B2270">
              <w:rPr>
                <w:rStyle w:val="FootnoteReference"/>
              </w:rPr>
              <w:footnoteReference w:id="17"/>
            </w:r>
            <w:r w:rsidRPr="008B2270">
              <w:t xml:space="preserve"> </w:t>
            </w:r>
          </w:p>
          <w:p w:rsidR="00CE3F03" w:rsidRPr="008B2270" w:rsidRDefault="00CE3F03" w:rsidP="0073503C">
            <w:pPr>
              <w:pStyle w:val="PBS16TableNormal"/>
              <w:numPr>
                <w:ilvl w:val="0"/>
                <w:numId w:val="9"/>
              </w:numPr>
              <w:spacing w:before="0"/>
              <w:ind w:left="176" w:hanging="176"/>
            </w:pPr>
            <w:r w:rsidRPr="008B2270">
              <w:t>At least 80% of VET graduates are employed or enrolled in further study after training.</w:t>
            </w:r>
          </w:p>
        </w:tc>
      </w:tr>
      <w:tr w:rsidR="00CE3F03" w:rsidRPr="008B2270" w:rsidTr="00CE3F03">
        <w:trPr>
          <w:cantSplit/>
          <w:trHeight w:val="23"/>
        </w:trPr>
        <w:tc>
          <w:tcPr>
            <w:tcW w:w="1049" w:type="dxa"/>
            <w:tcBorders>
              <w:top w:val="nil"/>
              <w:left w:val="single" w:sz="4" w:space="0" w:color="auto"/>
              <w:bottom w:val="single" w:sz="4" w:space="0" w:color="auto"/>
              <w:right w:val="single" w:sz="4" w:space="0" w:color="auto"/>
            </w:tcBorders>
          </w:tcPr>
          <w:p w:rsidR="00CE3F03" w:rsidRPr="008B2270" w:rsidRDefault="00CE3F03" w:rsidP="00CE3F03">
            <w:pPr>
              <w:pStyle w:val="PBS16TableNormal"/>
            </w:pPr>
          </w:p>
        </w:tc>
        <w:tc>
          <w:tcPr>
            <w:tcW w:w="3317"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pPr>
            <w:r w:rsidRPr="008B2270">
              <w:t>Improving language, literacy and numeracy for target groups.</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CE3F03" w:rsidRPr="008B2270" w:rsidRDefault="00CE3F03" w:rsidP="0073503C">
            <w:pPr>
              <w:pStyle w:val="PBS16TableNormal"/>
              <w:numPr>
                <w:ilvl w:val="0"/>
                <w:numId w:val="9"/>
              </w:numPr>
              <w:spacing w:before="0"/>
              <w:ind w:left="176" w:hanging="176"/>
            </w:pPr>
            <w:r w:rsidRPr="008B2270">
              <w:t>At least 80% of participants in targeted programs increase one or more levels on the Australian Core Skills Framework.</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rPr>
                <w:b/>
              </w:rPr>
            </w:pPr>
            <w:r w:rsidRPr="008B2270">
              <w:t>2020–21 and beyond</w:t>
            </w:r>
          </w:p>
        </w:tc>
        <w:tc>
          <w:tcPr>
            <w:tcW w:w="3317"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As per 2019–20.</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8TableBullet"/>
              <w:numPr>
                <w:ilvl w:val="0"/>
                <w:numId w:val="0"/>
              </w:numPr>
              <w:ind w:left="176" w:hanging="176"/>
            </w:pPr>
            <w:r w:rsidRPr="008B2270">
              <w:t>As per 2019–20.</w:t>
            </w:r>
          </w:p>
        </w:tc>
      </w:tr>
    </w:tbl>
    <w:p w:rsidR="00CE3F03" w:rsidRPr="008B2270" w:rsidRDefault="00CE3F03" w:rsidP="00594C84">
      <w:pPr>
        <w:pStyle w:val="Heading6"/>
      </w:pPr>
      <w:r w:rsidRPr="008B2270">
        <w:lastRenderedPageBreak/>
        <w:t>Program expenses 2.8 Building Skills and Capability</w:t>
      </w:r>
    </w:p>
    <w:p w:rsidR="00CE3F03" w:rsidRPr="008B2270" w:rsidRDefault="006467BA" w:rsidP="00CE3F03">
      <w:pPr>
        <w:pStyle w:val="ChartGraphic"/>
      </w:pPr>
      <w:r w:rsidRPr="006467BA">
        <w:drawing>
          <wp:inline distT="0" distB="0" distL="0" distR="0">
            <wp:extent cx="4895850" cy="5781115"/>
            <wp:effectExtent l="0" t="0" r="0" b="0"/>
            <wp:docPr id="49" name="Picture 4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95850" cy="5781115"/>
                    </a:xfrm>
                    <a:prstGeom prst="rect">
                      <a:avLst/>
                    </a:prstGeom>
                    <a:noFill/>
                    <a:ln>
                      <a:noFill/>
                    </a:ln>
                  </pic:spPr>
                </pic:pic>
              </a:graphicData>
            </a:graphic>
          </wp:inline>
        </w:drawing>
      </w:r>
    </w:p>
    <w:p w:rsidR="00CE3F03" w:rsidRPr="008B2270" w:rsidRDefault="00CE3F03">
      <w:pPr>
        <w:spacing w:after="0" w:line="240" w:lineRule="auto"/>
        <w:jc w:val="left"/>
        <w:rPr>
          <w:rFonts w:ascii="Arial" w:hAnsi="Arial"/>
          <w:noProof/>
        </w:rPr>
      </w:pPr>
      <w:r w:rsidRPr="008B2270">
        <w:br w:type="page"/>
      </w:r>
    </w:p>
    <w:p w:rsidR="00CE3F03" w:rsidRPr="008B2270" w:rsidRDefault="00CE3F03" w:rsidP="006958CC">
      <w:pPr>
        <w:pStyle w:val="TableHeading"/>
      </w:pPr>
      <w:r w:rsidRPr="008B2270">
        <w:lastRenderedPageBreak/>
        <w:t>Program expenses 2.8 Building Skills and Capability (continued)</w:t>
      </w:r>
    </w:p>
    <w:p w:rsidR="00CE3F03" w:rsidRPr="008B2270" w:rsidRDefault="00CE3F03" w:rsidP="00CE3F03">
      <w:pPr>
        <w:pStyle w:val="ChartGraphic"/>
      </w:pPr>
      <w:r w:rsidRPr="008B2270">
        <w:drawing>
          <wp:inline distT="0" distB="0" distL="0" distR="0" wp14:anchorId="55E308F3" wp14:editId="26C18686">
            <wp:extent cx="4895850" cy="3155103"/>
            <wp:effectExtent l="0" t="0" r="0" b="7620"/>
            <wp:docPr id="26" name="Picture 2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95850" cy="3155103"/>
                    </a:xfrm>
                    <a:prstGeom prst="rect">
                      <a:avLst/>
                    </a:prstGeom>
                    <a:noFill/>
                    <a:ln>
                      <a:noFill/>
                    </a:ln>
                  </pic:spPr>
                </pic:pic>
              </a:graphicData>
            </a:graphic>
          </wp:inline>
        </w:drawing>
      </w:r>
    </w:p>
    <w:p w:rsidR="00CE3F03" w:rsidRDefault="00CE3F03" w:rsidP="00CA6102">
      <w:pPr>
        <w:pStyle w:val="ChartandTableFootnote"/>
      </w:pPr>
      <w:r w:rsidRPr="008B2270">
        <w:t>(a)</w:t>
      </w:r>
      <w:r w:rsidRPr="008B2270">
        <w:tab/>
        <w:t>This special account is funded by Annual Appropriation Bill (No. 1) and receipts from Independent Sources.</w:t>
      </w:r>
      <w:bookmarkEnd w:id="34"/>
      <w:bookmarkEnd w:id="35"/>
    </w:p>
    <w:p w:rsidR="00CA6102" w:rsidRPr="00CA6102" w:rsidRDefault="00CA6102" w:rsidP="00CA6102">
      <w:pPr>
        <w:rPr>
          <w:lang w:eastAsia="x-none"/>
        </w:rPr>
      </w:pPr>
    </w:p>
    <w:p w:rsidR="00CE3F03" w:rsidRPr="008B2270" w:rsidRDefault="00CE3F03">
      <w:pPr>
        <w:spacing w:after="0" w:line="240" w:lineRule="auto"/>
        <w:jc w:val="left"/>
        <w:sectPr w:rsidR="00CE3F03" w:rsidRPr="008B2270" w:rsidSect="005A05D1">
          <w:pgSz w:w="11906" w:h="16838" w:code="9"/>
          <w:pgMar w:top="2466" w:right="2098" w:bottom="2466" w:left="2098" w:header="1899" w:footer="1899" w:gutter="0"/>
          <w:cols w:space="708"/>
          <w:titlePg/>
          <w:docGrid w:linePitch="360"/>
        </w:sectPr>
      </w:pPr>
    </w:p>
    <w:p w:rsidR="00CE3F03" w:rsidRPr="008B2270" w:rsidRDefault="00CE3F03" w:rsidP="00AD42E2">
      <w:pPr>
        <w:pStyle w:val="Heading2"/>
      </w:pPr>
      <w:bookmarkStart w:id="47" w:name="DET_3_0"/>
      <w:r w:rsidRPr="008B2270">
        <w:lastRenderedPageBreak/>
        <w:t>Section 3: Budgeted financial statements</w:t>
      </w:r>
      <w:bookmarkEnd w:id="47"/>
    </w:p>
    <w:p w:rsidR="00CE3F03" w:rsidRPr="008B2270" w:rsidRDefault="00CE3F03" w:rsidP="007118AC">
      <w:r w:rsidRPr="008B2270">
        <w:t>Section 3 presents budgeted financial statements which provide a comprehensive snapshot of the department’s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CE3F03">
      <w:pPr>
        <w:pStyle w:val="Heading3"/>
      </w:pPr>
      <w:bookmarkStart w:id="48" w:name="DET_3_1"/>
      <w:r w:rsidRPr="008B2270">
        <w:t>3.1</w:t>
      </w:r>
      <w:r w:rsidRPr="008B2270">
        <w:tab/>
        <w:t>Budgeted financial statements</w:t>
      </w:r>
      <w:bookmarkEnd w:id="48"/>
    </w:p>
    <w:p w:rsidR="00CE3F03" w:rsidRPr="008B2270" w:rsidRDefault="00CE3F03" w:rsidP="00CE3F03">
      <w:pPr>
        <w:pStyle w:val="Heading4"/>
      </w:pPr>
      <w:r w:rsidRPr="008B2270">
        <w:t>3.1.1</w:t>
      </w:r>
      <w:r w:rsidRPr="008B2270">
        <w:tab/>
        <w:t>Differences between entity resourcing and Financial Statements</w:t>
      </w:r>
    </w:p>
    <w:p w:rsidR="00CE3F03" w:rsidRPr="008B2270" w:rsidRDefault="00CE3F03" w:rsidP="00CE3F03">
      <w:r w:rsidRPr="008B2270">
        <w:t>The difference between the entity resources table and the budgeted financial statements are due to amounts in Bill 3 and Bill 4 not being included in the resource table, as they are yet to receive Royal Assent.</w:t>
      </w:r>
    </w:p>
    <w:p w:rsidR="00CE3F03" w:rsidRPr="008B2270" w:rsidRDefault="00CE3F03" w:rsidP="00CE3F03">
      <w:pPr>
        <w:pStyle w:val="Heading4"/>
      </w:pPr>
      <w:r w:rsidRPr="008B2270">
        <w:t>3.1.2</w:t>
      </w:r>
      <w:r w:rsidRPr="008B2270">
        <w:tab/>
        <w:t>Explanatory notes and analysis of Budgeted Financial Statements</w:t>
      </w:r>
    </w:p>
    <w:p w:rsidR="00CE3F03" w:rsidRPr="008B2270" w:rsidRDefault="00CE3F03" w:rsidP="00CE3F03">
      <w:r w:rsidRPr="008B2270">
        <w:t xml:space="preserve">An analysis of the department’s budgeted financial statements, which consists of the budgeted departmental statements and administered schedules, is provided below. The 2018–19 estimated actual is used as the comparative year. </w:t>
      </w:r>
    </w:p>
    <w:p w:rsidR="00CE3F03" w:rsidRPr="008B2270" w:rsidRDefault="00CE3F03" w:rsidP="00CE3F03">
      <w:pPr>
        <w:pStyle w:val="Heading5"/>
      </w:pPr>
      <w:r w:rsidRPr="008B2270">
        <w:t>Budgeted departmental comprehensive income statement</w:t>
      </w:r>
    </w:p>
    <w:p w:rsidR="00CE3F03" w:rsidRPr="008B2270" w:rsidRDefault="00CE3F03" w:rsidP="00CE3F03">
      <w:r w:rsidRPr="008B2270">
        <w:t>The department’s income statement reflects a deficit across the forward estimates. These deficits are attributed to depreciation and amortisation expenses. Expenses for 2019–20 are estimated to be $449.4</w:t>
      </w:r>
      <w:r w:rsidR="00D03E6B" w:rsidRPr="008B2270">
        <w:t> million</w:t>
      </w:r>
      <w:r w:rsidRPr="008B2270">
        <w:t xml:space="preserve"> and reflects changes in departmental resourcing from 2019–20 measures in Table 1.2. This is an increase of $31.7 million from the estimated actual expense for 2018–19.</w:t>
      </w:r>
    </w:p>
    <w:p w:rsidR="00CE3F03" w:rsidRPr="008B2270" w:rsidRDefault="00CE3F03" w:rsidP="00CE3F03">
      <w:pPr>
        <w:pStyle w:val="Heading5"/>
      </w:pPr>
      <w:r w:rsidRPr="008B2270">
        <w:t>Budget departmental balance sheet</w:t>
      </w:r>
    </w:p>
    <w:p w:rsidR="00CE3F03" w:rsidRPr="008B2270" w:rsidRDefault="00CE3F03" w:rsidP="00CE3F03">
      <w:r w:rsidRPr="008B2270">
        <w:t xml:space="preserve">The budgeted net asset position of $71.0 million for 2019–20 represents an increase of $15.9 million from the 2018–19 estimated actual. The accumulated deficit apparent in the balance sheet predominately represents the accounting treatment applicable to depreciation expense. </w:t>
      </w:r>
    </w:p>
    <w:p w:rsidR="00CE3F03" w:rsidRPr="008B2270" w:rsidRDefault="00CE3F03" w:rsidP="00CE3F03">
      <w:r w:rsidRPr="008B2270">
        <w:t>The structure of the balance sheet reflects the nature of the organisation. Key assets are office fit</w:t>
      </w:r>
      <w:r w:rsidRPr="008B2270">
        <w:noBreakHyphen/>
        <w:t>out (included in land and buildings), computer and office machines (included in property, plant and equipment), and computer software (included in intangibles). The most significant liability relates to employees and the leave provisions that are accrued as a result of their employment.</w:t>
      </w:r>
    </w:p>
    <w:p w:rsidR="00CE3F03" w:rsidRPr="008B2270" w:rsidRDefault="00CE3F03" w:rsidP="00CE3F03">
      <w:pPr>
        <w:pStyle w:val="Heading5"/>
      </w:pPr>
      <w:r w:rsidRPr="008B2270">
        <w:t>Schedule of budgeted income and expenses administered on behalf of Government</w:t>
      </w:r>
    </w:p>
    <w:p w:rsidR="00CE3F03" w:rsidRPr="008B2270" w:rsidRDefault="00CE3F03" w:rsidP="00CE3F03">
      <w:r w:rsidRPr="008B2270">
        <w:t>The schedule reflects the revenues / gains and expenses relating to the programs administered by the department on behalf of Government.</w:t>
      </w:r>
    </w:p>
    <w:p w:rsidR="00CE3F03" w:rsidRPr="008B2270" w:rsidRDefault="00CE3F03" w:rsidP="00CE3F03">
      <w:r w:rsidRPr="008B2270">
        <w:t xml:space="preserve">The administered revenue estimates predominately relate to the loan programs administered by the department, including Higher Education Loan Program (HELP) </w:t>
      </w:r>
      <w:r w:rsidRPr="008B2270">
        <w:lastRenderedPageBreak/>
        <w:t>and Trade Support Loans. The 2018–19 ‘other gain’ reflects the fair value gain as a result of reducing the HELP repayment threshold.</w:t>
      </w:r>
    </w:p>
    <w:p w:rsidR="00CE3F03" w:rsidRPr="008B2270" w:rsidRDefault="00CE3F03" w:rsidP="00CE3F03">
      <w:pPr>
        <w:pStyle w:val="Heading5"/>
      </w:pPr>
      <w:r w:rsidRPr="008B2270">
        <w:t>Schedule of budgeted assets and liabilities administered on behalf of Government</w:t>
      </w:r>
    </w:p>
    <w:p w:rsidR="00CE3F03" w:rsidRPr="008B2270" w:rsidRDefault="00CE3F03" w:rsidP="00CE3F03">
      <w:r w:rsidRPr="008B2270">
        <w:t>Total administered assets are projected to increase from $50.1 billion to $59.6 billion over the period 2018–19 to 2022–23, mainly attributable to HELP. The total administered liabilities predominately relate to the unfunded superannuation provision for Au</w:t>
      </w:r>
      <w:r w:rsidR="00721BFF">
        <w:t>stralian u</w:t>
      </w:r>
      <w:r w:rsidRPr="008B2270">
        <w:t xml:space="preserve">niversities. </w:t>
      </w:r>
    </w:p>
    <w:p w:rsidR="00CE3F03" w:rsidRPr="008B2270" w:rsidRDefault="00CE3F03" w:rsidP="000D7E54">
      <w:pPr>
        <w:pStyle w:val="Heading3"/>
      </w:pPr>
      <w:r w:rsidRPr="008B2270">
        <w:br w:type="page"/>
      </w:r>
      <w:bookmarkStart w:id="49" w:name="_Toc444523518"/>
      <w:bookmarkStart w:id="50" w:name="_Toc476145056"/>
      <w:bookmarkStart w:id="51" w:name="DET_3_2"/>
      <w:r w:rsidRPr="008B2270">
        <w:lastRenderedPageBreak/>
        <w:t>3.2</w:t>
      </w:r>
      <w:r w:rsidRPr="008B2270">
        <w:tab/>
        <w:t>Budgeted financial statements tables</w:t>
      </w:r>
      <w:bookmarkEnd w:id="49"/>
      <w:bookmarkEnd w:id="50"/>
      <w:bookmarkEnd w:id="51"/>
    </w:p>
    <w:p w:rsidR="00CE3F03" w:rsidRPr="008B2270" w:rsidRDefault="00CE3F03" w:rsidP="00146B5E">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943664" w:rsidP="00CE3F03">
      <w:pPr>
        <w:pStyle w:val="ChartGraphic"/>
        <w:rPr>
          <w:noProof w:val="0"/>
        </w:rPr>
      </w:pPr>
      <w:r w:rsidRPr="008B2270">
        <w:drawing>
          <wp:inline distT="0" distB="0" distL="0" distR="0">
            <wp:extent cx="4895850" cy="3667198"/>
            <wp:effectExtent l="0" t="0" r="0" b="9525"/>
            <wp:docPr id="42" name="Picture 4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895850" cy="3667198"/>
                    </a:xfrm>
                    <a:prstGeom prst="rect">
                      <a:avLst/>
                    </a:prstGeom>
                    <a:noFill/>
                    <a:ln>
                      <a:noFill/>
                    </a:ln>
                  </pic:spPr>
                </pic:pic>
              </a:graphicData>
            </a:graphic>
          </wp:inline>
        </w:drawing>
      </w:r>
    </w:p>
    <w:p w:rsidR="00CE3F03" w:rsidRPr="008B2270" w:rsidRDefault="00CE3F03" w:rsidP="00CE3F03">
      <w:pPr>
        <w:pStyle w:val="ChartGraphic"/>
      </w:pPr>
      <w:r w:rsidRPr="008B2270">
        <w:drawing>
          <wp:inline distT="0" distB="0" distL="0" distR="0" wp14:anchorId="77AEA223" wp14:editId="237449BE">
            <wp:extent cx="4895850" cy="1913321"/>
            <wp:effectExtent l="0" t="0" r="0" b="0"/>
            <wp:docPr id="30" name="Picture 3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95850" cy="1913321"/>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A6102" w:rsidRDefault="00CE3F03" w:rsidP="00594C84">
      <w:pPr>
        <w:pStyle w:val="ChartandTableFootnote"/>
      </w:pPr>
      <w:r w:rsidRPr="008B2270">
        <w:t xml:space="preserve">(a) </w:t>
      </w:r>
      <w:r w:rsidRPr="008B2270">
        <w:tab/>
        <w:t>From 2010–11,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CE3F03" w:rsidRPr="008B2270" w:rsidRDefault="00CE3F03" w:rsidP="00594C84">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3.2: Budgeted departmental balance sheet (as at 30 June)</w:t>
      </w:r>
    </w:p>
    <w:p w:rsidR="00CE3F03" w:rsidRPr="008B2270" w:rsidRDefault="00F60063" w:rsidP="00CE3F03">
      <w:pPr>
        <w:pStyle w:val="ChartGraphic"/>
      </w:pPr>
      <w:r w:rsidRPr="008B2270">
        <w:drawing>
          <wp:inline distT="0" distB="0" distL="0" distR="0">
            <wp:extent cx="4895850" cy="4848865"/>
            <wp:effectExtent l="0" t="0" r="0" b="8890"/>
            <wp:docPr id="82" name="Picture 8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95850" cy="4848865"/>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A6102" w:rsidRDefault="00CE3F03" w:rsidP="00646B71">
      <w:pPr>
        <w:pStyle w:val="ChartandTableFootnote"/>
      </w:pPr>
      <w:r w:rsidRPr="008B2270">
        <w:t>*</w:t>
      </w:r>
      <w:r w:rsidRPr="008B2270">
        <w:tab/>
        <w:t>Equity is the residual interest in assets after the deduction of liabilities.</w:t>
      </w:r>
    </w:p>
    <w:p w:rsidR="00CE3F03" w:rsidRPr="008B2270" w:rsidRDefault="00CE3F03" w:rsidP="00646B71">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3.3: Departmental statement of changes in equity — summary of movement (Budget year 2019–20)</w:t>
      </w:r>
    </w:p>
    <w:p w:rsidR="00CE3F03" w:rsidRPr="008B2270" w:rsidRDefault="00F60063" w:rsidP="00CE3F03">
      <w:pPr>
        <w:pStyle w:val="ChartGraphic"/>
      </w:pPr>
      <w:r w:rsidRPr="008B2270">
        <w:drawing>
          <wp:inline distT="0" distB="0" distL="0" distR="0">
            <wp:extent cx="4895850" cy="3491687"/>
            <wp:effectExtent l="0" t="0" r="0" b="0"/>
            <wp:docPr id="95" name="Picture 9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5850" cy="3491687"/>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E3F03" w:rsidRPr="008B2270" w:rsidRDefault="00CE3F03" w:rsidP="00AC0B5A">
      <w:pPr>
        <w:pStyle w:val="TableHeading"/>
      </w:pPr>
      <w:r w:rsidRPr="008B2270">
        <w:br w:type="page"/>
      </w:r>
      <w:r w:rsidRPr="008B2270">
        <w:lastRenderedPageBreak/>
        <w:t>Table 3.4: Budgeted departmental statement of cash flows (for the period ended 30 June)</w:t>
      </w:r>
    </w:p>
    <w:p w:rsidR="00CE3F03" w:rsidRPr="008B2270" w:rsidRDefault="006D53A5" w:rsidP="00CE3F03">
      <w:pPr>
        <w:pStyle w:val="ChartGraphic"/>
      </w:pPr>
      <w:r w:rsidRPr="006D53A5">
        <w:drawing>
          <wp:inline distT="0" distB="0" distL="0" distR="0">
            <wp:extent cx="4895850" cy="5914622"/>
            <wp:effectExtent l="0" t="0" r="0" b="0"/>
            <wp:docPr id="98" name="Picture 9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5850" cy="5914622"/>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E3F03" w:rsidRPr="008B2270" w:rsidRDefault="00CE3F03" w:rsidP="00594C84">
      <w:pPr>
        <w:pStyle w:val="TableHeadingcontinued"/>
      </w:pPr>
      <w:r w:rsidRPr="008B2270">
        <w:br w:type="page"/>
      </w:r>
      <w:r w:rsidRPr="008B2270">
        <w:lastRenderedPageBreak/>
        <w:t>Table 3.5: Departmental capital budget statement (for the period ended 30 June)</w:t>
      </w:r>
    </w:p>
    <w:p w:rsidR="00CE3F03" w:rsidRPr="008B2270" w:rsidRDefault="00124F1A" w:rsidP="00CE3F03">
      <w:pPr>
        <w:pStyle w:val="ChartGraphic"/>
      </w:pPr>
      <w:r w:rsidRPr="00124F1A">
        <w:drawing>
          <wp:inline distT="0" distB="0" distL="0" distR="0">
            <wp:extent cx="4895850" cy="3258695"/>
            <wp:effectExtent l="0" t="0" r="0" b="0"/>
            <wp:docPr id="100" name="Picture 10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5850" cy="3258695"/>
                    </a:xfrm>
                    <a:prstGeom prst="rect">
                      <a:avLst/>
                    </a:prstGeom>
                    <a:noFill/>
                    <a:ln>
                      <a:noFill/>
                    </a:ln>
                  </pic:spPr>
                </pic:pic>
              </a:graphicData>
            </a:graphic>
          </wp:inline>
        </w:drawing>
      </w:r>
    </w:p>
    <w:p w:rsidR="00D92371" w:rsidRDefault="00D92371" w:rsidP="00CE3F03">
      <w:pPr>
        <w:pStyle w:val="ChartandTableFootnote"/>
      </w:pPr>
      <w:r w:rsidRPr="00D92371">
        <w:t>Prepared on Australian Accounting Standards basis.</w:t>
      </w:r>
    </w:p>
    <w:p w:rsidR="00CA6102" w:rsidRDefault="00CE3F03" w:rsidP="00CE3F03">
      <w:pPr>
        <w:pStyle w:val="ChartandTableFootnote"/>
      </w:pPr>
      <w:r w:rsidRPr="008B2270">
        <w:t>(a)</w:t>
      </w:r>
      <w:r w:rsidRPr="008B2270">
        <w:tab/>
        <w:t>Includes both current Bill 2 and prior Act 2/4/6 appropriations and special capital appropriations.</w:t>
      </w:r>
    </w:p>
    <w:p w:rsidR="00CA6102" w:rsidRDefault="00CE3F03" w:rsidP="0031724F">
      <w:pPr>
        <w:pStyle w:val="ChartandTableFootnote"/>
      </w:pPr>
      <w:r w:rsidRPr="008B2270">
        <w:t>(b)</w:t>
      </w:r>
      <w:r w:rsidRPr="008B2270">
        <w:tab/>
        <w:t>Does not include annual finance lease costs. Include purchases from current and previous years' Departmental Capital Budgets (DCBs).</w:t>
      </w:r>
    </w:p>
    <w:p w:rsidR="00CE3F03" w:rsidRPr="008B2270" w:rsidRDefault="00CE3F03" w:rsidP="0031724F">
      <w:pPr>
        <w:pStyle w:val="ChartandTableFootnote"/>
      </w:pPr>
      <w:r w:rsidRPr="008B2270">
        <w:t>(c)</w:t>
      </w:r>
      <w:r w:rsidRPr="008B2270">
        <w:tab/>
        <w:t>Includes the following sources of funding:</w:t>
      </w:r>
      <w:r w:rsidR="0031724F" w:rsidRPr="008B2270">
        <w:t xml:space="preserve"> i</w:t>
      </w:r>
      <w:r w:rsidRPr="008B2270">
        <w:t>nternally developed assets.</w:t>
      </w:r>
    </w:p>
    <w:p w:rsidR="00CE3F03" w:rsidRPr="008B2270" w:rsidRDefault="00CE3F03" w:rsidP="00646B71">
      <w:pPr>
        <w:pStyle w:val="ChartandTableFootnote"/>
        <w:rPr>
          <w:b/>
        </w:rPr>
      </w:pPr>
      <w:r w:rsidRPr="008B2270">
        <w:br w:type="page"/>
      </w:r>
    </w:p>
    <w:p w:rsidR="00CE3F03" w:rsidRPr="008B2270" w:rsidRDefault="00CE3F03" w:rsidP="00146B5E">
      <w:pPr>
        <w:pStyle w:val="TableHeading"/>
        <w:rPr>
          <w:lang w:val="en-AU"/>
        </w:rPr>
      </w:pPr>
      <w:r w:rsidRPr="008B2270">
        <w:rPr>
          <w:lang w:val="en-AU"/>
        </w:rPr>
        <w:lastRenderedPageBreak/>
        <w:t>Table 3.6: Statement of asset movements (Budget year 2019–20)</w:t>
      </w:r>
    </w:p>
    <w:p w:rsidR="00CE3F03" w:rsidRPr="008B2270" w:rsidRDefault="00CE3F03" w:rsidP="00CE3F03">
      <w:pPr>
        <w:pStyle w:val="ChartGraphic"/>
      </w:pPr>
      <w:r w:rsidRPr="008B2270">
        <w:drawing>
          <wp:inline distT="0" distB="0" distL="0" distR="0" wp14:anchorId="75D2707F" wp14:editId="40540F0C">
            <wp:extent cx="4558665" cy="3691890"/>
            <wp:effectExtent l="0" t="0" r="0" b="3810"/>
            <wp:docPr id="35" name="Picture 3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58665" cy="3691890"/>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A6102" w:rsidRDefault="00CE3F03" w:rsidP="00CE3F03">
      <w:pPr>
        <w:pStyle w:val="ChartandTableFootnote"/>
      </w:pPr>
      <w:r w:rsidRPr="008B2270">
        <w:t xml:space="preserve">(a) </w:t>
      </w:r>
      <w:r w:rsidRPr="008B2270">
        <w:tab/>
        <w:t>'Appropriation equity' refers to equity injections appropriations provided through Appropriation Bill (No. 2), including CDABs.</w:t>
      </w:r>
    </w:p>
    <w:p w:rsidR="00CA6102" w:rsidRDefault="00CE3F03" w:rsidP="00646B71">
      <w:pPr>
        <w:pStyle w:val="ChartandTableFootnote"/>
      </w:pPr>
      <w:r w:rsidRPr="008B2270">
        <w:t xml:space="preserve">(b) </w:t>
      </w:r>
      <w:r w:rsidRPr="008B2270">
        <w:tab/>
        <w:t>'Appropriation ordinary annual services' refers to funding provided through Appropriation Bill (No. 1) for depreciation/amortisation expenses, DCBs or other operational expenses.</w:t>
      </w:r>
    </w:p>
    <w:p w:rsidR="00CE3F03" w:rsidRPr="008B2270" w:rsidRDefault="00CE3F03" w:rsidP="00646B71">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3.7: Schedule of budgeted income and expenses administered on behalf of Government (for the period ended 30 June)</w:t>
      </w:r>
    </w:p>
    <w:p w:rsidR="00CE3F03" w:rsidRPr="008B2270" w:rsidRDefault="00F60063" w:rsidP="00CE3F03">
      <w:pPr>
        <w:pStyle w:val="ChartGraphic"/>
        <w:rPr>
          <w:noProof w:val="0"/>
        </w:rPr>
      </w:pPr>
      <w:r w:rsidRPr="008B2270">
        <w:drawing>
          <wp:inline distT="0" distB="0" distL="0" distR="0">
            <wp:extent cx="4895850" cy="4793498"/>
            <wp:effectExtent l="0" t="0" r="0" b="7620"/>
            <wp:docPr id="110" name="Picture 11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95850" cy="4793498"/>
                    </a:xfrm>
                    <a:prstGeom prst="rect">
                      <a:avLst/>
                    </a:prstGeom>
                    <a:noFill/>
                    <a:ln>
                      <a:noFill/>
                    </a:ln>
                  </pic:spPr>
                </pic:pic>
              </a:graphicData>
            </a:graphic>
          </wp:inline>
        </w:drawing>
      </w:r>
    </w:p>
    <w:p w:rsidR="000A7B30" w:rsidRDefault="00CE3F03" w:rsidP="000A7B30">
      <w:pPr>
        <w:pStyle w:val="ChartandTableFootnotenotab"/>
      </w:pPr>
      <w:r w:rsidRPr="008B2270">
        <w:t xml:space="preserve">Prepared on Australian Accounting Standards basis. </w:t>
      </w:r>
    </w:p>
    <w:p w:rsidR="00CE3F03" w:rsidRPr="008B2270" w:rsidRDefault="00CE3F03" w:rsidP="000A7B30">
      <w:pPr>
        <w:pStyle w:val="ChartandTableFootnotenotab"/>
      </w:pPr>
      <w:r w:rsidRPr="008B2270">
        <w:br w:type="page"/>
      </w:r>
    </w:p>
    <w:p w:rsidR="00CE3F03" w:rsidRPr="008B2270" w:rsidRDefault="00CE3F03" w:rsidP="00146B5E">
      <w:pPr>
        <w:pStyle w:val="TableHeading"/>
        <w:rPr>
          <w:lang w:val="en-AU"/>
        </w:rPr>
      </w:pPr>
      <w:r w:rsidRPr="008B2270">
        <w:rPr>
          <w:lang w:val="en-AU"/>
        </w:rPr>
        <w:lastRenderedPageBreak/>
        <w:t>Table 3.8: Schedule of budgeted assets and liabilities administered on behalf of Government (as at 30 June)</w:t>
      </w:r>
    </w:p>
    <w:p w:rsidR="00CE3F03" w:rsidRPr="008B2270" w:rsidRDefault="00873D70" w:rsidP="00CE3F03">
      <w:pPr>
        <w:pStyle w:val="ChartGraphic"/>
        <w:rPr>
          <w:noProof w:val="0"/>
        </w:rPr>
      </w:pPr>
      <w:r w:rsidRPr="008B2270">
        <w:drawing>
          <wp:inline distT="0" distB="0" distL="0" distR="0">
            <wp:extent cx="4895850" cy="3580556"/>
            <wp:effectExtent l="0" t="0" r="0" b="1270"/>
            <wp:docPr id="128" name="Picture 12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895850" cy="3580556"/>
                    </a:xfrm>
                    <a:prstGeom prst="rect">
                      <a:avLst/>
                    </a:prstGeom>
                    <a:noFill/>
                    <a:ln>
                      <a:noFill/>
                    </a:ln>
                  </pic:spPr>
                </pic:pic>
              </a:graphicData>
            </a:graphic>
          </wp:inline>
        </w:drawing>
      </w:r>
    </w:p>
    <w:p w:rsidR="00CE3F03" w:rsidRPr="008B2270" w:rsidRDefault="00CE3F03" w:rsidP="000A7B30">
      <w:pPr>
        <w:pStyle w:val="ChartandTableFootnotenotab"/>
      </w:pPr>
      <w:r w:rsidRPr="008B2270">
        <w:t>Prepared on Australian Accounting Standards basis.</w:t>
      </w:r>
    </w:p>
    <w:p w:rsidR="00CE3F03" w:rsidRPr="008B2270" w:rsidRDefault="00CE3F03" w:rsidP="00AC0B5A">
      <w:pPr>
        <w:pStyle w:val="TableHeading"/>
      </w:pPr>
      <w:r w:rsidRPr="008B2270">
        <w:br w:type="page"/>
      </w:r>
      <w:r w:rsidRPr="008B2270">
        <w:lastRenderedPageBreak/>
        <w:t>Table 3.9: Schedule of budgeted administered cash flows (for the period ended 30 June)</w:t>
      </w:r>
    </w:p>
    <w:p w:rsidR="00CE3F03" w:rsidRPr="008B2270" w:rsidRDefault="00F60063" w:rsidP="00CE3F03">
      <w:pPr>
        <w:pStyle w:val="ChartGraphic"/>
        <w:rPr>
          <w:noProof w:val="0"/>
        </w:rPr>
      </w:pPr>
      <w:r w:rsidRPr="008B2270">
        <w:drawing>
          <wp:inline distT="0" distB="0" distL="0" distR="0">
            <wp:extent cx="4895850" cy="4863211"/>
            <wp:effectExtent l="0" t="0" r="0" b="0"/>
            <wp:docPr id="114" name="Picture 11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95850" cy="4863211"/>
                    </a:xfrm>
                    <a:prstGeom prst="rect">
                      <a:avLst/>
                    </a:prstGeom>
                    <a:noFill/>
                    <a:ln>
                      <a:noFill/>
                    </a:ln>
                  </pic:spPr>
                </pic:pic>
              </a:graphicData>
            </a:graphic>
          </wp:inline>
        </w:drawing>
      </w:r>
    </w:p>
    <w:p w:rsidR="00CE3F03" w:rsidRPr="008B2270" w:rsidRDefault="00CE3F03" w:rsidP="00594C84">
      <w:pPr>
        <w:pStyle w:val="ChartandTableFootnote"/>
      </w:pPr>
      <w:r w:rsidRPr="008B2270">
        <w:t>Prepared on Australian Accounting Standards basis.</w:t>
      </w:r>
    </w:p>
    <w:p w:rsidR="00CE3F03" w:rsidRPr="008B2270" w:rsidRDefault="00CE3F03">
      <w:pPr>
        <w:spacing w:after="0" w:line="240" w:lineRule="auto"/>
        <w:jc w:val="left"/>
        <w:rPr>
          <w:rFonts w:ascii="Arial" w:hAnsi="Arial"/>
          <w:color w:val="000000"/>
          <w:sz w:val="16"/>
          <w:lang w:eastAsia="x-none"/>
        </w:rPr>
      </w:pPr>
      <w:r w:rsidRPr="008B2270">
        <w:br w:type="page"/>
      </w:r>
    </w:p>
    <w:p w:rsidR="00CE3F03" w:rsidRPr="008B2270" w:rsidRDefault="00CE3F03" w:rsidP="006C799D">
      <w:pPr>
        <w:pStyle w:val="TableHeadingNoTable"/>
      </w:pPr>
      <w:r w:rsidRPr="008B2270">
        <w:lastRenderedPageBreak/>
        <w:t>Table 3.10: Administered capital budget statement (for the period ended 30 June)</w:t>
      </w:r>
    </w:p>
    <w:p w:rsidR="00CE3F03" w:rsidRPr="008B2270" w:rsidRDefault="00CE3F03" w:rsidP="00594C84">
      <w:r w:rsidRPr="008B2270">
        <w:t>The department has no administered capital budget therefore Table 3.10 is not presented.</w:t>
      </w:r>
    </w:p>
    <w:p w:rsidR="00CE3F03" w:rsidRPr="008B2270" w:rsidRDefault="00CE3F03" w:rsidP="006C799D">
      <w:pPr>
        <w:pStyle w:val="TableHeadingNoTable"/>
      </w:pPr>
      <w:r w:rsidRPr="008B2270">
        <w:t>Table 3.11: Statement of administered asset movements (Budget year 2019–20)</w:t>
      </w:r>
    </w:p>
    <w:p w:rsidR="00CE3F03" w:rsidRPr="008B2270" w:rsidRDefault="00CE3F03" w:rsidP="00594C84">
      <w:r w:rsidRPr="008B2270">
        <w:t>The department has no administered asset movements therefore Table 3.11 is not presented.</w:t>
      </w:r>
    </w:p>
    <w:p w:rsidR="00CE3F03" w:rsidRPr="008B2270" w:rsidRDefault="00CE3F03" w:rsidP="00DF5CF9"/>
    <w:p w:rsidR="00CE3F03" w:rsidRPr="008B2270" w:rsidRDefault="00CE3F03" w:rsidP="00DF5CF9">
      <w:pPr>
        <w:sectPr w:rsidR="00CE3F03" w:rsidRPr="008B2270" w:rsidSect="00594C84">
          <w:headerReference w:type="even" r:id="rId64"/>
          <w:headerReference w:type="default" r:id="rId65"/>
          <w:footerReference w:type="even" r:id="rId66"/>
          <w:footerReference w:type="default" r:id="rId67"/>
          <w:headerReference w:type="first" r:id="rId68"/>
          <w:pgSz w:w="11906" w:h="16838" w:code="9"/>
          <w:pgMar w:top="2466" w:right="2098" w:bottom="2466" w:left="2098" w:header="1899" w:footer="1899" w:gutter="0"/>
          <w:cols w:space="708"/>
          <w:docGrid w:linePitch="360"/>
        </w:sectPr>
      </w:pPr>
    </w:p>
    <w:p w:rsidR="000C3B86" w:rsidRPr="008F11E6" w:rsidRDefault="000C3B86" w:rsidP="000D68E7">
      <w:pPr>
        <w:pStyle w:val="PartHeading"/>
        <w:spacing w:before="1200"/>
      </w:pPr>
    </w:p>
    <w:sectPr w:rsidR="000C3B86" w:rsidRPr="008F11E6" w:rsidSect="000D68E7">
      <w:headerReference w:type="even" r:id="rId69"/>
      <w:headerReference w:type="default" r:id="rId70"/>
      <w:footerReference w:type="even" r:id="rId71"/>
      <w:footerReference w:type="default" r:id="rId72"/>
      <w:headerReference w:type="first" r:id="rId73"/>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0D68E7">
      <w:rPr>
        <w:noProof/>
      </w:rPr>
      <w:t>18</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0D68E7">
      <w:rPr>
        <w:noProof/>
      </w:rPr>
      <w:t>71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0D68E7">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fldChar w:fldCharType="begin"/>
    </w:r>
    <w:r>
      <w:instrText xml:space="preserve"> PAGE   \* MERGEFORMAT </w:instrText>
    </w:r>
    <w:r>
      <w:fldChar w:fldCharType="separate"/>
    </w:r>
    <w:r w:rsidR="000D68E7">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fldChar w:fldCharType="begin"/>
    </w:r>
    <w:r>
      <w:instrText xml:space="preserve"> PAGE   \* MERGEFORMAT </w:instrText>
    </w:r>
    <w:r>
      <w:fldChar w:fldCharType="separate"/>
    </w:r>
    <w:r w:rsidR="000D68E7">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756CD" w:rsidRDefault="00CA6102"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0D68E7">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sidR="000D68E7">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756CD" w:rsidRDefault="00CA6102"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0D68E7">
      <w:rPr>
        <w:rStyle w:val="PageNumber"/>
        <w:noProof/>
      </w:rPr>
      <w:t>68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sidR="000D68E7">
      <w:rPr>
        <w:rStyle w:val="PageNumber"/>
        <w:noProof/>
      </w:rPr>
      <w:t>69</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0D68E7">
      <w:rPr>
        <w:noProof/>
      </w:rPr>
      <w:t>70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 w:id="1">
    <w:p w:rsidR="00CA6102" w:rsidRDefault="00CA6102">
      <w:pPr>
        <w:pStyle w:val="FootnoteText"/>
      </w:pPr>
      <w:r>
        <w:rPr>
          <w:rStyle w:val="FootnoteReference"/>
        </w:rPr>
        <w:footnoteRef/>
      </w:r>
      <w:r>
        <w:t xml:space="preserve"> </w:t>
      </w:r>
      <w:r>
        <w:tab/>
      </w:r>
      <w:r w:rsidRPr="00EE6704">
        <w:t>This target takes into account families that no longer choose to or require access to child care payments, as well as changes to policy settings.</w:t>
      </w:r>
    </w:p>
  </w:footnote>
  <w:footnote w:id="2">
    <w:p w:rsidR="00CA6102" w:rsidRDefault="00CA6102">
      <w:pPr>
        <w:pStyle w:val="FootnoteText"/>
      </w:pPr>
      <w:r>
        <w:rPr>
          <w:rStyle w:val="FootnoteReference"/>
        </w:rPr>
        <w:footnoteRef/>
      </w:r>
      <w:r>
        <w:t xml:space="preserve"> </w:t>
      </w:r>
      <w:r>
        <w:tab/>
      </w:r>
      <w:r w:rsidRPr="00EE6704">
        <w:t>Payment accuracy is a defined measure based on independent actuarial assessment.</w:t>
      </w:r>
    </w:p>
  </w:footnote>
  <w:footnote w:id="3">
    <w:p w:rsidR="00CA6102" w:rsidRDefault="00CA6102" w:rsidP="00594C84">
      <w:pPr>
        <w:pStyle w:val="FootnoteText"/>
      </w:pPr>
      <w:r>
        <w:rPr>
          <w:rStyle w:val="FootnoteReference"/>
        </w:rPr>
        <w:footnoteRef/>
      </w:r>
      <w:r>
        <w:t xml:space="preserve"> </w:t>
      </w:r>
      <w:r>
        <w:tab/>
        <w:t xml:space="preserve">Target source: COAG Education Council, </w:t>
      </w:r>
      <w:r w:rsidRPr="00A051CA">
        <w:rPr>
          <w:i/>
        </w:rPr>
        <w:t>Measurement Framework for Schooling in Australia</w:t>
      </w:r>
      <w:r>
        <w:t>, May 2015. Targets from 2019 and beyond are subject to change or agreement through COAG.</w:t>
      </w:r>
    </w:p>
  </w:footnote>
  <w:footnote w:id="4">
    <w:p w:rsidR="00CA6102" w:rsidRDefault="00CA6102" w:rsidP="00594C84">
      <w:pPr>
        <w:pStyle w:val="FootnoteText"/>
      </w:pPr>
      <w:r>
        <w:rPr>
          <w:rStyle w:val="FootnoteReference"/>
        </w:rPr>
        <w:footnoteRef/>
      </w:r>
      <w:r>
        <w:t xml:space="preserve"> </w:t>
      </w:r>
      <w:r>
        <w:tab/>
        <w:t xml:space="preserve">Target source: </w:t>
      </w:r>
      <w:r w:rsidRPr="000F3E80">
        <w:rPr>
          <w:i/>
        </w:rPr>
        <w:t>Prime Minister’s Report on Closing the Gap</w:t>
      </w:r>
      <w:r>
        <w:t>,</w:t>
      </w:r>
      <w:r w:rsidRPr="000F3E80">
        <w:t xml:space="preserve"> 201</w:t>
      </w:r>
      <w:r>
        <w:t>9</w:t>
      </w:r>
    </w:p>
  </w:footnote>
  <w:footnote w:id="5">
    <w:p w:rsidR="00CA6102" w:rsidRDefault="00CA6102" w:rsidP="00CE3F03">
      <w:pPr>
        <w:pStyle w:val="FootnoteText"/>
      </w:pPr>
      <w:r>
        <w:rPr>
          <w:rStyle w:val="FootnoteReference"/>
        </w:rPr>
        <w:footnoteRef/>
      </w:r>
      <w:r>
        <w:t xml:space="preserve"> </w:t>
      </w:r>
      <w:r>
        <w:tab/>
        <w:t xml:space="preserve">Target source: COAG Education Council, </w:t>
      </w:r>
      <w:r w:rsidRPr="00A051CA">
        <w:rPr>
          <w:i/>
        </w:rPr>
        <w:t>Measurement Framework for Schooling in Australia</w:t>
      </w:r>
      <w:r>
        <w:t>, May 2015. Targets from 2019 and beyond are subject to change or agreement through COAG.</w:t>
      </w:r>
    </w:p>
  </w:footnote>
  <w:footnote w:id="6">
    <w:p w:rsidR="00CA6102" w:rsidRDefault="00CA6102" w:rsidP="00CE3F03">
      <w:pPr>
        <w:pStyle w:val="FootnoteText"/>
      </w:pPr>
      <w:r>
        <w:rPr>
          <w:rStyle w:val="FootnoteReference"/>
        </w:rPr>
        <w:footnoteRef/>
      </w:r>
      <w:r>
        <w:t xml:space="preserve"> </w:t>
      </w:r>
      <w:r>
        <w:tab/>
        <w:t xml:space="preserve">Target source: </w:t>
      </w:r>
      <w:r w:rsidRPr="000F3E80">
        <w:rPr>
          <w:i/>
        </w:rPr>
        <w:t>Prime Minister’s Report on Closing the Gap</w:t>
      </w:r>
      <w:r>
        <w:t>,</w:t>
      </w:r>
      <w:r w:rsidRPr="000F3E80">
        <w:t xml:space="preserve"> 201</w:t>
      </w:r>
      <w:r>
        <w:t>9</w:t>
      </w:r>
    </w:p>
  </w:footnote>
  <w:footnote w:id="7">
    <w:p w:rsidR="00CA6102" w:rsidRDefault="00CA6102">
      <w:pPr>
        <w:pStyle w:val="FootnoteText"/>
      </w:pPr>
      <w:r>
        <w:rPr>
          <w:rStyle w:val="FootnoteReference"/>
        </w:rPr>
        <w:footnoteRef/>
      </w:r>
      <w:r>
        <w:t xml:space="preserve"> </w:t>
      </w:r>
      <w:r>
        <w:tab/>
      </w:r>
      <w:r w:rsidRPr="006A5B21">
        <w:t>Targets from 2019 and beyond are subject to agreement through COAG. Targets may be reported in the Corporate Plan.</w:t>
      </w:r>
    </w:p>
  </w:footnote>
  <w:footnote w:id="8">
    <w:p w:rsidR="00CA6102" w:rsidRDefault="00CA6102" w:rsidP="00594C84">
      <w:pPr>
        <w:pStyle w:val="FootnoteText"/>
      </w:pPr>
      <w:r>
        <w:rPr>
          <w:rStyle w:val="FootnoteReference"/>
        </w:rPr>
        <w:footnoteRef/>
      </w:r>
      <w:r>
        <w:t xml:space="preserve"> </w:t>
      </w:r>
      <w:r>
        <w:tab/>
        <w:t>Target as set under the National Partnership Agreement on Universal Access to Early Childhood Education.</w:t>
      </w:r>
    </w:p>
  </w:footnote>
  <w:footnote w:id="9">
    <w:p w:rsidR="00CA6102" w:rsidRDefault="00CA6102" w:rsidP="00594C84">
      <w:pPr>
        <w:pStyle w:val="FootnoteText"/>
      </w:pPr>
      <w:r>
        <w:rPr>
          <w:rStyle w:val="FootnoteReference"/>
        </w:rPr>
        <w:footnoteRef/>
      </w:r>
      <w:r>
        <w:t xml:space="preserve"> </w:t>
      </w:r>
      <w:r>
        <w:tab/>
        <w:t>Target as set under the National Partnership Agreement on Universal Access to Early Childhood Education.</w:t>
      </w:r>
    </w:p>
  </w:footnote>
  <w:footnote w:id="10">
    <w:p w:rsidR="00CA6102" w:rsidRDefault="00CA6102">
      <w:pPr>
        <w:pStyle w:val="FootnoteText"/>
      </w:pPr>
      <w:r>
        <w:rPr>
          <w:rStyle w:val="FootnoteReference"/>
        </w:rPr>
        <w:footnoteRef/>
      </w:r>
      <w:r>
        <w:t xml:space="preserve"> </w:t>
      </w:r>
      <w:r>
        <w:tab/>
        <w:t xml:space="preserve">To be </w:t>
      </w:r>
      <w:r w:rsidRPr="00DE1B7F">
        <w:t xml:space="preserve">eligible to receive a grant for superannuation liabilities under the program, the university must be a Table A provider under the </w:t>
      </w:r>
      <w:r>
        <w:rPr>
          <w:i/>
        </w:rPr>
        <w:t>Higher Education Support Act 200</w:t>
      </w:r>
      <w:r w:rsidRPr="00DE1B7F">
        <w:rPr>
          <w:i/>
        </w:rPr>
        <w:t>3</w:t>
      </w:r>
      <w:r w:rsidRPr="00DE1B7F">
        <w:t xml:space="preserve"> and have staff who are members of one of</w:t>
      </w:r>
      <w:r>
        <w:t xml:space="preserve"> the</w:t>
      </w:r>
      <w:r w:rsidRPr="00DE1B7F">
        <w:t xml:space="preserve"> emerging cost schemes</w:t>
      </w:r>
      <w:r>
        <w:t xml:space="preserve"> identified in the guidelines</w:t>
      </w:r>
      <w:r w:rsidRPr="00DE1B7F">
        <w:t>.</w:t>
      </w:r>
    </w:p>
  </w:footnote>
  <w:footnote w:id="11">
    <w:p w:rsidR="00CA6102" w:rsidRDefault="00CA6102" w:rsidP="00594C84">
      <w:pPr>
        <w:pStyle w:val="FootnoteText"/>
        <w:jc w:val="left"/>
      </w:pPr>
      <w:r>
        <w:rPr>
          <w:rStyle w:val="FootnoteReference"/>
        </w:rPr>
        <w:footnoteRef/>
      </w:r>
      <w:r>
        <w:t xml:space="preserve"> </w:t>
      </w:r>
      <w:r>
        <w:tab/>
      </w:r>
      <w:hyperlink r:id="rId1" w:history="1">
        <w:r w:rsidRPr="00646B71">
          <w:rPr>
            <w:rStyle w:val="Hyperlink"/>
          </w:rPr>
          <w:t>Measured at the postcode level, as defined by the ABS. http://www.abs.gov.au/ausstats/abs@.nsf/mf/2033.0.55.001</w:t>
        </w:r>
      </w:hyperlink>
    </w:p>
  </w:footnote>
  <w:footnote w:id="12">
    <w:p w:rsidR="00CA6102" w:rsidRDefault="00CA6102" w:rsidP="00CE3F03">
      <w:pPr>
        <w:pStyle w:val="FootnoteText"/>
        <w:jc w:val="left"/>
      </w:pPr>
      <w:r>
        <w:rPr>
          <w:rStyle w:val="FootnoteReference"/>
        </w:rPr>
        <w:footnoteRef/>
      </w:r>
      <w:r>
        <w:t xml:space="preserve"> </w:t>
      </w:r>
      <w:r>
        <w:tab/>
      </w:r>
      <w:hyperlink r:id="rId2" w:history="1">
        <w:r w:rsidRPr="00646B71">
          <w:rPr>
            <w:rStyle w:val="Hyperlink"/>
          </w:rPr>
          <w:t>Measured at the Statistical Area Level 1, as defined by the ABS. http://www.abs.gov.au/ausstats/abs@.nsf/mf/1270.0.55.001</w:t>
        </w:r>
      </w:hyperlink>
    </w:p>
  </w:footnote>
  <w:footnote w:id="13">
    <w:p w:rsidR="00CA6102" w:rsidRDefault="00CA6102" w:rsidP="00CE3F03">
      <w:pPr>
        <w:pStyle w:val="FootnoteText"/>
      </w:pPr>
      <w:r>
        <w:rPr>
          <w:rStyle w:val="FootnoteReference"/>
        </w:rPr>
        <w:footnoteRef/>
      </w:r>
      <w:r>
        <w:t xml:space="preserve"> </w:t>
      </w:r>
      <w:r>
        <w:tab/>
        <w:t xml:space="preserve">The target represents growth from the 2017–18 level of 1.8 per cent. </w:t>
      </w:r>
    </w:p>
  </w:footnote>
  <w:footnote w:id="14">
    <w:p w:rsidR="00CA6102" w:rsidRDefault="00CA6102" w:rsidP="00594C84">
      <w:pPr>
        <w:pStyle w:val="FootnoteText"/>
      </w:pPr>
      <w:r>
        <w:rPr>
          <w:rStyle w:val="FootnoteReference"/>
        </w:rPr>
        <w:footnoteRef/>
      </w:r>
      <w:r>
        <w:t xml:space="preserve"> </w:t>
      </w:r>
      <w:r>
        <w:tab/>
        <w:t>Target applies in 2018–19 and 2020–21 (biennial survey).</w:t>
      </w:r>
    </w:p>
  </w:footnote>
  <w:footnote w:id="15">
    <w:p w:rsidR="00CA6102" w:rsidRDefault="00CA6102">
      <w:pPr>
        <w:pStyle w:val="FootnoteText"/>
      </w:pPr>
      <w:r>
        <w:rPr>
          <w:rStyle w:val="FootnoteReference"/>
        </w:rPr>
        <w:footnoteRef/>
      </w:r>
      <w:r>
        <w:t xml:space="preserve"> </w:t>
      </w:r>
      <w:r>
        <w:tab/>
      </w:r>
      <w:r w:rsidRPr="004C6599">
        <w:t>Data is sourced from the National Centre for Vocational Education Research, National Apprentice and Trainee Collection. This is due to be released in the second half of 2019.</w:t>
      </w:r>
    </w:p>
  </w:footnote>
  <w:footnote w:id="16">
    <w:p w:rsidR="00CA6102" w:rsidRDefault="00CA6102">
      <w:pPr>
        <w:pStyle w:val="FootnoteText"/>
      </w:pPr>
      <w:r>
        <w:rPr>
          <w:rStyle w:val="FootnoteReference"/>
        </w:rPr>
        <w:footnoteRef/>
      </w:r>
      <w:r>
        <w:t xml:space="preserve"> </w:t>
      </w:r>
      <w:r>
        <w:tab/>
      </w:r>
      <w:r w:rsidRPr="006603FC">
        <w:t>Target applies in 201</w:t>
      </w:r>
      <w:r>
        <w:t>9</w:t>
      </w:r>
      <w:r w:rsidRPr="006603FC">
        <w:t>–</w:t>
      </w:r>
      <w:r>
        <w:t>20</w:t>
      </w:r>
      <w:r w:rsidRPr="006603FC">
        <w:t xml:space="preserve"> and 202</w:t>
      </w:r>
      <w:r>
        <w:t>1</w:t>
      </w:r>
      <w:r w:rsidRPr="006603FC">
        <w:t>–2</w:t>
      </w:r>
      <w:r>
        <w:t>2</w:t>
      </w:r>
      <w:r w:rsidRPr="006603FC">
        <w:t xml:space="preserve"> (biennial survey).</w:t>
      </w:r>
    </w:p>
  </w:footnote>
  <w:footnote w:id="17">
    <w:p w:rsidR="00CA6102" w:rsidRPr="00A4241F" w:rsidRDefault="00CA6102" w:rsidP="00594C84">
      <w:pPr>
        <w:pStyle w:val="FootnoteText"/>
        <w:jc w:val="left"/>
      </w:pPr>
      <w:r>
        <w:rPr>
          <w:rStyle w:val="FootnoteReference"/>
        </w:rPr>
        <w:footnoteRef/>
      </w:r>
      <w:r>
        <w:t xml:space="preserve"> </w:t>
      </w:r>
      <w:r>
        <w:tab/>
      </w:r>
      <w:r w:rsidRPr="00A4241F">
        <w:t>As it can take up to four years for apprentices to complete, the 201</w:t>
      </w:r>
      <w:r>
        <w:t>9</w:t>
      </w:r>
      <w:r w:rsidRPr="00A4241F">
        <w:t>–</w:t>
      </w:r>
      <w:r>
        <w:t>20</w:t>
      </w:r>
      <w:r w:rsidRPr="00A4241F">
        <w:t xml:space="preserve"> reporting year will compare completion rates between the 201</w:t>
      </w:r>
      <w:r>
        <w:t>5</w:t>
      </w:r>
      <w:r w:rsidRPr="00A4241F">
        <w:t xml:space="preserve"> and 201</w:t>
      </w:r>
      <w:r>
        <w:t>4</w:t>
      </w:r>
      <w:r w:rsidRPr="00A4241F">
        <w:t xml:space="preserve"> commencing cohorts.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E0749" w:rsidRDefault="00CA6102" w:rsidP="007E0749">
    <w:pPr>
      <w:pStyle w:val="Header"/>
    </w:pPr>
    <w:r>
      <w:rPr>
        <w:noProof/>
        <w:lang w:val="en-AU" w:eastAsia="en-AU"/>
      </w:rPr>
      <mc:AlternateContent>
        <mc:Choice Requires="wps">
          <w:drawing>
            <wp:anchor distT="0" distB="0" distL="114300" distR="114300" simplePos="0" relativeHeight="251661312" behindDoc="0" locked="0" layoutInCell="1" allowOverlap="1" wp14:anchorId="10A0D293" wp14:editId="04BB05A2">
              <wp:simplePos x="0" y="0"/>
              <wp:positionH relativeFrom="column">
                <wp:posOffset>8348345</wp:posOffset>
              </wp:positionH>
              <wp:positionV relativeFrom="paragraph">
                <wp:posOffset>328295</wp:posOffset>
              </wp:positionV>
              <wp:extent cx="790575" cy="4982210"/>
              <wp:effectExtent l="0" t="0" r="0" b="0"/>
              <wp:wrapNone/>
              <wp:docPr id="28"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102" w:rsidRPr="00137C7E" w:rsidRDefault="00CA6102" w:rsidP="00EF45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D293" id="_x0000_t202" coordsize="21600,21600" o:spt="202" path="m,l,21600r21600,l21600,xe">
              <v:stroke joinstyle="miter"/>
              <v:path gradientshapeok="t" o:connecttype="rect"/>
            </v:shapetype>
            <v:shape id="Text Box 6" o:spid="_x0000_s1040" type="#_x0000_t202" alt="Landscape Classification Header" style="position:absolute;margin-left:657.35pt;margin-top:25.85pt;width:62.25pt;height:39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" stroked="f">
              <v:textbox style="layout-flow:vertical">
                <w:txbxContent>
                  <w:p w:rsidR="00CA6102" w:rsidRPr="00137C7E" w:rsidRDefault="00CA6102" w:rsidP="00EF45CE">
                    <w:pPr>
                      <w:rPr>
                        <w:rStyle w:val="FramedHeader"/>
                        <w:i w:val="0"/>
                      </w:rPr>
                    </w:pPr>
                    <w:bookmarkStart w:id="74" w:name="_GoBack"/>
                    <w:bookmarkEnd w:id="74"/>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0D68E7" w:rsidRDefault="00CA6102" w:rsidP="000D68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F00984" w:rsidRDefault="00CA6102" w:rsidP="00F00984">
    <w:pPr>
      <w:pStyle w:val="HeaderEven"/>
    </w:pPr>
    <w:r w:rsidRPr="008A0D0B">
      <w:t>Department of Education and Training</w:t>
    </w:r>
    <w:r w:rsidRPr="00F00984">
      <w:t xml:space="preserve">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F00984">
    <w:pPr>
      <w:pStyle w:val="HeaderOdd"/>
    </w:pPr>
    <w:r w:rsidRPr="008A0D0B">
      <w:t>Department of Education and Training</w:t>
    </w:r>
    <w:r>
      <w:t xml:space="preserve">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B4084B" w:rsidRDefault="00CA6102" w:rsidP="00B408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CE3F03">
    <w:pPr>
      <w:pStyle w:val="HeaderEven"/>
    </w:pPr>
    <w:r w:rsidRPr="008A0D0B">
      <w:t>Department of Education and Training</w:t>
    </w:r>
    <w:r>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CE3F03">
    <w:pPr>
      <w:pStyle w:val="HeaderOdd"/>
    </w:pPr>
    <w:r w:rsidRPr="008A0D0B">
      <w:t>Department of Education and Training</w:t>
    </w:r>
    <w:r>
      <w:t xml:space="preserve">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CC4E51" w:rsidRDefault="00CA6102" w:rsidP="00CC4E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CE3F03">
    <w:pPr>
      <w:pStyle w:val="HeaderEven"/>
    </w:pPr>
    <w:r w:rsidRPr="008A0D0B">
      <w:t>Department of Education and Training</w:t>
    </w:r>
    <w:r>
      <w:t xml:space="preserve"> Budget Statements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CE3F03">
    <w:pPr>
      <w:pStyle w:val="HeaderOdd"/>
    </w:pPr>
    <w:r w:rsidRPr="008A0D0B">
      <w:t>Department of Education and Training</w:t>
    </w:r>
    <w:r>
      <w:t xml:space="preserve">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68E7"/>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9" Type="http://schemas.openxmlformats.org/officeDocument/2006/relationships/image" Target="media/image11.emf"/><Relationship Id="rId21" Type="http://schemas.openxmlformats.org/officeDocument/2006/relationships/image" Target="media/image4.emf"/><Relationship Id="rId34" Type="http://schemas.openxmlformats.org/officeDocument/2006/relationships/header" Target="header7.xml"/><Relationship Id="rId42" Type="http://schemas.openxmlformats.org/officeDocument/2006/relationships/image" Target="media/image14.emf"/><Relationship Id="rId47" Type="http://schemas.openxmlformats.org/officeDocument/2006/relationships/image" Target="media/image19.emf"/><Relationship Id="rId50" Type="http://schemas.openxmlformats.org/officeDocument/2006/relationships/image" Target="media/image22.emf"/><Relationship Id="rId55" Type="http://schemas.openxmlformats.org/officeDocument/2006/relationships/image" Target="media/image27.emf"/><Relationship Id="rId63" Type="http://schemas.openxmlformats.org/officeDocument/2006/relationships/image" Target="media/image35.emf"/><Relationship Id="rId68" Type="http://schemas.openxmlformats.org/officeDocument/2006/relationships/header" Target="header10.xml"/><Relationship Id="rId7" Type="http://schemas.openxmlformats.org/officeDocument/2006/relationships/customXml" Target="../customXml/item7.xml"/><Relationship Id="rId71"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education.gov.au/annual-reports" TargetMode="Externa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image" Target="media/image17.emf"/><Relationship Id="rId53" Type="http://schemas.openxmlformats.org/officeDocument/2006/relationships/image" Target="media/image25.emf"/><Relationship Id="rId58" Type="http://schemas.openxmlformats.org/officeDocument/2006/relationships/image" Target="media/image30.emf"/><Relationship Id="rId66" Type="http://schemas.openxmlformats.org/officeDocument/2006/relationships/footer" Target="footer7.xm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hyperlink" Target="https://www.education.gov.au/corporate-plan" TargetMode="External"/><Relationship Id="rId36" Type="http://schemas.openxmlformats.org/officeDocument/2006/relationships/image" Target="media/image8.emf"/><Relationship Id="rId49" Type="http://schemas.openxmlformats.org/officeDocument/2006/relationships/image" Target="media/image21.emf"/><Relationship Id="rId57" Type="http://schemas.openxmlformats.org/officeDocument/2006/relationships/image" Target="media/image29.emf"/><Relationship Id="rId61" Type="http://schemas.openxmlformats.org/officeDocument/2006/relationships/image" Target="media/image33.emf"/><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6.xml"/><Relationship Id="rId44" Type="http://schemas.openxmlformats.org/officeDocument/2006/relationships/image" Target="media/image16.emf"/><Relationship Id="rId52" Type="http://schemas.openxmlformats.org/officeDocument/2006/relationships/image" Target="media/image24.emf"/><Relationship Id="rId60" Type="http://schemas.openxmlformats.org/officeDocument/2006/relationships/image" Target="media/image32.emf"/><Relationship Id="rId65" Type="http://schemas.openxmlformats.org/officeDocument/2006/relationships/header" Target="header9.xml"/><Relationship Id="rId73"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image" Target="media/image7.emf"/><Relationship Id="rId43" Type="http://schemas.openxmlformats.org/officeDocument/2006/relationships/image" Target="media/image15.emf"/><Relationship Id="rId48" Type="http://schemas.openxmlformats.org/officeDocument/2006/relationships/image" Target="media/image20.emf"/><Relationship Id="rId56" Type="http://schemas.openxmlformats.org/officeDocument/2006/relationships/image" Target="media/image28.emf"/><Relationship Id="rId64" Type="http://schemas.openxmlformats.org/officeDocument/2006/relationships/header" Target="header8.xml"/><Relationship Id="rId69" Type="http://schemas.openxmlformats.org/officeDocument/2006/relationships/header" Target="header11.xml"/><Relationship Id="rId8" Type="http://schemas.openxmlformats.org/officeDocument/2006/relationships/numbering" Target="numbering.xml"/><Relationship Id="rId51" Type="http://schemas.openxmlformats.org/officeDocument/2006/relationships/image" Target="media/image23.emf"/><Relationship Id="rId72"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image" Target="media/image10.emf"/><Relationship Id="rId46" Type="http://schemas.openxmlformats.org/officeDocument/2006/relationships/image" Target="media/image18.emf"/><Relationship Id="rId59" Type="http://schemas.openxmlformats.org/officeDocument/2006/relationships/image" Target="media/image31.emf"/><Relationship Id="rId67" Type="http://schemas.openxmlformats.org/officeDocument/2006/relationships/footer" Target="footer8.xml"/><Relationship Id="rId20" Type="http://schemas.openxmlformats.org/officeDocument/2006/relationships/image" Target="media/image3.emf"/><Relationship Id="rId41" Type="http://schemas.openxmlformats.org/officeDocument/2006/relationships/image" Target="media/image13.emf"/><Relationship Id="rId54" Type="http://schemas.openxmlformats.org/officeDocument/2006/relationships/image" Target="media/image26.emf"/><Relationship Id="rId62" Type="http://schemas.openxmlformats.org/officeDocument/2006/relationships/image" Target="media/image34.emf"/><Relationship Id="rId70" Type="http://schemas.openxmlformats.org/officeDocument/2006/relationships/header" Target="header1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2" Type="http://schemas.openxmlformats.org/officeDocument/2006/relationships/hyperlink" Target="http://www.abs.gov.au/ausstats/abs@.nsf/mf/1270.0.55.001" TargetMode="External"/><Relationship Id="rId1" Type="http://schemas.openxmlformats.org/officeDocument/2006/relationships/hyperlink" Target="http://www.abs.gov.au/ausstats/abs@.nsf/mf/2033.0.5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D344904C-9F7F-4BF2-A02F-9D6411D91687}"/>
</file>

<file path=docProps/app.xml><?xml version="1.0" encoding="utf-8"?>
<Properties xmlns="http://schemas.openxmlformats.org/officeDocument/2006/extended-properties" xmlns:vt="http://schemas.openxmlformats.org/officeDocument/2006/docPropsVTypes">
  <Template>4A835883.dotm</Template>
  <TotalTime>1683</TotalTime>
  <Pages>65</Pages>
  <Words>10245</Words>
  <Characters>62381</Characters>
  <Application>Microsoft Office Word</Application>
  <DocSecurity>0</DocSecurity>
  <Lines>519</Lines>
  <Paragraphs>144</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72482</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220</cp:revision>
  <cp:lastPrinted>2019-03-31T02:40:00Z</cp:lastPrinted>
  <dcterms:created xsi:type="dcterms:W3CDTF">2018-03-13T05:02:00Z</dcterms:created>
  <dcterms:modified xsi:type="dcterms:W3CDTF">2019-04-01T06:07:00Z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