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62A" w:rsidRPr="006914A5" w:rsidRDefault="00D9262A" w:rsidP="00D9262A">
      <w:pPr>
        <w:pStyle w:val="Heading1"/>
      </w:pPr>
      <w:r w:rsidRPr="006914A5">
        <w:t xml:space="preserve">Portfolio </w:t>
      </w:r>
      <w:r w:rsidRPr="00587D0F">
        <w:t>glossary</w:t>
      </w:r>
    </w:p>
    <w:tbl>
      <w:tblPr>
        <w:tblW w:w="0" w:type="auto"/>
        <w:tblLook w:val="01E0" w:firstRow="1" w:lastRow="1" w:firstColumn="1" w:lastColumn="1" w:noHBand="0" w:noVBand="0"/>
      </w:tblPr>
      <w:tblGrid>
        <w:gridCol w:w="2943"/>
        <w:gridCol w:w="4983"/>
      </w:tblGrid>
      <w:tr w:rsidR="00D9262A" w:rsidRPr="006914A5" w:rsidTr="001F503F">
        <w:trPr>
          <w:trHeight w:val="1162"/>
        </w:trPr>
        <w:tc>
          <w:tcPr>
            <w:tcW w:w="2943" w:type="dxa"/>
          </w:tcPr>
          <w:p w:rsidR="00D9262A" w:rsidRPr="006914A5" w:rsidRDefault="00D9262A" w:rsidP="001F503F">
            <w:r w:rsidRPr="006914A5">
              <w:t>Accrual Accounting</w:t>
            </w:r>
          </w:p>
        </w:tc>
        <w:tc>
          <w:tcPr>
            <w:tcW w:w="4983" w:type="dxa"/>
          </w:tcPr>
          <w:p w:rsidR="00D9262A" w:rsidRPr="006914A5" w:rsidRDefault="00D9262A" w:rsidP="001F503F">
            <w:r w:rsidRPr="006914A5">
              <w:t xml:space="preserve">System of accounting where items are brought to account and included in the financial statements as they are earned or incurred, rather than as they are received or paid. </w:t>
            </w:r>
          </w:p>
        </w:tc>
      </w:tr>
      <w:tr w:rsidR="00D9262A" w:rsidRPr="006914A5" w:rsidTr="001F503F">
        <w:tc>
          <w:tcPr>
            <w:tcW w:w="2943" w:type="dxa"/>
          </w:tcPr>
          <w:p w:rsidR="00D9262A" w:rsidRPr="006914A5" w:rsidRDefault="00D9262A" w:rsidP="001F503F">
            <w:r w:rsidRPr="006914A5">
              <w:t>Accumulated Depreciation</w:t>
            </w:r>
          </w:p>
        </w:tc>
        <w:tc>
          <w:tcPr>
            <w:tcW w:w="4983" w:type="dxa"/>
          </w:tcPr>
          <w:p w:rsidR="00D9262A" w:rsidRPr="006914A5" w:rsidRDefault="00D9262A" w:rsidP="001F503F">
            <w:r w:rsidRPr="006914A5">
              <w:t>The aggr</w:t>
            </w:r>
            <w:r>
              <w:t>eg</w:t>
            </w:r>
            <w:r w:rsidRPr="006914A5">
              <w:t>ate depreciation recorded for a particular depreciating asset.</w:t>
            </w:r>
          </w:p>
        </w:tc>
      </w:tr>
      <w:tr w:rsidR="00D9262A" w:rsidRPr="006914A5" w:rsidTr="001F503F">
        <w:tc>
          <w:tcPr>
            <w:tcW w:w="2943" w:type="dxa"/>
          </w:tcPr>
          <w:p w:rsidR="00D9262A" w:rsidRPr="006914A5" w:rsidRDefault="00D9262A" w:rsidP="001F503F">
            <w:r w:rsidRPr="006914A5">
              <w:t xml:space="preserve">Additional Estimates </w:t>
            </w:r>
          </w:p>
        </w:tc>
        <w:tc>
          <w:tcPr>
            <w:tcW w:w="4983" w:type="dxa"/>
          </w:tcPr>
          <w:p w:rsidR="00D9262A" w:rsidRPr="006914A5" w:rsidRDefault="00D9262A" w:rsidP="001F503F">
            <w:r w:rsidRPr="006914A5">
              <w:t xml:space="preserve">Where amounts appropriated at Budget time are insufficient, Parliament may appropriate more funds to portfolios through the Additional Estimates Acts. </w:t>
            </w:r>
          </w:p>
        </w:tc>
      </w:tr>
      <w:tr w:rsidR="00D9262A" w:rsidRPr="006914A5" w:rsidTr="001F503F">
        <w:tc>
          <w:tcPr>
            <w:tcW w:w="2943" w:type="dxa"/>
          </w:tcPr>
          <w:p w:rsidR="00D9262A" w:rsidRPr="006914A5" w:rsidRDefault="00D9262A" w:rsidP="001F503F">
            <w:r w:rsidRPr="006914A5">
              <w:t>Additional Estimates Bills or Acts</w:t>
            </w:r>
          </w:p>
        </w:tc>
        <w:tc>
          <w:tcPr>
            <w:tcW w:w="4983" w:type="dxa"/>
          </w:tcPr>
          <w:p w:rsidR="00D9262A" w:rsidRPr="006914A5" w:rsidRDefault="00D9262A" w:rsidP="001F503F">
            <w:r w:rsidRPr="006914A5">
              <w:t>These are Appropriation Bills 3 and 4, and a separate Bill for the Parliamentary Departments [Appropriations (Parliamentary Departments) Bill (No. 2)]. These Bills are introduced into Parliament sometime after the Budget Bills.</w:t>
            </w:r>
          </w:p>
        </w:tc>
      </w:tr>
      <w:tr w:rsidR="00D9262A" w:rsidRPr="006914A5" w:rsidTr="001F503F">
        <w:tc>
          <w:tcPr>
            <w:tcW w:w="2943" w:type="dxa"/>
          </w:tcPr>
          <w:p w:rsidR="00D9262A" w:rsidRPr="006914A5" w:rsidRDefault="00D9262A" w:rsidP="001F503F">
            <w:r w:rsidRPr="006914A5">
              <w:t>Administered Items</w:t>
            </w:r>
          </w:p>
        </w:tc>
        <w:tc>
          <w:tcPr>
            <w:tcW w:w="4983" w:type="dxa"/>
          </w:tcPr>
          <w:p w:rsidR="00D9262A" w:rsidRPr="006914A5" w:rsidRDefault="00D9262A" w:rsidP="001F503F">
            <w:r w:rsidRPr="006914A5">
              <w:t>Expenses, revenues, assets or liabilities managed by agencies on behalf of the Commonwealth. Agencies do not control administered items. Administered expenses include grants, subsidies and benefits. In many cases, administered expenses fund the delivery of third party outputs.</w:t>
            </w:r>
          </w:p>
        </w:tc>
      </w:tr>
      <w:tr w:rsidR="00D9262A" w:rsidRPr="006914A5" w:rsidTr="001F503F">
        <w:tc>
          <w:tcPr>
            <w:tcW w:w="2943" w:type="dxa"/>
          </w:tcPr>
          <w:p w:rsidR="00D9262A" w:rsidRPr="006914A5" w:rsidRDefault="00D9262A" w:rsidP="001F503F">
            <w:r w:rsidRPr="006914A5">
              <w:t>Appropriation</w:t>
            </w:r>
          </w:p>
        </w:tc>
        <w:tc>
          <w:tcPr>
            <w:tcW w:w="4983" w:type="dxa"/>
          </w:tcPr>
          <w:p w:rsidR="00D9262A" w:rsidRPr="006914A5" w:rsidRDefault="00D9262A" w:rsidP="001F503F">
            <w:r w:rsidRPr="006914A5">
              <w:t>An authorisation by Parliament to spend moneys from the Consolidated Revenue Fund for a particular purpose.</w:t>
            </w:r>
          </w:p>
        </w:tc>
      </w:tr>
      <w:tr w:rsidR="00D9262A" w:rsidRPr="006914A5" w:rsidTr="001F503F">
        <w:tc>
          <w:tcPr>
            <w:tcW w:w="2943" w:type="dxa"/>
          </w:tcPr>
          <w:p w:rsidR="00D9262A" w:rsidRPr="006914A5" w:rsidRDefault="00D9262A" w:rsidP="001F503F">
            <w:r w:rsidRPr="006914A5">
              <w:t>Annual Appropriation</w:t>
            </w:r>
          </w:p>
        </w:tc>
        <w:tc>
          <w:tcPr>
            <w:tcW w:w="4983" w:type="dxa"/>
          </w:tcPr>
          <w:p w:rsidR="00D9262A" w:rsidRPr="006914A5" w:rsidRDefault="00D9262A" w:rsidP="001F503F">
            <w:r w:rsidRPr="006914A5">
              <w:t>Two Appropriation Bills are introduced into Parliament in May and comprise the Budget for the financial year b</w:t>
            </w:r>
            <w:r>
              <w:t>eg</w:t>
            </w:r>
            <w:r w:rsidRPr="006914A5">
              <w:t>inning 1 July. Further Bills are introduced later in the financial year as part of the additional estimates. Parliamentary departments have their own appropriations.</w:t>
            </w:r>
          </w:p>
        </w:tc>
      </w:tr>
      <w:tr w:rsidR="00D9262A" w:rsidRPr="006914A5" w:rsidTr="001F503F">
        <w:tc>
          <w:tcPr>
            <w:tcW w:w="2943" w:type="dxa"/>
          </w:tcPr>
          <w:p w:rsidR="00D9262A" w:rsidRPr="006914A5" w:rsidRDefault="00D9262A" w:rsidP="001F503F">
            <w:r w:rsidRPr="006914A5">
              <w:t>Assets</w:t>
            </w:r>
          </w:p>
        </w:tc>
        <w:tc>
          <w:tcPr>
            <w:tcW w:w="4983" w:type="dxa"/>
          </w:tcPr>
          <w:p w:rsidR="00D9262A" w:rsidRPr="006914A5" w:rsidRDefault="00D9262A" w:rsidP="001F503F">
            <w:r w:rsidRPr="006914A5">
              <w:t>Assets are physical objects and l</w:t>
            </w:r>
            <w:r>
              <w:t>eg</w:t>
            </w:r>
            <w:r w:rsidRPr="006914A5">
              <w:t xml:space="preserve">al rights it is expected will provide benefits in the future or alternatively items of value owned by an Agency. </w:t>
            </w:r>
          </w:p>
        </w:tc>
      </w:tr>
      <w:tr w:rsidR="00D9262A" w:rsidRPr="006914A5" w:rsidTr="001F503F">
        <w:tc>
          <w:tcPr>
            <w:tcW w:w="2943" w:type="dxa"/>
          </w:tcPr>
          <w:p w:rsidR="00D9262A" w:rsidRPr="006914A5" w:rsidRDefault="00D9262A" w:rsidP="001F503F">
            <w:r w:rsidRPr="006914A5">
              <w:t>Budget Measure</w:t>
            </w:r>
          </w:p>
        </w:tc>
        <w:tc>
          <w:tcPr>
            <w:tcW w:w="4983" w:type="dxa"/>
          </w:tcPr>
          <w:p w:rsidR="00D9262A" w:rsidRPr="006914A5" w:rsidRDefault="00D9262A" w:rsidP="001F503F">
            <w:r w:rsidRPr="006914A5">
              <w:t>A decision by Cabinet or Ministers and has resulted in a cost or savings to outlays.</w:t>
            </w:r>
          </w:p>
        </w:tc>
      </w:tr>
      <w:tr w:rsidR="00D9262A" w:rsidRPr="006914A5" w:rsidTr="001F503F">
        <w:tc>
          <w:tcPr>
            <w:tcW w:w="2943" w:type="dxa"/>
          </w:tcPr>
          <w:p w:rsidR="00D9262A" w:rsidRPr="006914A5" w:rsidRDefault="00D9262A" w:rsidP="001F503F">
            <w:r w:rsidRPr="006914A5">
              <w:lastRenderedPageBreak/>
              <w:t>Capital expenditure</w:t>
            </w:r>
          </w:p>
        </w:tc>
        <w:tc>
          <w:tcPr>
            <w:tcW w:w="4983" w:type="dxa"/>
          </w:tcPr>
          <w:p w:rsidR="00D9262A" w:rsidRPr="006914A5" w:rsidRDefault="00D9262A" w:rsidP="001F503F">
            <w:r w:rsidRPr="006914A5">
              <w:t>Expenditure by an agency on capital projects, for example purchasing a building.</w:t>
            </w:r>
          </w:p>
        </w:tc>
      </w:tr>
      <w:tr w:rsidR="00D9262A" w:rsidRPr="006914A5" w:rsidTr="001F503F">
        <w:tc>
          <w:tcPr>
            <w:tcW w:w="2943" w:type="dxa"/>
          </w:tcPr>
          <w:p w:rsidR="00D9262A" w:rsidRPr="006914A5" w:rsidRDefault="00D9262A" w:rsidP="001F503F">
            <w:r w:rsidRPr="006914A5">
              <w:t>Consolidated Revenue Fund</w:t>
            </w:r>
          </w:p>
        </w:tc>
        <w:tc>
          <w:tcPr>
            <w:tcW w:w="4983" w:type="dxa"/>
          </w:tcPr>
          <w:p w:rsidR="00D9262A" w:rsidRPr="006914A5" w:rsidRDefault="00D9262A" w:rsidP="001F503F">
            <w:r w:rsidRPr="006914A5">
              <w:t xml:space="preserve">Section 81 of the Constitution stipulates that all revenue raised or money received by the Commonwealth forms the one consolidated revenue fund (CRF). The CRF is not a bank account. The Official Public Account reflects most of the operations of the CRF. </w:t>
            </w:r>
          </w:p>
        </w:tc>
      </w:tr>
      <w:tr w:rsidR="00D9262A" w:rsidRPr="006914A5" w:rsidTr="001F503F">
        <w:tc>
          <w:tcPr>
            <w:tcW w:w="2943" w:type="dxa"/>
          </w:tcPr>
          <w:p w:rsidR="00D9262A" w:rsidRPr="006914A5" w:rsidRDefault="00D9262A" w:rsidP="001F503F">
            <w:r w:rsidRPr="006914A5">
              <w:t>Departmental items</w:t>
            </w:r>
          </w:p>
        </w:tc>
        <w:tc>
          <w:tcPr>
            <w:tcW w:w="4983" w:type="dxa"/>
          </w:tcPr>
          <w:p w:rsidR="00D9262A" w:rsidRPr="006914A5" w:rsidRDefault="00D9262A" w:rsidP="001F503F">
            <w:r w:rsidRPr="006914A5">
              <w:t xml:space="preserve">Assets, liabilities, revenues and expenses that are controlled by the agency in providing its outputs. Departmental items would generally include computers, plant and equipment assets used by agencies in providing goods and services and most employee expenses, supplier costs and other administrative expenses incurred. </w:t>
            </w:r>
          </w:p>
        </w:tc>
      </w:tr>
      <w:tr w:rsidR="00D9262A" w:rsidRPr="006914A5" w:rsidTr="001F503F">
        <w:tc>
          <w:tcPr>
            <w:tcW w:w="2943" w:type="dxa"/>
          </w:tcPr>
          <w:p w:rsidR="00D9262A" w:rsidRPr="006914A5" w:rsidRDefault="00D9262A" w:rsidP="001F503F">
            <w:r w:rsidRPr="006914A5">
              <w:t>Depreciation</w:t>
            </w:r>
          </w:p>
        </w:tc>
        <w:tc>
          <w:tcPr>
            <w:tcW w:w="4983" w:type="dxa"/>
          </w:tcPr>
          <w:p w:rsidR="00D9262A" w:rsidRPr="006914A5" w:rsidRDefault="00D9262A" w:rsidP="001F503F">
            <w:r w:rsidRPr="006914A5">
              <w:t>Apportionment of an asset’s capital value as an expense over its estimated useful life to take account of normal usage, obsolescence, or the passage of time.</w:t>
            </w:r>
          </w:p>
        </w:tc>
      </w:tr>
      <w:tr w:rsidR="00D9262A" w:rsidRPr="006914A5" w:rsidTr="001F503F">
        <w:tc>
          <w:tcPr>
            <w:tcW w:w="2943" w:type="dxa"/>
          </w:tcPr>
          <w:p w:rsidR="00D9262A" w:rsidRPr="006914A5" w:rsidRDefault="00D9262A" w:rsidP="001F503F">
            <w:r w:rsidRPr="006914A5">
              <w:t>Effectiveness indicators</w:t>
            </w:r>
          </w:p>
        </w:tc>
        <w:tc>
          <w:tcPr>
            <w:tcW w:w="4983" w:type="dxa"/>
          </w:tcPr>
          <w:p w:rsidR="00D9262A" w:rsidRPr="006914A5" w:rsidRDefault="00D9262A" w:rsidP="001F503F">
            <w:r w:rsidRPr="006914A5">
              <w:t>Measures the joint or independent contribution of outputs and administered items to the achievement of their specified outcome.</w:t>
            </w:r>
          </w:p>
        </w:tc>
      </w:tr>
      <w:tr w:rsidR="00D9262A" w:rsidRPr="006914A5" w:rsidTr="001F503F">
        <w:tc>
          <w:tcPr>
            <w:tcW w:w="2943" w:type="dxa"/>
          </w:tcPr>
          <w:p w:rsidR="00D9262A" w:rsidRPr="006914A5" w:rsidRDefault="00D9262A" w:rsidP="001F503F">
            <w:r w:rsidRPr="006914A5">
              <w:t>Efficiency indicators</w:t>
            </w:r>
          </w:p>
        </w:tc>
        <w:tc>
          <w:tcPr>
            <w:tcW w:w="4983" w:type="dxa"/>
          </w:tcPr>
          <w:p w:rsidR="00D9262A" w:rsidRPr="006914A5" w:rsidRDefault="00D9262A" w:rsidP="001F503F">
            <w:r w:rsidRPr="006914A5">
              <w:t>Measures the adequacy of an agency's management of its outputs (and where applicable, administered items).</w:t>
            </w:r>
            <w:r>
              <w:t xml:space="preserve"> </w:t>
            </w:r>
            <w:r w:rsidRPr="006914A5">
              <w:t>Includes Price, Quality and Quantity indicators. The interrelationship between the three efficiency indicators of any one output should be considered when judging efficiency.</w:t>
            </w:r>
          </w:p>
        </w:tc>
      </w:tr>
      <w:tr w:rsidR="00D9262A" w:rsidRPr="006914A5" w:rsidTr="001F503F">
        <w:tc>
          <w:tcPr>
            <w:tcW w:w="2943" w:type="dxa"/>
          </w:tcPr>
          <w:p w:rsidR="00D9262A" w:rsidRPr="006914A5" w:rsidRDefault="00D9262A" w:rsidP="001F503F">
            <w:r w:rsidRPr="006914A5">
              <w:t>Equity or net assets</w:t>
            </w:r>
          </w:p>
        </w:tc>
        <w:tc>
          <w:tcPr>
            <w:tcW w:w="4983" w:type="dxa"/>
          </w:tcPr>
          <w:p w:rsidR="00D9262A" w:rsidRPr="006914A5" w:rsidRDefault="00D9262A" w:rsidP="001F503F">
            <w:r w:rsidRPr="006914A5">
              <w:t>Residual interest in the assets of an entity after deduction of its liabilities.</w:t>
            </w:r>
          </w:p>
        </w:tc>
      </w:tr>
      <w:tr w:rsidR="00D9262A" w:rsidRPr="006914A5" w:rsidTr="001F503F">
        <w:tc>
          <w:tcPr>
            <w:tcW w:w="2943" w:type="dxa"/>
          </w:tcPr>
          <w:p w:rsidR="00D9262A" w:rsidRPr="006914A5" w:rsidRDefault="00D9262A" w:rsidP="001F503F">
            <w:r w:rsidRPr="006914A5">
              <w:t>Expenses</w:t>
            </w:r>
          </w:p>
        </w:tc>
        <w:tc>
          <w:tcPr>
            <w:tcW w:w="4983" w:type="dxa"/>
          </w:tcPr>
          <w:p w:rsidR="00D9262A" w:rsidRPr="006914A5" w:rsidRDefault="00D9262A" w:rsidP="001F503F">
            <w:r w:rsidRPr="006914A5">
              <w:t>Total value of all of the resources consumed in producing goods and services or the loss of future economic benefits in the form of reductions in assets or increases in liabilities of an entity.</w:t>
            </w:r>
          </w:p>
        </w:tc>
      </w:tr>
    </w:tbl>
    <w:p w:rsidR="00D9262A" w:rsidRDefault="00D9262A">
      <w:r>
        <w:br w:type="page"/>
      </w:r>
    </w:p>
    <w:tbl>
      <w:tblPr>
        <w:tblW w:w="0" w:type="auto"/>
        <w:tblLook w:val="01E0" w:firstRow="1" w:lastRow="1" w:firstColumn="1" w:lastColumn="1" w:noHBand="0" w:noVBand="0"/>
      </w:tblPr>
      <w:tblGrid>
        <w:gridCol w:w="2943"/>
        <w:gridCol w:w="4983"/>
      </w:tblGrid>
      <w:tr w:rsidR="00D9262A" w:rsidRPr="006914A5" w:rsidTr="001F503F">
        <w:tc>
          <w:tcPr>
            <w:tcW w:w="2943" w:type="dxa"/>
          </w:tcPr>
          <w:p w:rsidR="00D9262A" w:rsidRPr="006914A5" w:rsidRDefault="00D9262A" w:rsidP="001F503F">
            <w:r w:rsidRPr="006914A5">
              <w:lastRenderedPageBreak/>
              <w:t>Fair value</w:t>
            </w:r>
          </w:p>
        </w:tc>
        <w:tc>
          <w:tcPr>
            <w:tcW w:w="4983" w:type="dxa"/>
          </w:tcPr>
          <w:p w:rsidR="00D9262A" w:rsidRPr="006914A5" w:rsidRDefault="00D9262A" w:rsidP="001F503F">
            <w:r w:rsidRPr="006914A5">
              <w:t>Valuation methodology: The amount for which an asset could be exchanged or a liability settled, between knowledgeable and willing parties in an arm’s length transaction.</w:t>
            </w:r>
            <w:r>
              <w:t xml:space="preserve"> </w:t>
            </w:r>
            <w:r w:rsidRPr="006914A5">
              <w:t>The fair value can be affected by the conditions of the sale, market conditions and the intentions of the asset holder.</w:t>
            </w:r>
          </w:p>
        </w:tc>
      </w:tr>
      <w:tr w:rsidR="00D9262A" w:rsidRPr="006914A5" w:rsidTr="001F503F">
        <w:tc>
          <w:tcPr>
            <w:tcW w:w="2943" w:type="dxa"/>
          </w:tcPr>
          <w:p w:rsidR="00D9262A" w:rsidRPr="006914A5" w:rsidRDefault="00D9262A" w:rsidP="001F503F">
            <w:pPr>
              <w:rPr>
                <w:i/>
              </w:rPr>
            </w:pPr>
            <w:r w:rsidRPr="006914A5">
              <w:rPr>
                <w:i/>
              </w:rPr>
              <w:t>Financial Management and Accountability (FMA) Act 1997</w:t>
            </w:r>
          </w:p>
        </w:tc>
        <w:tc>
          <w:tcPr>
            <w:tcW w:w="4983" w:type="dxa"/>
          </w:tcPr>
          <w:p w:rsidR="00D9262A" w:rsidRPr="006914A5" w:rsidRDefault="00D9262A" w:rsidP="001F503F">
            <w:r w:rsidRPr="006914A5">
              <w:t>The principal l</w:t>
            </w:r>
            <w:r>
              <w:t>eg</w:t>
            </w:r>
            <w:r w:rsidRPr="006914A5">
              <w:t>islation governing the proper use and management of public money and public property and other Australian Government resources. FMA R</w:t>
            </w:r>
            <w:r>
              <w:t>eg</w:t>
            </w:r>
            <w:r w:rsidRPr="006914A5">
              <w:t>ulations and FMA Orders are made pursuant to the Act.</w:t>
            </w:r>
          </w:p>
        </w:tc>
      </w:tr>
      <w:tr w:rsidR="00D9262A" w:rsidRPr="006914A5" w:rsidTr="001F503F">
        <w:tc>
          <w:tcPr>
            <w:tcW w:w="2943" w:type="dxa"/>
          </w:tcPr>
          <w:p w:rsidR="00D9262A" w:rsidRPr="006914A5" w:rsidRDefault="00D9262A" w:rsidP="001F503F">
            <w:r>
              <w:br w:type="page"/>
            </w:r>
            <w:r w:rsidRPr="006914A5">
              <w:t>Financing transactions</w:t>
            </w:r>
          </w:p>
        </w:tc>
        <w:tc>
          <w:tcPr>
            <w:tcW w:w="4983" w:type="dxa"/>
          </w:tcPr>
          <w:p w:rsidR="00D9262A" w:rsidRPr="006914A5" w:rsidRDefault="00D9262A" w:rsidP="001F503F">
            <w:r w:rsidRPr="006914A5">
              <w:t>The Government funds shortfalls in revenue over outlays by borrowing from financial markets or running down financial assets. Such activities are r</w:t>
            </w:r>
            <w:r>
              <w:t>eg</w:t>
            </w:r>
            <w:r w:rsidRPr="006914A5">
              <w:t>arded as financing transactions. If a surplus of revenue over outlays is recorded then financing transactions will show how the surplus is used.</w:t>
            </w:r>
          </w:p>
        </w:tc>
      </w:tr>
      <w:tr w:rsidR="00D9262A" w:rsidRPr="006914A5" w:rsidTr="001F503F">
        <w:tc>
          <w:tcPr>
            <w:tcW w:w="2943" w:type="dxa"/>
          </w:tcPr>
          <w:p w:rsidR="00D9262A" w:rsidRPr="006914A5" w:rsidRDefault="00D9262A" w:rsidP="001F503F">
            <w:r w:rsidRPr="006914A5">
              <w:t>Forward estimates</w:t>
            </w:r>
          </w:p>
        </w:tc>
        <w:tc>
          <w:tcPr>
            <w:tcW w:w="4983" w:type="dxa"/>
          </w:tcPr>
          <w:p w:rsidR="00D9262A" w:rsidRPr="006914A5" w:rsidRDefault="00D9262A" w:rsidP="001F503F">
            <w:r w:rsidRPr="006914A5">
              <w:t xml:space="preserve">A system of rolling three year financial estimates. After the budget is passed, the first year of the forward estimates becomes the base for the next year’s budget bid, and another out-year is added to the forward estimates. </w:t>
            </w:r>
          </w:p>
        </w:tc>
      </w:tr>
      <w:tr w:rsidR="00D9262A" w:rsidRPr="006914A5" w:rsidTr="001F503F">
        <w:tc>
          <w:tcPr>
            <w:tcW w:w="2943" w:type="dxa"/>
          </w:tcPr>
          <w:p w:rsidR="00D9262A" w:rsidRPr="006914A5" w:rsidRDefault="00D9262A" w:rsidP="001F503F">
            <w:r w:rsidRPr="006914A5">
              <w:t>Government Finance Statistics (GFS)</w:t>
            </w:r>
          </w:p>
        </w:tc>
        <w:tc>
          <w:tcPr>
            <w:tcW w:w="4983" w:type="dxa"/>
          </w:tcPr>
          <w:p w:rsidR="00D9262A" w:rsidRPr="006914A5" w:rsidRDefault="00D9262A" w:rsidP="001F503F">
            <w:r w:rsidRPr="006914A5">
              <w:t>The GFS reporting framework is a specialised statistical system designed to support economic analysis of the public sector. It allows comprehensive assessments to be made of the economic impact of government and is consistent with international statistical standards (the System of National Accounts 1993 (SNA93) and the International Monetary Funds’ A Manual on Government Finance Statistics 2001).</w:t>
            </w:r>
          </w:p>
        </w:tc>
      </w:tr>
      <w:tr w:rsidR="00D9262A" w:rsidRPr="006914A5" w:rsidTr="001F503F">
        <w:tc>
          <w:tcPr>
            <w:tcW w:w="2943" w:type="dxa"/>
          </w:tcPr>
          <w:p w:rsidR="00D9262A" w:rsidRPr="006914A5" w:rsidRDefault="00D9262A" w:rsidP="001F503F">
            <w:r w:rsidRPr="006914A5">
              <w:t>Liabilities</w:t>
            </w:r>
          </w:p>
        </w:tc>
        <w:tc>
          <w:tcPr>
            <w:tcW w:w="4983" w:type="dxa"/>
          </w:tcPr>
          <w:p w:rsidR="00D9262A" w:rsidRPr="006914A5" w:rsidRDefault="00D9262A" w:rsidP="001F503F">
            <w:r w:rsidRPr="006914A5">
              <w:t>Liabilities represent amounts owing on goods or services that have been received but not yet paid for. A liability shows the future commitment of the Agency’s assets.</w:t>
            </w:r>
          </w:p>
        </w:tc>
      </w:tr>
      <w:tr w:rsidR="00D9262A" w:rsidRPr="006914A5" w:rsidTr="001F503F">
        <w:tc>
          <w:tcPr>
            <w:tcW w:w="2943" w:type="dxa"/>
          </w:tcPr>
          <w:p w:rsidR="00D9262A" w:rsidRPr="006914A5" w:rsidRDefault="00D9262A" w:rsidP="001F503F">
            <w:r w:rsidRPr="006914A5">
              <w:t>Loan Fund</w:t>
            </w:r>
          </w:p>
        </w:tc>
        <w:tc>
          <w:tcPr>
            <w:tcW w:w="4983" w:type="dxa"/>
          </w:tcPr>
          <w:p w:rsidR="00D9262A" w:rsidRPr="006914A5" w:rsidRDefault="00D9262A" w:rsidP="001F503F">
            <w:r w:rsidRPr="006914A5">
              <w:t xml:space="preserve">Established by the FMA Act 1997, the Loan Fund contains all monies raised by loans on the public credit of the Australian Government. Expenditure from the Loan Fund is limited to the purpose for which monies were raised. </w:t>
            </w:r>
          </w:p>
        </w:tc>
      </w:tr>
      <w:tr w:rsidR="00D9262A" w:rsidRPr="006914A5" w:rsidTr="001F503F">
        <w:tc>
          <w:tcPr>
            <w:tcW w:w="2943" w:type="dxa"/>
          </w:tcPr>
          <w:p w:rsidR="00D9262A" w:rsidRPr="006914A5" w:rsidRDefault="00D9262A" w:rsidP="001F503F">
            <w:pPr>
              <w:jc w:val="left"/>
            </w:pPr>
            <w:r w:rsidRPr="006914A5">
              <w:lastRenderedPageBreak/>
              <w:t>Net annotated appropriation (Section 31 Receipts)</w:t>
            </w:r>
          </w:p>
        </w:tc>
        <w:tc>
          <w:tcPr>
            <w:tcW w:w="4983" w:type="dxa"/>
          </w:tcPr>
          <w:p w:rsidR="00D9262A" w:rsidRPr="006914A5" w:rsidRDefault="00D9262A" w:rsidP="001F503F">
            <w:r w:rsidRPr="006914A5">
              <w:t>Section 31 receipts, also known as net annotated appropriations, are a form of appropriation which allows a department access to certain money it receives in payment of services. These monies are known as Section 31 Receipts, reflecting their authority under Section 31 of the FMA Act 1997.</w:t>
            </w:r>
          </w:p>
        </w:tc>
      </w:tr>
      <w:tr w:rsidR="00D9262A" w:rsidRPr="006914A5" w:rsidTr="001F503F">
        <w:tc>
          <w:tcPr>
            <w:tcW w:w="2943" w:type="dxa"/>
          </w:tcPr>
          <w:p w:rsidR="00D9262A" w:rsidRPr="006914A5" w:rsidRDefault="00D9262A" w:rsidP="001F503F">
            <w:r w:rsidRPr="006914A5">
              <w:t>Operating result</w:t>
            </w:r>
          </w:p>
        </w:tc>
        <w:tc>
          <w:tcPr>
            <w:tcW w:w="4983" w:type="dxa"/>
          </w:tcPr>
          <w:p w:rsidR="00D9262A" w:rsidRPr="006914A5" w:rsidRDefault="00D9262A" w:rsidP="001F503F">
            <w:r w:rsidRPr="006914A5">
              <w:t xml:space="preserve">Equals revenue less expenses. </w:t>
            </w:r>
          </w:p>
        </w:tc>
      </w:tr>
      <w:tr w:rsidR="00D9262A" w:rsidRPr="006914A5" w:rsidTr="001F503F">
        <w:tc>
          <w:tcPr>
            <w:tcW w:w="2943" w:type="dxa"/>
          </w:tcPr>
          <w:p w:rsidR="00D9262A" w:rsidRPr="006914A5" w:rsidRDefault="00D9262A" w:rsidP="001F503F">
            <w:r w:rsidRPr="006914A5">
              <w:t>Outcomes</w:t>
            </w:r>
          </w:p>
        </w:tc>
        <w:tc>
          <w:tcPr>
            <w:tcW w:w="4983" w:type="dxa"/>
          </w:tcPr>
          <w:p w:rsidR="00D9262A" w:rsidRPr="006914A5" w:rsidRDefault="00D9262A" w:rsidP="001F503F">
            <w:r w:rsidRPr="006914A5">
              <w:t>The Government's objectives in each portfolio area. Outcomes are desired results, impacts or consequences for the Australian community as influenced by the actions of the Australian Government. Actual outcomes are assessments of the end-results or impacts actually achieved.</w:t>
            </w:r>
          </w:p>
        </w:tc>
      </w:tr>
      <w:tr w:rsidR="00D9262A" w:rsidRPr="006914A5" w:rsidTr="001F503F">
        <w:tc>
          <w:tcPr>
            <w:tcW w:w="2943" w:type="dxa"/>
          </w:tcPr>
          <w:p w:rsidR="00D9262A" w:rsidRPr="006914A5" w:rsidRDefault="00D9262A" w:rsidP="001F503F">
            <w:r w:rsidRPr="006914A5">
              <w:t>Portfolio Budget Statements</w:t>
            </w:r>
          </w:p>
        </w:tc>
        <w:tc>
          <w:tcPr>
            <w:tcW w:w="4983" w:type="dxa"/>
          </w:tcPr>
          <w:p w:rsidR="00D9262A" w:rsidRPr="006914A5" w:rsidRDefault="00D9262A" w:rsidP="001F503F">
            <w:r w:rsidRPr="006914A5">
              <w:t>Statements prepared by portfolios to explain the budget appropriations in terms of outcomes.</w:t>
            </w:r>
          </w:p>
        </w:tc>
      </w:tr>
      <w:tr w:rsidR="00D9262A" w:rsidRPr="006914A5" w:rsidTr="001F503F">
        <w:tc>
          <w:tcPr>
            <w:tcW w:w="2943" w:type="dxa"/>
          </w:tcPr>
          <w:p w:rsidR="00D9262A" w:rsidRPr="006914A5" w:rsidRDefault="00D9262A" w:rsidP="001F503F">
            <w:r w:rsidRPr="006914A5">
              <w:t>Receipts</w:t>
            </w:r>
          </w:p>
        </w:tc>
        <w:tc>
          <w:tcPr>
            <w:tcW w:w="4983" w:type="dxa"/>
          </w:tcPr>
          <w:p w:rsidR="00D9262A" w:rsidRPr="006914A5" w:rsidRDefault="00D9262A" w:rsidP="001F503F">
            <w:r w:rsidRPr="006914A5">
              <w:t>The total or gross amount received by the Australian Government. Each receipt item is either revenue, an offset within outlays, or a financing transaction. Receipts include taxes, interest, charges for goods and services, borrowings and Government Business Enterprise (GBE) dividends received.</w:t>
            </w:r>
          </w:p>
        </w:tc>
      </w:tr>
      <w:tr w:rsidR="00D9262A" w:rsidRPr="006914A5" w:rsidTr="001F503F">
        <w:tc>
          <w:tcPr>
            <w:tcW w:w="2943" w:type="dxa"/>
          </w:tcPr>
          <w:p w:rsidR="00D9262A" w:rsidRPr="006914A5" w:rsidRDefault="00D9262A" w:rsidP="001F503F">
            <w:r w:rsidRPr="006914A5">
              <w:t>Revenue</w:t>
            </w:r>
          </w:p>
        </w:tc>
        <w:tc>
          <w:tcPr>
            <w:tcW w:w="4983" w:type="dxa"/>
          </w:tcPr>
          <w:p w:rsidR="00D9262A" w:rsidRPr="006914A5" w:rsidRDefault="00D9262A" w:rsidP="001F503F">
            <w:r w:rsidRPr="006914A5">
              <w:t>Total value of resources earned or received to cover the production of goods and services.</w:t>
            </w:r>
          </w:p>
        </w:tc>
      </w:tr>
      <w:tr w:rsidR="00D9262A" w:rsidRPr="006914A5" w:rsidTr="001F503F">
        <w:tc>
          <w:tcPr>
            <w:tcW w:w="2943" w:type="dxa"/>
          </w:tcPr>
          <w:p w:rsidR="00D9262A" w:rsidRPr="006914A5" w:rsidRDefault="00D9262A" w:rsidP="001F503F">
            <w:r w:rsidRPr="006914A5">
              <w:t>Section 31 Receipts</w:t>
            </w:r>
          </w:p>
        </w:tc>
        <w:tc>
          <w:tcPr>
            <w:tcW w:w="4983" w:type="dxa"/>
          </w:tcPr>
          <w:p w:rsidR="00D9262A" w:rsidRPr="006914A5" w:rsidRDefault="00D9262A" w:rsidP="001F503F">
            <w:r w:rsidRPr="006914A5">
              <w:t xml:space="preserve">See net annotated appropriation. </w:t>
            </w:r>
          </w:p>
        </w:tc>
      </w:tr>
      <w:tr w:rsidR="00D9262A" w:rsidRPr="006914A5" w:rsidTr="001F503F">
        <w:tc>
          <w:tcPr>
            <w:tcW w:w="2943" w:type="dxa"/>
          </w:tcPr>
          <w:p w:rsidR="00D9262A" w:rsidRPr="006914A5" w:rsidRDefault="00D9262A" w:rsidP="001F503F">
            <w:r w:rsidRPr="006914A5">
              <w:t>Special Account</w:t>
            </w:r>
          </w:p>
        </w:tc>
        <w:tc>
          <w:tcPr>
            <w:tcW w:w="4983" w:type="dxa"/>
          </w:tcPr>
          <w:p w:rsidR="00D9262A" w:rsidRPr="006914A5" w:rsidRDefault="00D9262A" w:rsidP="001F503F">
            <w:r w:rsidRPr="006914A5">
              <w:t>Balances existing within the Consolidated Revenue Fund (CRF) that are supported by standing appropriations (FMA Act 1997, ss.20 and 21). Special accounts allow money in the CRF to be acknowledged as set-aside (hypothecated) for a particular purpose. Amounts credited to a Special Account may only be spent for the purposes of the Special Account. Special Accounts can only be established by a written determination of the Finance Minister (s.20 of the FMA Act 1997) or through an Act of Parliament (referred to in s.21 of the FMA Act 1997).</w:t>
            </w:r>
          </w:p>
        </w:tc>
      </w:tr>
    </w:tbl>
    <w:p w:rsidR="00D9262A" w:rsidRDefault="00D9262A">
      <w:r>
        <w:br w:type="page"/>
      </w:r>
    </w:p>
    <w:tbl>
      <w:tblPr>
        <w:tblW w:w="0" w:type="auto"/>
        <w:tblLook w:val="01E0" w:firstRow="1" w:lastRow="1" w:firstColumn="1" w:lastColumn="1" w:noHBand="0" w:noVBand="0"/>
      </w:tblPr>
      <w:tblGrid>
        <w:gridCol w:w="2943"/>
        <w:gridCol w:w="4983"/>
      </w:tblGrid>
      <w:tr w:rsidR="00D9262A" w:rsidRPr="006914A5" w:rsidTr="001F503F">
        <w:tc>
          <w:tcPr>
            <w:tcW w:w="2943" w:type="dxa"/>
          </w:tcPr>
          <w:p w:rsidR="00D9262A" w:rsidRPr="006914A5" w:rsidRDefault="00D9262A" w:rsidP="001F503F">
            <w:pPr>
              <w:jc w:val="left"/>
            </w:pPr>
            <w:r w:rsidRPr="006914A5">
              <w:lastRenderedPageBreak/>
              <w:t>Special Appropriations (including Standing Appropriations)</w:t>
            </w:r>
          </w:p>
        </w:tc>
        <w:tc>
          <w:tcPr>
            <w:tcW w:w="4983" w:type="dxa"/>
          </w:tcPr>
          <w:p w:rsidR="00D9262A" w:rsidRPr="006914A5" w:rsidRDefault="00D9262A" w:rsidP="001F503F">
            <w:r w:rsidRPr="006914A5">
              <w:t>An amount of money appropriated by a particular Act of Parliament for a specific purpose and number of years. For special appropriations the authority to withdraw funds from the Consolidated Revenue Fund does not generally cease at the end of the financial year. Standing appropriations are a sub</w:t>
            </w:r>
            <w:r w:rsidRPr="006914A5">
              <w:noBreakHyphen/>
              <w:t>cat</w:t>
            </w:r>
            <w:r>
              <w:t>eg</w:t>
            </w:r>
            <w:r w:rsidRPr="006914A5">
              <w:t>ory consisting of ongoing special appropriations — the amount appropriated will depend on circumstances specified in the l</w:t>
            </w:r>
            <w:r>
              <w:t>eg</w:t>
            </w:r>
            <w:r w:rsidRPr="006914A5">
              <w:t>islation.</w:t>
            </w:r>
          </w:p>
        </w:tc>
      </w:tr>
    </w:tbl>
    <w:p w:rsidR="00D9262A" w:rsidRPr="006914A5" w:rsidRDefault="00D9262A" w:rsidP="00D9262A"/>
    <w:p w:rsidR="00D9262A" w:rsidRPr="006914A5" w:rsidRDefault="00D9262A" w:rsidP="00D9262A">
      <w:pPr>
        <w:rPr>
          <w:rFonts w:ascii="Arial" w:hAnsi="Arial" w:cs="Arial"/>
          <w:color w:val="FF0000"/>
        </w:rPr>
      </w:pPr>
    </w:p>
    <w:p w:rsidR="00D9262A" w:rsidRDefault="00D9262A" w:rsidP="00D9262A">
      <w:pPr>
        <w:pStyle w:val="Heading1"/>
      </w:pPr>
      <w:r w:rsidRPr="006914A5">
        <w:br w:type="page"/>
      </w:r>
      <w:r w:rsidRPr="006914A5">
        <w:lastRenderedPageBreak/>
        <w:t xml:space="preserve">Portfolio </w:t>
      </w:r>
      <w:r w:rsidRPr="00587D0F">
        <w:t>Acronyms</w:t>
      </w:r>
    </w:p>
    <w:tbl>
      <w:tblPr>
        <w:tblW w:w="7927" w:type="dxa"/>
        <w:tblLayout w:type="fixed"/>
        <w:tblLook w:val="01E0" w:firstRow="1" w:lastRow="1" w:firstColumn="1" w:lastColumn="1" w:noHBand="0" w:noVBand="0"/>
      </w:tblPr>
      <w:tblGrid>
        <w:gridCol w:w="2660"/>
        <w:gridCol w:w="5267"/>
      </w:tblGrid>
      <w:tr w:rsidR="00D9262A" w:rsidRPr="008A7EF0" w:rsidTr="001F503F">
        <w:trPr>
          <w:cantSplit/>
          <w:trHeight w:val="70"/>
        </w:trPr>
        <w:tc>
          <w:tcPr>
            <w:tcW w:w="2660" w:type="dxa"/>
          </w:tcPr>
          <w:p w:rsidR="00D9262A" w:rsidRPr="008A7EF0" w:rsidRDefault="00D9262A" w:rsidP="001F503F">
            <w:r w:rsidRPr="008A7EF0">
              <w:t>AAO</w:t>
            </w:r>
          </w:p>
        </w:tc>
        <w:tc>
          <w:tcPr>
            <w:tcW w:w="5267" w:type="dxa"/>
          </w:tcPr>
          <w:p w:rsidR="00D9262A" w:rsidRPr="008A7EF0" w:rsidRDefault="00D9262A" w:rsidP="001F503F">
            <w:pPr>
              <w:jc w:val="left"/>
            </w:pPr>
            <w:r w:rsidRPr="008A7EF0">
              <w:t>Administrative Arrangements Order</w:t>
            </w:r>
          </w:p>
        </w:tc>
      </w:tr>
      <w:tr w:rsidR="00D9262A" w:rsidRPr="008A7EF0" w:rsidTr="001F503F">
        <w:trPr>
          <w:cantSplit/>
          <w:trHeight w:val="70"/>
        </w:trPr>
        <w:tc>
          <w:tcPr>
            <w:tcW w:w="2660" w:type="dxa"/>
          </w:tcPr>
          <w:p w:rsidR="00D9262A" w:rsidRPr="008A7EF0" w:rsidRDefault="00D9262A" w:rsidP="001F503F">
            <w:r w:rsidRPr="008A7EF0">
              <w:t>ABCC</w:t>
            </w:r>
          </w:p>
        </w:tc>
        <w:tc>
          <w:tcPr>
            <w:tcW w:w="5267" w:type="dxa"/>
          </w:tcPr>
          <w:p w:rsidR="00D9262A" w:rsidRPr="008A7EF0" w:rsidRDefault="00D9262A" w:rsidP="001F503F">
            <w:pPr>
              <w:jc w:val="left"/>
            </w:pPr>
            <w:r w:rsidRPr="008A7EF0">
              <w:t>Office of the Australian Building and Construction Commissioner</w:t>
            </w:r>
          </w:p>
        </w:tc>
      </w:tr>
      <w:tr w:rsidR="00D9262A" w:rsidRPr="008A7EF0" w:rsidTr="001F503F">
        <w:trPr>
          <w:cantSplit/>
          <w:trHeight w:val="70"/>
        </w:trPr>
        <w:tc>
          <w:tcPr>
            <w:tcW w:w="2660" w:type="dxa"/>
          </w:tcPr>
          <w:p w:rsidR="00D9262A" w:rsidRPr="008A7EF0" w:rsidRDefault="00D9262A" w:rsidP="001F503F">
            <w:r w:rsidRPr="008A7EF0">
              <w:t>ABS</w:t>
            </w:r>
          </w:p>
        </w:tc>
        <w:tc>
          <w:tcPr>
            <w:tcW w:w="5267" w:type="dxa"/>
          </w:tcPr>
          <w:p w:rsidR="00D9262A" w:rsidRPr="008A7EF0" w:rsidRDefault="00D9262A" w:rsidP="001F503F">
            <w:pPr>
              <w:jc w:val="left"/>
            </w:pPr>
            <w:r w:rsidRPr="008A7EF0">
              <w:t>Australian Bureau of Statistics</w:t>
            </w:r>
          </w:p>
        </w:tc>
      </w:tr>
      <w:tr w:rsidR="00D9262A" w:rsidRPr="008A7EF0" w:rsidTr="001F503F">
        <w:trPr>
          <w:cantSplit/>
          <w:trHeight w:val="70"/>
        </w:trPr>
        <w:tc>
          <w:tcPr>
            <w:tcW w:w="2660" w:type="dxa"/>
          </w:tcPr>
          <w:p w:rsidR="00D9262A" w:rsidRPr="008A7EF0" w:rsidRDefault="00D9262A" w:rsidP="001F503F">
            <w:r w:rsidRPr="008A7EF0">
              <w:t>ACARA</w:t>
            </w:r>
          </w:p>
        </w:tc>
        <w:tc>
          <w:tcPr>
            <w:tcW w:w="5267" w:type="dxa"/>
          </w:tcPr>
          <w:p w:rsidR="00D9262A" w:rsidRPr="008A7EF0" w:rsidRDefault="00D9262A" w:rsidP="001F503F">
            <w:pPr>
              <w:jc w:val="left"/>
            </w:pPr>
            <w:r w:rsidRPr="008A7EF0">
              <w:t>Australian Curriculum Assessment and Reporting Authority</w:t>
            </w:r>
          </w:p>
        </w:tc>
      </w:tr>
      <w:tr w:rsidR="002B4F31" w:rsidRPr="008A7EF0" w:rsidTr="001F503F">
        <w:trPr>
          <w:cantSplit/>
          <w:trHeight w:val="70"/>
        </w:trPr>
        <w:tc>
          <w:tcPr>
            <w:tcW w:w="2660" w:type="dxa"/>
          </w:tcPr>
          <w:p w:rsidR="002B4F31" w:rsidRPr="008A7EF0" w:rsidRDefault="002B4F31" w:rsidP="001F503F">
            <w:r>
              <w:t>AEIFRS</w:t>
            </w:r>
          </w:p>
        </w:tc>
        <w:tc>
          <w:tcPr>
            <w:tcW w:w="5267" w:type="dxa"/>
          </w:tcPr>
          <w:p w:rsidR="002B4F31" w:rsidRPr="008A7EF0" w:rsidRDefault="002B4F31" w:rsidP="001F503F">
            <w:pPr>
              <w:jc w:val="left"/>
            </w:pPr>
            <w:r w:rsidRPr="00D32DE9">
              <w:t>Australian Equivalents to International Financial Reporting Standards</w:t>
            </w:r>
          </w:p>
        </w:tc>
      </w:tr>
      <w:tr w:rsidR="00D9262A" w:rsidRPr="008A7EF0" w:rsidTr="001F503F">
        <w:trPr>
          <w:cantSplit/>
          <w:trHeight w:val="70"/>
        </w:trPr>
        <w:tc>
          <w:tcPr>
            <w:tcW w:w="2660" w:type="dxa"/>
          </w:tcPr>
          <w:p w:rsidR="00D9262A" w:rsidRPr="008A7EF0" w:rsidRDefault="00D9262A" w:rsidP="001F503F">
            <w:r w:rsidRPr="008A7EF0">
              <w:t>AGIE</w:t>
            </w:r>
          </w:p>
        </w:tc>
        <w:tc>
          <w:tcPr>
            <w:tcW w:w="5267" w:type="dxa"/>
          </w:tcPr>
          <w:p w:rsidR="00D9262A" w:rsidRPr="008A7EF0" w:rsidRDefault="00D9262A" w:rsidP="001F503F">
            <w:pPr>
              <w:jc w:val="left"/>
            </w:pPr>
            <w:r w:rsidRPr="008A7EF0">
              <w:t>Australian Government Indigenous Expenditure</w:t>
            </w:r>
          </w:p>
        </w:tc>
      </w:tr>
      <w:tr w:rsidR="00D9262A" w:rsidRPr="008A7EF0" w:rsidTr="001F503F">
        <w:trPr>
          <w:cantSplit/>
          <w:trHeight w:val="70"/>
        </w:trPr>
        <w:tc>
          <w:tcPr>
            <w:tcW w:w="2660" w:type="dxa"/>
          </w:tcPr>
          <w:p w:rsidR="00D9262A" w:rsidRPr="008A7EF0" w:rsidRDefault="00D9262A" w:rsidP="001F503F">
            <w:r w:rsidRPr="008A7EF0">
              <w:t>AIRC</w:t>
            </w:r>
          </w:p>
        </w:tc>
        <w:tc>
          <w:tcPr>
            <w:tcW w:w="5267" w:type="dxa"/>
          </w:tcPr>
          <w:p w:rsidR="00D9262A" w:rsidRPr="008A7EF0" w:rsidRDefault="00D9262A" w:rsidP="001F503F">
            <w:pPr>
              <w:jc w:val="left"/>
            </w:pPr>
            <w:r w:rsidRPr="008A7EF0">
              <w:t>Australian Industrial Relations Commission</w:t>
            </w:r>
          </w:p>
        </w:tc>
      </w:tr>
      <w:tr w:rsidR="00D9262A" w:rsidRPr="008A7EF0" w:rsidTr="001F503F">
        <w:trPr>
          <w:cantSplit/>
          <w:trHeight w:val="70"/>
        </w:trPr>
        <w:tc>
          <w:tcPr>
            <w:tcW w:w="2660" w:type="dxa"/>
          </w:tcPr>
          <w:p w:rsidR="00D9262A" w:rsidRPr="008A7EF0" w:rsidRDefault="00D9262A" w:rsidP="001F503F">
            <w:r w:rsidRPr="008A7EF0">
              <w:t>AITSL</w:t>
            </w:r>
          </w:p>
        </w:tc>
        <w:tc>
          <w:tcPr>
            <w:tcW w:w="5267" w:type="dxa"/>
          </w:tcPr>
          <w:p w:rsidR="00D9262A" w:rsidRPr="008A7EF0" w:rsidRDefault="00D9262A" w:rsidP="001F503F">
            <w:pPr>
              <w:jc w:val="left"/>
            </w:pPr>
            <w:r w:rsidRPr="008A7EF0">
              <w:t>Australian Institute for Teaching and School Leadership</w:t>
            </w:r>
          </w:p>
        </w:tc>
      </w:tr>
      <w:tr w:rsidR="00D9262A" w:rsidRPr="008A7EF0" w:rsidTr="001F503F">
        <w:trPr>
          <w:cantSplit/>
          <w:trHeight w:val="70"/>
        </w:trPr>
        <w:tc>
          <w:tcPr>
            <w:tcW w:w="2660" w:type="dxa"/>
          </w:tcPr>
          <w:p w:rsidR="00D9262A" w:rsidRPr="008A7EF0" w:rsidRDefault="00D9262A" w:rsidP="001F503F">
            <w:r w:rsidRPr="008A7EF0">
              <w:t>ANAO</w:t>
            </w:r>
          </w:p>
        </w:tc>
        <w:tc>
          <w:tcPr>
            <w:tcW w:w="5267" w:type="dxa"/>
          </w:tcPr>
          <w:p w:rsidR="00D9262A" w:rsidRPr="008A7EF0" w:rsidRDefault="00D9262A" w:rsidP="001F503F">
            <w:pPr>
              <w:jc w:val="left"/>
            </w:pPr>
            <w:r w:rsidRPr="008A7EF0">
              <w:t>Australian National Audit Office</w:t>
            </w:r>
          </w:p>
        </w:tc>
      </w:tr>
      <w:tr w:rsidR="00D9262A" w:rsidRPr="008A7EF0" w:rsidTr="001F503F">
        <w:trPr>
          <w:cantSplit/>
          <w:trHeight w:val="70"/>
        </w:trPr>
        <w:tc>
          <w:tcPr>
            <w:tcW w:w="2660" w:type="dxa"/>
          </w:tcPr>
          <w:p w:rsidR="00D9262A" w:rsidRPr="008A7EF0" w:rsidRDefault="00D9262A" w:rsidP="001F503F">
            <w:r w:rsidRPr="008A7EF0">
              <w:t>ATO</w:t>
            </w:r>
          </w:p>
        </w:tc>
        <w:tc>
          <w:tcPr>
            <w:tcW w:w="5267" w:type="dxa"/>
          </w:tcPr>
          <w:p w:rsidR="00D9262A" w:rsidRPr="008A7EF0" w:rsidRDefault="00D9262A" w:rsidP="001F503F">
            <w:pPr>
              <w:jc w:val="left"/>
            </w:pPr>
            <w:r w:rsidRPr="008A7EF0">
              <w:t>Australian Taxation Office</w:t>
            </w:r>
          </w:p>
        </w:tc>
      </w:tr>
      <w:tr w:rsidR="00D9262A" w:rsidRPr="008A7EF0" w:rsidTr="001F503F">
        <w:trPr>
          <w:cantSplit/>
          <w:trHeight w:val="70"/>
        </w:trPr>
        <w:tc>
          <w:tcPr>
            <w:tcW w:w="2660" w:type="dxa"/>
          </w:tcPr>
          <w:p w:rsidR="00D9262A" w:rsidRPr="008A7EF0" w:rsidRDefault="00D9262A" w:rsidP="001F503F">
            <w:r w:rsidRPr="008A7EF0">
              <w:t>CAC</w:t>
            </w:r>
          </w:p>
        </w:tc>
        <w:tc>
          <w:tcPr>
            <w:tcW w:w="5267" w:type="dxa"/>
          </w:tcPr>
          <w:p w:rsidR="00D9262A" w:rsidRPr="008A7EF0" w:rsidRDefault="00D9262A" w:rsidP="001F503F">
            <w:pPr>
              <w:jc w:val="left"/>
            </w:pPr>
            <w:r w:rsidRPr="008A7EF0">
              <w:t>Commonwealth Authorities and Companies</w:t>
            </w:r>
          </w:p>
        </w:tc>
      </w:tr>
      <w:tr w:rsidR="00D9262A" w:rsidRPr="008A7EF0" w:rsidTr="001F503F">
        <w:trPr>
          <w:cantSplit/>
          <w:trHeight w:val="70"/>
        </w:trPr>
        <w:tc>
          <w:tcPr>
            <w:tcW w:w="2660" w:type="dxa"/>
          </w:tcPr>
          <w:p w:rsidR="00D9262A" w:rsidRPr="008A7EF0" w:rsidRDefault="00D9262A" w:rsidP="001F503F">
            <w:r w:rsidRPr="008A7EF0">
              <w:t>CAS</w:t>
            </w:r>
          </w:p>
        </w:tc>
        <w:tc>
          <w:tcPr>
            <w:tcW w:w="5267" w:type="dxa"/>
          </w:tcPr>
          <w:p w:rsidR="00D9262A" w:rsidRPr="008A7EF0" w:rsidRDefault="00D9262A" w:rsidP="001F503F">
            <w:pPr>
              <w:jc w:val="left"/>
            </w:pPr>
            <w:r w:rsidRPr="008A7EF0">
              <w:t>Commonwealth Accommodation Scholarship</w:t>
            </w:r>
          </w:p>
        </w:tc>
      </w:tr>
      <w:tr w:rsidR="00D9262A" w:rsidRPr="008A7EF0" w:rsidTr="001F503F">
        <w:trPr>
          <w:cantSplit/>
          <w:trHeight w:val="70"/>
        </w:trPr>
        <w:tc>
          <w:tcPr>
            <w:tcW w:w="2660" w:type="dxa"/>
          </w:tcPr>
          <w:p w:rsidR="00D9262A" w:rsidRPr="008A7EF0" w:rsidRDefault="00D9262A" w:rsidP="001F503F">
            <w:r w:rsidRPr="008A7EF0">
              <w:t>CCB</w:t>
            </w:r>
          </w:p>
        </w:tc>
        <w:tc>
          <w:tcPr>
            <w:tcW w:w="5267" w:type="dxa"/>
          </w:tcPr>
          <w:p w:rsidR="00D9262A" w:rsidRPr="008A7EF0" w:rsidRDefault="00D9262A" w:rsidP="001F503F">
            <w:pPr>
              <w:jc w:val="left"/>
            </w:pPr>
            <w:r w:rsidRPr="008A7EF0">
              <w:t>Child Care Benefit</w:t>
            </w:r>
          </w:p>
        </w:tc>
      </w:tr>
      <w:tr w:rsidR="00D9262A" w:rsidRPr="008A7EF0" w:rsidTr="001F503F">
        <w:trPr>
          <w:cantSplit/>
          <w:trHeight w:val="70"/>
        </w:trPr>
        <w:tc>
          <w:tcPr>
            <w:tcW w:w="2660" w:type="dxa"/>
          </w:tcPr>
          <w:p w:rsidR="00D9262A" w:rsidRPr="008A7EF0" w:rsidRDefault="00D9262A" w:rsidP="001F503F">
            <w:r w:rsidRPr="008A7EF0">
              <w:t>CCR</w:t>
            </w:r>
          </w:p>
        </w:tc>
        <w:tc>
          <w:tcPr>
            <w:tcW w:w="5267" w:type="dxa"/>
          </w:tcPr>
          <w:p w:rsidR="00D9262A" w:rsidRPr="008A7EF0" w:rsidRDefault="00D9262A" w:rsidP="001F503F">
            <w:pPr>
              <w:jc w:val="left"/>
            </w:pPr>
            <w:r w:rsidRPr="008A7EF0">
              <w:t>Child Care Rebate</w:t>
            </w:r>
          </w:p>
        </w:tc>
      </w:tr>
      <w:tr w:rsidR="00D9262A" w:rsidRPr="008A7EF0" w:rsidTr="001F503F">
        <w:trPr>
          <w:cantSplit/>
          <w:trHeight w:val="70"/>
        </w:trPr>
        <w:tc>
          <w:tcPr>
            <w:tcW w:w="2660" w:type="dxa"/>
          </w:tcPr>
          <w:p w:rsidR="00D9262A" w:rsidRPr="008A7EF0" w:rsidRDefault="00D9262A" w:rsidP="001F503F">
            <w:r w:rsidRPr="008A7EF0">
              <w:t>CECs</w:t>
            </w:r>
          </w:p>
        </w:tc>
        <w:tc>
          <w:tcPr>
            <w:tcW w:w="5267" w:type="dxa"/>
          </w:tcPr>
          <w:p w:rsidR="00D9262A" w:rsidRPr="008A7EF0" w:rsidRDefault="00D9262A" w:rsidP="001F503F">
            <w:pPr>
              <w:jc w:val="left"/>
            </w:pPr>
            <w:r w:rsidRPr="008A7EF0">
              <w:t>Commonwealth Education Costs Scholarships</w:t>
            </w:r>
          </w:p>
        </w:tc>
      </w:tr>
      <w:tr w:rsidR="00D9262A" w:rsidRPr="008A7EF0" w:rsidTr="001F503F">
        <w:trPr>
          <w:cantSplit/>
          <w:trHeight w:val="70"/>
        </w:trPr>
        <w:tc>
          <w:tcPr>
            <w:tcW w:w="2660" w:type="dxa"/>
          </w:tcPr>
          <w:p w:rsidR="00D9262A" w:rsidRPr="008A7EF0" w:rsidRDefault="00D9262A" w:rsidP="001F503F">
            <w:r w:rsidRPr="008A7EF0">
              <w:t>CGS</w:t>
            </w:r>
          </w:p>
        </w:tc>
        <w:tc>
          <w:tcPr>
            <w:tcW w:w="5267" w:type="dxa"/>
          </w:tcPr>
          <w:p w:rsidR="00D9262A" w:rsidRPr="008A7EF0" w:rsidRDefault="00D9262A" w:rsidP="001F503F">
            <w:pPr>
              <w:jc w:val="left"/>
            </w:pPr>
            <w:r w:rsidRPr="008A7EF0">
              <w:t>Commonwealth Grants Scheme</w:t>
            </w:r>
          </w:p>
        </w:tc>
      </w:tr>
      <w:tr w:rsidR="00D9262A" w:rsidRPr="008A7EF0" w:rsidTr="001F503F">
        <w:trPr>
          <w:cantSplit/>
          <w:trHeight w:val="70"/>
        </w:trPr>
        <w:tc>
          <w:tcPr>
            <w:tcW w:w="2660" w:type="dxa"/>
          </w:tcPr>
          <w:p w:rsidR="00D9262A" w:rsidRPr="008A7EF0" w:rsidRDefault="00D9262A" w:rsidP="001F503F">
            <w:r w:rsidRPr="008A7EF0">
              <w:t>COAG</w:t>
            </w:r>
          </w:p>
        </w:tc>
        <w:tc>
          <w:tcPr>
            <w:tcW w:w="5267" w:type="dxa"/>
          </w:tcPr>
          <w:p w:rsidR="00D9262A" w:rsidRPr="008A7EF0" w:rsidRDefault="00D9262A" w:rsidP="001F503F">
            <w:pPr>
              <w:jc w:val="left"/>
            </w:pPr>
            <w:r w:rsidRPr="008A7EF0">
              <w:t>Council of Australian Governments</w:t>
            </w:r>
          </w:p>
        </w:tc>
      </w:tr>
      <w:tr w:rsidR="00D9262A" w:rsidRPr="008A7EF0" w:rsidTr="001F503F">
        <w:trPr>
          <w:cantSplit/>
          <w:trHeight w:val="70"/>
        </w:trPr>
        <w:tc>
          <w:tcPr>
            <w:tcW w:w="2660" w:type="dxa"/>
          </w:tcPr>
          <w:p w:rsidR="00D9262A" w:rsidRPr="008A7EF0" w:rsidRDefault="00D9262A" w:rsidP="001F503F">
            <w:r w:rsidRPr="008A7EF0">
              <w:t>CPI</w:t>
            </w:r>
          </w:p>
        </w:tc>
        <w:tc>
          <w:tcPr>
            <w:tcW w:w="5267" w:type="dxa"/>
          </w:tcPr>
          <w:p w:rsidR="00D9262A" w:rsidRPr="008A7EF0" w:rsidRDefault="00D9262A" w:rsidP="001F503F">
            <w:r w:rsidRPr="008A7EF0">
              <w:t>Consumer Price Index</w:t>
            </w:r>
          </w:p>
        </w:tc>
      </w:tr>
      <w:tr w:rsidR="00D9262A" w:rsidRPr="008A7EF0" w:rsidTr="001F503F">
        <w:trPr>
          <w:cantSplit/>
          <w:trHeight w:val="70"/>
        </w:trPr>
        <w:tc>
          <w:tcPr>
            <w:tcW w:w="2660" w:type="dxa"/>
          </w:tcPr>
          <w:p w:rsidR="00D9262A" w:rsidRPr="008A7EF0" w:rsidRDefault="00D9262A" w:rsidP="001F503F">
            <w:r w:rsidRPr="008A7EF0">
              <w:t>CSI</w:t>
            </w:r>
          </w:p>
        </w:tc>
        <w:tc>
          <w:tcPr>
            <w:tcW w:w="5267" w:type="dxa"/>
          </w:tcPr>
          <w:p w:rsidR="00D9262A" w:rsidRPr="008A7EF0" w:rsidRDefault="00D9262A" w:rsidP="001F503F">
            <w:pPr>
              <w:jc w:val="left"/>
            </w:pPr>
            <w:r w:rsidRPr="008A7EF0">
              <w:t>Centre for Social Impact</w:t>
            </w:r>
          </w:p>
        </w:tc>
      </w:tr>
      <w:tr w:rsidR="00D9262A" w:rsidRPr="008A7EF0" w:rsidTr="001F503F">
        <w:trPr>
          <w:cantSplit/>
          <w:trHeight w:val="70"/>
        </w:trPr>
        <w:tc>
          <w:tcPr>
            <w:tcW w:w="2660" w:type="dxa"/>
          </w:tcPr>
          <w:p w:rsidR="00D9262A" w:rsidRPr="008A7EF0" w:rsidRDefault="00D9262A" w:rsidP="001F503F">
            <w:r w:rsidRPr="008A7EF0">
              <w:t>DEEWR</w:t>
            </w:r>
          </w:p>
        </w:tc>
        <w:tc>
          <w:tcPr>
            <w:tcW w:w="5267" w:type="dxa"/>
          </w:tcPr>
          <w:p w:rsidR="00D9262A" w:rsidRPr="008A7EF0" w:rsidRDefault="00D9262A" w:rsidP="001F503F">
            <w:pPr>
              <w:jc w:val="left"/>
            </w:pPr>
            <w:r w:rsidRPr="008A7EF0">
              <w:t>Department of Education, Employment and Workplace Relations</w:t>
            </w:r>
          </w:p>
        </w:tc>
      </w:tr>
      <w:tr w:rsidR="00AE36E2" w:rsidRPr="008A7EF0" w:rsidTr="001F503F">
        <w:trPr>
          <w:cantSplit/>
          <w:trHeight w:val="70"/>
        </w:trPr>
        <w:tc>
          <w:tcPr>
            <w:tcW w:w="2660" w:type="dxa"/>
          </w:tcPr>
          <w:p w:rsidR="00AE36E2" w:rsidRPr="008A7EF0" w:rsidRDefault="00AE36E2" w:rsidP="001F503F">
            <w:r>
              <w:lastRenderedPageBreak/>
              <w:t>DES</w:t>
            </w:r>
          </w:p>
        </w:tc>
        <w:tc>
          <w:tcPr>
            <w:tcW w:w="5267" w:type="dxa"/>
          </w:tcPr>
          <w:p w:rsidR="00AE36E2" w:rsidRPr="008A7EF0" w:rsidRDefault="00AE36E2" w:rsidP="001F503F">
            <w:pPr>
              <w:jc w:val="left"/>
            </w:pPr>
            <w:r>
              <w:t>Disability Employment Services</w:t>
            </w:r>
          </w:p>
        </w:tc>
      </w:tr>
      <w:tr w:rsidR="00D9262A" w:rsidRPr="008A7EF0" w:rsidTr="001F503F">
        <w:trPr>
          <w:cantSplit/>
          <w:trHeight w:val="70"/>
        </w:trPr>
        <w:tc>
          <w:tcPr>
            <w:tcW w:w="2660" w:type="dxa"/>
          </w:tcPr>
          <w:p w:rsidR="00D9262A" w:rsidRPr="008A7EF0" w:rsidRDefault="00D9262A" w:rsidP="001F503F">
            <w:r w:rsidRPr="008A7EF0">
              <w:t>DoFD</w:t>
            </w:r>
          </w:p>
        </w:tc>
        <w:tc>
          <w:tcPr>
            <w:tcW w:w="5267" w:type="dxa"/>
          </w:tcPr>
          <w:p w:rsidR="00D9262A" w:rsidRPr="008A7EF0" w:rsidRDefault="00D9262A" w:rsidP="001F503F">
            <w:pPr>
              <w:jc w:val="left"/>
            </w:pPr>
            <w:r w:rsidRPr="008A7EF0">
              <w:t>Department of Finance and Deregulation</w:t>
            </w:r>
          </w:p>
        </w:tc>
      </w:tr>
      <w:tr w:rsidR="00D9262A" w:rsidRPr="008A7EF0" w:rsidTr="001F503F">
        <w:trPr>
          <w:cantSplit/>
          <w:trHeight w:val="70"/>
        </w:trPr>
        <w:tc>
          <w:tcPr>
            <w:tcW w:w="2660" w:type="dxa"/>
          </w:tcPr>
          <w:p w:rsidR="00D9262A" w:rsidRPr="008A7EF0" w:rsidRDefault="00D9262A" w:rsidP="001F503F">
            <w:proofErr w:type="spellStart"/>
            <w:r w:rsidRPr="008A7EF0">
              <w:t>FaHCSIA</w:t>
            </w:r>
            <w:proofErr w:type="spellEnd"/>
          </w:p>
        </w:tc>
        <w:tc>
          <w:tcPr>
            <w:tcW w:w="5267" w:type="dxa"/>
          </w:tcPr>
          <w:p w:rsidR="00D9262A" w:rsidRPr="008A7EF0" w:rsidRDefault="00D9262A" w:rsidP="001F503F">
            <w:pPr>
              <w:jc w:val="left"/>
            </w:pPr>
            <w:r w:rsidRPr="008A7EF0">
              <w:t>Department of Families, Housing, Community Services and Indigenous Affairs</w:t>
            </w:r>
          </w:p>
        </w:tc>
      </w:tr>
      <w:tr w:rsidR="005561D5" w:rsidRPr="008A7EF0" w:rsidTr="001F503F">
        <w:trPr>
          <w:cantSplit/>
          <w:trHeight w:val="70"/>
        </w:trPr>
        <w:tc>
          <w:tcPr>
            <w:tcW w:w="2660" w:type="dxa"/>
          </w:tcPr>
          <w:p w:rsidR="005561D5" w:rsidRPr="008A7EF0" w:rsidRDefault="005561D5" w:rsidP="001F503F">
            <w:r>
              <w:t>FWBII</w:t>
            </w:r>
          </w:p>
        </w:tc>
        <w:tc>
          <w:tcPr>
            <w:tcW w:w="5267" w:type="dxa"/>
          </w:tcPr>
          <w:p w:rsidR="005561D5" w:rsidRPr="008A7EF0" w:rsidRDefault="005561D5" w:rsidP="001F503F">
            <w:pPr>
              <w:jc w:val="left"/>
            </w:pPr>
            <w:r>
              <w:t>Office of the Fair Work Building Industry Inspectorate</w:t>
            </w:r>
          </w:p>
        </w:tc>
      </w:tr>
      <w:tr w:rsidR="00D9262A" w:rsidRPr="008A7EF0" w:rsidTr="001F503F">
        <w:trPr>
          <w:cantSplit/>
          <w:trHeight w:val="70"/>
        </w:trPr>
        <w:tc>
          <w:tcPr>
            <w:tcW w:w="2660" w:type="dxa"/>
          </w:tcPr>
          <w:p w:rsidR="00D9262A" w:rsidRPr="008A7EF0" w:rsidRDefault="00D9262A" w:rsidP="001F503F">
            <w:r w:rsidRPr="008A7EF0">
              <w:t>FFR</w:t>
            </w:r>
          </w:p>
        </w:tc>
        <w:tc>
          <w:tcPr>
            <w:tcW w:w="5267" w:type="dxa"/>
          </w:tcPr>
          <w:p w:rsidR="00D9262A" w:rsidRPr="008A7EF0" w:rsidRDefault="00D9262A" w:rsidP="001F503F">
            <w:pPr>
              <w:jc w:val="left"/>
            </w:pPr>
            <w:r w:rsidRPr="008A7EF0">
              <w:t>Federal Financial Relations</w:t>
            </w:r>
          </w:p>
        </w:tc>
      </w:tr>
      <w:tr w:rsidR="00D9262A" w:rsidRPr="008A7EF0" w:rsidTr="001F503F">
        <w:trPr>
          <w:cantSplit/>
          <w:trHeight w:val="70"/>
        </w:trPr>
        <w:tc>
          <w:tcPr>
            <w:tcW w:w="2660" w:type="dxa"/>
          </w:tcPr>
          <w:p w:rsidR="00D9262A" w:rsidRPr="008A7EF0" w:rsidRDefault="00D9262A" w:rsidP="001F503F">
            <w:r w:rsidRPr="008A7EF0">
              <w:t>FMA</w:t>
            </w:r>
          </w:p>
        </w:tc>
        <w:tc>
          <w:tcPr>
            <w:tcW w:w="5267" w:type="dxa"/>
          </w:tcPr>
          <w:p w:rsidR="00D9262A" w:rsidRPr="008A7EF0" w:rsidRDefault="00D9262A" w:rsidP="001F503F">
            <w:pPr>
              <w:jc w:val="left"/>
            </w:pPr>
            <w:r w:rsidRPr="008A7EF0">
              <w:t>Financial Management and Accountability</w:t>
            </w:r>
          </w:p>
        </w:tc>
      </w:tr>
      <w:tr w:rsidR="00D9262A" w:rsidRPr="008A7EF0" w:rsidTr="001F503F">
        <w:trPr>
          <w:cantSplit/>
          <w:trHeight w:val="70"/>
        </w:trPr>
        <w:tc>
          <w:tcPr>
            <w:tcW w:w="2660" w:type="dxa"/>
          </w:tcPr>
          <w:p w:rsidR="00D9262A" w:rsidRPr="008A7EF0" w:rsidRDefault="00D9262A" w:rsidP="001F503F">
            <w:r w:rsidRPr="008A7EF0">
              <w:t>FTB</w:t>
            </w:r>
          </w:p>
        </w:tc>
        <w:tc>
          <w:tcPr>
            <w:tcW w:w="5267" w:type="dxa"/>
          </w:tcPr>
          <w:p w:rsidR="00D9262A" w:rsidRPr="008A7EF0" w:rsidRDefault="00D9262A" w:rsidP="001F503F">
            <w:pPr>
              <w:jc w:val="left"/>
            </w:pPr>
            <w:r w:rsidRPr="008A7EF0">
              <w:t>Family Tax Benefit</w:t>
            </w:r>
          </w:p>
        </w:tc>
      </w:tr>
      <w:tr w:rsidR="00D9262A" w:rsidRPr="008A7EF0" w:rsidTr="001F503F">
        <w:trPr>
          <w:cantSplit/>
          <w:trHeight w:val="70"/>
        </w:trPr>
        <w:tc>
          <w:tcPr>
            <w:tcW w:w="2660" w:type="dxa"/>
          </w:tcPr>
          <w:p w:rsidR="00D9262A" w:rsidRPr="008A7EF0" w:rsidRDefault="00D9262A" w:rsidP="001F503F">
            <w:r w:rsidRPr="008A7EF0">
              <w:t>FWA</w:t>
            </w:r>
          </w:p>
        </w:tc>
        <w:tc>
          <w:tcPr>
            <w:tcW w:w="5267" w:type="dxa"/>
          </w:tcPr>
          <w:p w:rsidR="00D9262A" w:rsidRPr="008A7EF0" w:rsidRDefault="00D9262A" w:rsidP="001F503F">
            <w:pPr>
              <w:jc w:val="left"/>
            </w:pPr>
            <w:r w:rsidRPr="008A7EF0">
              <w:t>Fair Work Australia</w:t>
            </w:r>
          </w:p>
        </w:tc>
      </w:tr>
      <w:tr w:rsidR="00D9262A" w:rsidRPr="008A7EF0" w:rsidTr="001F503F">
        <w:trPr>
          <w:cantSplit/>
          <w:trHeight w:val="70"/>
        </w:trPr>
        <w:tc>
          <w:tcPr>
            <w:tcW w:w="2660" w:type="dxa"/>
          </w:tcPr>
          <w:p w:rsidR="00D9262A" w:rsidRPr="008A7EF0" w:rsidRDefault="00D9262A" w:rsidP="001F503F">
            <w:r w:rsidRPr="008A7EF0">
              <w:t>FWO</w:t>
            </w:r>
          </w:p>
        </w:tc>
        <w:tc>
          <w:tcPr>
            <w:tcW w:w="5267" w:type="dxa"/>
          </w:tcPr>
          <w:p w:rsidR="00D9262A" w:rsidRPr="008A7EF0" w:rsidRDefault="00D9262A" w:rsidP="001F503F">
            <w:pPr>
              <w:jc w:val="left"/>
            </w:pPr>
            <w:r w:rsidRPr="008A7EF0">
              <w:t>Fair Work Ombudsman</w:t>
            </w:r>
          </w:p>
        </w:tc>
      </w:tr>
      <w:tr w:rsidR="00D9262A" w:rsidRPr="008A7EF0" w:rsidTr="001F503F">
        <w:trPr>
          <w:cantSplit/>
          <w:trHeight w:val="70"/>
        </w:trPr>
        <w:tc>
          <w:tcPr>
            <w:tcW w:w="2660" w:type="dxa"/>
          </w:tcPr>
          <w:p w:rsidR="00D9262A" w:rsidRPr="008A7EF0" w:rsidRDefault="00D9262A" w:rsidP="001F503F">
            <w:r w:rsidRPr="008A7EF0">
              <w:t>GFS</w:t>
            </w:r>
          </w:p>
        </w:tc>
        <w:tc>
          <w:tcPr>
            <w:tcW w:w="5267" w:type="dxa"/>
          </w:tcPr>
          <w:p w:rsidR="00D9262A" w:rsidRPr="008A7EF0" w:rsidRDefault="00D9262A" w:rsidP="001F503F">
            <w:pPr>
              <w:jc w:val="left"/>
            </w:pPr>
            <w:r w:rsidRPr="008A7EF0">
              <w:t>Government Finance Statistics</w:t>
            </w:r>
          </w:p>
        </w:tc>
      </w:tr>
      <w:tr w:rsidR="00D9262A" w:rsidRPr="008A7EF0" w:rsidTr="001F503F">
        <w:trPr>
          <w:cantSplit/>
          <w:trHeight w:val="70"/>
        </w:trPr>
        <w:tc>
          <w:tcPr>
            <w:tcW w:w="2660" w:type="dxa"/>
          </w:tcPr>
          <w:p w:rsidR="00D9262A" w:rsidRPr="008A7EF0" w:rsidRDefault="00D9262A" w:rsidP="001F503F">
            <w:r w:rsidRPr="008A7EF0">
              <w:t>GST</w:t>
            </w:r>
          </w:p>
        </w:tc>
        <w:tc>
          <w:tcPr>
            <w:tcW w:w="5267" w:type="dxa"/>
          </w:tcPr>
          <w:p w:rsidR="00D9262A" w:rsidRPr="008A7EF0" w:rsidRDefault="00D9262A" w:rsidP="001F503F">
            <w:pPr>
              <w:jc w:val="left"/>
            </w:pPr>
            <w:r w:rsidRPr="008A7EF0">
              <w:t>Goods and Services Tax</w:t>
            </w:r>
          </w:p>
        </w:tc>
      </w:tr>
      <w:tr w:rsidR="00D9262A" w:rsidRPr="008A7EF0" w:rsidTr="001F503F">
        <w:trPr>
          <w:cantSplit/>
          <w:trHeight w:val="70"/>
        </w:trPr>
        <w:tc>
          <w:tcPr>
            <w:tcW w:w="2660" w:type="dxa"/>
          </w:tcPr>
          <w:p w:rsidR="00D9262A" w:rsidRPr="008A7EF0" w:rsidRDefault="00D9262A" w:rsidP="001F503F">
            <w:r w:rsidRPr="008A7EF0">
              <w:t>HECS</w:t>
            </w:r>
          </w:p>
        </w:tc>
        <w:tc>
          <w:tcPr>
            <w:tcW w:w="5267" w:type="dxa"/>
          </w:tcPr>
          <w:p w:rsidR="00D9262A" w:rsidRPr="008A7EF0" w:rsidRDefault="00D9262A" w:rsidP="001F503F">
            <w:pPr>
              <w:jc w:val="left"/>
            </w:pPr>
            <w:r w:rsidRPr="008A7EF0">
              <w:t>Higher Education Contribution Scheme</w:t>
            </w:r>
          </w:p>
        </w:tc>
      </w:tr>
      <w:tr w:rsidR="00D9262A" w:rsidRPr="008A7EF0" w:rsidTr="001F503F">
        <w:trPr>
          <w:cantSplit/>
          <w:trHeight w:val="70"/>
        </w:trPr>
        <w:tc>
          <w:tcPr>
            <w:tcW w:w="2660" w:type="dxa"/>
          </w:tcPr>
          <w:p w:rsidR="00D9262A" w:rsidRPr="008A7EF0" w:rsidRDefault="00D9262A" w:rsidP="001F503F">
            <w:r w:rsidRPr="008A7EF0">
              <w:t>HELP</w:t>
            </w:r>
          </w:p>
        </w:tc>
        <w:tc>
          <w:tcPr>
            <w:tcW w:w="5267" w:type="dxa"/>
          </w:tcPr>
          <w:p w:rsidR="00D9262A" w:rsidRPr="008A7EF0" w:rsidRDefault="00D9262A" w:rsidP="001F503F">
            <w:pPr>
              <w:jc w:val="left"/>
            </w:pPr>
            <w:r w:rsidRPr="008A7EF0">
              <w:t>Higher Education Loan Program</w:t>
            </w:r>
          </w:p>
        </w:tc>
      </w:tr>
      <w:tr w:rsidR="00D9262A" w:rsidRPr="008A7EF0" w:rsidTr="001F503F">
        <w:trPr>
          <w:cantSplit/>
          <w:trHeight w:val="70"/>
        </w:trPr>
        <w:tc>
          <w:tcPr>
            <w:tcW w:w="2660" w:type="dxa"/>
          </w:tcPr>
          <w:p w:rsidR="00D9262A" w:rsidRPr="008A7EF0" w:rsidRDefault="00D9262A" w:rsidP="001F503F">
            <w:r w:rsidRPr="008A7EF0">
              <w:t>ICT</w:t>
            </w:r>
          </w:p>
        </w:tc>
        <w:tc>
          <w:tcPr>
            <w:tcW w:w="5267" w:type="dxa"/>
          </w:tcPr>
          <w:p w:rsidR="00D9262A" w:rsidRPr="008A7EF0" w:rsidRDefault="00D9262A" w:rsidP="001F503F">
            <w:pPr>
              <w:jc w:val="left"/>
            </w:pPr>
            <w:r w:rsidRPr="008A7EF0">
              <w:t>Information and Communications Technology</w:t>
            </w:r>
          </w:p>
        </w:tc>
      </w:tr>
      <w:tr w:rsidR="00D9262A" w:rsidRPr="008A7EF0" w:rsidTr="001F503F">
        <w:trPr>
          <w:cantSplit/>
          <w:trHeight w:val="70"/>
        </w:trPr>
        <w:tc>
          <w:tcPr>
            <w:tcW w:w="2660" w:type="dxa"/>
          </w:tcPr>
          <w:p w:rsidR="00D9262A" w:rsidRPr="008A7EF0" w:rsidRDefault="00D9262A" w:rsidP="001F503F">
            <w:r w:rsidRPr="008A7EF0">
              <w:t>IESIP</w:t>
            </w:r>
          </w:p>
        </w:tc>
        <w:tc>
          <w:tcPr>
            <w:tcW w:w="5267" w:type="dxa"/>
          </w:tcPr>
          <w:p w:rsidR="00D9262A" w:rsidRPr="008A7EF0" w:rsidRDefault="00D9262A" w:rsidP="001F503F">
            <w:pPr>
              <w:jc w:val="left"/>
            </w:pPr>
            <w:r w:rsidRPr="008A7EF0">
              <w:t>Indigenous Education Strategic Initiatives Program</w:t>
            </w:r>
          </w:p>
        </w:tc>
      </w:tr>
      <w:tr w:rsidR="00D9262A" w:rsidRPr="008A7EF0" w:rsidTr="001F503F">
        <w:trPr>
          <w:cantSplit/>
          <w:trHeight w:val="70"/>
        </w:trPr>
        <w:tc>
          <w:tcPr>
            <w:tcW w:w="2660" w:type="dxa"/>
          </w:tcPr>
          <w:p w:rsidR="00D9262A" w:rsidRPr="008A7EF0" w:rsidRDefault="00D9262A" w:rsidP="001F503F">
            <w:r w:rsidRPr="008A7EF0">
              <w:t>ICT</w:t>
            </w:r>
          </w:p>
        </w:tc>
        <w:tc>
          <w:tcPr>
            <w:tcW w:w="5267" w:type="dxa"/>
          </w:tcPr>
          <w:p w:rsidR="00D9262A" w:rsidRPr="008A7EF0" w:rsidRDefault="00D9262A" w:rsidP="001F503F">
            <w:pPr>
              <w:jc w:val="left"/>
            </w:pPr>
            <w:r w:rsidRPr="008A7EF0">
              <w:t>Information and Communication Technology</w:t>
            </w:r>
          </w:p>
        </w:tc>
      </w:tr>
      <w:tr w:rsidR="00AE36E2" w:rsidRPr="008A7EF0" w:rsidTr="001F503F">
        <w:trPr>
          <w:cantSplit/>
          <w:trHeight w:val="70"/>
        </w:trPr>
        <w:tc>
          <w:tcPr>
            <w:tcW w:w="2660" w:type="dxa"/>
          </w:tcPr>
          <w:p w:rsidR="00AE36E2" w:rsidRPr="008A7EF0" w:rsidRDefault="00AE36E2" w:rsidP="001F503F">
            <w:r>
              <w:t>IEP</w:t>
            </w:r>
          </w:p>
        </w:tc>
        <w:tc>
          <w:tcPr>
            <w:tcW w:w="5267" w:type="dxa"/>
          </w:tcPr>
          <w:p w:rsidR="00AE36E2" w:rsidRPr="008A7EF0" w:rsidRDefault="00AE36E2" w:rsidP="001F503F">
            <w:pPr>
              <w:jc w:val="left"/>
            </w:pPr>
            <w:r>
              <w:t>Indigenous Employment Program</w:t>
            </w:r>
          </w:p>
        </w:tc>
      </w:tr>
      <w:tr w:rsidR="00D9262A" w:rsidRPr="008A7EF0" w:rsidTr="001F503F">
        <w:trPr>
          <w:cantSplit/>
          <w:trHeight w:val="70"/>
        </w:trPr>
        <w:tc>
          <w:tcPr>
            <w:tcW w:w="2660" w:type="dxa"/>
          </w:tcPr>
          <w:p w:rsidR="00D9262A" w:rsidRPr="008A7EF0" w:rsidRDefault="00D9262A" w:rsidP="001F503F">
            <w:r w:rsidRPr="008A7EF0">
              <w:t>ITAS</w:t>
            </w:r>
          </w:p>
        </w:tc>
        <w:tc>
          <w:tcPr>
            <w:tcW w:w="5267" w:type="dxa"/>
          </w:tcPr>
          <w:p w:rsidR="00D9262A" w:rsidRPr="008A7EF0" w:rsidRDefault="00D9262A" w:rsidP="001F503F">
            <w:pPr>
              <w:jc w:val="left"/>
            </w:pPr>
            <w:r w:rsidRPr="008A7EF0">
              <w:t>Indigenous Tutorial Assistance Scheme</w:t>
            </w:r>
          </w:p>
        </w:tc>
      </w:tr>
      <w:tr w:rsidR="00D9262A" w:rsidRPr="008A7EF0" w:rsidTr="001F503F">
        <w:trPr>
          <w:cantSplit/>
          <w:trHeight w:val="70"/>
        </w:trPr>
        <w:tc>
          <w:tcPr>
            <w:tcW w:w="2660" w:type="dxa"/>
          </w:tcPr>
          <w:p w:rsidR="00D9262A" w:rsidRPr="008A7EF0" w:rsidRDefault="00D9262A" w:rsidP="001F503F">
            <w:r w:rsidRPr="008A7EF0">
              <w:t>IYMP</w:t>
            </w:r>
          </w:p>
        </w:tc>
        <w:tc>
          <w:tcPr>
            <w:tcW w:w="5267" w:type="dxa"/>
          </w:tcPr>
          <w:p w:rsidR="00D9262A" w:rsidRPr="008A7EF0" w:rsidRDefault="00D9262A" w:rsidP="001F503F">
            <w:pPr>
              <w:jc w:val="left"/>
            </w:pPr>
            <w:r w:rsidRPr="008A7EF0">
              <w:t>Indigenous Youth Mobility Program</w:t>
            </w:r>
          </w:p>
        </w:tc>
      </w:tr>
      <w:tr w:rsidR="00D9262A" w:rsidRPr="008A7EF0" w:rsidTr="001F503F">
        <w:trPr>
          <w:cantSplit/>
          <w:trHeight w:val="70"/>
        </w:trPr>
        <w:tc>
          <w:tcPr>
            <w:tcW w:w="2660" w:type="dxa"/>
          </w:tcPr>
          <w:p w:rsidR="00D9262A" w:rsidRPr="008A7EF0" w:rsidRDefault="00D9262A" w:rsidP="001F503F">
            <w:r w:rsidRPr="008A7EF0">
              <w:t>JET</w:t>
            </w:r>
          </w:p>
        </w:tc>
        <w:tc>
          <w:tcPr>
            <w:tcW w:w="5267" w:type="dxa"/>
          </w:tcPr>
          <w:p w:rsidR="00D9262A" w:rsidRPr="008A7EF0" w:rsidRDefault="00D9262A" w:rsidP="001F503F">
            <w:pPr>
              <w:jc w:val="left"/>
            </w:pPr>
            <w:r w:rsidRPr="008A7EF0">
              <w:t>Jobs Education and Training</w:t>
            </w:r>
          </w:p>
        </w:tc>
      </w:tr>
      <w:tr w:rsidR="00D9262A" w:rsidRPr="008A7EF0" w:rsidTr="001F503F">
        <w:trPr>
          <w:cantSplit/>
          <w:trHeight w:val="70"/>
        </w:trPr>
        <w:tc>
          <w:tcPr>
            <w:tcW w:w="2660" w:type="dxa"/>
          </w:tcPr>
          <w:p w:rsidR="00D9262A" w:rsidRPr="008A7EF0" w:rsidRDefault="00D9262A" w:rsidP="001F503F">
            <w:r w:rsidRPr="008A7EF0">
              <w:t>JETCCFA</w:t>
            </w:r>
          </w:p>
        </w:tc>
        <w:tc>
          <w:tcPr>
            <w:tcW w:w="5267" w:type="dxa"/>
          </w:tcPr>
          <w:p w:rsidR="00D9262A" w:rsidRPr="008A7EF0" w:rsidRDefault="00D9262A" w:rsidP="001F503F">
            <w:pPr>
              <w:jc w:val="left"/>
            </w:pPr>
            <w:r w:rsidRPr="008A7EF0">
              <w:t>Jobs Education and Training, Child Care Fee Assistance</w:t>
            </w:r>
          </w:p>
        </w:tc>
      </w:tr>
      <w:tr w:rsidR="00AE36E2" w:rsidRPr="008A7EF0" w:rsidTr="001F503F">
        <w:trPr>
          <w:cantSplit/>
          <w:trHeight w:val="70"/>
        </w:trPr>
        <w:tc>
          <w:tcPr>
            <w:tcW w:w="2660" w:type="dxa"/>
          </w:tcPr>
          <w:p w:rsidR="00AE36E2" w:rsidRPr="008A7EF0" w:rsidRDefault="00AE36E2" w:rsidP="001F503F">
            <w:r>
              <w:t>JSA</w:t>
            </w:r>
          </w:p>
        </w:tc>
        <w:tc>
          <w:tcPr>
            <w:tcW w:w="5267" w:type="dxa"/>
          </w:tcPr>
          <w:p w:rsidR="00AE36E2" w:rsidRPr="008A7EF0" w:rsidRDefault="00AE36E2" w:rsidP="001F503F">
            <w:pPr>
              <w:jc w:val="left"/>
            </w:pPr>
            <w:r>
              <w:t>Jobs Services Australia</w:t>
            </w:r>
          </w:p>
        </w:tc>
      </w:tr>
      <w:tr w:rsidR="00D9262A" w:rsidRPr="008A7EF0" w:rsidTr="001F503F">
        <w:trPr>
          <w:cantSplit/>
          <w:trHeight w:val="70"/>
        </w:trPr>
        <w:tc>
          <w:tcPr>
            <w:tcW w:w="2660" w:type="dxa"/>
          </w:tcPr>
          <w:p w:rsidR="00D9262A" w:rsidRPr="008A7EF0" w:rsidRDefault="00D9262A" w:rsidP="001F503F">
            <w:r w:rsidRPr="008A7EF0">
              <w:t>KPI</w:t>
            </w:r>
          </w:p>
        </w:tc>
        <w:tc>
          <w:tcPr>
            <w:tcW w:w="5267" w:type="dxa"/>
          </w:tcPr>
          <w:p w:rsidR="00D9262A" w:rsidRPr="008A7EF0" w:rsidRDefault="00D9262A" w:rsidP="001F503F">
            <w:pPr>
              <w:jc w:val="left"/>
            </w:pPr>
            <w:r w:rsidRPr="008A7EF0">
              <w:t>Key Performance Indicator</w:t>
            </w:r>
          </w:p>
        </w:tc>
      </w:tr>
      <w:tr w:rsidR="00D9262A" w:rsidRPr="008A7EF0" w:rsidTr="001F503F">
        <w:trPr>
          <w:cantSplit/>
          <w:trHeight w:val="70"/>
        </w:trPr>
        <w:tc>
          <w:tcPr>
            <w:tcW w:w="2660" w:type="dxa"/>
          </w:tcPr>
          <w:p w:rsidR="00D9262A" w:rsidRPr="008A7EF0" w:rsidRDefault="00D9262A" w:rsidP="001F503F">
            <w:r w:rsidRPr="008A7EF0">
              <w:lastRenderedPageBreak/>
              <w:t>LCP’s</w:t>
            </w:r>
          </w:p>
        </w:tc>
        <w:tc>
          <w:tcPr>
            <w:tcW w:w="5267" w:type="dxa"/>
          </w:tcPr>
          <w:p w:rsidR="00D9262A" w:rsidRPr="008A7EF0" w:rsidRDefault="00D9262A" w:rsidP="001F503F">
            <w:pPr>
              <w:jc w:val="left"/>
            </w:pPr>
            <w:r w:rsidRPr="008A7EF0">
              <w:t>Local Community Partnerships</w:t>
            </w:r>
          </w:p>
        </w:tc>
      </w:tr>
      <w:tr w:rsidR="00D9262A" w:rsidRPr="008A7EF0" w:rsidTr="001F503F">
        <w:trPr>
          <w:cantSplit/>
          <w:trHeight w:val="70"/>
        </w:trPr>
        <w:tc>
          <w:tcPr>
            <w:tcW w:w="2660" w:type="dxa"/>
          </w:tcPr>
          <w:p w:rsidR="00D9262A" w:rsidRPr="008A7EF0" w:rsidRDefault="00D9262A" w:rsidP="001F503F">
            <w:r w:rsidRPr="008A7EF0">
              <w:t>LLNP</w:t>
            </w:r>
          </w:p>
        </w:tc>
        <w:tc>
          <w:tcPr>
            <w:tcW w:w="5267" w:type="dxa"/>
          </w:tcPr>
          <w:p w:rsidR="00D9262A" w:rsidRPr="008A7EF0" w:rsidRDefault="00D9262A" w:rsidP="001F503F">
            <w:pPr>
              <w:jc w:val="left"/>
            </w:pPr>
            <w:r w:rsidRPr="008A7EF0">
              <w:t>Language, Literacy and Numeracy Program</w:t>
            </w:r>
          </w:p>
        </w:tc>
      </w:tr>
      <w:tr w:rsidR="00D9262A" w:rsidRPr="008A7EF0" w:rsidTr="001F503F">
        <w:trPr>
          <w:cantSplit/>
          <w:trHeight w:val="70"/>
        </w:trPr>
        <w:tc>
          <w:tcPr>
            <w:tcW w:w="2660" w:type="dxa"/>
          </w:tcPr>
          <w:p w:rsidR="00D9262A" w:rsidRPr="008A7EF0" w:rsidRDefault="00D9262A" w:rsidP="001F503F">
            <w:r w:rsidRPr="008A7EF0">
              <w:t>MCEEDYA</w:t>
            </w:r>
          </w:p>
        </w:tc>
        <w:tc>
          <w:tcPr>
            <w:tcW w:w="5267" w:type="dxa"/>
          </w:tcPr>
          <w:p w:rsidR="00D9262A" w:rsidRPr="008A7EF0" w:rsidRDefault="00D9262A" w:rsidP="001F503F">
            <w:pPr>
              <w:jc w:val="left"/>
            </w:pPr>
            <w:r w:rsidRPr="008A7EF0">
              <w:t>Ministerial Council for Education, Early childhood Development and Youth Affairs</w:t>
            </w:r>
          </w:p>
        </w:tc>
      </w:tr>
      <w:tr w:rsidR="00D9262A" w:rsidRPr="008A7EF0" w:rsidTr="001F503F">
        <w:trPr>
          <w:cantSplit/>
          <w:trHeight w:val="70"/>
        </w:trPr>
        <w:tc>
          <w:tcPr>
            <w:tcW w:w="2660" w:type="dxa"/>
          </w:tcPr>
          <w:p w:rsidR="00D9262A" w:rsidRPr="008A7EF0" w:rsidRDefault="00D9262A" w:rsidP="001F503F">
            <w:r w:rsidRPr="008A7EF0">
              <w:t>MYEFO</w:t>
            </w:r>
          </w:p>
        </w:tc>
        <w:tc>
          <w:tcPr>
            <w:tcW w:w="5267" w:type="dxa"/>
          </w:tcPr>
          <w:p w:rsidR="00D9262A" w:rsidRPr="008A7EF0" w:rsidRDefault="00D9262A" w:rsidP="001F503F">
            <w:pPr>
              <w:jc w:val="left"/>
            </w:pPr>
            <w:r w:rsidRPr="008A7EF0">
              <w:t>Mid-Year Economic and Fiscal Outlook</w:t>
            </w:r>
          </w:p>
        </w:tc>
      </w:tr>
      <w:tr w:rsidR="00D9262A" w:rsidRPr="008A7EF0" w:rsidTr="001F503F">
        <w:trPr>
          <w:cantSplit/>
          <w:trHeight w:val="70"/>
        </w:trPr>
        <w:tc>
          <w:tcPr>
            <w:tcW w:w="2660" w:type="dxa"/>
          </w:tcPr>
          <w:p w:rsidR="00D9262A" w:rsidRPr="008A7EF0" w:rsidRDefault="00D9262A" w:rsidP="001F503F">
            <w:r w:rsidRPr="008A7EF0">
              <w:t>NP</w:t>
            </w:r>
          </w:p>
        </w:tc>
        <w:tc>
          <w:tcPr>
            <w:tcW w:w="5267" w:type="dxa"/>
          </w:tcPr>
          <w:p w:rsidR="00D9262A" w:rsidRPr="008A7EF0" w:rsidRDefault="00D9262A" w:rsidP="001F503F">
            <w:pPr>
              <w:jc w:val="left"/>
            </w:pPr>
            <w:r w:rsidRPr="008A7EF0">
              <w:t>National Partnership</w:t>
            </w:r>
          </w:p>
        </w:tc>
      </w:tr>
      <w:tr w:rsidR="00D9262A" w:rsidRPr="008A7EF0" w:rsidTr="001F503F">
        <w:trPr>
          <w:cantSplit/>
          <w:trHeight w:val="70"/>
        </w:trPr>
        <w:tc>
          <w:tcPr>
            <w:tcW w:w="2660" w:type="dxa"/>
          </w:tcPr>
          <w:p w:rsidR="00D9262A" w:rsidRPr="008A7EF0" w:rsidRDefault="00D9262A" w:rsidP="001F503F">
            <w:r w:rsidRPr="008A7EF0">
              <w:t>NTER</w:t>
            </w:r>
          </w:p>
        </w:tc>
        <w:tc>
          <w:tcPr>
            <w:tcW w:w="5267" w:type="dxa"/>
          </w:tcPr>
          <w:p w:rsidR="00D9262A" w:rsidRPr="008A7EF0" w:rsidRDefault="00D9262A" w:rsidP="001F503F">
            <w:pPr>
              <w:jc w:val="left"/>
            </w:pPr>
            <w:r w:rsidRPr="008A7EF0">
              <w:t>Northern Territory Emergency Response</w:t>
            </w:r>
          </w:p>
        </w:tc>
      </w:tr>
      <w:tr w:rsidR="00D9262A" w:rsidRPr="008A7EF0" w:rsidTr="001F503F">
        <w:trPr>
          <w:cantSplit/>
          <w:trHeight w:val="70"/>
        </w:trPr>
        <w:tc>
          <w:tcPr>
            <w:tcW w:w="2660" w:type="dxa"/>
          </w:tcPr>
          <w:p w:rsidR="00D9262A" w:rsidRPr="008A7EF0" w:rsidRDefault="00D9262A" w:rsidP="001F503F">
            <w:r w:rsidRPr="008A7EF0">
              <w:t>OECD</w:t>
            </w:r>
          </w:p>
        </w:tc>
        <w:tc>
          <w:tcPr>
            <w:tcW w:w="5267" w:type="dxa"/>
          </w:tcPr>
          <w:p w:rsidR="00D9262A" w:rsidRPr="008A7EF0" w:rsidRDefault="00D9262A" w:rsidP="001F503F">
            <w:pPr>
              <w:jc w:val="left"/>
            </w:pPr>
            <w:r w:rsidRPr="008A7EF0">
              <w:t>Organisation for Economic Co-operation and Development</w:t>
            </w:r>
          </w:p>
        </w:tc>
      </w:tr>
      <w:tr w:rsidR="00D9262A" w:rsidRPr="008A7EF0" w:rsidTr="001F503F">
        <w:trPr>
          <w:cantSplit/>
          <w:trHeight w:val="70"/>
        </w:trPr>
        <w:tc>
          <w:tcPr>
            <w:tcW w:w="2660" w:type="dxa"/>
          </w:tcPr>
          <w:p w:rsidR="00D9262A" w:rsidRPr="008A7EF0" w:rsidRDefault="00D9262A" w:rsidP="001F503F">
            <w:r w:rsidRPr="008A7EF0">
              <w:t>OECECC</w:t>
            </w:r>
          </w:p>
        </w:tc>
        <w:tc>
          <w:tcPr>
            <w:tcW w:w="5267" w:type="dxa"/>
          </w:tcPr>
          <w:p w:rsidR="00D9262A" w:rsidRPr="008A7EF0" w:rsidRDefault="00D9262A" w:rsidP="001F503F">
            <w:pPr>
              <w:jc w:val="left"/>
            </w:pPr>
            <w:r w:rsidRPr="008A7EF0">
              <w:t>Office of Early Childhood Education and Child Care</w:t>
            </w:r>
          </w:p>
        </w:tc>
      </w:tr>
      <w:tr w:rsidR="00D9262A" w:rsidRPr="008A7EF0" w:rsidTr="001F503F">
        <w:trPr>
          <w:cantSplit/>
          <w:trHeight w:val="227"/>
        </w:trPr>
        <w:tc>
          <w:tcPr>
            <w:tcW w:w="2660" w:type="dxa"/>
          </w:tcPr>
          <w:p w:rsidR="00D9262A" w:rsidRPr="008A7EF0" w:rsidRDefault="00D9262A" w:rsidP="001F503F">
            <w:r w:rsidRPr="008A7EF0">
              <w:t>PAES</w:t>
            </w:r>
          </w:p>
        </w:tc>
        <w:tc>
          <w:tcPr>
            <w:tcW w:w="5267" w:type="dxa"/>
          </w:tcPr>
          <w:p w:rsidR="00D9262A" w:rsidRPr="008A7EF0" w:rsidRDefault="00D9262A" w:rsidP="001F503F">
            <w:pPr>
              <w:jc w:val="left"/>
            </w:pPr>
            <w:r w:rsidRPr="008A7EF0">
              <w:t>Portfolio Additional Estimates Statements</w:t>
            </w:r>
          </w:p>
        </w:tc>
      </w:tr>
      <w:tr w:rsidR="00D9262A" w:rsidRPr="008A7EF0" w:rsidTr="001F503F">
        <w:trPr>
          <w:cantSplit/>
          <w:trHeight w:val="227"/>
        </w:trPr>
        <w:tc>
          <w:tcPr>
            <w:tcW w:w="2660" w:type="dxa"/>
          </w:tcPr>
          <w:p w:rsidR="00D9262A" w:rsidRPr="008A7EF0" w:rsidRDefault="00D9262A" w:rsidP="001F503F">
            <w:r w:rsidRPr="008A7EF0">
              <w:t>PBS</w:t>
            </w:r>
          </w:p>
        </w:tc>
        <w:tc>
          <w:tcPr>
            <w:tcW w:w="5267" w:type="dxa"/>
          </w:tcPr>
          <w:p w:rsidR="00D9262A" w:rsidRPr="008A7EF0" w:rsidRDefault="00D9262A" w:rsidP="001F503F">
            <w:pPr>
              <w:jc w:val="left"/>
            </w:pPr>
            <w:r w:rsidRPr="008A7EF0">
              <w:t>Portfolio Budget Statements</w:t>
            </w:r>
          </w:p>
        </w:tc>
      </w:tr>
      <w:tr w:rsidR="00D9262A" w:rsidRPr="008A7EF0" w:rsidTr="001F503F">
        <w:trPr>
          <w:cantSplit/>
          <w:trHeight w:val="227"/>
        </w:trPr>
        <w:tc>
          <w:tcPr>
            <w:tcW w:w="2660" w:type="dxa"/>
          </w:tcPr>
          <w:p w:rsidR="00D9262A" w:rsidRPr="008A7EF0" w:rsidRDefault="00D9262A" w:rsidP="001F503F">
            <w:r w:rsidRPr="008A7EF0">
              <w:t>PEFO</w:t>
            </w:r>
          </w:p>
        </w:tc>
        <w:tc>
          <w:tcPr>
            <w:tcW w:w="5267" w:type="dxa"/>
          </w:tcPr>
          <w:p w:rsidR="00D9262A" w:rsidRPr="008A7EF0" w:rsidRDefault="00D9262A" w:rsidP="001F503F">
            <w:pPr>
              <w:jc w:val="left"/>
            </w:pPr>
            <w:r w:rsidRPr="008A7EF0">
              <w:t>Pre-Election Economic and Fiscal Outlook</w:t>
            </w:r>
          </w:p>
        </w:tc>
      </w:tr>
      <w:tr w:rsidR="00F63716" w:rsidRPr="008A7EF0" w:rsidTr="001F503F">
        <w:trPr>
          <w:cantSplit/>
          <w:trHeight w:val="234"/>
        </w:trPr>
        <w:tc>
          <w:tcPr>
            <w:tcW w:w="2660" w:type="dxa"/>
          </w:tcPr>
          <w:p w:rsidR="00F63716" w:rsidRPr="008A7EF0" w:rsidRDefault="00F63716" w:rsidP="001F503F">
            <w:r>
              <w:t>RJCP</w:t>
            </w:r>
          </w:p>
        </w:tc>
        <w:tc>
          <w:tcPr>
            <w:tcW w:w="5267" w:type="dxa"/>
          </w:tcPr>
          <w:p w:rsidR="00F63716" w:rsidRPr="008A7EF0" w:rsidRDefault="00F63716" w:rsidP="001F503F">
            <w:pPr>
              <w:jc w:val="left"/>
            </w:pPr>
            <w:r>
              <w:t>Remote Jobs and Communities Program</w:t>
            </w:r>
          </w:p>
        </w:tc>
      </w:tr>
      <w:tr w:rsidR="00D9262A" w:rsidRPr="008A7EF0" w:rsidTr="001F503F">
        <w:trPr>
          <w:cantSplit/>
          <w:trHeight w:val="234"/>
        </w:trPr>
        <w:tc>
          <w:tcPr>
            <w:tcW w:w="2660" w:type="dxa"/>
          </w:tcPr>
          <w:p w:rsidR="00D9262A" w:rsidRPr="008A7EF0" w:rsidRDefault="00D9262A" w:rsidP="001F503F">
            <w:r w:rsidRPr="008A7EF0">
              <w:t>SES</w:t>
            </w:r>
          </w:p>
        </w:tc>
        <w:tc>
          <w:tcPr>
            <w:tcW w:w="5267" w:type="dxa"/>
          </w:tcPr>
          <w:p w:rsidR="00D9262A" w:rsidRPr="008A7EF0" w:rsidRDefault="00D9262A" w:rsidP="001F503F">
            <w:pPr>
              <w:jc w:val="left"/>
            </w:pPr>
            <w:r w:rsidRPr="008A7EF0">
              <w:t>Socio-economic status</w:t>
            </w:r>
          </w:p>
        </w:tc>
      </w:tr>
      <w:tr w:rsidR="00D9262A" w:rsidRPr="008A7EF0" w:rsidTr="001F503F">
        <w:trPr>
          <w:cantSplit/>
          <w:trHeight w:val="227"/>
        </w:trPr>
        <w:tc>
          <w:tcPr>
            <w:tcW w:w="2660" w:type="dxa"/>
          </w:tcPr>
          <w:p w:rsidR="00D9262A" w:rsidRPr="008A7EF0" w:rsidRDefault="00D9262A" w:rsidP="001F503F">
            <w:r w:rsidRPr="008A7EF0">
              <w:t>SPP</w:t>
            </w:r>
          </w:p>
        </w:tc>
        <w:tc>
          <w:tcPr>
            <w:tcW w:w="5267" w:type="dxa"/>
          </w:tcPr>
          <w:p w:rsidR="00D9262A" w:rsidRPr="008A7EF0" w:rsidRDefault="00D9262A" w:rsidP="001F503F">
            <w:pPr>
              <w:jc w:val="left"/>
            </w:pPr>
            <w:r w:rsidRPr="008A7EF0">
              <w:t>Specific Purpose Payment</w:t>
            </w:r>
          </w:p>
        </w:tc>
      </w:tr>
      <w:tr w:rsidR="00D9262A" w:rsidRPr="008A7EF0" w:rsidTr="001F503F">
        <w:trPr>
          <w:cantSplit/>
          <w:trHeight w:val="352"/>
        </w:trPr>
        <w:tc>
          <w:tcPr>
            <w:tcW w:w="2660" w:type="dxa"/>
          </w:tcPr>
          <w:p w:rsidR="00D9262A" w:rsidRPr="008A7EF0" w:rsidRDefault="00D9262A" w:rsidP="001F503F">
            <w:r w:rsidRPr="008A7EF0">
              <w:t>SRCC</w:t>
            </w:r>
          </w:p>
        </w:tc>
        <w:tc>
          <w:tcPr>
            <w:tcW w:w="5267" w:type="dxa"/>
          </w:tcPr>
          <w:p w:rsidR="00D9262A" w:rsidRPr="008A7EF0" w:rsidRDefault="00D9262A" w:rsidP="001F503F">
            <w:pPr>
              <w:jc w:val="left"/>
            </w:pPr>
            <w:r w:rsidRPr="008A7EF0">
              <w:t>Safety, Rehabilitation and Compensation Commission</w:t>
            </w:r>
          </w:p>
        </w:tc>
      </w:tr>
      <w:tr w:rsidR="00D9262A" w:rsidRPr="008A7EF0" w:rsidTr="001F503F">
        <w:trPr>
          <w:cantSplit/>
          <w:trHeight w:val="227"/>
        </w:trPr>
        <w:tc>
          <w:tcPr>
            <w:tcW w:w="2660" w:type="dxa"/>
          </w:tcPr>
          <w:p w:rsidR="00D9262A" w:rsidRPr="008A7EF0" w:rsidRDefault="00D9262A" w:rsidP="001F503F">
            <w:r w:rsidRPr="008A7EF0">
              <w:t>SWA</w:t>
            </w:r>
          </w:p>
        </w:tc>
        <w:tc>
          <w:tcPr>
            <w:tcW w:w="5267" w:type="dxa"/>
          </w:tcPr>
          <w:p w:rsidR="00D9262A" w:rsidRPr="008A7EF0" w:rsidRDefault="00D9262A" w:rsidP="001F503F">
            <w:pPr>
              <w:jc w:val="left"/>
            </w:pPr>
            <w:r w:rsidRPr="008A7EF0">
              <w:t>Safe Work Australia</w:t>
            </w:r>
          </w:p>
        </w:tc>
      </w:tr>
      <w:tr w:rsidR="00D9262A" w:rsidRPr="008A7EF0" w:rsidTr="001F503F">
        <w:trPr>
          <w:cantSplit/>
          <w:trHeight w:val="227"/>
        </w:trPr>
        <w:tc>
          <w:tcPr>
            <w:tcW w:w="2660" w:type="dxa"/>
          </w:tcPr>
          <w:p w:rsidR="00D9262A" w:rsidRPr="008A7EF0" w:rsidRDefault="00D9262A" w:rsidP="001F503F">
            <w:r w:rsidRPr="008A7EF0">
              <w:t>TAFE</w:t>
            </w:r>
          </w:p>
        </w:tc>
        <w:tc>
          <w:tcPr>
            <w:tcW w:w="5267" w:type="dxa"/>
          </w:tcPr>
          <w:p w:rsidR="00D9262A" w:rsidRPr="008A7EF0" w:rsidRDefault="00D9262A" w:rsidP="001F503F">
            <w:pPr>
              <w:jc w:val="left"/>
            </w:pPr>
            <w:r w:rsidRPr="008A7EF0">
              <w:t>Technical and Further Education</w:t>
            </w:r>
          </w:p>
        </w:tc>
      </w:tr>
      <w:tr w:rsidR="00D9262A" w:rsidRPr="008A7EF0" w:rsidTr="001F503F">
        <w:trPr>
          <w:cantSplit/>
          <w:trHeight w:val="234"/>
        </w:trPr>
        <w:tc>
          <w:tcPr>
            <w:tcW w:w="2660" w:type="dxa"/>
          </w:tcPr>
          <w:p w:rsidR="00D9262A" w:rsidRPr="008A7EF0" w:rsidRDefault="00D9262A" w:rsidP="001F503F">
            <w:r w:rsidRPr="008A7EF0">
              <w:t>VET</w:t>
            </w:r>
          </w:p>
        </w:tc>
        <w:tc>
          <w:tcPr>
            <w:tcW w:w="5267" w:type="dxa"/>
          </w:tcPr>
          <w:p w:rsidR="00D9262A" w:rsidRPr="008A7EF0" w:rsidRDefault="00D9262A" w:rsidP="001F503F">
            <w:pPr>
              <w:jc w:val="left"/>
            </w:pPr>
            <w:r w:rsidRPr="008A7EF0">
              <w:t>Vocational Education and Training</w:t>
            </w:r>
          </w:p>
        </w:tc>
      </w:tr>
      <w:tr w:rsidR="00D9262A" w:rsidRPr="008A7EF0" w:rsidTr="001F503F">
        <w:trPr>
          <w:cantSplit/>
          <w:trHeight w:val="227"/>
        </w:trPr>
        <w:tc>
          <w:tcPr>
            <w:tcW w:w="2660" w:type="dxa"/>
          </w:tcPr>
          <w:p w:rsidR="00D9262A" w:rsidRPr="008A7EF0" w:rsidRDefault="00D9262A" w:rsidP="001F503F">
            <w:r w:rsidRPr="008A7EF0">
              <w:t>WRA</w:t>
            </w:r>
          </w:p>
        </w:tc>
        <w:tc>
          <w:tcPr>
            <w:tcW w:w="5267" w:type="dxa"/>
          </w:tcPr>
          <w:p w:rsidR="00D9262A" w:rsidRPr="008A7EF0" w:rsidRDefault="00D9262A" w:rsidP="001F503F">
            <w:pPr>
              <w:jc w:val="left"/>
            </w:pPr>
            <w:r w:rsidRPr="008A7EF0">
              <w:rPr>
                <w:rStyle w:val="TableTextLeftChar"/>
                <w:rFonts w:cs="Arial"/>
                <w:i/>
              </w:rPr>
              <w:t>Workplace Relations Act 1996</w:t>
            </w:r>
          </w:p>
        </w:tc>
      </w:tr>
    </w:tbl>
    <w:p w:rsidR="000C3B86" w:rsidRPr="00BB6106" w:rsidRDefault="000C3B86" w:rsidP="00BB6106">
      <w:bookmarkStart w:id="0" w:name="_GoBack"/>
      <w:bookmarkEnd w:id="0"/>
    </w:p>
    <w:sectPr w:rsidR="000C3B86" w:rsidRPr="00BB6106" w:rsidSect="00AA27AA">
      <w:headerReference w:type="even" r:id="rId8"/>
      <w:headerReference w:type="default" r:id="rId9"/>
      <w:footerReference w:type="even" r:id="rId10"/>
      <w:footerReference w:type="default" r:id="rId11"/>
      <w:headerReference w:type="first" r:id="rId12"/>
      <w:footerReference w:type="first" r:id="rId13"/>
      <w:type w:val="oddPage"/>
      <w:pgSz w:w="11906" w:h="16838" w:code="9"/>
      <w:pgMar w:top="2466" w:right="2098" w:bottom="2466" w:left="2098" w:header="1899" w:footer="18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136" w:rsidRDefault="00542136" w:rsidP="00C07DEC">
      <w:r>
        <w:separator/>
      </w:r>
    </w:p>
  </w:endnote>
  <w:endnote w:type="continuationSeparator" w:id="0">
    <w:p w:rsidR="00542136" w:rsidRDefault="00542136" w:rsidP="00C0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Light">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106" w:rsidRDefault="00BB61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106" w:rsidRDefault="00BB61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106" w:rsidRDefault="00BB61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136" w:rsidRDefault="00542136" w:rsidP="00C07DEC">
      <w:r>
        <w:separator/>
      </w:r>
    </w:p>
  </w:footnote>
  <w:footnote w:type="continuationSeparator" w:id="0">
    <w:p w:rsidR="00542136" w:rsidRDefault="00542136" w:rsidP="00C07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136" w:rsidRDefault="00542136" w:rsidP="001F503F">
    <w:pPr>
      <w:pStyle w:val="HeaderOdd"/>
      <w:jc w:val="left"/>
    </w:pPr>
    <w:r>
      <w:t>Glossary &amp; Acronyms</w:t>
    </w:r>
  </w:p>
  <w:p w:rsidR="00542136" w:rsidRPr="00FD0F87" w:rsidRDefault="00542136" w:rsidP="001F50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136" w:rsidRDefault="00542136" w:rsidP="001F503F">
    <w:pPr>
      <w:pStyle w:val="HeaderOdd"/>
    </w:pPr>
    <w:r>
      <w:t>Glossary &amp; Acronyms</w:t>
    </w:r>
  </w:p>
  <w:p w:rsidR="00542136" w:rsidRPr="00FD0F87" w:rsidRDefault="00542136" w:rsidP="001F50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136" w:rsidRDefault="00542136" w:rsidP="001F503F">
    <w:pPr>
      <w:pStyle w:val="HeaderOdd"/>
    </w:pPr>
    <w:r>
      <w:t>Glossary &amp; Acronyms</w:t>
    </w:r>
  </w:p>
  <w:p w:rsidR="00542136" w:rsidRPr="002A7FC8" w:rsidRDefault="00542136" w:rsidP="002A7F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A6390"/>
    <w:multiLevelType w:val="hybridMultilevel"/>
    <w:tmpl w:val="C6C89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C42909"/>
    <w:multiLevelType w:val="multilevel"/>
    <w:tmpl w:val="753AC1FE"/>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 w15:restartNumberingAfterBreak="0">
    <w:nsid w:val="12197A03"/>
    <w:multiLevelType w:val="hybridMultilevel"/>
    <w:tmpl w:val="4C34FFFC"/>
    <w:name w:val="StandardBulletedList_"/>
    <w:lvl w:ilvl="0" w:tplc="D5ACBC36">
      <w:start w:val="1"/>
      <w:numFmt w:val="bullet"/>
      <w:lvlText w:val=""/>
      <w:lvlJc w:val="left"/>
      <w:pPr>
        <w:ind w:left="720" w:hanging="360"/>
      </w:pPr>
      <w:rPr>
        <w:rFonts w:ascii="Symbol" w:hAnsi="Symbol" w:hint="default"/>
      </w:rPr>
    </w:lvl>
    <w:lvl w:ilvl="1" w:tplc="F38AAE90" w:tentative="1">
      <w:start w:val="1"/>
      <w:numFmt w:val="bullet"/>
      <w:lvlText w:val="o"/>
      <w:lvlJc w:val="left"/>
      <w:pPr>
        <w:ind w:left="1440" w:hanging="360"/>
      </w:pPr>
      <w:rPr>
        <w:rFonts w:ascii="Courier New" w:hAnsi="Courier New" w:cs="Courier New" w:hint="default"/>
      </w:rPr>
    </w:lvl>
    <w:lvl w:ilvl="2" w:tplc="6B122FCE" w:tentative="1">
      <w:start w:val="1"/>
      <w:numFmt w:val="bullet"/>
      <w:lvlText w:val=""/>
      <w:lvlJc w:val="left"/>
      <w:pPr>
        <w:ind w:left="2160" w:hanging="360"/>
      </w:pPr>
      <w:rPr>
        <w:rFonts w:ascii="Wingdings" w:hAnsi="Wingdings" w:hint="default"/>
      </w:rPr>
    </w:lvl>
    <w:lvl w:ilvl="3" w:tplc="733C3BFC" w:tentative="1">
      <w:start w:val="1"/>
      <w:numFmt w:val="bullet"/>
      <w:lvlText w:val=""/>
      <w:lvlJc w:val="left"/>
      <w:pPr>
        <w:ind w:left="2880" w:hanging="360"/>
      </w:pPr>
      <w:rPr>
        <w:rFonts w:ascii="Symbol" w:hAnsi="Symbol" w:hint="default"/>
      </w:rPr>
    </w:lvl>
    <w:lvl w:ilvl="4" w:tplc="A2A076E6" w:tentative="1">
      <w:start w:val="1"/>
      <w:numFmt w:val="bullet"/>
      <w:lvlText w:val="o"/>
      <w:lvlJc w:val="left"/>
      <w:pPr>
        <w:ind w:left="3600" w:hanging="360"/>
      </w:pPr>
      <w:rPr>
        <w:rFonts w:ascii="Courier New" w:hAnsi="Courier New" w:cs="Courier New" w:hint="default"/>
      </w:rPr>
    </w:lvl>
    <w:lvl w:ilvl="5" w:tplc="DCBCB396" w:tentative="1">
      <w:start w:val="1"/>
      <w:numFmt w:val="bullet"/>
      <w:lvlText w:val=""/>
      <w:lvlJc w:val="left"/>
      <w:pPr>
        <w:ind w:left="4320" w:hanging="360"/>
      </w:pPr>
      <w:rPr>
        <w:rFonts w:ascii="Wingdings" w:hAnsi="Wingdings" w:hint="default"/>
      </w:rPr>
    </w:lvl>
    <w:lvl w:ilvl="6" w:tplc="14345D04" w:tentative="1">
      <w:start w:val="1"/>
      <w:numFmt w:val="bullet"/>
      <w:lvlText w:val=""/>
      <w:lvlJc w:val="left"/>
      <w:pPr>
        <w:ind w:left="5040" w:hanging="360"/>
      </w:pPr>
      <w:rPr>
        <w:rFonts w:ascii="Symbol" w:hAnsi="Symbol" w:hint="default"/>
      </w:rPr>
    </w:lvl>
    <w:lvl w:ilvl="7" w:tplc="EEC49A36" w:tentative="1">
      <w:start w:val="1"/>
      <w:numFmt w:val="bullet"/>
      <w:lvlText w:val="o"/>
      <w:lvlJc w:val="left"/>
      <w:pPr>
        <w:ind w:left="5760" w:hanging="360"/>
      </w:pPr>
      <w:rPr>
        <w:rFonts w:ascii="Courier New" w:hAnsi="Courier New" w:cs="Courier New" w:hint="default"/>
      </w:rPr>
    </w:lvl>
    <w:lvl w:ilvl="8" w:tplc="7C4E2990" w:tentative="1">
      <w:start w:val="1"/>
      <w:numFmt w:val="bullet"/>
      <w:lvlText w:val=""/>
      <w:lvlJc w:val="left"/>
      <w:pPr>
        <w:ind w:left="6480" w:hanging="360"/>
      </w:pPr>
      <w:rPr>
        <w:rFonts w:ascii="Wingdings" w:hAnsi="Wingdings" w:hint="default"/>
      </w:rPr>
    </w:lvl>
  </w:abstractNum>
  <w:abstractNum w:abstractNumId="3" w15:restartNumberingAfterBreak="0">
    <w:nsid w:val="1E0B4E6D"/>
    <w:multiLevelType w:val="hybridMultilevel"/>
    <w:tmpl w:val="F0440A16"/>
    <w:lvl w:ilvl="0" w:tplc="3BEE9696">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B56203"/>
    <w:multiLevelType w:val="multilevel"/>
    <w:tmpl w:val="533E0A06"/>
    <w:name w:val="Box Bullet List"/>
    <w:lvl w:ilvl="0">
      <w:start w:val="1"/>
      <w:numFmt w:val="bullet"/>
      <w:lvlText w:val="–"/>
      <w:lvlJc w:val="left"/>
      <w:pPr>
        <w:tabs>
          <w:tab w:val="num" w:pos="720"/>
        </w:tabs>
        <w:ind w:left="720" w:hanging="360"/>
      </w:pPr>
      <w:rPr>
        <w:rFonts w:ascii="Frutiger-Light" w:eastAsia="Times New Roman" w:hAnsi="Frutiger-Light" w:cs="Frutiger-Light" w:hint="default"/>
      </w:rPr>
    </w:lvl>
    <w:lvl w:ilvl="1">
      <w:start w:val="1"/>
      <w:numFmt w:val="bullet"/>
      <w:lvlText w:val=""/>
      <w:lvlJc w:val="left"/>
      <w:pPr>
        <w:tabs>
          <w:tab w:val="num" w:pos="640"/>
        </w:tabs>
        <w:ind w:left="640" w:hanging="284"/>
      </w:pPr>
      <w:rPr>
        <w:rFonts w:ascii="Wingdings 2" w:hAnsi="Wingdings 2" w:hint="default"/>
        <w:color w:val="808080"/>
      </w:rPr>
    </w:lvl>
    <w:lvl w:ilvl="2">
      <w:start w:val="1"/>
      <w:numFmt w:val="bullet"/>
      <w:lvlText w:val=":"/>
      <w:lvlJc w:val="left"/>
      <w:pPr>
        <w:tabs>
          <w:tab w:val="num" w:pos="923"/>
        </w:tabs>
        <w:ind w:left="923" w:hanging="283"/>
      </w:pPr>
      <w:rPr>
        <w:rFonts w:ascii="Arial" w:hAnsi="Arial" w:hint="default"/>
      </w:rPr>
    </w:lvl>
    <w:lvl w:ilvl="3">
      <w:start w:val="1"/>
      <w:numFmt w:val="decimal"/>
      <w:lvlText w:val="(%4)"/>
      <w:lvlJc w:val="left"/>
      <w:pPr>
        <w:tabs>
          <w:tab w:val="num" w:pos="1513"/>
        </w:tabs>
        <w:ind w:left="1513" w:hanging="360"/>
      </w:pPr>
      <w:rPr>
        <w:rFonts w:hint="default"/>
      </w:rPr>
    </w:lvl>
    <w:lvl w:ilvl="4">
      <w:start w:val="1"/>
      <w:numFmt w:val="lowerLetter"/>
      <w:lvlText w:val="(%5)"/>
      <w:lvlJc w:val="left"/>
      <w:pPr>
        <w:tabs>
          <w:tab w:val="num" w:pos="1873"/>
        </w:tabs>
        <w:ind w:left="1873" w:hanging="360"/>
      </w:pPr>
      <w:rPr>
        <w:rFonts w:hint="default"/>
      </w:rPr>
    </w:lvl>
    <w:lvl w:ilvl="5">
      <w:start w:val="1"/>
      <w:numFmt w:val="lowerRoman"/>
      <w:lvlText w:val="(%6)"/>
      <w:lvlJc w:val="left"/>
      <w:pPr>
        <w:tabs>
          <w:tab w:val="num" w:pos="2233"/>
        </w:tabs>
        <w:ind w:left="2233" w:hanging="360"/>
      </w:pPr>
      <w:rPr>
        <w:rFonts w:hint="default"/>
      </w:rPr>
    </w:lvl>
    <w:lvl w:ilvl="6">
      <w:start w:val="1"/>
      <w:numFmt w:val="decimal"/>
      <w:lvlText w:val="%7."/>
      <w:lvlJc w:val="left"/>
      <w:pPr>
        <w:tabs>
          <w:tab w:val="num" w:pos="2593"/>
        </w:tabs>
        <w:ind w:left="2593" w:hanging="360"/>
      </w:pPr>
      <w:rPr>
        <w:rFonts w:hint="default"/>
      </w:rPr>
    </w:lvl>
    <w:lvl w:ilvl="7">
      <w:start w:val="1"/>
      <w:numFmt w:val="lowerLetter"/>
      <w:lvlText w:val="%8."/>
      <w:lvlJc w:val="left"/>
      <w:pPr>
        <w:tabs>
          <w:tab w:val="num" w:pos="2953"/>
        </w:tabs>
        <w:ind w:left="2953" w:hanging="360"/>
      </w:pPr>
      <w:rPr>
        <w:rFonts w:hint="default"/>
      </w:rPr>
    </w:lvl>
    <w:lvl w:ilvl="8">
      <w:start w:val="1"/>
      <w:numFmt w:val="lowerRoman"/>
      <w:lvlText w:val="%9."/>
      <w:lvlJc w:val="left"/>
      <w:pPr>
        <w:tabs>
          <w:tab w:val="num" w:pos="3313"/>
        </w:tabs>
        <w:ind w:left="3313" w:hanging="360"/>
      </w:pPr>
      <w:rPr>
        <w:rFonts w:hint="default"/>
      </w:rPr>
    </w:lvl>
  </w:abstractNum>
  <w:abstractNum w:abstractNumId="5" w15:restartNumberingAfterBreak="0">
    <w:nsid w:val="2CEA4481"/>
    <w:multiLevelType w:val="multilevel"/>
    <w:tmpl w:val="0DFE1A6A"/>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6" w15:restartNumberingAfterBreak="0">
    <w:nsid w:val="361503D5"/>
    <w:multiLevelType w:val="hybridMultilevel"/>
    <w:tmpl w:val="C19AC01E"/>
    <w:lvl w:ilvl="0" w:tplc="8E306B24">
      <w:start w:val="1"/>
      <w:numFmt w:val="bullet"/>
      <w:pStyle w:val="Bullets"/>
      <w:lvlText w:val=""/>
      <w:lvlJc w:val="left"/>
      <w:pPr>
        <w:tabs>
          <w:tab w:val="num" w:pos="284"/>
        </w:tabs>
        <w:ind w:left="284" w:hanging="284"/>
      </w:pPr>
      <w:rPr>
        <w:rFonts w:ascii="Wingdings" w:hAnsi="Wingdings" w:hint="default"/>
        <w:color w:val="auto"/>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596F0F"/>
    <w:multiLevelType w:val="hybridMultilevel"/>
    <w:tmpl w:val="9FF64D7E"/>
    <w:lvl w:ilvl="0" w:tplc="436859F8">
      <w:start w:val="1"/>
      <w:numFmt w:val="bullet"/>
      <w:pStyle w:val="TableBullet"/>
      <w:lvlText w:val=""/>
      <w:lvlJc w:val="left"/>
      <w:pPr>
        <w:ind w:left="720" w:hanging="360"/>
      </w:pPr>
      <w:rPr>
        <w:rFonts w:ascii="Wingdings" w:hAnsi="Wingdings" w:hint="default"/>
        <w:color w:val="auto"/>
      </w:rPr>
    </w:lvl>
    <w:lvl w:ilvl="1" w:tplc="F4D2AD92" w:tentative="1">
      <w:start w:val="1"/>
      <w:numFmt w:val="bullet"/>
      <w:lvlText w:val="o"/>
      <w:lvlJc w:val="left"/>
      <w:pPr>
        <w:ind w:left="1440" w:hanging="360"/>
      </w:pPr>
      <w:rPr>
        <w:rFonts w:ascii="Courier New" w:hAnsi="Courier New" w:cs="Courier New" w:hint="default"/>
      </w:rPr>
    </w:lvl>
    <w:lvl w:ilvl="2" w:tplc="245EB464" w:tentative="1">
      <w:start w:val="1"/>
      <w:numFmt w:val="bullet"/>
      <w:lvlText w:val=""/>
      <w:lvlJc w:val="left"/>
      <w:pPr>
        <w:ind w:left="2160" w:hanging="360"/>
      </w:pPr>
      <w:rPr>
        <w:rFonts w:ascii="Wingdings" w:hAnsi="Wingdings" w:hint="default"/>
      </w:rPr>
    </w:lvl>
    <w:lvl w:ilvl="3" w:tplc="182E00CE" w:tentative="1">
      <w:start w:val="1"/>
      <w:numFmt w:val="bullet"/>
      <w:lvlText w:val=""/>
      <w:lvlJc w:val="left"/>
      <w:pPr>
        <w:ind w:left="2880" w:hanging="360"/>
      </w:pPr>
      <w:rPr>
        <w:rFonts w:ascii="Symbol" w:hAnsi="Symbol" w:hint="default"/>
      </w:rPr>
    </w:lvl>
    <w:lvl w:ilvl="4" w:tplc="27F681A0" w:tentative="1">
      <w:start w:val="1"/>
      <w:numFmt w:val="bullet"/>
      <w:lvlText w:val="o"/>
      <w:lvlJc w:val="left"/>
      <w:pPr>
        <w:ind w:left="3600" w:hanging="360"/>
      </w:pPr>
      <w:rPr>
        <w:rFonts w:ascii="Courier New" w:hAnsi="Courier New" w:cs="Courier New" w:hint="default"/>
      </w:rPr>
    </w:lvl>
    <w:lvl w:ilvl="5" w:tplc="5E0C5432" w:tentative="1">
      <w:start w:val="1"/>
      <w:numFmt w:val="bullet"/>
      <w:lvlText w:val=""/>
      <w:lvlJc w:val="left"/>
      <w:pPr>
        <w:ind w:left="4320" w:hanging="360"/>
      </w:pPr>
      <w:rPr>
        <w:rFonts w:ascii="Wingdings" w:hAnsi="Wingdings" w:hint="default"/>
      </w:rPr>
    </w:lvl>
    <w:lvl w:ilvl="6" w:tplc="841EE532" w:tentative="1">
      <w:start w:val="1"/>
      <w:numFmt w:val="bullet"/>
      <w:lvlText w:val=""/>
      <w:lvlJc w:val="left"/>
      <w:pPr>
        <w:ind w:left="5040" w:hanging="360"/>
      </w:pPr>
      <w:rPr>
        <w:rFonts w:ascii="Symbol" w:hAnsi="Symbol" w:hint="default"/>
      </w:rPr>
    </w:lvl>
    <w:lvl w:ilvl="7" w:tplc="40F42D96" w:tentative="1">
      <w:start w:val="1"/>
      <w:numFmt w:val="bullet"/>
      <w:lvlText w:val="o"/>
      <w:lvlJc w:val="left"/>
      <w:pPr>
        <w:ind w:left="5760" w:hanging="360"/>
      </w:pPr>
      <w:rPr>
        <w:rFonts w:ascii="Courier New" w:hAnsi="Courier New" w:cs="Courier New" w:hint="default"/>
      </w:rPr>
    </w:lvl>
    <w:lvl w:ilvl="8" w:tplc="497EEBA2" w:tentative="1">
      <w:start w:val="1"/>
      <w:numFmt w:val="bullet"/>
      <w:lvlText w:val=""/>
      <w:lvlJc w:val="left"/>
      <w:pPr>
        <w:ind w:left="6480" w:hanging="360"/>
      </w:pPr>
      <w:rPr>
        <w:rFonts w:ascii="Wingdings" w:hAnsi="Wingdings" w:hint="default"/>
      </w:rPr>
    </w:lvl>
  </w:abstractNum>
  <w:abstractNum w:abstractNumId="8" w15:restartNumberingAfterBreak="0">
    <w:nsid w:val="3B2E19AC"/>
    <w:multiLevelType w:val="singleLevel"/>
    <w:tmpl w:val="07664886"/>
    <w:name w:val="TableTextBullet"/>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9" w15:restartNumberingAfterBreak="0">
    <w:nsid w:val="43FB49B7"/>
    <w:multiLevelType w:val="singleLevel"/>
    <w:tmpl w:val="9EDE5682"/>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0" w15:restartNumberingAfterBreak="0">
    <w:nsid w:val="4AAB57CE"/>
    <w:multiLevelType w:val="hybridMultilevel"/>
    <w:tmpl w:val="9EC0D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78B2CA1"/>
    <w:multiLevelType w:val="hybridMultilevel"/>
    <w:tmpl w:val="D50487AA"/>
    <w:lvl w:ilvl="0" w:tplc="4050875E">
      <w:start w:val="1"/>
      <w:numFmt w:val="bullet"/>
      <w:lvlText w:val=""/>
      <w:lvlJc w:val="left"/>
      <w:pPr>
        <w:tabs>
          <w:tab w:val="num" w:pos="284"/>
        </w:tabs>
        <w:ind w:left="284" w:hanging="284"/>
      </w:pPr>
      <w:rPr>
        <w:rFonts w:ascii="Symbol" w:hAnsi="Symbol" w:hint="default"/>
        <w:sz w:val="18"/>
      </w:rPr>
    </w:lvl>
    <w:lvl w:ilvl="1" w:tplc="A6686926" w:tentative="1">
      <w:start w:val="1"/>
      <w:numFmt w:val="bullet"/>
      <w:lvlText w:val="o"/>
      <w:lvlJc w:val="left"/>
      <w:pPr>
        <w:tabs>
          <w:tab w:val="num" w:pos="1440"/>
        </w:tabs>
        <w:ind w:left="1440" w:hanging="360"/>
      </w:pPr>
      <w:rPr>
        <w:rFonts w:ascii="Courier New" w:hAnsi="Courier New" w:cs="Courier New" w:hint="default"/>
      </w:rPr>
    </w:lvl>
    <w:lvl w:ilvl="2" w:tplc="49E8B28E" w:tentative="1">
      <w:start w:val="1"/>
      <w:numFmt w:val="bullet"/>
      <w:lvlText w:val=""/>
      <w:lvlJc w:val="left"/>
      <w:pPr>
        <w:tabs>
          <w:tab w:val="num" w:pos="2160"/>
        </w:tabs>
        <w:ind w:left="2160" w:hanging="360"/>
      </w:pPr>
      <w:rPr>
        <w:rFonts w:ascii="Wingdings" w:hAnsi="Wingdings" w:hint="default"/>
      </w:rPr>
    </w:lvl>
    <w:lvl w:ilvl="3" w:tplc="92567560" w:tentative="1">
      <w:start w:val="1"/>
      <w:numFmt w:val="bullet"/>
      <w:lvlText w:val=""/>
      <w:lvlJc w:val="left"/>
      <w:pPr>
        <w:tabs>
          <w:tab w:val="num" w:pos="2880"/>
        </w:tabs>
        <w:ind w:left="2880" w:hanging="360"/>
      </w:pPr>
      <w:rPr>
        <w:rFonts w:ascii="Symbol" w:hAnsi="Symbol" w:hint="default"/>
      </w:rPr>
    </w:lvl>
    <w:lvl w:ilvl="4" w:tplc="89A043E4" w:tentative="1">
      <w:start w:val="1"/>
      <w:numFmt w:val="bullet"/>
      <w:lvlText w:val="o"/>
      <w:lvlJc w:val="left"/>
      <w:pPr>
        <w:tabs>
          <w:tab w:val="num" w:pos="3600"/>
        </w:tabs>
        <w:ind w:left="3600" w:hanging="360"/>
      </w:pPr>
      <w:rPr>
        <w:rFonts w:ascii="Courier New" w:hAnsi="Courier New" w:cs="Courier New" w:hint="default"/>
      </w:rPr>
    </w:lvl>
    <w:lvl w:ilvl="5" w:tplc="E9585DE0" w:tentative="1">
      <w:start w:val="1"/>
      <w:numFmt w:val="bullet"/>
      <w:lvlText w:val=""/>
      <w:lvlJc w:val="left"/>
      <w:pPr>
        <w:tabs>
          <w:tab w:val="num" w:pos="4320"/>
        </w:tabs>
        <w:ind w:left="4320" w:hanging="360"/>
      </w:pPr>
      <w:rPr>
        <w:rFonts w:ascii="Wingdings" w:hAnsi="Wingdings" w:hint="default"/>
      </w:rPr>
    </w:lvl>
    <w:lvl w:ilvl="6" w:tplc="BCF21F3E" w:tentative="1">
      <w:start w:val="1"/>
      <w:numFmt w:val="bullet"/>
      <w:lvlText w:val=""/>
      <w:lvlJc w:val="left"/>
      <w:pPr>
        <w:tabs>
          <w:tab w:val="num" w:pos="5040"/>
        </w:tabs>
        <w:ind w:left="5040" w:hanging="360"/>
      </w:pPr>
      <w:rPr>
        <w:rFonts w:ascii="Symbol" w:hAnsi="Symbol" w:hint="default"/>
      </w:rPr>
    </w:lvl>
    <w:lvl w:ilvl="7" w:tplc="FC68E72E" w:tentative="1">
      <w:start w:val="1"/>
      <w:numFmt w:val="bullet"/>
      <w:lvlText w:val="o"/>
      <w:lvlJc w:val="left"/>
      <w:pPr>
        <w:tabs>
          <w:tab w:val="num" w:pos="5760"/>
        </w:tabs>
        <w:ind w:left="5760" w:hanging="360"/>
      </w:pPr>
      <w:rPr>
        <w:rFonts w:ascii="Courier New" w:hAnsi="Courier New" w:cs="Courier New" w:hint="default"/>
      </w:rPr>
    </w:lvl>
    <w:lvl w:ilvl="8" w:tplc="5A9C657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3" w15:restartNumberingAfterBreak="0">
    <w:nsid w:val="5ABE0699"/>
    <w:multiLevelType w:val="hybridMultilevel"/>
    <w:tmpl w:val="96C44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395225"/>
    <w:multiLevelType w:val="multilevel"/>
    <w:tmpl w:val="19B6AE7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C573951"/>
    <w:multiLevelType w:val="multilevel"/>
    <w:tmpl w:val="55E6D06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EA3959"/>
    <w:multiLevelType w:val="multilevel"/>
    <w:tmpl w:val="5C2C9654"/>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15:restartNumberingAfterBreak="0">
    <w:nsid w:val="6B295D2E"/>
    <w:multiLevelType w:val="multilevel"/>
    <w:tmpl w:val="D67AA63A"/>
    <w:name w:val="Alpha Paragraph"/>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2E92571"/>
    <w:multiLevelType w:val="hybridMultilevel"/>
    <w:tmpl w:val="AE92A546"/>
    <w:lvl w:ilvl="0" w:tplc="91F0368C">
      <w:start w:val="1"/>
      <w:numFmt w:val="bullet"/>
      <w:lvlText w:val=""/>
      <w:lvlJc w:val="left"/>
      <w:pPr>
        <w:tabs>
          <w:tab w:val="num" w:pos="360"/>
        </w:tabs>
        <w:ind w:left="360" w:hanging="360"/>
      </w:pPr>
      <w:rPr>
        <w:rFonts w:ascii="Symbol" w:hAnsi="Symbol" w:hint="default"/>
      </w:rPr>
    </w:lvl>
    <w:lvl w:ilvl="1" w:tplc="F0B4EB7E">
      <w:start w:val="1"/>
      <w:numFmt w:val="bullet"/>
      <w:lvlText w:val="o"/>
      <w:lvlJc w:val="left"/>
      <w:pPr>
        <w:tabs>
          <w:tab w:val="num" w:pos="1440"/>
        </w:tabs>
        <w:ind w:left="1440" w:hanging="360"/>
      </w:pPr>
      <w:rPr>
        <w:rFonts w:ascii="Courier New" w:hAnsi="Courier New" w:cs="Courier New" w:hint="default"/>
      </w:rPr>
    </w:lvl>
    <w:lvl w:ilvl="2" w:tplc="FE3E4B7C" w:tentative="1">
      <w:start w:val="1"/>
      <w:numFmt w:val="bullet"/>
      <w:lvlText w:val=""/>
      <w:lvlJc w:val="left"/>
      <w:pPr>
        <w:tabs>
          <w:tab w:val="num" w:pos="2160"/>
        </w:tabs>
        <w:ind w:left="2160" w:hanging="360"/>
      </w:pPr>
      <w:rPr>
        <w:rFonts w:ascii="Wingdings" w:hAnsi="Wingdings" w:hint="default"/>
      </w:rPr>
    </w:lvl>
    <w:lvl w:ilvl="3" w:tplc="47CA8F5E" w:tentative="1">
      <w:start w:val="1"/>
      <w:numFmt w:val="bullet"/>
      <w:lvlText w:val=""/>
      <w:lvlJc w:val="left"/>
      <w:pPr>
        <w:tabs>
          <w:tab w:val="num" w:pos="2880"/>
        </w:tabs>
        <w:ind w:left="2880" w:hanging="360"/>
      </w:pPr>
      <w:rPr>
        <w:rFonts w:ascii="Symbol" w:hAnsi="Symbol" w:hint="default"/>
      </w:rPr>
    </w:lvl>
    <w:lvl w:ilvl="4" w:tplc="A85C7F6E" w:tentative="1">
      <w:start w:val="1"/>
      <w:numFmt w:val="bullet"/>
      <w:lvlText w:val="o"/>
      <w:lvlJc w:val="left"/>
      <w:pPr>
        <w:tabs>
          <w:tab w:val="num" w:pos="3600"/>
        </w:tabs>
        <w:ind w:left="3600" w:hanging="360"/>
      </w:pPr>
      <w:rPr>
        <w:rFonts w:ascii="Courier New" w:hAnsi="Courier New" w:cs="Courier New" w:hint="default"/>
      </w:rPr>
    </w:lvl>
    <w:lvl w:ilvl="5" w:tplc="04F8142E" w:tentative="1">
      <w:start w:val="1"/>
      <w:numFmt w:val="bullet"/>
      <w:lvlText w:val=""/>
      <w:lvlJc w:val="left"/>
      <w:pPr>
        <w:tabs>
          <w:tab w:val="num" w:pos="4320"/>
        </w:tabs>
        <w:ind w:left="4320" w:hanging="360"/>
      </w:pPr>
      <w:rPr>
        <w:rFonts w:ascii="Wingdings" w:hAnsi="Wingdings" w:hint="default"/>
      </w:rPr>
    </w:lvl>
    <w:lvl w:ilvl="6" w:tplc="7B363238" w:tentative="1">
      <w:start w:val="1"/>
      <w:numFmt w:val="bullet"/>
      <w:lvlText w:val=""/>
      <w:lvlJc w:val="left"/>
      <w:pPr>
        <w:tabs>
          <w:tab w:val="num" w:pos="5040"/>
        </w:tabs>
        <w:ind w:left="5040" w:hanging="360"/>
      </w:pPr>
      <w:rPr>
        <w:rFonts w:ascii="Symbol" w:hAnsi="Symbol" w:hint="default"/>
      </w:rPr>
    </w:lvl>
    <w:lvl w:ilvl="7" w:tplc="D818A286" w:tentative="1">
      <w:start w:val="1"/>
      <w:numFmt w:val="bullet"/>
      <w:lvlText w:val="o"/>
      <w:lvlJc w:val="left"/>
      <w:pPr>
        <w:tabs>
          <w:tab w:val="num" w:pos="5760"/>
        </w:tabs>
        <w:ind w:left="5760" w:hanging="360"/>
      </w:pPr>
      <w:rPr>
        <w:rFonts w:ascii="Courier New" w:hAnsi="Courier New" w:cs="Courier New" w:hint="default"/>
      </w:rPr>
    </w:lvl>
    <w:lvl w:ilvl="8" w:tplc="61E6249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3730C2"/>
    <w:multiLevelType w:val="hybridMultilevel"/>
    <w:tmpl w:val="36166FD4"/>
    <w:lvl w:ilvl="0" w:tplc="97D09E6C">
      <w:start w:val="1"/>
      <w:numFmt w:val="decimal"/>
      <w:lvlText w:val="%1"/>
      <w:lvlJc w:val="left"/>
      <w:pPr>
        <w:ind w:left="360" w:hanging="360"/>
      </w:pPr>
      <w:rPr>
        <w:rFonts w:hint="default"/>
      </w:rPr>
    </w:lvl>
    <w:lvl w:ilvl="1" w:tplc="3734304E" w:tentative="1">
      <w:start w:val="1"/>
      <w:numFmt w:val="lowerLetter"/>
      <w:lvlText w:val="%2."/>
      <w:lvlJc w:val="left"/>
      <w:pPr>
        <w:ind w:left="1080" w:hanging="360"/>
      </w:pPr>
    </w:lvl>
    <w:lvl w:ilvl="2" w:tplc="85E64420" w:tentative="1">
      <w:start w:val="1"/>
      <w:numFmt w:val="lowerRoman"/>
      <w:lvlText w:val="%3."/>
      <w:lvlJc w:val="right"/>
      <w:pPr>
        <w:ind w:left="1800" w:hanging="180"/>
      </w:pPr>
    </w:lvl>
    <w:lvl w:ilvl="3" w:tplc="D2C21B78" w:tentative="1">
      <w:start w:val="1"/>
      <w:numFmt w:val="decimal"/>
      <w:lvlText w:val="%4."/>
      <w:lvlJc w:val="left"/>
      <w:pPr>
        <w:ind w:left="2520" w:hanging="360"/>
      </w:pPr>
    </w:lvl>
    <w:lvl w:ilvl="4" w:tplc="12B6282C" w:tentative="1">
      <w:start w:val="1"/>
      <w:numFmt w:val="lowerLetter"/>
      <w:lvlText w:val="%5."/>
      <w:lvlJc w:val="left"/>
      <w:pPr>
        <w:ind w:left="3240" w:hanging="360"/>
      </w:pPr>
    </w:lvl>
    <w:lvl w:ilvl="5" w:tplc="9F42102E" w:tentative="1">
      <w:start w:val="1"/>
      <w:numFmt w:val="lowerRoman"/>
      <w:lvlText w:val="%6."/>
      <w:lvlJc w:val="right"/>
      <w:pPr>
        <w:ind w:left="3960" w:hanging="180"/>
      </w:pPr>
    </w:lvl>
    <w:lvl w:ilvl="6" w:tplc="2780E6D6" w:tentative="1">
      <w:start w:val="1"/>
      <w:numFmt w:val="decimal"/>
      <w:lvlText w:val="%7."/>
      <w:lvlJc w:val="left"/>
      <w:pPr>
        <w:ind w:left="4680" w:hanging="360"/>
      </w:pPr>
    </w:lvl>
    <w:lvl w:ilvl="7" w:tplc="653415A8" w:tentative="1">
      <w:start w:val="1"/>
      <w:numFmt w:val="lowerLetter"/>
      <w:lvlText w:val="%8."/>
      <w:lvlJc w:val="left"/>
      <w:pPr>
        <w:ind w:left="5400" w:hanging="360"/>
      </w:pPr>
    </w:lvl>
    <w:lvl w:ilvl="8" w:tplc="45E2541C" w:tentative="1">
      <w:start w:val="1"/>
      <w:numFmt w:val="lowerRoman"/>
      <w:lvlText w:val="%9."/>
      <w:lvlJc w:val="right"/>
      <w:pPr>
        <w:ind w:left="6120" w:hanging="180"/>
      </w:pPr>
    </w:lvl>
  </w:abstractNum>
  <w:abstractNum w:abstractNumId="20" w15:restartNumberingAfterBreak="0">
    <w:nsid w:val="74CD2EB1"/>
    <w:multiLevelType w:val="multilevel"/>
    <w:tmpl w:val="34589BAE"/>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15:restartNumberingAfterBreak="0">
    <w:nsid w:val="77E316CF"/>
    <w:multiLevelType w:val="hybridMultilevel"/>
    <w:tmpl w:val="696A7FF8"/>
    <w:lvl w:ilvl="0" w:tplc="5FB28336">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1"/>
  </w:num>
  <w:num w:numId="3">
    <w:abstractNumId w:val="16"/>
  </w:num>
  <w:num w:numId="4">
    <w:abstractNumId w:val="8"/>
    <w:lvlOverride w:ilvl="0">
      <w:startOverride w:val="1"/>
    </w:lvlOverride>
  </w:num>
  <w:num w:numId="5">
    <w:abstractNumId w:val="20"/>
  </w:num>
  <w:num w:numId="6">
    <w:abstractNumId w:val="5"/>
  </w:num>
  <w:num w:numId="7">
    <w:abstractNumId w:val="12"/>
  </w:num>
  <w:num w:numId="8">
    <w:abstractNumId w:val="14"/>
  </w:num>
  <w:num w:numId="9">
    <w:abstractNumId w:val="15"/>
  </w:num>
  <w:num w:numId="10">
    <w:abstractNumId w:val="19"/>
  </w:num>
  <w:num w:numId="11">
    <w:abstractNumId w:val="6"/>
  </w:num>
  <w:num w:numId="12">
    <w:abstractNumId w:val="7"/>
  </w:num>
  <w:num w:numId="13">
    <w:abstractNumId w:val="17"/>
  </w:num>
  <w:num w:numId="14">
    <w:abstractNumId w:val="3"/>
  </w:num>
  <w:num w:numId="15">
    <w:abstractNumId w:val="18"/>
  </w:num>
  <w:num w:numId="16">
    <w:abstractNumId w:val="1"/>
  </w:num>
  <w:num w:numId="17">
    <w:abstractNumId w:val="1"/>
  </w:num>
  <w:num w:numId="18">
    <w:abstractNumId w:val="13"/>
  </w:num>
  <w:num w:numId="19">
    <w:abstractNumId w:val="0"/>
  </w:num>
  <w:num w:numId="20">
    <w:abstractNumId w:val="1"/>
  </w:num>
  <w:num w:numId="21">
    <w:abstractNumId w:val="10"/>
  </w:num>
  <w:num w:numId="22">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113"/>
  <w:evenAndOddHeaders/>
  <w:drawingGridHorizontalSpacing w:val="100"/>
  <w:displayHorizontalDrawingGridEvery w:val="2"/>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2"/>
  </w:compat>
  <w:rsids>
    <w:rsidRoot w:val="0010657F"/>
    <w:rsid w:val="000011C4"/>
    <w:rsid w:val="00003AC4"/>
    <w:rsid w:val="00004B2B"/>
    <w:rsid w:val="000058F7"/>
    <w:rsid w:val="00012171"/>
    <w:rsid w:val="00013D25"/>
    <w:rsid w:val="0001438C"/>
    <w:rsid w:val="000153E8"/>
    <w:rsid w:val="00016D95"/>
    <w:rsid w:val="00021DA6"/>
    <w:rsid w:val="000220B0"/>
    <w:rsid w:val="000224AE"/>
    <w:rsid w:val="00026159"/>
    <w:rsid w:val="000300D7"/>
    <w:rsid w:val="0003138D"/>
    <w:rsid w:val="00033389"/>
    <w:rsid w:val="00033EF2"/>
    <w:rsid w:val="00036095"/>
    <w:rsid w:val="000369AC"/>
    <w:rsid w:val="0003724F"/>
    <w:rsid w:val="00042FDD"/>
    <w:rsid w:val="00044E79"/>
    <w:rsid w:val="00045667"/>
    <w:rsid w:val="0005466B"/>
    <w:rsid w:val="00054A04"/>
    <w:rsid w:val="00054CC3"/>
    <w:rsid w:val="0005600E"/>
    <w:rsid w:val="00056260"/>
    <w:rsid w:val="0005722F"/>
    <w:rsid w:val="00060890"/>
    <w:rsid w:val="00062EF6"/>
    <w:rsid w:val="00063C44"/>
    <w:rsid w:val="00065053"/>
    <w:rsid w:val="000655E4"/>
    <w:rsid w:val="000656AD"/>
    <w:rsid w:val="00065C71"/>
    <w:rsid w:val="00066E15"/>
    <w:rsid w:val="00067B6F"/>
    <w:rsid w:val="00067E1D"/>
    <w:rsid w:val="0007064C"/>
    <w:rsid w:val="00070779"/>
    <w:rsid w:val="000708DB"/>
    <w:rsid w:val="000725C0"/>
    <w:rsid w:val="00072B63"/>
    <w:rsid w:val="00073AF3"/>
    <w:rsid w:val="00074CE6"/>
    <w:rsid w:val="00075589"/>
    <w:rsid w:val="00077277"/>
    <w:rsid w:val="0007743A"/>
    <w:rsid w:val="00077CF4"/>
    <w:rsid w:val="00080069"/>
    <w:rsid w:val="00080F4F"/>
    <w:rsid w:val="00083141"/>
    <w:rsid w:val="0008449F"/>
    <w:rsid w:val="000924A7"/>
    <w:rsid w:val="00092770"/>
    <w:rsid w:val="00094B28"/>
    <w:rsid w:val="00097063"/>
    <w:rsid w:val="000A1A89"/>
    <w:rsid w:val="000A345B"/>
    <w:rsid w:val="000A372A"/>
    <w:rsid w:val="000A395D"/>
    <w:rsid w:val="000A51BC"/>
    <w:rsid w:val="000A56A5"/>
    <w:rsid w:val="000A5C86"/>
    <w:rsid w:val="000A67E1"/>
    <w:rsid w:val="000A6897"/>
    <w:rsid w:val="000A6DBE"/>
    <w:rsid w:val="000B1FC4"/>
    <w:rsid w:val="000B2404"/>
    <w:rsid w:val="000B2B3E"/>
    <w:rsid w:val="000B363B"/>
    <w:rsid w:val="000B36D8"/>
    <w:rsid w:val="000B3B7D"/>
    <w:rsid w:val="000B7CB7"/>
    <w:rsid w:val="000C19EF"/>
    <w:rsid w:val="000C3B86"/>
    <w:rsid w:val="000C5874"/>
    <w:rsid w:val="000C6FB8"/>
    <w:rsid w:val="000D0B3B"/>
    <w:rsid w:val="000D13E5"/>
    <w:rsid w:val="000D43DE"/>
    <w:rsid w:val="000D4FCD"/>
    <w:rsid w:val="000E0A85"/>
    <w:rsid w:val="000E68E3"/>
    <w:rsid w:val="000E6DDB"/>
    <w:rsid w:val="000E74A6"/>
    <w:rsid w:val="000F03B1"/>
    <w:rsid w:val="000F08AE"/>
    <w:rsid w:val="000F2877"/>
    <w:rsid w:val="000F2D33"/>
    <w:rsid w:val="000F396E"/>
    <w:rsid w:val="000F43F4"/>
    <w:rsid w:val="000F440E"/>
    <w:rsid w:val="000F6C6A"/>
    <w:rsid w:val="000F73B7"/>
    <w:rsid w:val="000F7E7B"/>
    <w:rsid w:val="001002F8"/>
    <w:rsid w:val="0010233E"/>
    <w:rsid w:val="001028CC"/>
    <w:rsid w:val="00103E92"/>
    <w:rsid w:val="001045F9"/>
    <w:rsid w:val="0010472B"/>
    <w:rsid w:val="0010657F"/>
    <w:rsid w:val="0011070F"/>
    <w:rsid w:val="00111726"/>
    <w:rsid w:val="00112D0F"/>
    <w:rsid w:val="00112F6B"/>
    <w:rsid w:val="001133E0"/>
    <w:rsid w:val="0011490A"/>
    <w:rsid w:val="001163D6"/>
    <w:rsid w:val="0011726A"/>
    <w:rsid w:val="00121EB0"/>
    <w:rsid w:val="00123925"/>
    <w:rsid w:val="00126641"/>
    <w:rsid w:val="0012695F"/>
    <w:rsid w:val="00133D3A"/>
    <w:rsid w:val="00135505"/>
    <w:rsid w:val="00136C12"/>
    <w:rsid w:val="001379F9"/>
    <w:rsid w:val="00143E88"/>
    <w:rsid w:val="001455D8"/>
    <w:rsid w:val="00145DA7"/>
    <w:rsid w:val="001465F4"/>
    <w:rsid w:val="00151ABB"/>
    <w:rsid w:val="0015316B"/>
    <w:rsid w:val="00154447"/>
    <w:rsid w:val="00154F5B"/>
    <w:rsid w:val="00161DAC"/>
    <w:rsid w:val="00162B55"/>
    <w:rsid w:val="00162D8B"/>
    <w:rsid w:val="001638E9"/>
    <w:rsid w:val="00171A85"/>
    <w:rsid w:val="00172CFC"/>
    <w:rsid w:val="00174565"/>
    <w:rsid w:val="00175BB3"/>
    <w:rsid w:val="001808A4"/>
    <w:rsid w:val="00184BFF"/>
    <w:rsid w:val="00185361"/>
    <w:rsid w:val="0018536C"/>
    <w:rsid w:val="00186167"/>
    <w:rsid w:val="001923C8"/>
    <w:rsid w:val="00194D4A"/>
    <w:rsid w:val="00195F24"/>
    <w:rsid w:val="001A0106"/>
    <w:rsid w:val="001A02CB"/>
    <w:rsid w:val="001A11DB"/>
    <w:rsid w:val="001A27C6"/>
    <w:rsid w:val="001A4F23"/>
    <w:rsid w:val="001A4F74"/>
    <w:rsid w:val="001A5A2B"/>
    <w:rsid w:val="001A6256"/>
    <w:rsid w:val="001A789B"/>
    <w:rsid w:val="001B0C75"/>
    <w:rsid w:val="001B0C98"/>
    <w:rsid w:val="001B2546"/>
    <w:rsid w:val="001B3512"/>
    <w:rsid w:val="001B4039"/>
    <w:rsid w:val="001B44C2"/>
    <w:rsid w:val="001B659F"/>
    <w:rsid w:val="001B7655"/>
    <w:rsid w:val="001C1166"/>
    <w:rsid w:val="001C25F3"/>
    <w:rsid w:val="001C7180"/>
    <w:rsid w:val="001C7B78"/>
    <w:rsid w:val="001D16B6"/>
    <w:rsid w:val="001D1942"/>
    <w:rsid w:val="001D1DDB"/>
    <w:rsid w:val="001D53EA"/>
    <w:rsid w:val="001D6F7C"/>
    <w:rsid w:val="001E0F4E"/>
    <w:rsid w:val="001E12A5"/>
    <w:rsid w:val="001E188D"/>
    <w:rsid w:val="001E3A18"/>
    <w:rsid w:val="001E65BD"/>
    <w:rsid w:val="001E717D"/>
    <w:rsid w:val="001E71F5"/>
    <w:rsid w:val="001E7D86"/>
    <w:rsid w:val="001F1E52"/>
    <w:rsid w:val="001F246A"/>
    <w:rsid w:val="001F377B"/>
    <w:rsid w:val="001F3CF9"/>
    <w:rsid w:val="001F503F"/>
    <w:rsid w:val="001F55E5"/>
    <w:rsid w:val="001F5CB9"/>
    <w:rsid w:val="001F5EF7"/>
    <w:rsid w:val="0020036D"/>
    <w:rsid w:val="00200CCD"/>
    <w:rsid w:val="00200DC3"/>
    <w:rsid w:val="002050B0"/>
    <w:rsid w:val="002052C5"/>
    <w:rsid w:val="00205D80"/>
    <w:rsid w:val="00205E57"/>
    <w:rsid w:val="00206FFB"/>
    <w:rsid w:val="0021093F"/>
    <w:rsid w:val="002133CA"/>
    <w:rsid w:val="002150B2"/>
    <w:rsid w:val="00215783"/>
    <w:rsid w:val="0021644B"/>
    <w:rsid w:val="00217CA0"/>
    <w:rsid w:val="002202EB"/>
    <w:rsid w:val="00220FCF"/>
    <w:rsid w:val="00221705"/>
    <w:rsid w:val="00225FD6"/>
    <w:rsid w:val="002329C3"/>
    <w:rsid w:val="002332AE"/>
    <w:rsid w:val="002333C2"/>
    <w:rsid w:val="00234040"/>
    <w:rsid w:val="00244D22"/>
    <w:rsid w:val="00246C09"/>
    <w:rsid w:val="00257FF4"/>
    <w:rsid w:val="002605AF"/>
    <w:rsid w:val="002608CE"/>
    <w:rsid w:val="0026279C"/>
    <w:rsid w:val="002629DB"/>
    <w:rsid w:val="00262CD3"/>
    <w:rsid w:val="0026431F"/>
    <w:rsid w:val="00265289"/>
    <w:rsid w:val="00266613"/>
    <w:rsid w:val="00266FE9"/>
    <w:rsid w:val="00267185"/>
    <w:rsid w:val="002755B3"/>
    <w:rsid w:val="0027593D"/>
    <w:rsid w:val="0027614D"/>
    <w:rsid w:val="00281CF6"/>
    <w:rsid w:val="0028359B"/>
    <w:rsid w:val="002857FE"/>
    <w:rsid w:val="002909B6"/>
    <w:rsid w:val="00291336"/>
    <w:rsid w:val="00292D6A"/>
    <w:rsid w:val="0029312A"/>
    <w:rsid w:val="00293B2D"/>
    <w:rsid w:val="00294F71"/>
    <w:rsid w:val="002960B7"/>
    <w:rsid w:val="002962C5"/>
    <w:rsid w:val="002977F2"/>
    <w:rsid w:val="00297824"/>
    <w:rsid w:val="002A03A2"/>
    <w:rsid w:val="002A0452"/>
    <w:rsid w:val="002A153F"/>
    <w:rsid w:val="002A5329"/>
    <w:rsid w:val="002A5C2D"/>
    <w:rsid w:val="002A61E5"/>
    <w:rsid w:val="002A740D"/>
    <w:rsid w:val="002A7FC8"/>
    <w:rsid w:val="002B0A81"/>
    <w:rsid w:val="002B1CE7"/>
    <w:rsid w:val="002B2F0F"/>
    <w:rsid w:val="002B4F31"/>
    <w:rsid w:val="002B5F6A"/>
    <w:rsid w:val="002B6D9A"/>
    <w:rsid w:val="002B779E"/>
    <w:rsid w:val="002B7D78"/>
    <w:rsid w:val="002C0552"/>
    <w:rsid w:val="002C14DD"/>
    <w:rsid w:val="002C280B"/>
    <w:rsid w:val="002C2DB0"/>
    <w:rsid w:val="002C4BF4"/>
    <w:rsid w:val="002C75B0"/>
    <w:rsid w:val="002C7703"/>
    <w:rsid w:val="002C7A63"/>
    <w:rsid w:val="002D0153"/>
    <w:rsid w:val="002D15CC"/>
    <w:rsid w:val="002D403A"/>
    <w:rsid w:val="002D4262"/>
    <w:rsid w:val="002D4D35"/>
    <w:rsid w:val="002D6F30"/>
    <w:rsid w:val="002E1064"/>
    <w:rsid w:val="002E1157"/>
    <w:rsid w:val="002E323F"/>
    <w:rsid w:val="002E6E62"/>
    <w:rsid w:val="002E7736"/>
    <w:rsid w:val="002F3EA8"/>
    <w:rsid w:val="00300013"/>
    <w:rsid w:val="003006F8"/>
    <w:rsid w:val="00300BF2"/>
    <w:rsid w:val="003027C1"/>
    <w:rsid w:val="00303EF6"/>
    <w:rsid w:val="00305718"/>
    <w:rsid w:val="00305C7E"/>
    <w:rsid w:val="003077B8"/>
    <w:rsid w:val="00307F3F"/>
    <w:rsid w:val="003111F8"/>
    <w:rsid w:val="00311427"/>
    <w:rsid w:val="0031204A"/>
    <w:rsid w:val="0031272B"/>
    <w:rsid w:val="003138CA"/>
    <w:rsid w:val="00315085"/>
    <w:rsid w:val="0032038C"/>
    <w:rsid w:val="00321C0A"/>
    <w:rsid w:val="00322DBA"/>
    <w:rsid w:val="00325C5E"/>
    <w:rsid w:val="00331C5F"/>
    <w:rsid w:val="00333074"/>
    <w:rsid w:val="00334ED2"/>
    <w:rsid w:val="003351BE"/>
    <w:rsid w:val="00337F82"/>
    <w:rsid w:val="00343571"/>
    <w:rsid w:val="003435D6"/>
    <w:rsid w:val="003458E0"/>
    <w:rsid w:val="00345CCD"/>
    <w:rsid w:val="003511CE"/>
    <w:rsid w:val="00352BE0"/>
    <w:rsid w:val="0035333E"/>
    <w:rsid w:val="003533B2"/>
    <w:rsid w:val="00357609"/>
    <w:rsid w:val="00357DAE"/>
    <w:rsid w:val="00361259"/>
    <w:rsid w:val="00361429"/>
    <w:rsid w:val="003705BF"/>
    <w:rsid w:val="00370935"/>
    <w:rsid w:val="003737B0"/>
    <w:rsid w:val="00374FE3"/>
    <w:rsid w:val="003821D2"/>
    <w:rsid w:val="00382234"/>
    <w:rsid w:val="00384062"/>
    <w:rsid w:val="00385BEF"/>
    <w:rsid w:val="0038672F"/>
    <w:rsid w:val="00386F24"/>
    <w:rsid w:val="0039053D"/>
    <w:rsid w:val="0039449C"/>
    <w:rsid w:val="003A0290"/>
    <w:rsid w:val="003A3E07"/>
    <w:rsid w:val="003A48FF"/>
    <w:rsid w:val="003A49CC"/>
    <w:rsid w:val="003A5FD0"/>
    <w:rsid w:val="003B07C1"/>
    <w:rsid w:val="003B0D03"/>
    <w:rsid w:val="003B2C1F"/>
    <w:rsid w:val="003B71EE"/>
    <w:rsid w:val="003B71FC"/>
    <w:rsid w:val="003B7621"/>
    <w:rsid w:val="003C1EB4"/>
    <w:rsid w:val="003C6EEB"/>
    <w:rsid w:val="003D05BD"/>
    <w:rsid w:val="003D1E47"/>
    <w:rsid w:val="003D1E7F"/>
    <w:rsid w:val="003D3C14"/>
    <w:rsid w:val="003D4557"/>
    <w:rsid w:val="003D543D"/>
    <w:rsid w:val="003D59FD"/>
    <w:rsid w:val="003D68A8"/>
    <w:rsid w:val="003D713F"/>
    <w:rsid w:val="003E10B8"/>
    <w:rsid w:val="003E122D"/>
    <w:rsid w:val="003E13F5"/>
    <w:rsid w:val="003E4E15"/>
    <w:rsid w:val="003E5AE8"/>
    <w:rsid w:val="003F07EE"/>
    <w:rsid w:val="003F29F2"/>
    <w:rsid w:val="003F47DF"/>
    <w:rsid w:val="00403D72"/>
    <w:rsid w:val="00405E90"/>
    <w:rsid w:val="004065CE"/>
    <w:rsid w:val="004105DD"/>
    <w:rsid w:val="00410DCE"/>
    <w:rsid w:val="0041429D"/>
    <w:rsid w:val="0041669E"/>
    <w:rsid w:val="0041765C"/>
    <w:rsid w:val="00420457"/>
    <w:rsid w:val="00420837"/>
    <w:rsid w:val="004212CF"/>
    <w:rsid w:val="00421EEC"/>
    <w:rsid w:val="00422933"/>
    <w:rsid w:val="004248B4"/>
    <w:rsid w:val="00424C66"/>
    <w:rsid w:val="00427E16"/>
    <w:rsid w:val="00430B93"/>
    <w:rsid w:val="0043144A"/>
    <w:rsid w:val="00431BF1"/>
    <w:rsid w:val="004325FC"/>
    <w:rsid w:val="004342F8"/>
    <w:rsid w:val="00434957"/>
    <w:rsid w:val="00434A2F"/>
    <w:rsid w:val="0044083A"/>
    <w:rsid w:val="00440F27"/>
    <w:rsid w:val="004426D7"/>
    <w:rsid w:val="004434D3"/>
    <w:rsid w:val="004501CB"/>
    <w:rsid w:val="00451501"/>
    <w:rsid w:val="00452888"/>
    <w:rsid w:val="004528D0"/>
    <w:rsid w:val="004546B5"/>
    <w:rsid w:val="004562E5"/>
    <w:rsid w:val="00457293"/>
    <w:rsid w:val="00457BC3"/>
    <w:rsid w:val="0046034D"/>
    <w:rsid w:val="0046237B"/>
    <w:rsid w:val="0046390C"/>
    <w:rsid w:val="00465F8C"/>
    <w:rsid w:val="00467BDD"/>
    <w:rsid w:val="004717F6"/>
    <w:rsid w:val="0047629D"/>
    <w:rsid w:val="00480678"/>
    <w:rsid w:val="004815F8"/>
    <w:rsid w:val="00481E32"/>
    <w:rsid w:val="00482E5C"/>
    <w:rsid w:val="004831ED"/>
    <w:rsid w:val="004836A7"/>
    <w:rsid w:val="00484921"/>
    <w:rsid w:val="00485811"/>
    <w:rsid w:val="00486543"/>
    <w:rsid w:val="00486614"/>
    <w:rsid w:val="004879CE"/>
    <w:rsid w:val="00487E11"/>
    <w:rsid w:val="00487FB8"/>
    <w:rsid w:val="00490BDA"/>
    <w:rsid w:val="00491FB2"/>
    <w:rsid w:val="00491FE1"/>
    <w:rsid w:val="00492946"/>
    <w:rsid w:val="00495C39"/>
    <w:rsid w:val="004A0E8F"/>
    <w:rsid w:val="004A28C5"/>
    <w:rsid w:val="004A28E7"/>
    <w:rsid w:val="004A2EEF"/>
    <w:rsid w:val="004A475A"/>
    <w:rsid w:val="004A660C"/>
    <w:rsid w:val="004A728F"/>
    <w:rsid w:val="004B0B19"/>
    <w:rsid w:val="004B37A7"/>
    <w:rsid w:val="004B4254"/>
    <w:rsid w:val="004B4426"/>
    <w:rsid w:val="004B5F2A"/>
    <w:rsid w:val="004B74B2"/>
    <w:rsid w:val="004C1D2B"/>
    <w:rsid w:val="004C2A17"/>
    <w:rsid w:val="004C302A"/>
    <w:rsid w:val="004C7A2F"/>
    <w:rsid w:val="004C7EFC"/>
    <w:rsid w:val="004D23A9"/>
    <w:rsid w:val="004D29F5"/>
    <w:rsid w:val="004D4CEF"/>
    <w:rsid w:val="004D7804"/>
    <w:rsid w:val="004E2825"/>
    <w:rsid w:val="004E30F7"/>
    <w:rsid w:val="004E369F"/>
    <w:rsid w:val="004E62E4"/>
    <w:rsid w:val="004E6538"/>
    <w:rsid w:val="004F0F5B"/>
    <w:rsid w:val="004F22B8"/>
    <w:rsid w:val="004F2437"/>
    <w:rsid w:val="004F634F"/>
    <w:rsid w:val="004F71C7"/>
    <w:rsid w:val="0050060B"/>
    <w:rsid w:val="0050141B"/>
    <w:rsid w:val="005016BD"/>
    <w:rsid w:val="00502638"/>
    <w:rsid w:val="005048E3"/>
    <w:rsid w:val="00505A77"/>
    <w:rsid w:val="00505CB3"/>
    <w:rsid w:val="00506084"/>
    <w:rsid w:val="00506EB0"/>
    <w:rsid w:val="005105B8"/>
    <w:rsid w:val="005136CD"/>
    <w:rsid w:val="00515699"/>
    <w:rsid w:val="00516727"/>
    <w:rsid w:val="00521860"/>
    <w:rsid w:val="005222CC"/>
    <w:rsid w:val="005231C8"/>
    <w:rsid w:val="00525AB1"/>
    <w:rsid w:val="005277F5"/>
    <w:rsid w:val="005310C1"/>
    <w:rsid w:val="00532994"/>
    <w:rsid w:val="005329BE"/>
    <w:rsid w:val="00533515"/>
    <w:rsid w:val="00534AC0"/>
    <w:rsid w:val="00535557"/>
    <w:rsid w:val="0053606A"/>
    <w:rsid w:val="005369C0"/>
    <w:rsid w:val="00537CE4"/>
    <w:rsid w:val="00541254"/>
    <w:rsid w:val="00542136"/>
    <w:rsid w:val="00542BA5"/>
    <w:rsid w:val="00547EB8"/>
    <w:rsid w:val="005507C5"/>
    <w:rsid w:val="00551587"/>
    <w:rsid w:val="00552FC2"/>
    <w:rsid w:val="00553DA2"/>
    <w:rsid w:val="00554590"/>
    <w:rsid w:val="005561D5"/>
    <w:rsid w:val="00557A85"/>
    <w:rsid w:val="005606B5"/>
    <w:rsid w:val="00572489"/>
    <w:rsid w:val="00572670"/>
    <w:rsid w:val="00573680"/>
    <w:rsid w:val="00574906"/>
    <w:rsid w:val="00574E9E"/>
    <w:rsid w:val="005752BC"/>
    <w:rsid w:val="00577977"/>
    <w:rsid w:val="00577F1A"/>
    <w:rsid w:val="00581782"/>
    <w:rsid w:val="00581D30"/>
    <w:rsid w:val="005822FD"/>
    <w:rsid w:val="00583E56"/>
    <w:rsid w:val="00584245"/>
    <w:rsid w:val="00584D80"/>
    <w:rsid w:val="00586BB5"/>
    <w:rsid w:val="00587240"/>
    <w:rsid w:val="0059026A"/>
    <w:rsid w:val="00590B75"/>
    <w:rsid w:val="00590DAA"/>
    <w:rsid w:val="00592349"/>
    <w:rsid w:val="00595EFF"/>
    <w:rsid w:val="00596F3F"/>
    <w:rsid w:val="00597EEF"/>
    <w:rsid w:val="005A1C4E"/>
    <w:rsid w:val="005A3443"/>
    <w:rsid w:val="005A4A1A"/>
    <w:rsid w:val="005A61D3"/>
    <w:rsid w:val="005A7E70"/>
    <w:rsid w:val="005B0F20"/>
    <w:rsid w:val="005B5ECB"/>
    <w:rsid w:val="005B6DAA"/>
    <w:rsid w:val="005B7314"/>
    <w:rsid w:val="005B7D8B"/>
    <w:rsid w:val="005C03F6"/>
    <w:rsid w:val="005C0475"/>
    <w:rsid w:val="005C1569"/>
    <w:rsid w:val="005C16E7"/>
    <w:rsid w:val="005C4604"/>
    <w:rsid w:val="005C4C46"/>
    <w:rsid w:val="005C555E"/>
    <w:rsid w:val="005C6B78"/>
    <w:rsid w:val="005C6E74"/>
    <w:rsid w:val="005C781C"/>
    <w:rsid w:val="005D084A"/>
    <w:rsid w:val="005D0E7D"/>
    <w:rsid w:val="005D377D"/>
    <w:rsid w:val="005D3C6B"/>
    <w:rsid w:val="005D5EC5"/>
    <w:rsid w:val="005D7A35"/>
    <w:rsid w:val="005E034F"/>
    <w:rsid w:val="005E442F"/>
    <w:rsid w:val="005E45E2"/>
    <w:rsid w:val="005E4D17"/>
    <w:rsid w:val="005E4E1A"/>
    <w:rsid w:val="005E61D8"/>
    <w:rsid w:val="005E7E2C"/>
    <w:rsid w:val="005F00BD"/>
    <w:rsid w:val="005F0DD8"/>
    <w:rsid w:val="005F29CD"/>
    <w:rsid w:val="005F3175"/>
    <w:rsid w:val="005F3436"/>
    <w:rsid w:val="005F44DB"/>
    <w:rsid w:val="005F642B"/>
    <w:rsid w:val="0060117D"/>
    <w:rsid w:val="00601E14"/>
    <w:rsid w:val="006026E1"/>
    <w:rsid w:val="00603A90"/>
    <w:rsid w:val="00603ABE"/>
    <w:rsid w:val="006065BF"/>
    <w:rsid w:val="006103D0"/>
    <w:rsid w:val="006110E1"/>
    <w:rsid w:val="00612C47"/>
    <w:rsid w:val="0061364A"/>
    <w:rsid w:val="0061402C"/>
    <w:rsid w:val="0061675B"/>
    <w:rsid w:val="0062008C"/>
    <w:rsid w:val="0062052B"/>
    <w:rsid w:val="00620BFF"/>
    <w:rsid w:val="00621A86"/>
    <w:rsid w:val="00623401"/>
    <w:rsid w:val="0062343A"/>
    <w:rsid w:val="00625C40"/>
    <w:rsid w:val="00627E7C"/>
    <w:rsid w:val="00631369"/>
    <w:rsid w:val="0063262D"/>
    <w:rsid w:val="00633080"/>
    <w:rsid w:val="006340F7"/>
    <w:rsid w:val="00634D9F"/>
    <w:rsid w:val="00637BBD"/>
    <w:rsid w:val="00640D17"/>
    <w:rsid w:val="0064209A"/>
    <w:rsid w:val="006474C0"/>
    <w:rsid w:val="00647927"/>
    <w:rsid w:val="006500A8"/>
    <w:rsid w:val="00651812"/>
    <w:rsid w:val="00652B9B"/>
    <w:rsid w:val="00653DD9"/>
    <w:rsid w:val="00654E6A"/>
    <w:rsid w:val="0065644D"/>
    <w:rsid w:val="006575F3"/>
    <w:rsid w:val="00664E08"/>
    <w:rsid w:val="0066653E"/>
    <w:rsid w:val="00666DDD"/>
    <w:rsid w:val="0066774D"/>
    <w:rsid w:val="00667F42"/>
    <w:rsid w:val="00671284"/>
    <w:rsid w:val="00671462"/>
    <w:rsid w:val="006758C0"/>
    <w:rsid w:val="00676E5B"/>
    <w:rsid w:val="00677D6B"/>
    <w:rsid w:val="00680795"/>
    <w:rsid w:val="006810B2"/>
    <w:rsid w:val="00682713"/>
    <w:rsid w:val="006827B5"/>
    <w:rsid w:val="00683579"/>
    <w:rsid w:val="00684629"/>
    <w:rsid w:val="006854CE"/>
    <w:rsid w:val="0068561A"/>
    <w:rsid w:val="0068790B"/>
    <w:rsid w:val="006941DD"/>
    <w:rsid w:val="0069466B"/>
    <w:rsid w:val="006A1330"/>
    <w:rsid w:val="006A32F6"/>
    <w:rsid w:val="006A5866"/>
    <w:rsid w:val="006B0096"/>
    <w:rsid w:val="006B04A0"/>
    <w:rsid w:val="006B0F54"/>
    <w:rsid w:val="006B2127"/>
    <w:rsid w:val="006B415B"/>
    <w:rsid w:val="006B4841"/>
    <w:rsid w:val="006B4C95"/>
    <w:rsid w:val="006B4CBA"/>
    <w:rsid w:val="006B5981"/>
    <w:rsid w:val="006C1FA5"/>
    <w:rsid w:val="006C4E45"/>
    <w:rsid w:val="006C5EE1"/>
    <w:rsid w:val="006C61B1"/>
    <w:rsid w:val="006C700E"/>
    <w:rsid w:val="006D0498"/>
    <w:rsid w:val="006D0603"/>
    <w:rsid w:val="006D0669"/>
    <w:rsid w:val="006D0CA8"/>
    <w:rsid w:val="006D3771"/>
    <w:rsid w:val="006D440A"/>
    <w:rsid w:val="006D62BE"/>
    <w:rsid w:val="006D7B71"/>
    <w:rsid w:val="006E0006"/>
    <w:rsid w:val="006E1C5F"/>
    <w:rsid w:val="006E336C"/>
    <w:rsid w:val="006E3B9E"/>
    <w:rsid w:val="006E4131"/>
    <w:rsid w:val="006E445D"/>
    <w:rsid w:val="006E4A27"/>
    <w:rsid w:val="006E503E"/>
    <w:rsid w:val="006E51EF"/>
    <w:rsid w:val="006E5828"/>
    <w:rsid w:val="006E6298"/>
    <w:rsid w:val="006E6B73"/>
    <w:rsid w:val="006E784F"/>
    <w:rsid w:val="006F0B4F"/>
    <w:rsid w:val="006F2DF3"/>
    <w:rsid w:val="006F3C6F"/>
    <w:rsid w:val="006F41C6"/>
    <w:rsid w:val="006F4C2B"/>
    <w:rsid w:val="006F5DD9"/>
    <w:rsid w:val="006F675E"/>
    <w:rsid w:val="006F6FA2"/>
    <w:rsid w:val="007001D0"/>
    <w:rsid w:val="00701498"/>
    <w:rsid w:val="00701CB0"/>
    <w:rsid w:val="00701E70"/>
    <w:rsid w:val="007027D7"/>
    <w:rsid w:val="00704F47"/>
    <w:rsid w:val="007069A3"/>
    <w:rsid w:val="00706E8C"/>
    <w:rsid w:val="007072C2"/>
    <w:rsid w:val="0070746B"/>
    <w:rsid w:val="007075CA"/>
    <w:rsid w:val="00707B1A"/>
    <w:rsid w:val="0071151E"/>
    <w:rsid w:val="00711D20"/>
    <w:rsid w:val="00713895"/>
    <w:rsid w:val="0071482B"/>
    <w:rsid w:val="00714C8F"/>
    <w:rsid w:val="00715A32"/>
    <w:rsid w:val="00716F57"/>
    <w:rsid w:val="00721409"/>
    <w:rsid w:val="007221A2"/>
    <w:rsid w:val="00722935"/>
    <w:rsid w:val="00727815"/>
    <w:rsid w:val="00730E31"/>
    <w:rsid w:val="00733250"/>
    <w:rsid w:val="00734E06"/>
    <w:rsid w:val="007365EE"/>
    <w:rsid w:val="00736E9D"/>
    <w:rsid w:val="00737B37"/>
    <w:rsid w:val="0074023D"/>
    <w:rsid w:val="00740EF1"/>
    <w:rsid w:val="00743294"/>
    <w:rsid w:val="0074445A"/>
    <w:rsid w:val="00744DBD"/>
    <w:rsid w:val="00746EE5"/>
    <w:rsid w:val="00750AF4"/>
    <w:rsid w:val="00750E55"/>
    <w:rsid w:val="00753A71"/>
    <w:rsid w:val="007561F0"/>
    <w:rsid w:val="0075754A"/>
    <w:rsid w:val="0076083D"/>
    <w:rsid w:val="00761DC2"/>
    <w:rsid w:val="00762B1E"/>
    <w:rsid w:val="00766015"/>
    <w:rsid w:val="00766434"/>
    <w:rsid w:val="0076666C"/>
    <w:rsid w:val="00770BE7"/>
    <w:rsid w:val="00770E10"/>
    <w:rsid w:val="00772107"/>
    <w:rsid w:val="00772709"/>
    <w:rsid w:val="00775146"/>
    <w:rsid w:val="00776097"/>
    <w:rsid w:val="007766A5"/>
    <w:rsid w:val="0077686C"/>
    <w:rsid w:val="007772E2"/>
    <w:rsid w:val="0078016D"/>
    <w:rsid w:val="00783D94"/>
    <w:rsid w:val="00784AD6"/>
    <w:rsid w:val="00785BF5"/>
    <w:rsid w:val="0079039D"/>
    <w:rsid w:val="00790E9B"/>
    <w:rsid w:val="007927C6"/>
    <w:rsid w:val="0079348E"/>
    <w:rsid w:val="0079405B"/>
    <w:rsid w:val="00794AE2"/>
    <w:rsid w:val="00794D8D"/>
    <w:rsid w:val="00795F10"/>
    <w:rsid w:val="007A05F4"/>
    <w:rsid w:val="007A0BB9"/>
    <w:rsid w:val="007A4023"/>
    <w:rsid w:val="007A5A94"/>
    <w:rsid w:val="007B336C"/>
    <w:rsid w:val="007B347F"/>
    <w:rsid w:val="007B3624"/>
    <w:rsid w:val="007C2270"/>
    <w:rsid w:val="007C27D4"/>
    <w:rsid w:val="007C570A"/>
    <w:rsid w:val="007C6C24"/>
    <w:rsid w:val="007D1D99"/>
    <w:rsid w:val="007D7098"/>
    <w:rsid w:val="007D763D"/>
    <w:rsid w:val="007E00B1"/>
    <w:rsid w:val="007E0749"/>
    <w:rsid w:val="007E2D46"/>
    <w:rsid w:val="007E334F"/>
    <w:rsid w:val="007E5D39"/>
    <w:rsid w:val="007E66C8"/>
    <w:rsid w:val="007E67BD"/>
    <w:rsid w:val="007F06E1"/>
    <w:rsid w:val="007F517F"/>
    <w:rsid w:val="007F6391"/>
    <w:rsid w:val="007F6FB8"/>
    <w:rsid w:val="008007EF"/>
    <w:rsid w:val="00801491"/>
    <w:rsid w:val="00803099"/>
    <w:rsid w:val="0080338B"/>
    <w:rsid w:val="008065A5"/>
    <w:rsid w:val="0081066B"/>
    <w:rsid w:val="00810809"/>
    <w:rsid w:val="00812741"/>
    <w:rsid w:val="008128E3"/>
    <w:rsid w:val="00815871"/>
    <w:rsid w:val="00816CE8"/>
    <w:rsid w:val="00816DFB"/>
    <w:rsid w:val="00821789"/>
    <w:rsid w:val="00822A11"/>
    <w:rsid w:val="00830017"/>
    <w:rsid w:val="00830DC9"/>
    <w:rsid w:val="008320A0"/>
    <w:rsid w:val="00833712"/>
    <w:rsid w:val="00833A6A"/>
    <w:rsid w:val="00833BDE"/>
    <w:rsid w:val="00833E2F"/>
    <w:rsid w:val="008368F3"/>
    <w:rsid w:val="008400A8"/>
    <w:rsid w:val="00840FC2"/>
    <w:rsid w:val="008413C4"/>
    <w:rsid w:val="008449FF"/>
    <w:rsid w:val="0084572C"/>
    <w:rsid w:val="0084601D"/>
    <w:rsid w:val="00846C73"/>
    <w:rsid w:val="0085033A"/>
    <w:rsid w:val="0085161D"/>
    <w:rsid w:val="00852D81"/>
    <w:rsid w:val="00855597"/>
    <w:rsid w:val="00855780"/>
    <w:rsid w:val="00856178"/>
    <w:rsid w:val="008622FB"/>
    <w:rsid w:val="00862545"/>
    <w:rsid w:val="00862DEC"/>
    <w:rsid w:val="0086546B"/>
    <w:rsid w:val="00865A76"/>
    <w:rsid w:val="0086730B"/>
    <w:rsid w:val="008679E6"/>
    <w:rsid w:val="00867A0F"/>
    <w:rsid w:val="00871811"/>
    <w:rsid w:val="00871942"/>
    <w:rsid w:val="00872E1F"/>
    <w:rsid w:val="00873942"/>
    <w:rsid w:val="00880882"/>
    <w:rsid w:val="0088113B"/>
    <w:rsid w:val="00881418"/>
    <w:rsid w:val="0088500A"/>
    <w:rsid w:val="00885DA2"/>
    <w:rsid w:val="00886342"/>
    <w:rsid w:val="008875DE"/>
    <w:rsid w:val="008907DB"/>
    <w:rsid w:val="0089092F"/>
    <w:rsid w:val="008928D1"/>
    <w:rsid w:val="00897118"/>
    <w:rsid w:val="00897145"/>
    <w:rsid w:val="008A0E85"/>
    <w:rsid w:val="008A1DDE"/>
    <w:rsid w:val="008A371D"/>
    <w:rsid w:val="008A5443"/>
    <w:rsid w:val="008A5F01"/>
    <w:rsid w:val="008A6B66"/>
    <w:rsid w:val="008B0969"/>
    <w:rsid w:val="008B11D0"/>
    <w:rsid w:val="008B4464"/>
    <w:rsid w:val="008B4B8F"/>
    <w:rsid w:val="008B4BB0"/>
    <w:rsid w:val="008B4BF2"/>
    <w:rsid w:val="008B5AFD"/>
    <w:rsid w:val="008B5EE3"/>
    <w:rsid w:val="008B7A4E"/>
    <w:rsid w:val="008C08CC"/>
    <w:rsid w:val="008C1506"/>
    <w:rsid w:val="008C150E"/>
    <w:rsid w:val="008C2AED"/>
    <w:rsid w:val="008C2D30"/>
    <w:rsid w:val="008C3F32"/>
    <w:rsid w:val="008C5A64"/>
    <w:rsid w:val="008C5F17"/>
    <w:rsid w:val="008C7319"/>
    <w:rsid w:val="008D0AE4"/>
    <w:rsid w:val="008D2F52"/>
    <w:rsid w:val="008D5618"/>
    <w:rsid w:val="008D74C3"/>
    <w:rsid w:val="008D7DFC"/>
    <w:rsid w:val="008E33EA"/>
    <w:rsid w:val="008E4180"/>
    <w:rsid w:val="008E53A7"/>
    <w:rsid w:val="008E615F"/>
    <w:rsid w:val="008E654B"/>
    <w:rsid w:val="008E70B5"/>
    <w:rsid w:val="008F0EA9"/>
    <w:rsid w:val="008F1B1E"/>
    <w:rsid w:val="008F411D"/>
    <w:rsid w:val="008F4D31"/>
    <w:rsid w:val="008F5FF0"/>
    <w:rsid w:val="008F61F2"/>
    <w:rsid w:val="008F63BC"/>
    <w:rsid w:val="008F7F78"/>
    <w:rsid w:val="00900316"/>
    <w:rsid w:val="00901363"/>
    <w:rsid w:val="0090394F"/>
    <w:rsid w:val="009045FF"/>
    <w:rsid w:val="009052EC"/>
    <w:rsid w:val="00905C65"/>
    <w:rsid w:val="00907154"/>
    <w:rsid w:val="00907B9D"/>
    <w:rsid w:val="00910CFA"/>
    <w:rsid w:val="009125D2"/>
    <w:rsid w:val="00915E3F"/>
    <w:rsid w:val="0092273F"/>
    <w:rsid w:val="009238F1"/>
    <w:rsid w:val="00932B64"/>
    <w:rsid w:val="00935E14"/>
    <w:rsid w:val="00936D70"/>
    <w:rsid w:val="00942454"/>
    <w:rsid w:val="009437DB"/>
    <w:rsid w:val="00946091"/>
    <w:rsid w:val="00951BD3"/>
    <w:rsid w:val="009564CE"/>
    <w:rsid w:val="00956BA4"/>
    <w:rsid w:val="00957310"/>
    <w:rsid w:val="0095750D"/>
    <w:rsid w:val="00962B8F"/>
    <w:rsid w:val="00964464"/>
    <w:rsid w:val="00965665"/>
    <w:rsid w:val="00966D4F"/>
    <w:rsid w:val="0096787F"/>
    <w:rsid w:val="009702B5"/>
    <w:rsid w:val="0097202E"/>
    <w:rsid w:val="00972E0B"/>
    <w:rsid w:val="00973C51"/>
    <w:rsid w:val="009746B0"/>
    <w:rsid w:val="00974A7C"/>
    <w:rsid w:val="0097587B"/>
    <w:rsid w:val="009766FE"/>
    <w:rsid w:val="00977FEE"/>
    <w:rsid w:val="00980439"/>
    <w:rsid w:val="0098127A"/>
    <w:rsid w:val="009820DF"/>
    <w:rsid w:val="00982444"/>
    <w:rsid w:val="00982D92"/>
    <w:rsid w:val="009834A0"/>
    <w:rsid w:val="00983902"/>
    <w:rsid w:val="00991941"/>
    <w:rsid w:val="00992CC0"/>
    <w:rsid w:val="0099353F"/>
    <w:rsid w:val="00993731"/>
    <w:rsid w:val="00993FEB"/>
    <w:rsid w:val="0099496C"/>
    <w:rsid w:val="009955EE"/>
    <w:rsid w:val="00996569"/>
    <w:rsid w:val="009A057B"/>
    <w:rsid w:val="009A06F0"/>
    <w:rsid w:val="009A14DE"/>
    <w:rsid w:val="009A2182"/>
    <w:rsid w:val="009A33D5"/>
    <w:rsid w:val="009A35A8"/>
    <w:rsid w:val="009A4CA7"/>
    <w:rsid w:val="009A5B25"/>
    <w:rsid w:val="009A7BC2"/>
    <w:rsid w:val="009B1897"/>
    <w:rsid w:val="009B1BB7"/>
    <w:rsid w:val="009B740C"/>
    <w:rsid w:val="009C074D"/>
    <w:rsid w:val="009C0992"/>
    <w:rsid w:val="009C0C48"/>
    <w:rsid w:val="009C1830"/>
    <w:rsid w:val="009C2C09"/>
    <w:rsid w:val="009C2E5A"/>
    <w:rsid w:val="009C3586"/>
    <w:rsid w:val="009C6214"/>
    <w:rsid w:val="009C7B18"/>
    <w:rsid w:val="009C7D55"/>
    <w:rsid w:val="009C7F52"/>
    <w:rsid w:val="009D07F2"/>
    <w:rsid w:val="009D1884"/>
    <w:rsid w:val="009D2108"/>
    <w:rsid w:val="009D3665"/>
    <w:rsid w:val="009D3C84"/>
    <w:rsid w:val="009D6969"/>
    <w:rsid w:val="009D7A58"/>
    <w:rsid w:val="009E0CED"/>
    <w:rsid w:val="009E1667"/>
    <w:rsid w:val="009E4043"/>
    <w:rsid w:val="009E43C1"/>
    <w:rsid w:val="009F1B5A"/>
    <w:rsid w:val="009F3BA0"/>
    <w:rsid w:val="009F3F5D"/>
    <w:rsid w:val="009F4560"/>
    <w:rsid w:val="009F4CB9"/>
    <w:rsid w:val="009F5451"/>
    <w:rsid w:val="009F625F"/>
    <w:rsid w:val="009F6B4E"/>
    <w:rsid w:val="00A01C02"/>
    <w:rsid w:val="00A05113"/>
    <w:rsid w:val="00A052AA"/>
    <w:rsid w:val="00A054DC"/>
    <w:rsid w:val="00A069AE"/>
    <w:rsid w:val="00A0711A"/>
    <w:rsid w:val="00A10389"/>
    <w:rsid w:val="00A10BC7"/>
    <w:rsid w:val="00A1133E"/>
    <w:rsid w:val="00A11888"/>
    <w:rsid w:val="00A11E62"/>
    <w:rsid w:val="00A11E8F"/>
    <w:rsid w:val="00A12369"/>
    <w:rsid w:val="00A12EE8"/>
    <w:rsid w:val="00A13476"/>
    <w:rsid w:val="00A14357"/>
    <w:rsid w:val="00A1524F"/>
    <w:rsid w:val="00A15E63"/>
    <w:rsid w:val="00A17672"/>
    <w:rsid w:val="00A22B21"/>
    <w:rsid w:val="00A23045"/>
    <w:rsid w:val="00A23BC2"/>
    <w:rsid w:val="00A2662A"/>
    <w:rsid w:val="00A2684A"/>
    <w:rsid w:val="00A279AC"/>
    <w:rsid w:val="00A30C5D"/>
    <w:rsid w:val="00A310F1"/>
    <w:rsid w:val="00A3503C"/>
    <w:rsid w:val="00A35FAA"/>
    <w:rsid w:val="00A40163"/>
    <w:rsid w:val="00A409BC"/>
    <w:rsid w:val="00A40BFE"/>
    <w:rsid w:val="00A40DBD"/>
    <w:rsid w:val="00A41F71"/>
    <w:rsid w:val="00A42F6D"/>
    <w:rsid w:val="00A4358E"/>
    <w:rsid w:val="00A47B8D"/>
    <w:rsid w:val="00A47C30"/>
    <w:rsid w:val="00A50091"/>
    <w:rsid w:val="00A50878"/>
    <w:rsid w:val="00A51337"/>
    <w:rsid w:val="00A540A5"/>
    <w:rsid w:val="00A54248"/>
    <w:rsid w:val="00A55B6F"/>
    <w:rsid w:val="00A60F8D"/>
    <w:rsid w:val="00A61202"/>
    <w:rsid w:val="00A6357C"/>
    <w:rsid w:val="00A6388E"/>
    <w:rsid w:val="00A64CC7"/>
    <w:rsid w:val="00A709AD"/>
    <w:rsid w:val="00A733CB"/>
    <w:rsid w:val="00A751AD"/>
    <w:rsid w:val="00A75EB2"/>
    <w:rsid w:val="00A80C87"/>
    <w:rsid w:val="00A84503"/>
    <w:rsid w:val="00A86221"/>
    <w:rsid w:val="00A92D25"/>
    <w:rsid w:val="00A94689"/>
    <w:rsid w:val="00A94AC5"/>
    <w:rsid w:val="00A94DDB"/>
    <w:rsid w:val="00A95EEF"/>
    <w:rsid w:val="00AA110F"/>
    <w:rsid w:val="00AA27AA"/>
    <w:rsid w:val="00AA2DF3"/>
    <w:rsid w:val="00AA50BC"/>
    <w:rsid w:val="00AB24E7"/>
    <w:rsid w:val="00AB3237"/>
    <w:rsid w:val="00AB75AE"/>
    <w:rsid w:val="00AB76EC"/>
    <w:rsid w:val="00AB7933"/>
    <w:rsid w:val="00AC4B26"/>
    <w:rsid w:val="00AC75B7"/>
    <w:rsid w:val="00AD10CF"/>
    <w:rsid w:val="00AD35EA"/>
    <w:rsid w:val="00AD3BC7"/>
    <w:rsid w:val="00AD562E"/>
    <w:rsid w:val="00AD5B1B"/>
    <w:rsid w:val="00AE2459"/>
    <w:rsid w:val="00AE30D2"/>
    <w:rsid w:val="00AE36E2"/>
    <w:rsid w:val="00AE3D23"/>
    <w:rsid w:val="00AE4EC8"/>
    <w:rsid w:val="00AE5D9F"/>
    <w:rsid w:val="00AF0C7E"/>
    <w:rsid w:val="00AF0EB2"/>
    <w:rsid w:val="00AF16AE"/>
    <w:rsid w:val="00AF2791"/>
    <w:rsid w:val="00AF418D"/>
    <w:rsid w:val="00AF70EE"/>
    <w:rsid w:val="00AF7618"/>
    <w:rsid w:val="00B00B01"/>
    <w:rsid w:val="00B023EF"/>
    <w:rsid w:val="00B04550"/>
    <w:rsid w:val="00B04964"/>
    <w:rsid w:val="00B108D0"/>
    <w:rsid w:val="00B10F95"/>
    <w:rsid w:val="00B12331"/>
    <w:rsid w:val="00B142BC"/>
    <w:rsid w:val="00B15B71"/>
    <w:rsid w:val="00B21A2A"/>
    <w:rsid w:val="00B21EB4"/>
    <w:rsid w:val="00B270ED"/>
    <w:rsid w:val="00B27820"/>
    <w:rsid w:val="00B33F4D"/>
    <w:rsid w:val="00B348B3"/>
    <w:rsid w:val="00B37148"/>
    <w:rsid w:val="00B37810"/>
    <w:rsid w:val="00B42B56"/>
    <w:rsid w:val="00B460B5"/>
    <w:rsid w:val="00B47E64"/>
    <w:rsid w:val="00B47F4C"/>
    <w:rsid w:val="00B50536"/>
    <w:rsid w:val="00B51526"/>
    <w:rsid w:val="00B610AC"/>
    <w:rsid w:val="00B6308B"/>
    <w:rsid w:val="00B64DE4"/>
    <w:rsid w:val="00B654BF"/>
    <w:rsid w:val="00B66F90"/>
    <w:rsid w:val="00B71222"/>
    <w:rsid w:val="00B7358B"/>
    <w:rsid w:val="00B7388C"/>
    <w:rsid w:val="00B7724D"/>
    <w:rsid w:val="00B82509"/>
    <w:rsid w:val="00B830A1"/>
    <w:rsid w:val="00B83694"/>
    <w:rsid w:val="00B83CA0"/>
    <w:rsid w:val="00B84243"/>
    <w:rsid w:val="00B85C34"/>
    <w:rsid w:val="00B876C0"/>
    <w:rsid w:val="00B92BDF"/>
    <w:rsid w:val="00B93884"/>
    <w:rsid w:val="00B93A27"/>
    <w:rsid w:val="00B94A65"/>
    <w:rsid w:val="00B94ADF"/>
    <w:rsid w:val="00B94FB4"/>
    <w:rsid w:val="00B9676C"/>
    <w:rsid w:val="00BA0966"/>
    <w:rsid w:val="00BA379F"/>
    <w:rsid w:val="00BA40A3"/>
    <w:rsid w:val="00BA6777"/>
    <w:rsid w:val="00BA78F2"/>
    <w:rsid w:val="00BB0524"/>
    <w:rsid w:val="00BB09A6"/>
    <w:rsid w:val="00BB3AB5"/>
    <w:rsid w:val="00BB3DA8"/>
    <w:rsid w:val="00BB498B"/>
    <w:rsid w:val="00BB5D8C"/>
    <w:rsid w:val="00BB6106"/>
    <w:rsid w:val="00BB6D23"/>
    <w:rsid w:val="00BB721D"/>
    <w:rsid w:val="00BB7455"/>
    <w:rsid w:val="00BB7CFB"/>
    <w:rsid w:val="00BC2C65"/>
    <w:rsid w:val="00BC3447"/>
    <w:rsid w:val="00BC3CAB"/>
    <w:rsid w:val="00BC42CE"/>
    <w:rsid w:val="00BC6702"/>
    <w:rsid w:val="00BD1F09"/>
    <w:rsid w:val="00BD25F7"/>
    <w:rsid w:val="00BD60CC"/>
    <w:rsid w:val="00BE70B3"/>
    <w:rsid w:val="00BE7D58"/>
    <w:rsid w:val="00BF0270"/>
    <w:rsid w:val="00BF0E14"/>
    <w:rsid w:val="00BF164E"/>
    <w:rsid w:val="00BF1E32"/>
    <w:rsid w:val="00BF23C3"/>
    <w:rsid w:val="00BF47FE"/>
    <w:rsid w:val="00BF6D42"/>
    <w:rsid w:val="00BF7ED9"/>
    <w:rsid w:val="00C00AA5"/>
    <w:rsid w:val="00C02AE0"/>
    <w:rsid w:val="00C06592"/>
    <w:rsid w:val="00C07DEC"/>
    <w:rsid w:val="00C1005F"/>
    <w:rsid w:val="00C107D2"/>
    <w:rsid w:val="00C11F05"/>
    <w:rsid w:val="00C11F2F"/>
    <w:rsid w:val="00C12D0A"/>
    <w:rsid w:val="00C131B3"/>
    <w:rsid w:val="00C14C39"/>
    <w:rsid w:val="00C14CCA"/>
    <w:rsid w:val="00C1500A"/>
    <w:rsid w:val="00C15DEF"/>
    <w:rsid w:val="00C20E76"/>
    <w:rsid w:val="00C23647"/>
    <w:rsid w:val="00C2476F"/>
    <w:rsid w:val="00C24CE1"/>
    <w:rsid w:val="00C262C1"/>
    <w:rsid w:val="00C2641F"/>
    <w:rsid w:val="00C3009E"/>
    <w:rsid w:val="00C3239B"/>
    <w:rsid w:val="00C3324A"/>
    <w:rsid w:val="00C34390"/>
    <w:rsid w:val="00C34C59"/>
    <w:rsid w:val="00C359BA"/>
    <w:rsid w:val="00C36775"/>
    <w:rsid w:val="00C36C9A"/>
    <w:rsid w:val="00C41D55"/>
    <w:rsid w:val="00C42B03"/>
    <w:rsid w:val="00C431A3"/>
    <w:rsid w:val="00C43407"/>
    <w:rsid w:val="00C4427C"/>
    <w:rsid w:val="00C445F7"/>
    <w:rsid w:val="00C44BE3"/>
    <w:rsid w:val="00C44C1D"/>
    <w:rsid w:val="00C45572"/>
    <w:rsid w:val="00C474E3"/>
    <w:rsid w:val="00C51C2D"/>
    <w:rsid w:val="00C53F88"/>
    <w:rsid w:val="00C54422"/>
    <w:rsid w:val="00C55846"/>
    <w:rsid w:val="00C6305B"/>
    <w:rsid w:val="00C63C1F"/>
    <w:rsid w:val="00C63ED7"/>
    <w:rsid w:val="00C670A4"/>
    <w:rsid w:val="00C71426"/>
    <w:rsid w:val="00C74126"/>
    <w:rsid w:val="00C748C1"/>
    <w:rsid w:val="00C74C39"/>
    <w:rsid w:val="00C74DA9"/>
    <w:rsid w:val="00C7638D"/>
    <w:rsid w:val="00C763EA"/>
    <w:rsid w:val="00C7791B"/>
    <w:rsid w:val="00C77C49"/>
    <w:rsid w:val="00C8049D"/>
    <w:rsid w:val="00C84893"/>
    <w:rsid w:val="00C85E77"/>
    <w:rsid w:val="00C8748F"/>
    <w:rsid w:val="00C91CF4"/>
    <w:rsid w:val="00C92123"/>
    <w:rsid w:val="00C92908"/>
    <w:rsid w:val="00C95596"/>
    <w:rsid w:val="00C95B85"/>
    <w:rsid w:val="00C97F24"/>
    <w:rsid w:val="00CA077A"/>
    <w:rsid w:val="00CA0B5E"/>
    <w:rsid w:val="00CA3214"/>
    <w:rsid w:val="00CA450E"/>
    <w:rsid w:val="00CA4819"/>
    <w:rsid w:val="00CA600B"/>
    <w:rsid w:val="00CB224A"/>
    <w:rsid w:val="00CB26C4"/>
    <w:rsid w:val="00CB7CFF"/>
    <w:rsid w:val="00CC0486"/>
    <w:rsid w:val="00CC07BE"/>
    <w:rsid w:val="00CC0B67"/>
    <w:rsid w:val="00CC4867"/>
    <w:rsid w:val="00CC551C"/>
    <w:rsid w:val="00CC58EA"/>
    <w:rsid w:val="00CC5AB0"/>
    <w:rsid w:val="00CC7ED8"/>
    <w:rsid w:val="00CC7F08"/>
    <w:rsid w:val="00CD1BF3"/>
    <w:rsid w:val="00CD3382"/>
    <w:rsid w:val="00CD5A2D"/>
    <w:rsid w:val="00CE0085"/>
    <w:rsid w:val="00CE1A0B"/>
    <w:rsid w:val="00CE3F53"/>
    <w:rsid w:val="00CE4134"/>
    <w:rsid w:val="00CE4BB4"/>
    <w:rsid w:val="00CE63CE"/>
    <w:rsid w:val="00CF0F17"/>
    <w:rsid w:val="00CF2C6F"/>
    <w:rsid w:val="00CF4131"/>
    <w:rsid w:val="00CF5085"/>
    <w:rsid w:val="00D0086A"/>
    <w:rsid w:val="00D049E5"/>
    <w:rsid w:val="00D05719"/>
    <w:rsid w:val="00D078C8"/>
    <w:rsid w:val="00D07A8D"/>
    <w:rsid w:val="00D1024D"/>
    <w:rsid w:val="00D120BF"/>
    <w:rsid w:val="00D143EC"/>
    <w:rsid w:val="00D154C9"/>
    <w:rsid w:val="00D1741D"/>
    <w:rsid w:val="00D17D15"/>
    <w:rsid w:val="00D17E55"/>
    <w:rsid w:val="00D2179B"/>
    <w:rsid w:val="00D22699"/>
    <w:rsid w:val="00D24FF4"/>
    <w:rsid w:val="00D27A39"/>
    <w:rsid w:val="00D30CBA"/>
    <w:rsid w:val="00D36333"/>
    <w:rsid w:val="00D37C36"/>
    <w:rsid w:val="00D428B3"/>
    <w:rsid w:val="00D429F4"/>
    <w:rsid w:val="00D43BA3"/>
    <w:rsid w:val="00D44D21"/>
    <w:rsid w:val="00D44DE9"/>
    <w:rsid w:val="00D46A7B"/>
    <w:rsid w:val="00D47006"/>
    <w:rsid w:val="00D50C9B"/>
    <w:rsid w:val="00D51F6D"/>
    <w:rsid w:val="00D54165"/>
    <w:rsid w:val="00D549BF"/>
    <w:rsid w:val="00D551E1"/>
    <w:rsid w:val="00D5708A"/>
    <w:rsid w:val="00D576B5"/>
    <w:rsid w:val="00D57849"/>
    <w:rsid w:val="00D60439"/>
    <w:rsid w:val="00D60832"/>
    <w:rsid w:val="00D6199A"/>
    <w:rsid w:val="00D6661E"/>
    <w:rsid w:val="00D70EB2"/>
    <w:rsid w:val="00D715EF"/>
    <w:rsid w:val="00D7290F"/>
    <w:rsid w:val="00D75924"/>
    <w:rsid w:val="00D75DD0"/>
    <w:rsid w:val="00D7602E"/>
    <w:rsid w:val="00D76996"/>
    <w:rsid w:val="00D83B82"/>
    <w:rsid w:val="00D85D3F"/>
    <w:rsid w:val="00D87479"/>
    <w:rsid w:val="00D9262A"/>
    <w:rsid w:val="00D92B42"/>
    <w:rsid w:val="00D961F2"/>
    <w:rsid w:val="00D97687"/>
    <w:rsid w:val="00D9775E"/>
    <w:rsid w:val="00DA0455"/>
    <w:rsid w:val="00DA1A11"/>
    <w:rsid w:val="00DA1BEF"/>
    <w:rsid w:val="00DA1E1D"/>
    <w:rsid w:val="00DA2118"/>
    <w:rsid w:val="00DA248E"/>
    <w:rsid w:val="00DA28A8"/>
    <w:rsid w:val="00DA3143"/>
    <w:rsid w:val="00DA4EAE"/>
    <w:rsid w:val="00DA4F4E"/>
    <w:rsid w:val="00DA6854"/>
    <w:rsid w:val="00DA6D4F"/>
    <w:rsid w:val="00DA6FB4"/>
    <w:rsid w:val="00DA7792"/>
    <w:rsid w:val="00DB10A8"/>
    <w:rsid w:val="00DB4C98"/>
    <w:rsid w:val="00DB584E"/>
    <w:rsid w:val="00DB69D9"/>
    <w:rsid w:val="00DC0913"/>
    <w:rsid w:val="00DC1F07"/>
    <w:rsid w:val="00DC32EC"/>
    <w:rsid w:val="00DC4099"/>
    <w:rsid w:val="00DC4BB9"/>
    <w:rsid w:val="00DC799B"/>
    <w:rsid w:val="00DD0BA0"/>
    <w:rsid w:val="00DD7B40"/>
    <w:rsid w:val="00DE1987"/>
    <w:rsid w:val="00DE36CF"/>
    <w:rsid w:val="00DE42BA"/>
    <w:rsid w:val="00DE50C2"/>
    <w:rsid w:val="00DE566F"/>
    <w:rsid w:val="00DE5DF9"/>
    <w:rsid w:val="00DE5E0C"/>
    <w:rsid w:val="00DF1ADC"/>
    <w:rsid w:val="00DF2249"/>
    <w:rsid w:val="00DF363A"/>
    <w:rsid w:val="00DF3948"/>
    <w:rsid w:val="00DF4173"/>
    <w:rsid w:val="00DF61C8"/>
    <w:rsid w:val="00DF6323"/>
    <w:rsid w:val="00DF6B26"/>
    <w:rsid w:val="00DF744E"/>
    <w:rsid w:val="00E00258"/>
    <w:rsid w:val="00E01B7C"/>
    <w:rsid w:val="00E05967"/>
    <w:rsid w:val="00E10D3F"/>
    <w:rsid w:val="00E120A8"/>
    <w:rsid w:val="00E1675C"/>
    <w:rsid w:val="00E16BE1"/>
    <w:rsid w:val="00E16DD1"/>
    <w:rsid w:val="00E17DAB"/>
    <w:rsid w:val="00E20628"/>
    <w:rsid w:val="00E2103B"/>
    <w:rsid w:val="00E22A07"/>
    <w:rsid w:val="00E23B9A"/>
    <w:rsid w:val="00E26003"/>
    <w:rsid w:val="00E273FF"/>
    <w:rsid w:val="00E30CB2"/>
    <w:rsid w:val="00E36E5C"/>
    <w:rsid w:val="00E42411"/>
    <w:rsid w:val="00E42C8A"/>
    <w:rsid w:val="00E43965"/>
    <w:rsid w:val="00E43E3B"/>
    <w:rsid w:val="00E4582E"/>
    <w:rsid w:val="00E46611"/>
    <w:rsid w:val="00E46AB8"/>
    <w:rsid w:val="00E473B3"/>
    <w:rsid w:val="00E5022C"/>
    <w:rsid w:val="00E54185"/>
    <w:rsid w:val="00E55ABA"/>
    <w:rsid w:val="00E62B36"/>
    <w:rsid w:val="00E62DF5"/>
    <w:rsid w:val="00E731D7"/>
    <w:rsid w:val="00E73DDE"/>
    <w:rsid w:val="00E74ACE"/>
    <w:rsid w:val="00E771E3"/>
    <w:rsid w:val="00E77B9B"/>
    <w:rsid w:val="00E77C06"/>
    <w:rsid w:val="00E835D7"/>
    <w:rsid w:val="00E8375F"/>
    <w:rsid w:val="00E855E0"/>
    <w:rsid w:val="00E860B7"/>
    <w:rsid w:val="00E86267"/>
    <w:rsid w:val="00E8780D"/>
    <w:rsid w:val="00E90D0E"/>
    <w:rsid w:val="00E93917"/>
    <w:rsid w:val="00E95DB8"/>
    <w:rsid w:val="00E95E3B"/>
    <w:rsid w:val="00E97527"/>
    <w:rsid w:val="00E97F51"/>
    <w:rsid w:val="00EA2D82"/>
    <w:rsid w:val="00EA63B5"/>
    <w:rsid w:val="00EA6556"/>
    <w:rsid w:val="00EB0AD0"/>
    <w:rsid w:val="00EB0E94"/>
    <w:rsid w:val="00EB4C26"/>
    <w:rsid w:val="00EB53F2"/>
    <w:rsid w:val="00EB63E1"/>
    <w:rsid w:val="00EB7803"/>
    <w:rsid w:val="00EC0295"/>
    <w:rsid w:val="00EC0454"/>
    <w:rsid w:val="00EC19FA"/>
    <w:rsid w:val="00EC5F86"/>
    <w:rsid w:val="00ED0940"/>
    <w:rsid w:val="00ED1AE2"/>
    <w:rsid w:val="00ED25CE"/>
    <w:rsid w:val="00ED3A55"/>
    <w:rsid w:val="00ED7F8D"/>
    <w:rsid w:val="00EE0A36"/>
    <w:rsid w:val="00EE0ACF"/>
    <w:rsid w:val="00EE2408"/>
    <w:rsid w:val="00EE49F4"/>
    <w:rsid w:val="00EE5CC3"/>
    <w:rsid w:val="00EE67C5"/>
    <w:rsid w:val="00EF0F76"/>
    <w:rsid w:val="00EF3B9F"/>
    <w:rsid w:val="00EF4031"/>
    <w:rsid w:val="00F03F4B"/>
    <w:rsid w:val="00F1076B"/>
    <w:rsid w:val="00F11D20"/>
    <w:rsid w:val="00F13E0D"/>
    <w:rsid w:val="00F20B6E"/>
    <w:rsid w:val="00F248EC"/>
    <w:rsid w:val="00F24BCF"/>
    <w:rsid w:val="00F3255F"/>
    <w:rsid w:val="00F3510E"/>
    <w:rsid w:val="00F373DC"/>
    <w:rsid w:val="00F3743E"/>
    <w:rsid w:val="00F37EF3"/>
    <w:rsid w:val="00F40015"/>
    <w:rsid w:val="00F40782"/>
    <w:rsid w:val="00F422EF"/>
    <w:rsid w:val="00F44554"/>
    <w:rsid w:val="00F46058"/>
    <w:rsid w:val="00F47B25"/>
    <w:rsid w:val="00F47E6B"/>
    <w:rsid w:val="00F51BCF"/>
    <w:rsid w:val="00F52087"/>
    <w:rsid w:val="00F5235B"/>
    <w:rsid w:val="00F53323"/>
    <w:rsid w:val="00F53B6A"/>
    <w:rsid w:val="00F54947"/>
    <w:rsid w:val="00F54F7B"/>
    <w:rsid w:val="00F560DC"/>
    <w:rsid w:val="00F56916"/>
    <w:rsid w:val="00F56A7F"/>
    <w:rsid w:val="00F56AD0"/>
    <w:rsid w:val="00F56CB1"/>
    <w:rsid w:val="00F63661"/>
    <w:rsid w:val="00F63716"/>
    <w:rsid w:val="00F63F85"/>
    <w:rsid w:val="00F72D23"/>
    <w:rsid w:val="00F75495"/>
    <w:rsid w:val="00F765EB"/>
    <w:rsid w:val="00F77766"/>
    <w:rsid w:val="00F7793C"/>
    <w:rsid w:val="00F805F0"/>
    <w:rsid w:val="00F839AB"/>
    <w:rsid w:val="00F84F67"/>
    <w:rsid w:val="00F8673B"/>
    <w:rsid w:val="00F908F8"/>
    <w:rsid w:val="00F91769"/>
    <w:rsid w:val="00F92442"/>
    <w:rsid w:val="00F926C8"/>
    <w:rsid w:val="00F9623B"/>
    <w:rsid w:val="00F97D2D"/>
    <w:rsid w:val="00FA05A4"/>
    <w:rsid w:val="00FA126D"/>
    <w:rsid w:val="00FA312F"/>
    <w:rsid w:val="00FA7135"/>
    <w:rsid w:val="00FA784C"/>
    <w:rsid w:val="00FB06E1"/>
    <w:rsid w:val="00FB6912"/>
    <w:rsid w:val="00FB7112"/>
    <w:rsid w:val="00FC3CD4"/>
    <w:rsid w:val="00FC49ED"/>
    <w:rsid w:val="00FC5FB9"/>
    <w:rsid w:val="00FC6C09"/>
    <w:rsid w:val="00FD336D"/>
    <w:rsid w:val="00FD3D3E"/>
    <w:rsid w:val="00FD5051"/>
    <w:rsid w:val="00FD5958"/>
    <w:rsid w:val="00FD756D"/>
    <w:rsid w:val="00FD78AA"/>
    <w:rsid w:val="00FE059A"/>
    <w:rsid w:val="00FE0781"/>
    <w:rsid w:val="00FE1A02"/>
    <w:rsid w:val="00FE54AE"/>
    <w:rsid w:val="00FF1703"/>
    <w:rsid w:val="00FF2316"/>
    <w:rsid w:val="00FF2339"/>
    <w:rsid w:val="00FF26B9"/>
    <w:rsid w:val="00FF33AA"/>
    <w:rsid w:val="00FF371D"/>
    <w:rsid w:val="00FF5EE1"/>
    <w:rsid w:val="00FF637D"/>
    <w:rsid w:val="00FF64CF"/>
    <w:rsid w:val="00FF6B5D"/>
    <w:rsid w:val="00FF7F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5FA23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426"/>
    <w:pPr>
      <w:spacing w:after="240" w:line="260" w:lineRule="exact"/>
      <w:jc w:val="both"/>
    </w:pPr>
    <w:rPr>
      <w:rFonts w:ascii="Book Antiqua" w:hAnsi="Book Antiqua"/>
    </w:rPr>
  </w:style>
  <w:style w:type="paragraph" w:styleId="Heading1">
    <w:name w:val="heading 1"/>
    <w:basedOn w:val="HeadingBase"/>
    <w:next w:val="Normal"/>
    <w:link w:val="Heading1Char"/>
    <w:qFormat/>
    <w:rsid w:val="00EC5F86"/>
    <w:pPr>
      <w:spacing w:after="240"/>
      <w:jc w:val="center"/>
      <w:outlineLvl w:val="0"/>
    </w:pPr>
    <w:rPr>
      <w:b/>
      <w:smallCaps/>
      <w:kern w:val="28"/>
      <w:sz w:val="34"/>
    </w:rPr>
  </w:style>
  <w:style w:type="paragraph" w:styleId="Heading2">
    <w:name w:val="heading 2"/>
    <w:basedOn w:val="HeadingBase"/>
    <w:next w:val="Normal"/>
    <w:link w:val="Heading2Char"/>
    <w:qFormat/>
    <w:rsid w:val="00EC5F86"/>
    <w:pPr>
      <w:spacing w:before="360" w:after="36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EC5F86"/>
    <w:pPr>
      <w:tabs>
        <w:tab w:val="left" w:pos="709"/>
      </w:tabs>
      <w:spacing w:before="120" w:after="120"/>
      <w:outlineLvl w:val="3"/>
    </w:pPr>
    <w:rPr>
      <w:b/>
      <w:sz w:val="22"/>
    </w:rPr>
  </w:style>
  <w:style w:type="paragraph" w:styleId="Heading5">
    <w:name w:val="heading 5"/>
    <w:basedOn w:val="HeadingBase"/>
    <w:next w:val="Normal"/>
    <w:link w:val="Heading5Char"/>
    <w:qFormat/>
    <w:rsid w:val="00EC5F86"/>
    <w:pPr>
      <w:spacing w:after="120"/>
      <w:outlineLvl w:val="4"/>
    </w:pPr>
    <w:rPr>
      <w:b/>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qFormat/>
    <w:rsid w:val="00EC5F86"/>
    <w:pPr>
      <w:spacing w:after="100"/>
      <w:outlineLvl w:val="6"/>
    </w:pPr>
    <w:rPr>
      <w:sz w:val="18"/>
      <w:szCs w:val="24"/>
    </w:rPr>
  </w:style>
  <w:style w:type="paragraph" w:styleId="Heading8">
    <w:name w:val="heading 8"/>
    <w:basedOn w:val="HeadingBase"/>
    <w:next w:val="Normal"/>
    <w:qFormat/>
    <w:rsid w:val="00EC5F86"/>
    <w:pPr>
      <w:spacing w:before="240" w:after="60"/>
      <w:outlineLvl w:val="7"/>
    </w:pPr>
    <w:rPr>
      <w:rFonts w:ascii="Times New Roman" w:hAnsi="Times New Roman"/>
      <w:i/>
      <w:iCs/>
      <w:sz w:val="16"/>
      <w:szCs w:val="24"/>
    </w:rPr>
  </w:style>
  <w:style w:type="paragraph" w:styleId="Heading9">
    <w:name w:val="heading 9"/>
    <w:basedOn w:val="Normal"/>
    <w:next w:val="Normal"/>
    <w:link w:val="Heading9Char"/>
    <w:qFormat/>
    <w:rsid w:val="002977F2"/>
    <w:pPr>
      <w:keepNext/>
      <w:spacing w:before="60" w:after="80" w:line="240" w:lineRule="auto"/>
      <w:jc w:val="left"/>
      <w:outlineLvl w:val="8"/>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rsid w:val="00EC5F86"/>
    <w:rPr>
      <w:i/>
      <w:color w:val="FF0000"/>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EC5F86"/>
    <w:pPr>
      <w:spacing w:before="120" w:after="20"/>
    </w:pPr>
    <w:rPr>
      <w:b/>
      <w:sz w:val="20"/>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style>
  <w:style w:type="paragraph" w:customStyle="1" w:styleId="Dash">
    <w:name w:val="Dash"/>
    <w:basedOn w:val="Normal"/>
    <w:rsid w:val="00EC5F86"/>
    <w:pPr>
      <w:numPr>
        <w:ilvl w:val="1"/>
        <w:numId w:val="2"/>
      </w:numPr>
    </w:pPr>
  </w:style>
  <w:style w:type="paragraph" w:customStyle="1" w:styleId="DoubleDot">
    <w:name w:val="Double Dot"/>
    <w:basedOn w:val="Normal"/>
    <w:uiPriority w:val="99"/>
    <w:qFormat/>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EC5F86"/>
    <w:pPr>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EC5F86"/>
    <w:pPr>
      <w:tabs>
        <w:tab w:val="left" w:pos="284"/>
      </w:tabs>
      <w:ind w:left="284" w:hanging="284"/>
      <w:jc w:val="both"/>
    </w:pPr>
    <w:rPr>
      <w:sz w:val="16"/>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EC5F86"/>
    <w:pPr>
      <w:spacing w:after="36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basedOn w:val="DefaultParagraphFont"/>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jc w:val="left"/>
    </w:pPr>
    <w:rPr>
      <w:rFonts w:ascii="Arial" w:hAnsi="Arial"/>
      <w:sz w:val="18"/>
    </w:rPr>
  </w:style>
  <w:style w:type="paragraph" w:customStyle="1" w:styleId="TableColumnHeadingBase">
    <w:name w:val="Table Column Heading Base"/>
    <w:basedOn w:val="Normal"/>
    <w:rsid w:val="00EC5F86"/>
    <w:pPr>
      <w:spacing w:before="60" w:after="60" w:line="240" w:lineRule="auto"/>
      <w:jc w:val="left"/>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rsid w:val="00EC5F86"/>
    <w:pPr>
      <w:numPr>
        <w:numId w:val="5"/>
      </w:numPr>
    </w:pPr>
  </w:style>
  <w:style w:type="paragraph" w:styleId="Title">
    <w:name w:val="Title"/>
    <w:basedOn w:val="Normal"/>
    <w:qFormat/>
    <w:rsid w:val="004B0B19"/>
    <w:pPr>
      <w:spacing w:after="0" w:line="240" w:lineRule="auto"/>
      <w:jc w:val="center"/>
      <w:outlineLvl w:val="0"/>
    </w:pPr>
    <w:rPr>
      <w:rFonts w:ascii="Arial" w:hAnsi="Arial" w:cs="Arial"/>
      <w:b/>
      <w:bCs/>
      <w:caps/>
      <w:kern w:val="28"/>
      <w:sz w:val="52"/>
      <w:szCs w:val="32"/>
    </w:rPr>
  </w:style>
  <w:style w:type="paragraph" w:customStyle="1" w:styleId="TableHeadingcontinued">
    <w:name w:val="Table Heading continued"/>
    <w:basedOn w:val="HeadingBase"/>
    <w:next w:val="TableGraphic"/>
    <w:rsid w:val="00EC5F86"/>
    <w:pPr>
      <w:spacing w:before="120"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EC5F86"/>
    <w:rPr>
      <w:caps/>
    </w:rPr>
  </w:style>
  <w:style w:type="paragraph" w:customStyle="1" w:styleId="TPHeading3">
    <w:name w:val="TP Heading 3"/>
    <w:basedOn w:val="HeadingBase"/>
    <w:rsid w:val="00EC5F86"/>
    <w:rPr>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rsid w:val="00EC5F86"/>
    <w:pPr>
      <w:tabs>
        <w:tab w:val="center" w:pos="4153"/>
        <w:tab w:val="right" w:pos="8306"/>
      </w:tabs>
    </w:p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style>
  <w:style w:type="paragraph" w:styleId="BalloonText">
    <w:name w:val="Balloon Text"/>
    <w:basedOn w:val="Normal"/>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basedOn w:val="DefaultParagraphFont"/>
    <w:uiPriority w:val="99"/>
    <w:rsid w:val="00EC5F86"/>
    <w:rPr>
      <w:sz w:val="16"/>
      <w:szCs w:val="16"/>
    </w:rPr>
  </w:style>
  <w:style w:type="paragraph" w:styleId="CommentText">
    <w:name w:val="annotation text"/>
    <w:basedOn w:val="Normal"/>
    <w:link w:val="CommentTextChar"/>
    <w:rsid w:val="00EC5F86"/>
  </w:style>
  <w:style w:type="paragraph" w:styleId="CommentSubject">
    <w:name w:val="annotation subject"/>
    <w:basedOn w:val="CommentText"/>
    <w:next w:val="CommentText"/>
    <w:rsid w:val="00EC5F86"/>
    <w:rPr>
      <w:b/>
      <w:bCs/>
    </w:rPr>
  </w:style>
  <w:style w:type="paragraph" w:styleId="DocumentMap">
    <w:name w:val="Document Map"/>
    <w:basedOn w:val="Normal"/>
    <w:rsid w:val="00EC5F86"/>
    <w:pPr>
      <w:shd w:val="clear" w:color="auto" w:fill="000080"/>
    </w:pPr>
    <w:rPr>
      <w:rFonts w:ascii="Tahoma" w:hAnsi="Tahoma" w:cs="Tahoma"/>
    </w:rPr>
  </w:style>
  <w:style w:type="character" w:styleId="EndnoteReference">
    <w:name w:val="endnote reference"/>
    <w:basedOn w:val="DefaultParagraphFont"/>
    <w:semiHidden/>
    <w:rsid w:val="00EC5F86"/>
    <w:rPr>
      <w:vertAlign w:val="superscript"/>
    </w:rPr>
  </w:style>
  <w:style w:type="paragraph" w:styleId="EndnoteText">
    <w:name w:val="endnote text"/>
    <w:basedOn w:val="Normal"/>
    <w:semiHidden/>
    <w:rsid w:val="00EC5F86"/>
  </w:style>
  <w:style w:type="character" w:styleId="FootnoteReference">
    <w:name w:val="footnote reference"/>
    <w:basedOn w:val="DefaultParagraphFont"/>
    <w:rsid w:val="00EC5F86"/>
    <w:rPr>
      <w:vertAlign w:val="superscript"/>
    </w:rPr>
  </w:style>
  <w:style w:type="paragraph" w:styleId="FootnoteText">
    <w:name w:val="footnote text"/>
    <w:basedOn w:val="Normal"/>
    <w:link w:val="FootnoteTextChar"/>
    <w:rsid w:val="00EC5F86"/>
    <w:pPr>
      <w:tabs>
        <w:tab w:val="left" w:pos="284"/>
      </w:tabs>
      <w:spacing w:after="0" w:line="240" w:lineRule="auto"/>
      <w:ind w:left="284" w:hanging="284"/>
    </w:pPr>
    <w:rPr>
      <w:sz w:val="18"/>
    </w:rPr>
  </w:style>
  <w:style w:type="paragraph" w:styleId="Index1">
    <w:name w:val="index 1"/>
    <w:basedOn w:val="Normal"/>
    <w:next w:val="Normal"/>
    <w:autoRedefine/>
    <w:rsid w:val="00EC5F86"/>
    <w:pPr>
      <w:ind w:left="200" w:hanging="200"/>
    </w:pPr>
  </w:style>
  <w:style w:type="paragraph" w:styleId="Index2">
    <w:name w:val="index 2"/>
    <w:basedOn w:val="Normal"/>
    <w:next w:val="Normal"/>
    <w:autoRedefine/>
    <w:rsid w:val="00EC5F86"/>
    <w:pPr>
      <w:ind w:left="400" w:hanging="200"/>
    </w:pPr>
  </w:style>
  <w:style w:type="paragraph" w:styleId="Index3">
    <w:name w:val="index 3"/>
    <w:basedOn w:val="Normal"/>
    <w:next w:val="Normal"/>
    <w:autoRedefine/>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rsid w:val="00EC5F86"/>
    <w:pPr>
      <w:tabs>
        <w:tab w:val="right" w:leader="dot" w:pos="7700"/>
      </w:tabs>
      <w:spacing w:before="240"/>
      <w:ind w:right="851"/>
    </w:pPr>
    <w:rPr>
      <w:rFonts w:ascii="Arial" w:hAnsi="Arial"/>
      <w:b/>
      <w:i w:val="0"/>
    </w:rPr>
  </w:style>
  <w:style w:type="paragraph" w:styleId="TOC2">
    <w:name w:val="toc 2"/>
    <w:basedOn w:val="HeadingBase"/>
    <w:next w:val="Normal"/>
    <w:rsid w:val="00EC5F86"/>
    <w:pPr>
      <w:tabs>
        <w:tab w:val="right" w:leader="dot" w:pos="7700"/>
      </w:tabs>
      <w:spacing w:before="80"/>
      <w:ind w:right="851"/>
    </w:pPr>
    <w:rPr>
      <w:sz w:val="20"/>
    </w:rPr>
  </w:style>
  <w:style w:type="paragraph" w:styleId="TOC3">
    <w:name w:val="toc 3"/>
    <w:basedOn w:val="HeadingBase"/>
    <w:next w:val="Normal"/>
    <w:rsid w:val="00EC5F86"/>
    <w:pPr>
      <w:tabs>
        <w:tab w:val="right" w:leader="dot" w:pos="7700"/>
      </w:tabs>
      <w:spacing w:before="120"/>
      <w:ind w:right="851"/>
    </w:pPr>
    <w:rPr>
      <w:b/>
      <w:sz w:val="20"/>
    </w:rPr>
  </w:style>
  <w:style w:type="paragraph" w:styleId="TOC4">
    <w:name w:val="toc 4"/>
    <w:basedOn w:val="HeadingBase"/>
    <w:next w:val="Normal"/>
    <w:rsid w:val="00EC5F86"/>
    <w:pPr>
      <w:tabs>
        <w:tab w:val="right" w:leader="dot" w:pos="7700"/>
      </w:tabs>
      <w:spacing w:before="40"/>
      <w:ind w:right="851"/>
    </w:pPr>
    <w:rPr>
      <w:sz w:val="20"/>
    </w:rPr>
  </w:style>
  <w:style w:type="paragraph" w:styleId="TOC5">
    <w:name w:val="toc 5"/>
    <w:basedOn w:val="Normal"/>
    <w:next w:val="Normal"/>
    <w:autoRedefine/>
    <w:semiHidden/>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semiHidden/>
    <w:rsid w:val="00EC5F86"/>
    <w:rPr>
      <w:i/>
    </w:rPr>
  </w:style>
  <w:style w:type="character" w:styleId="PageNumber">
    <w:name w:val="page number"/>
    <w:basedOn w:val="DefaultParagraphFont"/>
    <w:rsid w:val="00EC5F86"/>
    <w:rPr>
      <w:rFonts w:ascii="Arial" w:hAnsi="Arial" w:cs="Arial"/>
    </w:rPr>
  </w:style>
  <w:style w:type="character" w:customStyle="1" w:styleId="FramedHeader">
    <w:name w:val="Framed Header"/>
    <w:basedOn w:val="DefaultParagraphFont"/>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val="0"/>
      <w:smallCaps/>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basedOn w:val="DefaultParagraphFont"/>
    <w:link w:val="Exampletext"/>
    <w:rsid w:val="00D50C9B"/>
    <w:rPr>
      <w:rFonts w:ascii="Book Antiqua" w:hAnsi="Book Antiqua"/>
      <w:i/>
      <w:color w:val="FF0000"/>
      <w:lang w:val="en-AU" w:eastAsia="en-AU" w:bidi="ar-SA"/>
    </w:rPr>
  </w:style>
  <w:style w:type="paragraph" w:customStyle="1" w:styleId="Crest">
    <w:name w:val="Crest"/>
    <w:basedOn w:val="Normal"/>
    <w:next w:val="TransmittalStyle1"/>
    <w:rsid w:val="00021DA6"/>
    <w:pPr>
      <w:spacing w:after="0" w:line="240" w:lineRule="auto"/>
      <w:jc w:val="center"/>
    </w:pPr>
  </w:style>
  <w:style w:type="character" w:styleId="Hyperlink">
    <w:name w:val="Hyperlink"/>
    <w:basedOn w:val="DefaultParagraphFont"/>
    <w:rsid w:val="00AA27AA"/>
    <w:rPr>
      <w:color w:val="0000FF"/>
      <w:u w:val="singl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jc w:val="left"/>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rsid w:val="00EC5F86"/>
    <w:pPr>
      <w:numPr>
        <w:ilvl w:val="1"/>
      </w:numPr>
    </w:pPr>
  </w:style>
  <w:style w:type="character" w:customStyle="1" w:styleId="HeadingBaseChar">
    <w:name w:val="Heading Base Char"/>
    <w:basedOn w:val="DefaultParagraphFont"/>
    <w:link w:val="HeadingBase"/>
    <w:rsid w:val="00574E9E"/>
    <w:rPr>
      <w:rFonts w:ascii="Arial" w:hAnsi="Arial"/>
      <w:sz w:val="24"/>
      <w:lang w:val="en-AU" w:eastAsia="en-AU" w:bidi="ar-SA"/>
    </w:rPr>
  </w:style>
  <w:style w:type="character" w:customStyle="1" w:styleId="TableHeadingChar">
    <w:name w:val="Table Heading Char"/>
    <w:basedOn w:val="HeadingBaseChar"/>
    <w:link w:val="TableHeading"/>
    <w:rsid w:val="00574E9E"/>
    <w:rPr>
      <w:rFonts w:ascii="Arial" w:hAnsi="Arial"/>
      <w:b/>
      <w:sz w:val="24"/>
      <w:lang w:val="en-AU" w:eastAsia="en-AU" w:bidi="ar-SA"/>
    </w:rPr>
  </w:style>
  <w:style w:type="character" w:customStyle="1" w:styleId="TableTextBaseChar">
    <w:name w:val="Table Text Base Char"/>
    <w:basedOn w:val="DefaultParagraphFont"/>
    <w:link w:val="TableTextBase"/>
    <w:rsid w:val="00637BBD"/>
    <w:rPr>
      <w:rFonts w:ascii="Arial" w:hAnsi="Arial"/>
      <w:sz w:val="18"/>
      <w:lang w:val="en-AU" w:eastAsia="en-AU" w:bidi="ar-SA"/>
    </w:rPr>
  </w:style>
  <w:style w:type="character" w:customStyle="1" w:styleId="TableTextLeftChar">
    <w:name w:val="Table Text Left Char"/>
    <w:basedOn w:val="TableTextBaseChar"/>
    <w:link w:val="TableTextLeft"/>
    <w:rsid w:val="00637BBD"/>
    <w:rPr>
      <w:rFonts w:ascii="Arial" w:hAnsi="Arial"/>
      <w:sz w:val="18"/>
      <w:lang w:val="en-AU" w:eastAsia="en-AU" w:bidi="ar-SA"/>
    </w:rPr>
  </w:style>
  <w:style w:type="paragraph" w:styleId="ListParagraph">
    <w:name w:val="List Paragraph"/>
    <w:basedOn w:val="Normal"/>
    <w:link w:val="ListParagraphChar"/>
    <w:uiPriority w:val="34"/>
    <w:qFormat/>
    <w:rsid w:val="000A345B"/>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basedOn w:val="HeadingBaseChar"/>
    <w:link w:val="ChartandTableFootnote"/>
    <w:rsid w:val="005606B5"/>
    <w:rPr>
      <w:rFonts w:ascii="Arial" w:hAnsi="Arial"/>
      <w:sz w:val="16"/>
      <w:lang w:val="en-AU" w:eastAsia="en-AU" w:bidi="ar-SA"/>
    </w:rPr>
  </w:style>
  <w:style w:type="paragraph" w:customStyle="1" w:styleId="PartHeading">
    <w:name w:val="Part Heading"/>
    <w:basedOn w:val="Part"/>
    <w:next w:val="Normal"/>
    <w:rsid w:val="00EC5F86"/>
  </w:style>
  <w:style w:type="character" w:customStyle="1" w:styleId="BulletChar">
    <w:name w:val="Bullet Char"/>
    <w:basedOn w:val="DefaultParagraphFont"/>
    <w:link w:val="Bullet"/>
    <w:rsid w:val="00FD5958"/>
    <w:rPr>
      <w:rFonts w:ascii="Book Antiqua" w:hAnsi="Book Antiqua"/>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basedOn w:val="HeadingBaseChar"/>
    <w:link w:val="Heading3"/>
    <w:rsid w:val="00C7638D"/>
    <w:rPr>
      <w:rFonts w:ascii="Arial" w:hAnsi="Arial"/>
      <w:b/>
      <w:smallCaps/>
      <w:sz w:val="26"/>
      <w:lang w:val="en-AU" w:eastAsia="en-AU" w:bidi="ar-SA"/>
    </w:rPr>
  </w:style>
  <w:style w:type="character" w:customStyle="1" w:styleId="CommentTextChar">
    <w:name w:val="Comment Text Char"/>
    <w:basedOn w:val="DefaultParagraphFont"/>
    <w:link w:val="CommentText"/>
    <w:rsid w:val="001B0C75"/>
    <w:rPr>
      <w:rFonts w:ascii="Book Antiqua" w:hAnsi="Book Antiqua"/>
    </w:rPr>
  </w:style>
  <w:style w:type="paragraph" w:customStyle="1" w:styleId="ExampleText0">
    <w:name w:val="Example Text"/>
    <w:basedOn w:val="Normal"/>
    <w:rsid w:val="00C11F05"/>
    <w:pPr>
      <w:jc w:val="left"/>
    </w:pPr>
    <w:rPr>
      <w:i/>
      <w:color w:val="FF0000"/>
    </w:rPr>
  </w:style>
  <w:style w:type="paragraph" w:styleId="NoSpacing">
    <w:name w:val="No Spacing"/>
    <w:aliases w:val="arial"/>
    <w:uiPriority w:val="1"/>
    <w:qFormat/>
    <w:rsid w:val="00451501"/>
    <w:pPr>
      <w:jc w:val="both"/>
    </w:pPr>
    <w:rPr>
      <w:rFonts w:ascii="Book Antiqua" w:hAnsi="Book Antiqua"/>
    </w:rPr>
  </w:style>
  <w:style w:type="paragraph" w:customStyle="1" w:styleId="SinglePara">
    <w:name w:val="Single Para"/>
    <w:basedOn w:val="Normal"/>
    <w:rsid w:val="00403D72"/>
    <w:pPr>
      <w:spacing w:after="0"/>
      <w:jc w:val="left"/>
    </w:pPr>
    <w:rPr>
      <w:rFonts w:ascii="Arial" w:hAnsi="Arial"/>
    </w:rPr>
  </w:style>
  <w:style w:type="character" w:customStyle="1" w:styleId="FooterChar">
    <w:name w:val="Footer Char"/>
    <w:basedOn w:val="DefaultParagraphFont"/>
    <w:link w:val="Footer"/>
    <w:uiPriority w:val="99"/>
    <w:rsid w:val="0011070F"/>
    <w:rPr>
      <w:rFonts w:ascii="Arial" w:hAnsi="Arial"/>
    </w:rPr>
  </w:style>
  <w:style w:type="character" w:customStyle="1" w:styleId="Heading1Char">
    <w:name w:val="Heading 1 Char"/>
    <w:basedOn w:val="DefaultParagraphFont"/>
    <w:link w:val="Heading1"/>
    <w:locked/>
    <w:rsid w:val="00D9262A"/>
    <w:rPr>
      <w:rFonts w:ascii="Arial" w:hAnsi="Arial"/>
      <w:b/>
      <w:smallCaps/>
      <w:kern w:val="28"/>
      <w:sz w:val="34"/>
    </w:rPr>
  </w:style>
  <w:style w:type="character" w:customStyle="1" w:styleId="HeaderChar">
    <w:name w:val="Header Char"/>
    <w:basedOn w:val="DefaultParagraphFont"/>
    <w:link w:val="Header"/>
    <w:uiPriority w:val="99"/>
    <w:locked/>
    <w:rsid w:val="00D9262A"/>
    <w:rPr>
      <w:rFonts w:ascii="Book Antiqua" w:hAnsi="Book Antiqua"/>
      <w:i/>
    </w:rPr>
  </w:style>
  <w:style w:type="character" w:customStyle="1" w:styleId="Heading4Char">
    <w:name w:val="Heading 4 Char"/>
    <w:basedOn w:val="DefaultParagraphFont"/>
    <w:link w:val="Heading4"/>
    <w:rsid w:val="00D7290F"/>
    <w:rPr>
      <w:rFonts w:ascii="Arial" w:hAnsi="Arial"/>
      <w:b/>
      <w:sz w:val="22"/>
    </w:rPr>
  </w:style>
  <w:style w:type="character" w:customStyle="1" w:styleId="Heading2Char">
    <w:name w:val="Heading 2 Char"/>
    <w:basedOn w:val="DefaultParagraphFont"/>
    <w:link w:val="Heading2"/>
    <w:uiPriority w:val="99"/>
    <w:locked/>
    <w:rsid w:val="002909B6"/>
    <w:rPr>
      <w:rFonts w:ascii="Arial" w:hAnsi="Arial"/>
      <w:sz w:val="30"/>
    </w:rPr>
  </w:style>
  <w:style w:type="paragraph" w:styleId="NormalWeb">
    <w:name w:val="Normal (Web)"/>
    <w:basedOn w:val="Normal"/>
    <w:uiPriority w:val="99"/>
    <w:unhideWhenUsed/>
    <w:rsid w:val="004A28E7"/>
    <w:pPr>
      <w:spacing w:before="100" w:beforeAutospacing="1" w:after="100" w:afterAutospacing="1" w:line="240" w:lineRule="auto"/>
      <w:jc w:val="left"/>
    </w:pPr>
    <w:rPr>
      <w:rFonts w:ascii="Times New Roman" w:hAnsi="Times New Roman"/>
      <w:sz w:val="24"/>
      <w:szCs w:val="24"/>
    </w:rPr>
  </w:style>
  <w:style w:type="paragraph" w:customStyle="1" w:styleId="Bodycopy">
    <w:name w:val="Body copy"/>
    <w:basedOn w:val="Normal"/>
    <w:rsid w:val="0062343A"/>
    <w:pPr>
      <w:spacing w:before="120" w:after="120" w:line="276" w:lineRule="auto"/>
      <w:jc w:val="left"/>
    </w:pPr>
    <w:rPr>
      <w:rFonts w:ascii="Arial" w:hAnsi="Arial"/>
      <w:sz w:val="22"/>
      <w:szCs w:val="22"/>
      <w:lang w:eastAsia="en-US" w:bidi="en-US"/>
    </w:rPr>
  </w:style>
  <w:style w:type="paragraph" w:customStyle="1" w:styleId="Default">
    <w:name w:val="Default"/>
    <w:rsid w:val="0062343A"/>
    <w:pPr>
      <w:autoSpaceDE w:val="0"/>
      <w:autoSpaceDN w:val="0"/>
      <w:adjustRightInd w:val="0"/>
    </w:pPr>
    <w:rPr>
      <w:rFonts w:ascii="Arial" w:hAnsi="Arial" w:cs="Arial"/>
      <w:color w:val="000000"/>
      <w:sz w:val="24"/>
      <w:szCs w:val="24"/>
    </w:rPr>
  </w:style>
  <w:style w:type="character" w:styleId="Strong">
    <w:name w:val="Strong"/>
    <w:basedOn w:val="DefaultParagraphFont"/>
    <w:qFormat/>
    <w:rsid w:val="00D44DE9"/>
    <w:rPr>
      <w:b/>
      <w:bCs/>
    </w:rPr>
  </w:style>
  <w:style w:type="character" w:customStyle="1" w:styleId="Heading5Char">
    <w:name w:val="Heading 5 Char"/>
    <w:basedOn w:val="DefaultParagraphFont"/>
    <w:link w:val="Heading5"/>
    <w:rsid w:val="00852D81"/>
    <w:rPr>
      <w:rFonts w:ascii="Arial" w:hAnsi="Arial"/>
      <w:b/>
      <w:bCs/>
      <w:iCs/>
      <w:szCs w:val="26"/>
    </w:rPr>
  </w:style>
  <w:style w:type="paragraph" w:customStyle="1" w:styleId="TableText">
    <w:name w:val="TableText"/>
    <w:link w:val="TableTextChar"/>
    <w:uiPriority w:val="99"/>
    <w:rsid w:val="00B47E64"/>
    <w:pPr>
      <w:tabs>
        <w:tab w:val="left" w:pos="113"/>
      </w:tabs>
    </w:pPr>
    <w:rPr>
      <w:rFonts w:ascii="Arial" w:hAnsi="Arial" w:cs="Arial"/>
      <w:color w:val="000000"/>
      <w:sz w:val="18"/>
      <w:szCs w:val="16"/>
      <w:lang w:eastAsia="en-US"/>
    </w:rPr>
  </w:style>
  <w:style w:type="character" w:customStyle="1" w:styleId="TableTextChar">
    <w:name w:val="TableText Char"/>
    <w:basedOn w:val="DefaultParagraphFont"/>
    <w:link w:val="TableText"/>
    <w:uiPriority w:val="99"/>
    <w:locked/>
    <w:rsid w:val="00B47E64"/>
    <w:rPr>
      <w:rFonts w:ascii="Arial" w:hAnsi="Arial" w:cs="Arial"/>
      <w:color w:val="000000"/>
      <w:sz w:val="18"/>
      <w:szCs w:val="16"/>
      <w:lang w:eastAsia="en-US"/>
    </w:rPr>
  </w:style>
  <w:style w:type="paragraph" w:customStyle="1" w:styleId="Bullets">
    <w:name w:val="Bullets"/>
    <w:basedOn w:val="TableText"/>
    <w:link w:val="BulletsChar"/>
    <w:uiPriority w:val="99"/>
    <w:rsid w:val="00B47E64"/>
    <w:pPr>
      <w:numPr>
        <w:numId w:val="11"/>
      </w:numPr>
      <w:tabs>
        <w:tab w:val="clear" w:pos="113"/>
      </w:tabs>
      <w:spacing w:after="120"/>
    </w:pPr>
    <w:rPr>
      <w:rFonts w:ascii="Book Antiqua" w:hAnsi="Book Antiqua"/>
      <w:sz w:val="20"/>
    </w:rPr>
  </w:style>
  <w:style w:type="paragraph" w:customStyle="1" w:styleId="Footnote">
    <w:name w:val="Footnote"/>
    <w:rsid w:val="00B47E64"/>
    <w:pPr>
      <w:tabs>
        <w:tab w:val="left" w:pos="284"/>
      </w:tabs>
      <w:ind w:left="284" w:hanging="284"/>
    </w:pPr>
    <w:rPr>
      <w:rFonts w:ascii="Calibri" w:hAnsi="Calibri"/>
      <w:color w:val="000000"/>
      <w:sz w:val="18"/>
      <w:lang w:eastAsia="en-US"/>
    </w:rPr>
  </w:style>
  <w:style w:type="paragraph" w:customStyle="1" w:styleId="ProgramHeading0">
    <w:name w:val="ProgramHeading"/>
    <w:rsid w:val="00B47E64"/>
    <w:pPr>
      <w:spacing w:before="60" w:after="60"/>
    </w:pPr>
    <w:rPr>
      <w:rFonts w:ascii="Book Antiqua" w:hAnsi="Book Antiqua"/>
      <w:b/>
      <w:sz w:val="22"/>
      <w:lang w:eastAsia="en-US"/>
    </w:rPr>
  </w:style>
  <w:style w:type="paragraph" w:customStyle="1" w:styleId="TableBullet">
    <w:name w:val="TableBullet"/>
    <w:link w:val="TableBulletChar"/>
    <w:rsid w:val="00B47E64"/>
    <w:pPr>
      <w:numPr>
        <w:numId w:val="12"/>
      </w:numPr>
      <w:ind w:left="226" w:hanging="113"/>
    </w:pPr>
    <w:rPr>
      <w:rFonts w:ascii="Arial" w:hAnsi="Arial"/>
      <w:sz w:val="18"/>
      <w:szCs w:val="16"/>
      <w:lang w:eastAsia="en-US"/>
    </w:rPr>
  </w:style>
  <w:style w:type="character" w:customStyle="1" w:styleId="TableBulletChar">
    <w:name w:val="TableBullet Char"/>
    <w:basedOn w:val="DefaultParagraphFont"/>
    <w:link w:val="TableBullet"/>
    <w:locked/>
    <w:rsid w:val="00B47E64"/>
    <w:rPr>
      <w:rFonts w:ascii="Arial" w:hAnsi="Arial"/>
      <w:sz w:val="18"/>
      <w:szCs w:val="16"/>
      <w:lang w:eastAsia="en-US"/>
    </w:rPr>
  </w:style>
  <w:style w:type="paragraph" w:customStyle="1" w:styleId="TableName">
    <w:name w:val="TableName"/>
    <w:link w:val="TableNameChar"/>
    <w:rsid w:val="00B47E64"/>
    <w:pPr>
      <w:keepNext/>
      <w:spacing w:before="120"/>
      <w:ind w:left="1440" w:hanging="1440"/>
    </w:pPr>
    <w:rPr>
      <w:rFonts w:ascii="Book Antiqua" w:hAnsi="Book Antiqua"/>
      <w:b/>
      <w:lang w:eastAsia="en-US"/>
    </w:rPr>
  </w:style>
  <w:style w:type="character" w:customStyle="1" w:styleId="TableNameChar">
    <w:name w:val="TableName Char"/>
    <w:basedOn w:val="DefaultParagraphFont"/>
    <w:link w:val="TableName"/>
    <w:locked/>
    <w:rsid w:val="00B47E64"/>
    <w:rPr>
      <w:rFonts w:ascii="Book Antiqua" w:hAnsi="Book Antiqua"/>
      <w:b/>
      <w:lang w:eastAsia="en-US"/>
    </w:rPr>
  </w:style>
  <w:style w:type="paragraph" w:customStyle="1" w:styleId="TableTextRight0">
    <w:name w:val="TableTextRight"/>
    <w:basedOn w:val="TableText"/>
    <w:link w:val="TableTextRightChar"/>
    <w:rsid w:val="00B47E64"/>
    <w:pPr>
      <w:jc w:val="right"/>
    </w:pPr>
  </w:style>
  <w:style w:type="character" w:customStyle="1" w:styleId="TableTextRightChar">
    <w:name w:val="TableTextRight Char"/>
    <w:basedOn w:val="TableTextChar"/>
    <w:link w:val="TableTextRight0"/>
    <w:locked/>
    <w:rsid w:val="00B47E64"/>
    <w:rPr>
      <w:rFonts w:ascii="Arial" w:hAnsi="Arial" w:cs="Arial"/>
      <w:color w:val="000000"/>
      <w:sz w:val="18"/>
      <w:szCs w:val="16"/>
      <w:lang w:eastAsia="en-US"/>
    </w:rPr>
  </w:style>
  <w:style w:type="paragraph" w:customStyle="1" w:styleId="TableTextBold">
    <w:name w:val="TableTextBold"/>
    <w:basedOn w:val="TableText"/>
    <w:link w:val="TableTextBoldChar"/>
    <w:rsid w:val="00B47E64"/>
    <w:pPr>
      <w:spacing w:before="40" w:after="40"/>
    </w:pPr>
    <w:rPr>
      <w:b/>
      <w:bCs/>
    </w:rPr>
  </w:style>
  <w:style w:type="character" w:customStyle="1" w:styleId="TableTextBoldChar">
    <w:name w:val="TableTextBold Char"/>
    <w:basedOn w:val="TableTextChar"/>
    <w:link w:val="TableTextBold"/>
    <w:locked/>
    <w:rsid w:val="00B47E64"/>
    <w:rPr>
      <w:rFonts w:ascii="Arial" w:hAnsi="Arial" w:cs="Arial"/>
      <w:b/>
      <w:bCs/>
      <w:color w:val="000000"/>
      <w:sz w:val="18"/>
      <w:szCs w:val="16"/>
      <w:lang w:eastAsia="en-US"/>
    </w:rPr>
  </w:style>
  <w:style w:type="character" w:customStyle="1" w:styleId="BulletsChar">
    <w:name w:val="Bullets Char"/>
    <w:basedOn w:val="TableTextChar"/>
    <w:link w:val="Bullets"/>
    <w:uiPriority w:val="99"/>
    <w:locked/>
    <w:rsid w:val="00B47E64"/>
    <w:rPr>
      <w:rFonts w:ascii="Book Antiqua" w:hAnsi="Book Antiqua" w:cs="Arial"/>
      <w:color w:val="000000"/>
      <w:sz w:val="18"/>
      <w:szCs w:val="16"/>
      <w:lang w:eastAsia="en-US"/>
    </w:rPr>
  </w:style>
  <w:style w:type="paragraph" w:customStyle="1" w:styleId="TableRowHeading">
    <w:name w:val="TableRowHeading"/>
    <w:rsid w:val="00B47E64"/>
    <w:pPr>
      <w:jc w:val="right"/>
    </w:pPr>
    <w:rPr>
      <w:rFonts w:ascii="Arial" w:hAnsi="Arial" w:cs="Arial"/>
      <w:b/>
      <w:bCs/>
      <w:color w:val="000000"/>
      <w:sz w:val="18"/>
      <w:szCs w:val="16"/>
      <w:lang w:eastAsia="en-US"/>
    </w:rPr>
  </w:style>
  <w:style w:type="paragraph" w:customStyle="1" w:styleId="TableRowHeadingLeft">
    <w:name w:val="TableRowHeadingLeft"/>
    <w:rsid w:val="00B47E64"/>
    <w:pPr>
      <w:tabs>
        <w:tab w:val="left" w:pos="0"/>
      </w:tabs>
    </w:pPr>
    <w:rPr>
      <w:rFonts w:ascii="Calibri" w:hAnsi="Calibri"/>
      <w:b/>
      <w:lang w:eastAsia="en-US"/>
    </w:rPr>
  </w:style>
  <w:style w:type="character" w:customStyle="1" w:styleId="FootnoteTextChar">
    <w:name w:val="Footnote Text Char"/>
    <w:basedOn w:val="DefaultParagraphFont"/>
    <w:link w:val="FootnoteText"/>
    <w:rsid w:val="00B47E64"/>
    <w:rPr>
      <w:rFonts w:ascii="Book Antiqua" w:hAnsi="Book Antiqua"/>
      <w:sz w:val="18"/>
    </w:rPr>
  </w:style>
  <w:style w:type="character" w:styleId="Emphasis">
    <w:name w:val="Emphasis"/>
    <w:basedOn w:val="DefaultParagraphFont"/>
    <w:qFormat/>
    <w:rsid w:val="004501CB"/>
    <w:rPr>
      <w:i/>
      <w:iCs/>
    </w:rPr>
  </w:style>
  <w:style w:type="paragraph" w:styleId="Revision">
    <w:name w:val="Revision"/>
    <w:hidden/>
    <w:uiPriority w:val="99"/>
    <w:semiHidden/>
    <w:rsid w:val="00075589"/>
    <w:rPr>
      <w:rFonts w:ascii="Book Antiqua" w:hAnsi="Book Antiqua"/>
    </w:rPr>
  </w:style>
  <w:style w:type="paragraph" w:customStyle="1" w:styleId="TableTextBoldRight">
    <w:name w:val="TableTextBoldRight"/>
    <w:basedOn w:val="TableTextBold"/>
    <w:rsid w:val="00743294"/>
    <w:pPr>
      <w:jc w:val="right"/>
    </w:pPr>
    <w:rPr>
      <w:sz w:val="19"/>
    </w:rPr>
  </w:style>
  <w:style w:type="character" w:customStyle="1" w:styleId="Heading9Char">
    <w:name w:val="Heading 9 Char"/>
    <w:basedOn w:val="DefaultParagraphFont"/>
    <w:link w:val="Heading9"/>
    <w:rsid w:val="002977F2"/>
    <w:rPr>
      <w:rFonts w:ascii="Book Antiqua" w:hAnsi="Book Antiqua"/>
      <w:lang w:eastAsia="en-US"/>
    </w:rPr>
  </w:style>
  <w:style w:type="paragraph" w:customStyle="1" w:styleId="DescriptionText">
    <w:name w:val="Description Text"/>
    <w:basedOn w:val="Normal"/>
    <w:next w:val="Normal"/>
    <w:rsid w:val="002977F2"/>
    <w:pPr>
      <w:spacing w:before="60" w:after="80" w:line="280" w:lineRule="atLeast"/>
      <w:jc w:val="left"/>
    </w:pPr>
    <w:rPr>
      <w:b/>
      <w:lang w:eastAsia="en-US"/>
    </w:rPr>
  </w:style>
  <w:style w:type="paragraph" w:customStyle="1" w:styleId="Number">
    <w:name w:val="Number"/>
    <w:rsid w:val="002977F2"/>
    <w:pPr>
      <w:spacing w:before="40"/>
    </w:pPr>
    <w:rPr>
      <w:rFonts w:ascii="Calibri" w:hAnsi="Calibri"/>
      <w:sz w:val="22"/>
      <w:lang w:eastAsia="en-US"/>
    </w:rPr>
  </w:style>
  <w:style w:type="paragraph" w:customStyle="1" w:styleId="DoFD">
    <w:name w:val="DoFD"/>
    <w:rsid w:val="002977F2"/>
    <w:pPr>
      <w:spacing w:before="20"/>
    </w:pPr>
    <w:rPr>
      <w:rFonts w:ascii="Calibri" w:hAnsi="Calibri"/>
      <w:i/>
      <w:color w:val="FF0000"/>
      <w:sz w:val="21"/>
      <w:lang w:eastAsia="en-US"/>
    </w:rPr>
  </w:style>
  <w:style w:type="paragraph" w:customStyle="1" w:styleId="TableBulletIndent">
    <w:name w:val="TableBulletIndent"/>
    <w:rsid w:val="002977F2"/>
    <w:pPr>
      <w:tabs>
        <w:tab w:val="left" w:pos="279"/>
      </w:tabs>
    </w:pPr>
    <w:rPr>
      <w:rFonts w:ascii="Calibri" w:hAnsi="Calibri" w:cs="Arial"/>
      <w:szCs w:val="16"/>
      <w:lang w:eastAsia="en-US"/>
    </w:rPr>
  </w:style>
  <w:style w:type="paragraph" w:customStyle="1" w:styleId="TableChartFootnote">
    <w:name w:val="TableChart Footnote"/>
    <w:basedOn w:val="Normal"/>
    <w:next w:val="Normal"/>
    <w:rsid w:val="002977F2"/>
    <w:pPr>
      <w:tabs>
        <w:tab w:val="left" w:pos="567"/>
      </w:tabs>
      <w:spacing w:after="0" w:line="240" w:lineRule="auto"/>
      <w:ind w:left="567" w:hanging="567"/>
      <w:jc w:val="left"/>
    </w:pPr>
    <w:rPr>
      <w:rFonts w:cs="Arial"/>
      <w:color w:val="000000"/>
      <w:sz w:val="16"/>
      <w:szCs w:val="24"/>
      <w:lang w:eastAsia="en-US"/>
    </w:rPr>
  </w:style>
  <w:style w:type="paragraph" w:customStyle="1" w:styleId="TableTextItalic">
    <w:name w:val="TableText + Italic"/>
    <w:basedOn w:val="TableTextRight0"/>
    <w:rsid w:val="002977F2"/>
    <w:rPr>
      <w:i/>
      <w:iCs/>
    </w:rPr>
  </w:style>
  <w:style w:type="character" w:styleId="FollowedHyperlink">
    <w:name w:val="FollowedHyperlink"/>
    <w:basedOn w:val="DefaultParagraphFont"/>
    <w:rsid w:val="002977F2"/>
    <w:rPr>
      <w:color w:val="800080"/>
      <w:u w:val="single"/>
    </w:rPr>
  </w:style>
  <w:style w:type="paragraph" w:customStyle="1" w:styleId="TableTextCentre">
    <w:name w:val="TableTextCentre"/>
    <w:basedOn w:val="TableText"/>
    <w:qFormat/>
    <w:rsid w:val="002977F2"/>
    <w:pPr>
      <w:framePr w:wrap="around" w:vAnchor="text" w:hAnchor="text" w:y="1"/>
      <w:widowControl w:val="0"/>
      <w:spacing w:before="40" w:after="40"/>
      <w:jc w:val="center"/>
    </w:pPr>
    <w:rPr>
      <w:rFonts w:ascii="Calibri" w:hAnsi="Calibri"/>
      <w:sz w:val="22"/>
    </w:rPr>
  </w:style>
  <w:style w:type="character" w:customStyle="1" w:styleId="TableBulletCharChar">
    <w:name w:val="TableBullet Char Char"/>
    <w:basedOn w:val="DefaultParagraphFont"/>
    <w:rsid w:val="002977F2"/>
    <w:rPr>
      <w:rFonts w:ascii="Arial" w:hAnsi="Arial"/>
      <w:sz w:val="18"/>
      <w:szCs w:val="16"/>
      <w:lang w:eastAsia="en-US"/>
    </w:rPr>
  </w:style>
  <w:style w:type="character" w:customStyle="1" w:styleId="ListParagraphChar">
    <w:name w:val="List Paragraph Char"/>
    <w:basedOn w:val="DefaultParagraphFont"/>
    <w:link w:val="ListParagraph"/>
    <w:uiPriority w:val="34"/>
    <w:rsid w:val="002977F2"/>
    <w:rPr>
      <w:rFonts w:ascii="Calibri" w:eastAsia="Calibri" w:hAnsi="Calibri"/>
      <w:sz w:val="22"/>
      <w:szCs w:val="22"/>
      <w:lang w:val="en-US" w:eastAsia="en-US"/>
    </w:rPr>
  </w:style>
  <w:style w:type="paragraph" w:customStyle="1" w:styleId="TableSmallLeft">
    <w:name w:val="TableSmallLeft"/>
    <w:uiPriority w:val="99"/>
    <w:rsid w:val="002977F2"/>
    <w:pPr>
      <w:autoSpaceDE w:val="0"/>
      <w:autoSpaceDN w:val="0"/>
      <w:adjustRightInd w:val="0"/>
    </w:pPr>
    <w:rPr>
      <w:rFonts w:ascii="Arial" w:hAnsi="Arial" w:cs="Arial"/>
      <w:color w:val="000000"/>
      <w:sz w:val="16"/>
      <w:szCs w:val="22"/>
      <w:lang w:eastAsia="en-US"/>
    </w:rPr>
  </w:style>
  <w:style w:type="paragraph" w:customStyle="1" w:styleId="TableSmallRight">
    <w:name w:val="TableSmallRight"/>
    <w:uiPriority w:val="99"/>
    <w:rsid w:val="002977F2"/>
    <w:pPr>
      <w:autoSpaceDE w:val="0"/>
      <w:autoSpaceDN w:val="0"/>
      <w:adjustRightInd w:val="0"/>
      <w:jc w:val="right"/>
    </w:pPr>
    <w:rPr>
      <w:rFonts w:ascii="Arial" w:hAnsi="Arial" w:cs="Arial"/>
      <w:color w:val="000000"/>
      <w:sz w:val="16"/>
      <w:szCs w:val="22"/>
      <w:lang w:eastAsia="en-US"/>
    </w:rPr>
  </w:style>
  <w:style w:type="paragraph" w:customStyle="1" w:styleId="TableFootnote">
    <w:name w:val="TableFootnote"/>
    <w:uiPriority w:val="99"/>
    <w:rsid w:val="002977F2"/>
    <w:pPr>
      <w:tabs>
        <w:tab w:val="left" w:pos="284"/>
      </w:tabs>
      <w:ind w:left="284" w:hanging="284"/>
    </w:pPr>
    <w:rPr>
      <w:rFonts w:ascii="Arial" w:hAnsi="Arial"/>
      <w:sz w:val="18"/>
      <w:lang w:eastAsia="en-US"/>
    </w:rPr>
  </w:style>
  <w:style w:type="paragraph" w:customStyle="1" w:styleId="TableTextSmall">
    <w:name w:val="TableTextSmall"/>
    <w:basedOn w:val="TableText"/>
    <w:qFormat/>
    <w:rsid w:val="002977F2"/>
    <w:pPr>
      <w:framePr w:wrap="around" w:vAnchor="text" w:hAnchor="text" w:y="1"/>
      <w:widowControl w:val="0"/>
      <w:spacing w:before="40" w:after="40"/>
      <w:jc w:val="center"/>
    </w:pPr>
  </w:style>
  <w:style w:type="paragraph" w:customStyle="1" w:styleId="Text">
    <w:name w:val="Text"/>
    <w:aliases w:val="t"/>
    <w:basedOn w:val="Normal"/>
    <w:rsid w:val="002977F2"/>
    <w:pPr>
      <w:spacing w:after="200" w:line="240" w:lineRule="auto"/>
      <w:jc w:val="left"/>
    </w:pPr>
    <w:rPr>
      <w:sz w:val="22"/>
      <w:lang w:eastAsia="en-US"/>
    </w:rPr>
  </w:style>
  <w:style w:type="paragraph" w:customStyle="1" w:styleId="NormalIndented">
    <w:name w:val="NormalIndented"/>
    <w:basedOn w:val="Normal"/>
    <w:qFormat/>
    <w:rsid w:val="002977F2"/>
    <w:pPr>
      <w:spacing w:before="60" w:after="80" w:line="240" w:lineRule="auto"/>
      <w:ind w:left="284"/>
      <w:jc w:val="left"/>
    </w:pPr>
    <w:rPr>
      <w:lang w:eastAsia="en-US"/>
    </w:rPr>
  </w:style>
  <w:style w:type="paragraph" w:customStyle="1" w:styleId="Italic">
    <w:name w:val="Italic"/>
    <w:basedOn w:val="Normal"/>
    <w:uiPriority w:val="99"/>
    <w:rsid w:val="002977F2"/>
    <w:pPr>
      <w:spacing w:before="120" w:after="0" w:line="240" w:lineRule="auto"/>
      <w:jc w:val="left"/>
    </w:pPr>
    <w:rPr>
      <w:rFonts w:cs="Arial"/>
      <w:i/>
      <w:lang w:eastAsia="en-US"/>
    </w:rPr>
  </w:style>
  <w:style w:type="paragraph" w:customStyle="1" w:styleId="TableRowHead">
    <w:name w:val="TableRowHead"/>
    <w:uiPriority w:val="99"/>
    <w:rsid w:val="002977F2"/>
    <w:pPr>
      <w:spacing w:before="20" w:after="20"/>
    </w:pPr>
    <w:rPr>
      <w:rFonts w:ascii="Arial" w:hAnsi="Arial" w:cs="Arial"/>
      <w:bCs/>
      <w:i/>
      <w:color w:val="000000"/>
      <w:szCs w:val="16"/>
      <w:lang w:eastAsia="en-US"/>
    </w:rPr>
  </w:style>
  <w:style w:type="paragraph" w:customStyle="1" w:styleId="TableTextComment">
    <w:name w:val="TableText Comment"/>
    <w:basedOn w:val="TableText"/>
    <w:rsid w:val="002977F2"/>
    <w:pPr>
      <w:widowControl w:val="0"/>
    </w:pPr>
    <w:rPr>
      <w:rFonts w:ascii="Calibri" w:hAnsi="Calibri"/>
      <w:b/>
      <w:smallCaps/>
      <w:color w:val="008080"/>
    </w:rPr>
  </w:style>
  <w:style w:type="paragraph" w:styleId="ListBullet">
    <w:name w:val="List Bullet"/>
    <w:basedOn w:val="Normal"/>
    <w:rsid w:val="0015316B"/>
    <w:pPr>
      <w:tabs>
        <w:tab w:val="num" w:pos="360"/>
      </w:tabs>
      <w:spacing w:after="0" w:line="240" w:lineRule="auto"/>
      <w:ind w:left="360" w:hanging="360"/>
      <w:contextualSpacing/>
      <w:jc w:val="left"/>
    </w:pPr>
    <w:rPr>
      <w:rFonts w:ascii="Times New Roman" w:hAnsi="Times New Roman"/>
      <w:sz w:val="24"/>
      <w:szCs w:val="24"/>
    </w:rPr>
  </w:style>
  <w:style w:type="paragraph" w:customStyle="1" w:styleId="CABBackGround">
    <w:name w:val="CABBackGround"/>
    <w:basedOn w:val="Normal"/>
    <w:link w:val="CABBackGroundChar1"/>
    <w:rsid w:val="00457293"/>
    <w:pPr>
      <w:spacing w:after="0" w:line="360" w:lineRule="auto"/>
      <w:jc w:val="left"/>
    </w:pPr>
    <w:rPr>
      <w:rFonts w:ascii="Times New Roman" w:hAnsi="Times New Roman"/>
      <w:sz w:val="24"/>
    </w:rPr>
  </w:style>
  <w:style w:type="character" w:customStyle="1" w:styleId="CABBackGroundChar1">
    <w:name w:val="CABBackGround Char1"/>
    <w:basedOn w:val="DefaultParagraphFont"/>
    <w:link w:val="CABBackGround"/>
    <w:rsid w:val="0045729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498427369">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46861698">
      <w:bodyDiv w:val="1"/>
      <w:marLeft w:val="0"/>
      <w:marRight w:val="0"/>
      <w:marTop w:val="0"/>
      <w:marBottom w:val="0"/>
      <w:divBdr>
        <w:top w:val="none" w:sz="0" w:space="0" w:color="auto"/>
        <w:left w:val="none" w:sz="0" w:space="0" w:color="auto"/>
        <w:bottom w:val="none" w:sz="0" w:space="0" w:color="auto"/>
        <w:right w:val="none" w:sz="0" w:space="0" w:color="auto"/>
      </w:divBdr>
    </w:div>
    <w:div w:id="790250118">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1632889">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51789674">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40279840">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6EBD5-11FF-469C-BA67-C5C468060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383FC299.dotm</Template>
  <TotalTime>0</TotalTime>
  <Pages>8</Pages>
  <Words>1549</Words>
  <Characters>8832</Characters>
  <Application>Microsoft Office Word</Application>
  <DocSecurity>0</DocSecurity>
  <Lines>73</Lines>
  <Paragraphs>20</Paragraphs>
  <ScaleCrop>false</ScaleCrop>
  <Company/>
  <LinksUpToDate>false</LinksUpToDate>
  <CharactersWithSpaces>10361</CharactersWithSpaces>
  <SharedDoc>false</SharedDoc>
  <HLinks>
    <vt:vector size="6" baseType="variant">
      <vt:variant>
        <vt:i4>4063325</vt:i4>
      </vt:variant>
      <vt:variant>
        <vt:i4>-1</vt:i4>
      </vt:variant>
      <vt:variant>
        <vt:i4>1100</vt:i4>
      </vt:variant>
      <vt:variant>
        <vt:i4>1</vt:i4>
      </vt:variant>
      <vt:variant>
        <vt:lpwstr>cid:image001.png@01CB6EC2.B90D04A0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2019-02-03T22:36:00Z</dcterms:created>
  <dcterms:modified xsi:type="dcterms:W3CDTF">2019-02-03T22:36:00Z</dcterms:modified>
</cp:coreProperties>
</file>