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60E" w:rsidRPr="002B6024" w:rsidRDefault="008F5EDE" w:rsidP="00061DAD">
      <w:pPr>
        <w:pStyle w:val="Heading1"/>
        <w:tabs>
          <w:tab w:val="right" w:pos="10065"/>
        </w:tabs>
        <w:spacing w:before="0" w:after="80" w:line="22" w:lineRule="atLeast"/>
        <w:contextualSpacing w:val="0"/>
        <w:rPr>
          <w:color w:val="336600"/>
          <w:sz w:val="32"/>
          <w:szCs w:val="32"/>
        </w:rPr>
      </w:pPr>
      <w:r w:rsidRPr="008F5EDE">
        <w:drawing>
          <wp:anchor distT="0" distB="0" distL="114300" distR="114300" simplePos="0" relativeHeight="251669504" behindDoc="1" locked="0" layoutInCell="1" allowOverlap="1">
            <wp:simplePos x="0" y="0"/>
            <wp:positionH relativeFrom="column">
              <wp:posOffset>1703070</wp:posOffset>
            </wp:positionH>
            <wp:positionV relativeFrom="paragraph">
              <wp:posOffset>-577215</wp:posOffset>
            </wp:positionV>
            <wp:extent cx="2409825" cy="552450"/>
            <wp:effectExtent l="0" t="0" r="9525" b="0"/>
            <wp:wrapTight wrapText="bothSides">
              <wp:wrapPolygon edited="0">
                <wp:start x="0" y="0"/>
                <wp:lineTo x="0" y="20855"/>
                <wp:lineTo x="21515" y="20855"/>
                <wp:lineTo x="21515" y="0"/>
                <wp:lineTo x="0" y="0"/>
              </wp:wrapPolygon>
            </wp:wrapTight>
            <wp:docPr id="1" name="Picture 1" title="Australian Government Department of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09825"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00B074A6" w:rsidRPr="002F4217">
        <w:rPr>
          <w:color w:val="336600"/>
          <w:sz w:val="32"/>
          <w:szCs w:val="32"/>
        </w:rPr>
        <w:t xml:space="preserve">Labour Market </w:t>
      </w:r>
      <w:r w:rsidR="00B074A6" w:rsidRPr="002B6024">
        <w:rPr>
          <w:color w:val="336600"/>
          <w:sz w:val="32"/>
          <w:szCs w:val="32"/>
        </w:rPr>
        <w:t xml:space="preserve">Conditions in </w:t>
      </w:r>
      <w:r w:rsidR="004941D5" w:rsidRPr="002B6024">
        <w:rPr>
          <w:color w:val="336600"/>
          <w:sz w:val="32"/>
          <w:szCs w:val="32"/>
        </w:rPr>
        <w:t xml:space="preserve">the </w:t>
      </w:r>
      <w:r w:rsidR="002F4217" w:rsidRPr="002B6024">
        <w:rPr>
          <w:color w:val="336600"/>
          <w:sz w:val="32"/>
          <w:szCs w:val="32"/>
        </w:rPr>
        <w:t>Central Victoria Priority Employment Area</w:t>
      </w:r>
    </w:p>
    <w:p w:rsidR="00546FC5" w:rsidRPr="002B6024" w:rsidRDefault="008F5EDE" w:rsidP="00384959">
      <w:pPr>
        <w:pStyle w:val="ListBullet"/>
        <w:numPr>
          <w:ilvl w:val="0"/>
          <w:numId w:val="0"/>
        </w:numPr>
        <w:jc w:val="both"/>
        <w:rPr>
          <w:noProof/>
          <w:lang w:eastAsia="en-AU"/>
        </w:rPr>
      </w:pPr>
      <w:bookmarkStart w:id="0" w:name="_GoBack"/>
      <w:r w:rsidRPr="008F5EDE">
        <w:drawing>
          <wp:anchor distT="0" distB="0" distL="114300" distR="114300" simplePos="0" relativeHeight="251670528" behindDoc="1" locked="0" layoutInCell="1" allowOverlap="1">
            <wp:simplePos x="0" y="0"/>
            <wp:positionH relativeFrom="column">
              <wp:posOffset>5246370</wp:posOffset>
            </wp:positionH>
            <wp:positionV relativeFrom="paragraph">
              <wp:posOffset>38100</wp:posOffset>
            </wp:positionV>
            <wp:extent cx="1362075" cy="952500"/>
            <wp:effectExtent l="0" t="0" r="9525" b="0"/>
            <wp:wrapTight wrapText="bothSides">
              <wp:wrapPolygon edited="0">
                <wp:start x="0" y="0"/>
                <wp:lineTo x="0" y="21168"/>
                <wp:lineTo x="21449" y="21168"/>
                <wp:lineTo x="21449" y="0"/>
                <wp:lineTo x="0" y="0"/>
              </wp:wrapPolygon>
            </wp:wrapTight>
            <wp:docPr id="3" name="Picture 3" title="map of Central Victoria highlighting Bendigo and Ballar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62075" cy="9525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A37947" w:rsidRPr="002B6024">
        <w:t xml:space="preserve">Labour market conditions in the </w:t>
      </w:r>
      <w:r w:rsidR="002F4217" w:rsidRPr="002B6024">
        <w:rPr>
          <w:rFonts w:cstheme="minorHAnsi"/>
        </w:rPr>
        <w:t xml:space="preserve">Central Victoria </w:t>
      </w:r>
      <w:r w:rsidR="000B66B5" w:rsidRPr="002B6024">
        <w:t>Priority Employment Area (PEA)</w:t>
      </w:r>
      <w:r w:rsidR="007352F3" w:rsidRPr="002B6024">
        <w:t xml:space="preserve"> </w:t>
      </w:r>
      <w:r w:rsidR="00E37B50" w:rsidRPr="002B6024">
        <w:t xml:space="preserve">are </w:t>
      </w:r>
      <w:r w:rsidR="00186E64" w:rsidRPr="002B6024">
        <w:t>mixed.</w:t>
      </w:r>
    </w:p>
    <w:p w:rsidR="000B66B5" w:rsidRPr="002B6024" w:rsidRDefault="00546FC5" w:rsidP="00384959">
      <w:pPr>
        <w:pStyle w:val="ListBullet"/>
        <w:numPr>
          <w:ilvl w:val="0"/>
          <w:numId w:val="38"/>
        </w:numPr>
        <w:spacing w:after="0"/>
        <w:ind w:left="357" w:hanging="357"/>
        <w:jc w:val="both"/>
      </w:pPr>
      <w:r w:rsidRPr="002B6024">
        <w:t>The</w:t>
      </w:r>
      <w:r w:rsidR="000B66B5" w:rsidRPr="002B6024">
        <w:t xml:space="preserve"> unemployment rate</w:t>
      </w:r>
      <w:r w:rsidRPr="002B6024">
        <w:t xml:space="preserve"> </w:t>
      </w:r>
      <w:r w:rsidR="0055258D" w:rsidRPr="002B6024">
        <w:t xml:space="preserve">decreased </w:t>
      </w:r>
      <w:r w:rsidR="00546F93" w:rsidRPr="002B6024">
        <w:t>slightly</w:t>
      </w:r>
      <w:r w:rsidR="0055258D" w:rsidRPr="002B6024">
        <w:t>, falling by</w:t>
      </w:r>
      <w:r w:rsidR="007C5084" w:rsidRPr="002B6024">
        <w:t xml:space="preserve"> </w:t>
      </w:r>
      <w:r w:rsidR="0055258D" w:rsidRPr="002B6024">
        <w:t>0.1</w:t>
      </w:r>
      <w:r w:rsidR="00177775" w:rsidRPr="002B6024">
        <w:t xml:space="preserve"> percentage point </w:t>
      </w:r>
      <w:r w:rsidRPr="002B6024">
        <w:t>i</w:t>
      </w:r>
      <w:r w:rsidR="00387260" w:rsidRPr="002B6024">
        <w:t xml:space="preserve">n the 12 months to </w:t>
      </w:r>
      <w:r w:rsidR="0055258D" w:rsidRPr="002B6024">
        <w:t>December</w:t>
      </w:r>
      <w:r w:rsidR="005A76BA" w:rsidRPr="002B6024">
        <w:t xml:space="preserve"> 2013</w:t>
      </w:r>
      <w:r w:rsidRPr="002B6024">
        <w:rPr>
          <w:rStyle w:val="FootnoteReference"/>
        </w:rPr>
        <w:footnoteReference w:id="1"/>
      </w:r>
      <w:r w:rsidR="007C5084" w:rsidRPr="002B6024">
        <w:t xml:space="preserve"> to stand at </w:t>
      </w:r>
      <w:r w:rsidR="0055258D" w:rsidRPr="002B6024">
        <w:t>5.8</w:t>
      </w:r>
      <w:r w:rsidR="00562B6B" w:rsidRPr="002B6024">
        <w:t> per cent,</w:t>
      </w:r>
      <w:r w:rsidR="007C5084" w:rsidRPr="002B6024">
        <w:t xml:space="preserve"> </w:t>
      </w:r>
      <w:r w:rsidR="00995E5B" w:rsidRPr="002B6024">
        <w:t>below the rate for Victoria (6.4</w:t>
      </w:r>
      <w:r w:rsidR="007C5084" w:rsidRPr="002B6024">
        <w:t> per cent).</w:t>
      </w:r>
      <w:r w:rsidR="007C5084" w:rsidRPr="002B6024">
        <w:rPr>
          <w:rStyle w:val="FootnoteReference"/>
        </w:rPr>
        <w:footnoteReference w:id="2"/>
      </w:r>
      <w:r w:rsidR="0055258D" w:rsidRPr="002B6024">
        <w:t xml:space="preserve"> </w:t>
      </w:r>
    </w:p>
    <w:p w:rsidR="00290E0B" w:rsidRPr="002B6024" w:rsidRDefault="00395D15" w:rsidP="00712E91">
      <w:pPr>
        <w:pStyle w:val="ListBullet"/>
        <w:spacing w:after="0"/>
        <w:ind w:left="357" w:hanging="357"/>
        <w:contextualSpacing w:val="0"/>
        <w:jc w:val="both"/>
      </w:pPr>
      <w:r w:rsidRPr="002B6024">
        <w:t>While the unemployment rate in the area is lower than the state average, the participation rate is also lower (</w:t>
      </w:r>
      <w:r w:rsidR="00990E55" w:rsidRPr="002B6024">
        <w:t>61.2 per cent</w:t>
      </w:r>
      <w:r w:rsidRPr="002B6024">
        <w:t xml:space="preserve"> compared with </w:t>
      </w:r>
      <w:r w:rsidR="00990E55" w:rsidRPr="002B6024">
        <w:t>64.8 per cen</w:t>
      </w:r>
      <w:r w:rsidR="009155A0" w:rsidRPr="002B6024">
        <w:t>t)</w:t>
      </w:r>
      <w:r w:rsidR="00990E55" w:rsidRPr="002B6024">
        <w:t>.</w:t>
      </w:r>
      <w:r w:rsidR="00990E55" w:rsidRPr="002B6024">
        <w:rPr>
          <w:vertAlign w:val="superscript"/>
        </w:rPr>
        <w:t>3</w:t>
      </w:r>
      <w:r w:rsidR="009155A0" w:rsidRPr="002B6024">
        <w:rPr>
          <w:vertAlign w:val="superscript"/>
        </w:rPr>
        <w:t xml:space="preserve"> </w:t>
      </w:r>
      <w:proofErr w:type="gramStart"/>
      <w:r w:rsidRPr="002B6024">
        <w:t>Of</w:t>
      </w:r>
      <w:proofErr w:type="gramEnd"/>
      <w:r w:rsidRPr="002B6024">
        <w:t xml:space="preserve"> particular note is the very low participation rate (47.8 per cent) in the</w:t>
      </w:r>
      <w:r w:rsidR="00990E55" w:rsidRPr="002B6024">
        <w:t xml:space="preserve"> Central Goldfields Local Government Area. </w:t>
      </w:r>
    </w:p>
    <w:p w:rsidR="00384959" w:rsidRPr="002B6024" w:rsidRDefault="00562B6B" w:rsidP="00712E91">
      <w:pPr>
        <w:pStyle w:val="ListBullet"/>
        <w:numPr>
          <w:ilvl w:val="0"/>
          <w:numId w:val="0"/>
        </w:numPr>
        <w:spacing w:after="0"/>
        <w:jc w:val="both"/>
      </w:pPr>
      <w:r w:rsidRPr="002B6024">
        <w:t xml:space="preserve">There are </w:t>
      </w:r>
      <w:r w:rsidR="00384959" w:rsidRPr="002B6024">
        <w:t xml:space="preserve">structural changes occurring across industries </w:t>
      </w:r>
      <w:r w:rsidR="000B7BB9" w:rsidRPr="002B6024">
        <w:t>impacting on</w:t>
      </w:r>
      <w:r w:rsidR="00384959" w:rsidRPr="002B6024">
        <w:t xml:space="preserve"> employment demand.</w:t>
      </w:r>
    </w:p>
    <w:p w:rsidR="00384959" w:rsidRPr="002B6024" w:rsidRDefault="000B7BB9" w:rsidP="00384959">
      <w:pPr>
        <w:pStyle w:val="ListBullet"/>
        <w:spacing w:after="80"/>
        <w:ind w:left="357" w:hanging="357"/>
      </w:pPr>
      <w:r w:rsidRPr="002B6024">
        <w:t xml:space="preserve">Following </w:t>
      </w:r>
      <w:r w:rsidR="00395D15" w:rsidRPr="002B6024">
        <w:t xml:space="preserve">strong </w:t>
      </w:r>
      <w:r w:rsidRPr="002B6024">
        <w:t>growth</w:t>
      </w:r>
      <w:r w:rsidR="007976D5" w:rsidRPr="002B6024">
        <w:t xml:space="preserve"> in recent years,</w:t>
      </w:r>
      <w:r w:rsidRPr="002B6024">
        <w:t xml:space="preserve"> </w:t>
      </w:r>
      <w:r w:rsidR="009E5AE3" w:rsidRPr="002B6024">
        <w:t xml:space="preserve">Health Care and Social Assistance is the largest </w:t>
      </w:r>
      <w:r w:rsidR="007976D5" w:rsidRPr="002B6024">
        <w:t xml:space="preserve">employing </w:t>
      </w:r>
      <w:r w:rsidR="009E5AE3" w:rsidRPr="002B6024">
        <w:t>industry</w:t>
      </w:r>
      <w:r w:rsidR="00384959" w:rsidRPr="002B6024">
        <w:t xml:space="preserve">, </w:t>
      </w:r>
      <w:r w:rsidR="009E5AE3" w:rsidRPr="002B6024">
        <w:t>account</w:t>
      </w:r>
      <w:r w:rsidR="00384959" w:rsidRPr="002B6024">
        <w:t>ing</w:t>
      </w:r>
      <w:r w:rsidR="009E5AE3" w:rsidRPr="002B6024">
        <w:t xml:space="preserve"> for</w:t>
      </w:r>
      <w:r w:rsidR="007976D5" w:rsidRPr="002B6024">
        <w:t xml:space="preserve"> </w:t>
      </w:r>
      <w:r w:rsidR="009E5AE3" w:rsidRPr="002B6024">
        <w:t>15 per cent of total employment.</w:t>
      </w:r>
      <w:r w:rsidR="009E5AE3" w:rsidRPr="002B6024">
        <w:rPr>
          <w:rStyle w:val="FootnoteReference"/>
        </w:rPr>
        <w:footnoteReference w:id="3"/>
      </w:r>
    </w:p>
    <w:p w:rsidR="00CA2DE1" w:rsidRPr="002B6024" w:rsidRDefault="000B7BB9" w:rsidP="00384959">
      <w:pPr>
        <w:pStyle w:val="ListBullet"/>
        <w:spacing w:after="80"/>
        <w:ind w:left="357" w:hanging="357"/>
      </w:pPr>
      <w:r w:rsidRPr="002B6024">
        <w:t xml:space="preserve">The </w:t>
      </w:r>
      <w:r w:rsidR="00767665" w:rsidRPr="002B6024">
        <w:t>R</w:t>
      </w:r>
      <w:r w:rsidR="00C60136" w:rsidRPr="002B6024">
        <w:t>etail Trade</w:t>
      </w:r>
      <w:r w:rsidR="009E5AE3" w:rsidRPr="002B6024">
        <w:t xml:space="preserve"> and Ma</w:t>
      </w:r>
      <w:r w:rsidR="00477996" w:rsidRPr="002B6024">
        <w:t>nufacturing</w:t>
      </w:r>
      <w:r w:rsidRPr="002B6024">
        <w:t xml:space="preserve"> industries</w:t>
      </w:r>
      <w:r w:rsidR="00477996" w:rsidRPr="002B6024">
        <w:t xml:space="preserve"> are also major employers</w:t>
      </w:r>
      <w:r w:rsidR="00384959" w:rsidRPr="002B6024">
        <w:t>, despite a decline in</w:t>
      </w:r>
      <w:r w:rsidR="00F128FC" w:rsidRPr="002B6024">
        <w:t xml:space="preserve"> Manufacturin</w:t>
      </w:r>
      <w:r w:rsidR="00384959" w:rsidRPr="002B6024">
        <w:t>g</w:t>
      </w:r>
      <w:r w:rsidR="00F128FC" w:rsidRPr="002B6024">
        <w:t>.</w:t>
      </w:r>
      <w:r w:rsidR="007A02A5" w:rsidRPr="002B6024">
        <w:t xml:space="preserve"> </w:t>
      </w:r>
    </w:p>
    <w:p w:rsidR="00372FA2" w:rsidRPr="002B6024" w:rsidRDefault="00A84A12" w:rsidP="00061DAD">
      <w:pPr>
        <w:pStyle w:val="Heading1"/>
        <w:pBdr>
          <w:bottom w:val="single" w:sz="4" w:space="0" w:color="427730"/>
        </w:pBdr>
        <w:tabs>
          <w:tab w:val="right" w:pos="10065"/>
        </w:tabs>
        <w:spacing w:before="0" w:after="80" w:line="22" w:lineRule="atLeast"/>
        <w:contextualSpacing w:val="0"/>
        <w:rPr>
          <w:color w:val="auto"/>
          <w:sz w:val="32"/>
          <w:szCs w:val="32"/>
        </w:rPr>
      </w:pPr>
      <w:r w:rsidRPr="002B6024">
        <w:rPr>
          <w:color w:val="336600"/>
          <w:sz w:val="32"/>
          <w:szCs w:val="32"/>
        </w:rPr>
        <w:t xml:space="preserve">What employers </w:t>
      </w:r>
      <w:r w:rsidR="00E97667" w:rsidRPr="002B6024">
        <w:rPr>
          <w:color w:val="336600"/>
          <w:sz w:val="32"/>
          <w:szCs w:val="32"/>
        </w:rPr>
        <w:t xml:space="preserve">are </w:t>
      </w:r>
      <w:r w:rsidRPr="002B6024">
        <w:rPr>
          <w:color w:val="336600"/>
          <w:sz w:val="32"/>
          <w:szCs w:val="32"/>
        </w:rPr>
        <w:t>telling us?</w:t>
      </w:r>
      <w:r w:rsidR="00061DAD" w:rsidRPr="002B6024">
        <w:rPr>
          <w:rStyle w:val="FootnoteReference"/>
          <w:color w:val="336600"/>
          <w:sz w:val="32"/>
          <w:szCs w:val="32"/>
        </w:rPr>
        <w:footnoteReference w:id="4"/>
      </w:r>
      <w:r w:rsidR="00372FA2" w:rsidRPr="002B6024">
        <w:rPr>
          <w:color w:val="auto"/>
          <w:sz w:val="32"/>
          <w:szCs w:val="32"/>
        </w:rPr>
        <w:tab/>
      </w:r>
    </w:p>
    <w:p w:rsidR="008A700D" w:rsidRPr="002B6024" w:rsidRDefault="00712E91" w:rsidP="00712E91">
      <w:pPr>
        <w:pStyle w:val="ListBullet"/>
        <w:numPr>
          <w:ilvl w:val="0"/>
          <w:numId w:val="0"/>
        </w:numPr>
        <w:spacing w:after="80"/>
        <w:ind w:left="360" w:hanging="360"/>
      </w:pPr>
      <w:r w:rsidRPr="002B6024">
        <w:t>Despite the unemployment rate decreasing slightly, the s</w:t>
      </w:r>
      <w:r w:rsidR="00372FA2" w:rsidRPr="002B6024">
        <w:t xml:space="preserve">urvey </w:t>
      </w:r>
      <w:r w:rsidR="009719BB" w:rsidRPr="002B6024">
        <w:t>results</w:t>
      </w:r>
      <w:r w:rsidR="00372FA2" w:rsidRPr="002B6024">
        <w:t xml:space="preserve"> suggest</w:t>
      </w:r>
      <w:r w:rsidR="00AE3A30" w:rsidRPr="002B6024">
        <w:t xml:space="preserve"> </w:t>
      </w:r>
      <w:r w:rsidR="00707E62" w:rsidRPr="002B6024">
        <w:t xml:space="preserve">that </w:t>
      </w:r>
      <w:r w:rsidR="00AE3A30" w:rsidRPr="002B6024">
        <w:t>there has been</w:t>
      </w:r>
      <w:r w:rsidR="00372FA2" w:rsidRPr="002B6024">
        <w:t xml:space="preserve"> </w:t>
      </w:r>
      <w:r w:rsidR="00DE0E2B" w:rsidRPr="002B6024">
        <w:t>a slight</w:t>
      </w:r>
      <w:r w:rsidRPr="002B6024">
        <w:t xml:space="preserve"> </w:t>
      </w:r>
      <w:r w:rsidR="008A700D" w:rsidRPr="002B6024">
        <w:t>weakening</w:t>
      </w:r>
      <w:r w:rsidR="00372FA2" w:rsidRPr="002B6024">
        <w:t xml:space="preserve"> in </w:t>
      </w:r>
      <w:r w:rsidR="00A4773D" w:rsidRPr="002B6024">
        <w:t>recruitment</w:t>
      </w:r>
      <w:r w:rsidR="00372FA2" w:rsidRPr="002B6024">
        <w:t xml:space="preserve"> conditions </w:t>
      </w:r>
      <w:r w:rsidR="00A4773D" w:rsidRPr="002B6024">
        <w:t xml:space="preserve">since </w:t>
      </w:r>
      <w:r w:rsidR="00C964B8" w:rsidRPr="002B6024">
        <w:t>the</w:t>
      </w:r>
      <w:r w:rsidR="009719BB" w:rsidRPr="002B6024">
        <w:t xml:space="preserve"> region</w:t>
      </w:r>
      <w:r w:rsidR="005A76BA" w:rsidRPr="002B6024">
        <w:t xml:space="preserve"> was</w:t>
      </w:r>
      <w:r w:rsidR="00A4773D" w:rsidRPr="002B6024">
        <w:t xml:space="preserve"> last surveyed in 2012</w:t>
      </w:r>
      <w:r w:rsidR="00372FA2" w:rsidRPr="002B6024">
        <w:t xml:space="preserve">. </w:t>
      </w:r>
    </w:p>
    <w:p w:rsidR="008A700D" w:rsidRPr="002B6024" w:rsidRDefault="00AC4CD5" w:rsidP="00D315D9">
      <w:pPr>
        <w:pStyle w:val="ListBullet"/>
        <w:numPr>
          <w:ilvl w:val="0"/>
          <w:numId w:val="38"/>
        </w:numPr>
        <w:spacing w:after="0"/>
        <w:ind w:left="357" w:hanging="357"/>
        <w:jc w:val="both"/>
      </w:pPr>
      <w:r w:rsidRPr="002B6024">
        <w:t>E</w:t>
      </w:r>
      <w:r w:rsidR="00372FA2" w:rsidRPr="002B6024">
        <w:t>mployers</w:t>
      </w:r>
      <w:r w:rsidR="00297997" w:rsidRPr="002B6024">
        <w:t xml:space="preserve"> reported </w:t>
      </w:r>
      <w:r w:rsidR="00EE662E" w:rsidRPr="002B6024">
        <w:t xml:space="preserve">that </w:t>
      </w:r>
      <w:r w:rsidR="00297997" w:rsidRPr="002B6024">
        <w:t xml:space="preserve">their demand </w:t>
      </w:r>
      <w:r w:rsidR="00372FA2" w:rsidRPr="002B6024">
        <w:t xml:space="preserve">for </w:t>
      </w:r>
      <w:r w:rsidR="00A4773D" w:rsidRPr="002B6024">
        <w:t>labour</w:t>
      </w:r>
      <w:r w:rsidR="008A700D" w:rsidRPr="002B6024">
        <w:t xml:space="preserve"> has decreased (14</w:t>
      </w:r>
      <w:r w:rsidR="00715820" w:rsidRPr="002B6024">
        <w:t xml:space="preserve"> vacancies for every 100 staff</w:t>
      </w:r>
      <w:r w:rsidR="00E2690D">
        <w:t xml:space="preserve"> compared with 16</w:t>
      </w:r>
      <w:r w:rsidR="008A700D" w:rsidRPr="002B6024">
        <w:t xml:space="preserve"> vacancies </w:t>
      </w:r>
      <w:r w:rsidR="00384959" w:rsidRPr="002B6024">
        <w:t xml:space="preserve">in </w:t>
      </w:r>
      <w:r w:rsidR="008A700D" w:rsidRPr="002B6024">
        <w:t>2012</w:t>
      </w:r>
      <w:r w:rsidR="00715820" w:rsidRPr="002B6024">
        <w:t>)</w:t>
      </w:r>
      <w:r w:rsidR="008A700D" w:rsidRPr="002B6024">
        <w:t>.</w:t>
      </w:r>
      <w:r w:rsidR="00372FA2" w:rsidRPr="002B6024">
        <w:t xml:space="preserve"> </w:t>
      </w:r>
    </w:p>
    <w:p w:rsidR="00DE0E2B" w:rsidRPr="002B6024" w:rsidRDefault="00CB47E8" w:rsidP="00384959">
      <w:pPr>
        <w:pStyle w:val="ListBullet"/>
        <w:numPr>
          <w:ilvl w:val="0"/>
          <w:numId w:val="38"/>
        </w:numPr>
        <w:spacing w:after="0"/>
        <w:ind w:left="357" w:hanging="357"/>
        <w:jc w:val="both"/>
      </w:pPr>
      <w:r w:rsidRPr="002B6024">
        <w:t>In line with the decreasing demand for labour,</w:t>
      </w:r>
      <w:r w:rsidR="00BE7379" w:rsidRPr="002B6024">
        <w:t xml:space="preserve"> a smalle</w:t>
      </w:r>
      <w:r w:rsidR="008A700D" w:rsidRPr="002B6024">
        <w:t>r</w:t>
      </w:r>
      <w:r w:rsidR="00DE0E2B" w:rsidRPr="002B6024">
        <w:t xml:space="preserve"> proportion of </w:t>
      </w:r>
      <w:r w:rsidR="00B848CC" w:rsidRPr="002B6024">
        <w:t>vacancies remai</w:t>
      </w:r>
      <w:r w:rsidRPr="002B6024">
        <w:t>ned</w:t>
      </w:r>
      <w:r w:rsidR="00B848CC" w:rsidRPr="002B6024">
        <w:t xml:space="preserve"> unfilled</w:t>
      </w:r>
      <w:r w:rsidR="00B848CC" w:rsidRPr="002B6024">
        <w:rPr>
          <w:rFonts w:cstheme="minorHAnsi"/>
        </w:rPr>
        <w:t>.</w:t>
      </w:r>
      <w:r w:rsidR="007405DA" w:rsidRPr="002B6024">
        <w:rPr>
          <w:rFonts w:cstheme="minorHAnsi"/>
        </w:rPr>
        <w:t xml:space="preserve"> </w:t>
      </w:r>
      <w:r w:rsidRPr="002B6024">
        <w:rPr>
          <w:rFonts w:cstheme="minorHAnsi"/>
        </w:rPr>
        <w:t>Furthermore</w:t>
      </w:r>
      <w:r w:rsidR="007405DA" w:rsidRPr="002B6024">
        <w:rPr>
          <w:rFonts w:cstheme="minorHAnsi"/>
        </w:rPr>
        <w:t>, the proportion of employers experienc</w:t>
      </w:r>
      <w:r w:rsidR="00384959" w:rsidRPr="002B6024">
        <w:rPr>
          <w:rFonts w:cstheme="minorHAnsi"/>
        </w:rPr>
        <w:t>ing recruitment difficulties has</w:t>
      </w:r>
      <w:r w:rsidR="007405DA" w:rsidRPr="002B6024">
        <w:rPr>
          <w:rFonts w:cstheme="minorHAnsi"/>
        </w:rPr>
        <w:t xml:space="preserve"> decreased.</w:t>
      </w:r>
    </w:p>
    <w:p w:rsidR="00712E91" w:rsidRPr="002B6024" w:rsidRDefault="00712E91" w:rsidP="00712E91">
      <w:pPr>
        <w:pStyle w:val="ListBullet"/>
        <w:numPr>
          <w:ilvl w:val="0"/>
          <w:numId w:val="0"/>
        </w:numPr>
        <w:spacing w:after="0"/>
        <w:ind w:left="357"/>
        <w:jc w:val="both"/>
        <w:rPr>
          <w:sz w:val="8"/>
          <w:szCs w:val="8"/>
        </w:rPr>
      </w:pPr>
    </w:p>
    <w:tbl>
      <w:tblPr>
        <w:tblStyle w:val="TableGrid"/>
        <w:tblW w:w="10340" w:type="dxa"/>
        <w:tblLook w:val="04A0" w:firstRow="1" w:lastRow="0" w:firstColumn="1" w:lastColumn="0" w:noHBand="0" w:noVBand="1"/>
      </w:tblPr>
      <w:tblGrid>
        <w:gridCol w:w="3585"/>
        <w:gridCol w:w="1648"/>
        <w:gridCol w:w="1812"/>
        <w:gridCol w:w="1647"/>
        <w:gridCol w:w="1648"/>
      </w:tblGrid>
      <w:tr w:rsidR="00FA1937" w:rsidRPr="002B6024" w:rsidTr="00FA1937">
        <w:trPr>
          <w:trHeight w:val="563"/>
        </w:trPr>
        <w:tc>
          <w:tcPr>
            <w:tcW w:w="3585" w:type="dxa"/>
            <w:vMerge w:val="restart"/>
            <w:shd w:val="clear" w:color="auto" w:fill="336600"/>
            <w:vAlign w:val="center"/>
          </w:tcPr>
          <w:p w:rsidR="00FA1937" w:rsidRPr="002B6024" w:rsidRDefault="00FA1937" w:rsidP="00061DAD">
            <w:pPr>
              <w:pStyle w:val="TableHeading"/>
              <w:spacing w:before="0" w:after="80" w:line="240" w:lineRule="auto"/>
              <w:jc w:val="center"/>
              <w:rPr>
                <w:rFonts w:asciiTheme="minorHAnsi" w:hAnsiTheme="minorHAnsi" w:cstheme="minorHAnsi"/>
                <w:szCs w:val="22"/>
              </w:rPr>
            </w:pPr>
            <w:r w:rsidRPr="002B6024">
              <w:rPr>
                <w:rFonts w:asciiTheme="minorHAnsi" w:hAnsiTheme="minorHAnsi" w:cstheme="minorHAnsi"/>
                <w:szCs w:val="22"/>
              </w:rPr>
              <w:t>Key Indicators</w:t>
            </w:r>
          </w:p>
        </w:tc>
        <w:tc>
          <w:tcPr>
            <w:tcW w:w="6754" w:type="dxa"/>
            <w:gridSpan w:val="4"/>
            <w:shd w:val="clear" w:color="auto" w:fill="336600"/>
            <w:vAlign w:val="center"/>
          </w:tcPr>
          <w:p w:rsidR="00FA1937" w:rsidRPr="002B6024" w:rsidRDefault="00FA1937" w:rsidP="00BE5305">
            <w:pPr>
              <w:pStyle w:val="TableHeading"/>
              <w:spacing w:before="0" w:beforeAutospacing="0" w:after="80" w:afterAutospacing="0" w:line="240" w:lineRule="auto"/>
              <w:jc w:val="center"/>
              <w:rPr>
                <w:rFonts w:asciiTheme="minorHAnsi" w:hAnsiTheme="minorHAnsi" w:cstheme="minorHAnsi"/>
                <w:szCs w:val="22"/>
                <w:lang w:bidi="en-US"/>
              </w:rPr>
            </w:pPr>
            <w:r w:rsidRPr="002B6024">
              <w:rPr>
                <w:rFonts w:asciiTheme="minorHAnsi" w:hAnsiTheme="minorHAnsi" w:cstheme="minorHAnsi"/>
                <w:szCs w:val="22"/>
                <w:lang w:bidi="en-US"/>
              </w:rPr>
              <w:t>Central Victoria PEA</w:t>
            </w:r>
          </w:p>
        </w:tc>
      </w:tr>
      <w:tr w:rsidR="00FA1937" w:rsidRPr="002B6024" w:rsidTr="00FA1937">
        <w:trPr>
          <w:trHeight w:val="645"/>
        </w:trPr>
        <w:tc>
          <w:tcPr>
            <w:tcW w:w="3585" w:type="dxa"/>
            <w:vMerge/>
            <w:shd w:val="clear" w:color="auto" w:fill="336600"/>
            <w:vAlign w:val="center"/>
          </w:tcPr>
          <w:p w:rsidR="00FA1937" w:rsidRPr="002B6024" w:rsidRDefault="00FA1937" w:rsidP="00061DAD">
            <w:pPr>
              <w:pStyle w:val="TableHeading"/>
              <w:spacing w:before="0" w:beforeAutospacing="0" w:after="80" w:afterAutospacing="0" w:line="240" w:lineRule="auto"/>
              <w:jc w:val="center"/>
              <w:rPr>
                <w:rFonts w:asciiTheme="minorHAnsi" w:hAnsiTheme="minorHAnsi" w:cstheme="minorHAnsi"/>
                <w:szCs w:val="22"/>
              </w:rPr>
            </w:pPr>
          </w:p>
        </w:tc>
        <w:tc>
          <w:tcPr>
            <w:tcW w:w="1648" w:type="dxa"/>
            <w:shd w:val="clear" w:color="auto" w:fill="336600"/>
            <w:vAlign w:val="center"/>
          </w:tcPr>
          <w:p w:rsidR="00FA1937" w:rsidRPr="002B6024" w:rsidRDefault="00FA1937" w:rsidP="000E72F1">
            <w:pPr>
              <w:pStyle w:val="TableHeading"/>
              <w:spacing w:before="0" w:beforeAutospacing="0" w:after="0" w:afterAutospacing="0" w:line="240" w:lineRule="auto"/>
              <w:jc w:val="center"/>
              <w:rPr>
                <w:rFonts w:asciiTheme="minorHAnsi" w:hAnsiTheme="minorHAnsi" w:cstheme="minorHAnsi"/>
                <w:szCs w:val="22"/>
                <w:lang w:bidi="en-US"/>
              </w:rPr>
            </w:pPr>
            <w:r w:rsidRPr="002B6024">
              <w:rPr>
                <w:rFonts w:asciiTheme="minorHAnsi" w:hAnsiTheme="minorHAnsi" w:cstheme="minorHAnsi"/>
                <w:szCs w:val="22"/>
                <w:lang w:bidi="en-US"/>
              </w:rPr>
              <w:t>November 2013</w:t>
            </w:r>
          </w:p>
        </w:tc>
        <w:tc>
          <w:tcPr>
            <w:tcW w:w="1812" w:type="dxa"/>
            <w:shd w:val="clear" w:color="auto" w:fill="336600"/>
            <w:vAlign w:val="center"/>
          </w:tcPr>
          <w:p w:rsidR="00FA1937" w:rsidRPr="002B6024" w:rsidRDefault="00FA1937" w:rsidP="000E72F1">
            <w:pPr>
              <w:pStyle w:val="TableHeading"/>
              <w:spacing w:before="0" w:beforeAutospacing="0" w:after="0" w:afterAutospacing="0" w:line="240" w:lineRule="auto"/>
              <w:jc w:val="center"/>
              <w:rPr>
                <w:rFonts w:asciiTheme="minorHAnsi" w:hAnsiTheme="minorHAnsi" w:cstheme="minorHAnsi"/>
                <w:szCs w:val="22"/>
                <w:lang w:bidi="en-US"/>
              </w:rPr>
            </w:pPr>
            <w:r w:rsidRPr="002B6024">
              <w:rPr>
                <w:rFonts w:asciiTheme="minorHAnsi" w:hAnsiTheme="minorHAnsi" w:cstheme="minorHAnsi"/>
                <w:szCs w:val="22"/>
                <w:lang w:bidi="en-US"/>
              </w:rPr>
              <w:t>November 2012</w:t>
            </w:r>
          </w:p>
        </w:tc>
        <w:tc>
          <w:tcPr>
            <w:tcW w:w="1647" w:type="dxa"/>
            <w:shd w:val="clear" w:color="auto" w:fill="336600"/>
            <w:vAlign w:val="center"/>
          </w:tcPr>
          <w:p w:rsidR="00FA1937" w:rsidRPr="002B6024" w:rsidRDefault="00FA1937" w:rsidP="000E72F1">
            <w:pPr>
              <w:pStyle w:val="TableHeading"/>
              <w:spacing w:before="0" w:beforeAutospacing="0" w:after="0" w:afterAutospacing="0" w:line="240" w:lineRule="auto"/>
              <w:jc w:val="center"/>
              <w:rPr>
                <w:rFonts w:asciiTheme="minorHAnsi" w:hAnsiTheme="minorHAnsi" w:cstheme="minorHAnsi"/>
                <w:szCs w:val="22"/>
                <w:lang w:bidi="en-US"/>
              </w:rPr>
            </w:pPr>
            <w:r w:rsidRPr="002B6024">
              <w:rPr>
                <w:rFonts w:asciiTheme="minorHAnsi" w:hAnsiTheme="minorHAnsi" w:cstheme="minorHAnsi"/>
                <w:szCs w:val="22"/>
                <w:lang w:bidi="en-US"/>
              </w:rPr>
              <w:t>September 2011</w:t>
            </w:r>
          </w:p>
        </w:tc>
        <w:tc>
          <w:tcPr>
            <w:tcW w:w="1648" w:type="dxa"/>
            <w:shd w:val="clear" w:color="auto" w:fill="336600"/>
            <w:vAlign w:val="center"/>
          </w:tcPr>
          <w:p w:rsidR="00FA1937" w:rsidRPr="002B6024" w:rsidRDefault="00FA1937" w:rsidP="000E72F1">
            <w:pPr>
              <w:pStyle w:val="TableHeading"/>
              <w:spacing w:before="0" w:beforeAutospacing="0" w:after="0" w:afterAutospacing="0" w:line="240" w:lineRule="auto"/>
              <w:jc w:val="center"/>
              <w:rPr>
                <w:rFonts w:asciiTheme="minorHAnsi" w:hAnsiTheme="minorHAnsi" w:cstheme="minorHAnsi"/>
                <w:szCs w:val="22"/>
                <w:lang w:bidi="en-US"/>
              </w:rPr>
            </w:pPr>
            <w:r w:rsidRPr="002B6024">
              <w:rPr>
                <w:rFonts w:asciiTheme="minorHAnsi" w:hAnsiTheme="minorHAnsi" w:cstheme="minorHAnsi"/>
                <w:szCs w:val="22"/>
                <w:lang w:bidi="en-US"/>
              </w:rPr>
              <w:t xml:space="preserve">May </w:t>
            </w:r>
          </w:p>
          <w:p w:rsidR="00FA1937" w:rsidRPr="002B6024" w:rsidRDefault="00FA1937" w:rsidP="000E72F1">
            <w:pPr>
              <w:pStyle w:val="TableHeading"/>
              <w:spacing w:before="0" w:beforeAutospacing="0" w:after="0" w:afterAutospacing="0" w:line="240" w:lineRule="auto"/>
              <w:jc w:val="center"/>
              <w:rPr>
                <w:rFonts w:asciiTheme="minorHAnsi" w:hAnsiTheme="minorHAnsi" w:cstheme="minorHAnsi"/>
                <w:szCs w:val="22"/>
                <w:lang w:bidi="en-US"/>
              </w:rPr>
            </w:pPr>
            <w:r w:rsidRPr="002B6024">
              <w:rPr>
                <w:rFonts w:asciiTheme="minorHAnsi" w:hAnsiTheme="minorHAnsi" w:cstheme="minorHAnsi"/>
                <w:szCs w:val="22"/>
                <w:lang w:bidi="en-US"/>
              </w:rPr>
              <w:t>2010</w:t>
            </w:r>
          </w:p>
        </w:tc>
      </w:tr>
      <w:tr w:rsidR="00FA1937" w:rsidRPr="002B6024" w:rsidTr="00712E91">
        <w:trPr>
          <w:trHeight w:val="427"/>
        </w:trPr>
        <w:tc>
          <w:tcPr>
            <w:tcW w:w="3585" w:type="dxa"/>
            <w:vAlign w:val="center"/>
          </w:tcPr>
          <w:p w:rsidR="00FA1937" w:rsidRPr="002B6024" w:rsidRDefault="00FA1937" w:rsidP="00546F93">
            <w:pPr>
              <w:keepNext/>
              <w:spacing w:after="80"/>
              <w:contextualSpacing/>
              <w:rPr>
                <w:rFonts w:cstheme="minorHAnsi"/>
              </w:rPr>
            </w:pPr>
            <w:r w:rsidRPr="002B6024">
              <w:rPr>
                <w:rFonts w:cstheme="minorHAnsi"/>
              </w:rPr>
              <w:t>Vacancies unfilled</w:t>
            </w:r>
          </w:p>
        </w:tc>
        <w:tc>
          <w:tcPr>
            <w:tcW w:w="1648" w:type="dxa"/>
            <w:vAlign w:val="center"/>
          </w:tcPr>
          <w:p w:rsidR="00FA1937" w:rsidRPr="002B6024" w:rsidRDefault="00FA1937" w:rsidP="00061DAD">
            <w:pPr>
              <w:keepNext/>
              <w:spacing w:after="80"/>
              <w:contextualSpacing/>
              <w:jc w:val="center"/>
              <w:rPr>
                <w:rFonts w:cstheme="minorHAnsi"/>
              </w:rPr>
            </w:pPr>
            <w:r w:rsidRPr="002B6024">
              <w:rPr>
                <w:rFonts w:cstheme="minorHAnsi"/>
              </w:rPr>
              <w:t>3.2%</w:t>
            </w:r>
          </w:p>
        </w:tc>
        <w:tc>
          <w:tcPr>
            <w:tcW w:w="1812" w:type="dxa"/>
            <w:vAlign w:val="center"/>
          </w:tcPr>
          <w:p w:rsidR="00FA1937" w:rsidRPr="002B6024" w:rsidRDefault="00FA1937" w:rsidP="00061DAD">
            <w:pPr>
              <w:keepNext/>
              <w:spacing w:after="80"/>
              <w:contextualSpacing/>
              <w:jc w:val="center"/>
              <w:rPr>
                <w:rFonts w:cstheme="minorHAnsi"/>
              </w:rPr>
            </w:pPr>
            <w:r w:rsidRPr="002B6024">
              <w:rPr>
                <w:rFonts w:cstheme="minorHAnsi"/>
              </w:rPr>
              <w:t>6.9%</w:t>
            </w:r>
          </w:p>
        </w:tc>
        <w:tc>
          <w:tcPr>
            <w:tcW w:w="1647" w:type="dxa"/>
            <w:vAlign w:val="center"/>
          </w:tcPr>
          <w:p w:rsidR="00FA1937" w:rsidRPr="002B6024" w:rsidRDefault="00FA1937" w:rsidP="00061DAD">
            <w:pPr>
              <w:keepNext/>
              <w:spacing w:after="80"/>
              <w:contextualSpacing/>
              <w:jc w:val="center"/>
              <w:rPr>
                <w:rFonts w:cstheme="minorHAnsi"/>
              </w:rPr>
            </w:pPr>
            <w:r w:rsidRPr="002B6024">
              <w:rPr>
                <w:rFonts w:cstheme="minorHAnsi"/>
              </w:rPr>
              <w:t>9.4%</w:t>
            </w:r>
          </w:p>
        </w:tc>
        <w:tc>
          <w:tcPr>
            <w:tcW w:w="1648" w:type="dxa"/>
            <w:vAlign w:val="center"/>
          </w:tcPr>
          <w:p w:rsidR="00FA1937" w:rsidRPr="002B6024" w:rsidRDefault="00FA1937" w:rsidP="00061DAD">
            <w:pPr>
              <w:keepNext/>
              <w:spacing w:after="80"/>
              <w:contextualSpacing/>
              <w:jc w:val="center"/>
              <w:rPr>
                <w:rFonts w:cstheme="minorHAnsi"/>
              </w:rPr>
            </w:pPr>
            <w:r w:rsidRPr="002B6024">
              <w:rPr>
                <w:rFonts w:cstheme="minorHAnsi"/>
              </w:rPr>
              <w:t>6.7%</w:t>
            </w:r>
          </w:p>
        </w:tc>
      </w:tr>
      <w:tr w:rsidR="00FA1937" w:rsidRPr="002B6024" w:rsidTr="00712E91">
        <w:trPr>
          <w:trHeight w:val="419"/>
        </w:trPr>
        <w:tc>
          <w:tcPr>
            <w:tcW w:w="3585" w:type="dxa"/>
            <w:vAlign w:val="center"/>
          </w:tcPr>
          <w:p w:rsidR="00FA1937" w:rsidRPr="002B6024" w:rsidRDefault="00FA1937" w:rsidP="00546F93">
            <w:pPr>
              <w:keepNext/>
              <w:spacing w:after="80"/>
              <w:contextualSpacing/>
              <w:rPr>
                <w:rFonts w:cstheme="minorHAnsi"/>
              </w:rPr>
            </w:pPr>
            <w:r w:rsidRPr="002B6024">
              <w:rPr>
                <w:rFonts w:cstheme="minorHAnsi"/>
              </w:rPr>
              <w:t>Employers who experienced difficulty</w:t>
            </w:r>
          </w:p>
        </w:tc>
        <w:tc>
          <w:tcPr>
            <w:tcW w:w="1648" w:type="dxa"/>
            <w:vAlign w:val="center"/>
          </w:tcPr>
          <w:p w:rsidR="00FA1937" w:rsidRPr="002B6024" w:rsidRDefault="00FA1937" w:rsidP="00061DAD">
            <w:pPr>
              <w:keepNext/>
              <w:spacing w:after="80"/>
              <w:contextualSpacing/>
              <w:jc w:val="center"/>
              <w:rPr>
                <w:rFonts w:cstheme="minorHAnsi"/>
              </w:rPr>
            </w:pPr>
            <w:r w:rsidRPr="002B6024">
              <w:rPr>
                <w:rFonts w:cstheme="minorHAnsi"/>
              </w:rPr>
              <w:t>43%</w:t>
            </w:r>
          </w:p>
        </w:tc>
        <w:tc>
          <w:tcPr>
            <w:tcW w:w="1812" w:type="dxa"/>
            <w:vAlign w:val="center"/>
          </w:tcPr>
          <w:p w:rsidR="00FA1937" w:rsidRPr="002B6024" w:rsidRDefault="00FA1937" w:rsidP="00061DAD">
            <w:pPr>
              <w:keepNext/>
              <w:spacing w:after="80"/>
              <w:contextualSpacing/>
              <w:jc w:val="center"/>
              <w:rPr>
                <w:rFonts w:cstheme="minorHAnsi"/>
              </w:rPr>
            </w:pPr>
            <w:r w:rsidRPr="002B6024">
              <w:rPr>
                <w:rFonts w:cstheme="minorHAnsi"/>
              </w:rPr>
              <w:t>53%</w:t>
            </w:r>
          </w:p>
        </w:tc>
        <w:tc>
          <w:tcPr>
            <w:tcW w:w="1647" w:type="dxa"/>
            <w:vAlign w:val="center"/>
          </w:tcPr>
          <w:p w:rsidR="00FA1937" w:rsidRPr="002B6024" w:rsidRDefault="00FA1937" w:rsidP="00061DAD">
            <w:pPr>
              <w:keepNext/>
              <w:spacing w:after="80"/>
              <w:contextualSpacing/>
              <w:jc w:val="center"/>
              <w:rPr>
                <w:rFonts w:cstheme="minorHAnsi"/>
              </w:rPr>
            </w:pPr>
            <w:r w:rsidRPr="002B6024">
              <w:rPr>
                <w:rFonts w:cstheme="minorHAnsi"/>
              </w:rPr>
              <w:t>59%</w:t>
            </w:r>
          </w:p>
        </w:tc>
        <w:tc>
          <w:tcPr>
            <w:tcW w:w="1648" w:type="dxa"/>
            <w:vAlign w:val="center"/>
          </w:tcPr>
          <w:p w:rsidR="00FA1937" w:rsidRPr="002B6024" w:rsidRDefault="00FA1937" w:rsidP="00061DAD">
            <w:pPr>
              <w:keepNext/>
              <w:spacing w:after="80"/>
              <w:contextualSpacing/>
              <w:jc w:val="center"/>
              <w:rPr>
                <w:rFonts w:cstheme="minorHAnsi"/>
              </w:rPr>
            </w:pPr>
            <w:r w:rsidRPr="002B6024">
              <w:rPr>
                <w:rFonts w:cstheme="minorHAnsi"/>
              </w:rPr>
              <w:t>53%</w:t>
            </w:r>
          </w:p>
        </w:tc>
      </w:tr>
      <w:tr w:rsidR="00FA1937" w:rsidRPr="002B6024" w:rsidTr="00712E91">
        <w:trPr>
          <w:trHeight w:val="399"/>
        </w:trPr>
        <w:tc>
          <w:tcPr>
            <w:tcW w:w="3585" w:type="dxa"/>
            <w:vAlign w:val="center"/>
          </w:tcPr>
          <w:p w:rsidR="00FA1937" w:rsidRPr="002B6024" w:rsidRDefault="00FA1937" w:rsidP="00546F93">
            <w:pPr>
              <w:keepNext/>
              <w:spacing w:after="80"/>
              <w:contextualSpacing/>
              <w:rPr>
                <w:rFonts w:cstheme="minorHAnsi"/>
              </w:rPr>
            </w:pPr>
            <w:r w:rsidRPr="002B6024">
              <w:rPr>
                <w:rFonts w:cstheme="minorHAnsi"/>
              </w:rPr>
              <w:t>Employers who increased staff</w:t>
            </w:r>
          </w:p>
        </w:tc>
        <w:tc>
          <w:tcPr>
            <w:tcW w:w="1648" w:type="dxa"/>
            <w:vAlign w:val="center"/>
          </w:tcPr>
          <w:p w:rsidR="00FA1937" w:rsidRPr="002B6024" w:rsidRDefault="00FA1937" w:rsidP="00061DAD">
            <w:pPr>
              <w:keepNext/>
              <w:spacing w:after="80"/>
              <w:contextualSpacing/>
              <w:jc w:val="center"/>
              <w:rPr>
                <w:rFonts w:cstheme="minorHAnsi"/>
              </w:rPr>
            </w:pPr>
            <w:r w:rsidRPr="002B6024">
              <w:rPr>
                <w:rFonts w:cstheme="minorHAnsi"/>
              </w:rPr>
              <w:t>19%</w:t>
            </w:r>
          </w:p>
        </w:tc>
        <w:tc>
          <w:tcPr>
            <w:tcW w:w="1812" w:type="dxa"/>
            <w:vAlign w:val="center"/>
          </w:tcPr>
          <w:p w:rsidR="00FA1937" w:rsidRPr="002B6024" w:rsidRDefault="00FA1937" w:rsidP="00061DAD">
            <w:pPr>
              <w:keepNext/>
              <w:spacing w:after="80"/>
              <w:contextualSpacing/>
              <w:jc w:val="center"/>
              <w:rPr>
                <w:rFonts w:cstheme="minorHAnsi"/>
              </w:rPr>
            </w:pPr>
            <w:r w:rsidRPr="002B6024">
              <w:rPr>
                <w:rFonts w:cstheme="minorHAnsi"/>
              </w:rPr>
              <w:t>20%</w:t>
            </w:r>
          </w:p>
        </w:tc>
        <w:tc>
          <w:tcPr>
            <w:tcW w:w="1647" w:type="dxa"/>
            <w:vAlign w:val="center"/>
          </w:tcPr>
          <w:p w:rsidR="00FA1937" w:rsidRPr="002B6024" w:rsidRDefault="00FA1937" w:rsidP="00061DAD">
            <w:pPr>
              <w:keepNext/>
              <w:spacing w:after="80"/>
              <w:contextualSpacing/>
              <w:jc w:val="center"/>
              <w:rPr>
                <w:rFonts w:cstheme="minorHAnsi"/>
              </w:rPr>
            </w:pPr>
            <w:r w:rsidRPr="002B6024">
              <w:rPr>
                <w:rFonts w:cstheme="minorHAnsi"/>
              </w:rPr>
              <w:t>25%</w:t>
            </w:r>
          </w:p>
        </w:tc>
        <w:tc>
          <w:tcPr>
            <w:tcW w:w="1648" w:type="dxa"/>
            <w:vAlign w:val="center"/>
          </w:tcPr>
          <w:p w:rsidR="00FA1937" w:rsidRPr="002B6024" w:rsidRDefault="00FA1937" w:rsidP="00061DAD">
            <w:pPr>
              <w:keepNext/>
              <w:spacing w:after="80"/>
              <w:contextualSpacing/>
              <w:jc w:val="center"/>
              <w:rPr>
                <w:rFonts w:cstheme="minorHAnsi"/>
              </w:rPr>
            </w:pPr>
            <w:r w:rsidRPr="002B6024">
              <w:rPr>
                <w:rFonts w:cstheme="minorHAnsi"/>
              </w:rPr>
              <w:t>21%</w:t>
            </w:r>
          </w:p>
        </w:tc>
      </w:tr>
    </w:tbl>
    <w:p w:rsidR="007405DA" w:rsidRPr="002B6024" w:rsidRDefault="007405DA" w:rsidP="00061DAD">
      <w:pPr>
        <w:pStyle w:val="ListBullet"/>
        <w:numPr>
          <w:ilvl w:val="0"/>
          <w:numId w:val="0"/>
        </w:numPr>
        <w:spacing w:after="80" w:line="240" w:lineRule="auto"/>
        <w:jc w:val="both"/>
        <w:rPr>
          <w:sz w:val="18"/>
          <w:szCs w:val="18"/>
        </w:rPr>
      </w:pPr>
    </w:p>
    <w:p w:rsidR="007E3FC4" w:rsidRPr="002B6024" w:rsidRDefault="00842FB2" w:rsidP="00BE5305">
      <w:pPr>
        <w:pStyle w:val="ListBullet"/>
        <w:numPr>
          <w:ilvl w:val="0"/>
          <w:numId w:val="36"/>
        </w:numPr>
        <w:spacing w:after="0"/>
        <w:ind w:left="357" w:hanging="357"/>
        <w:contextualSpacing w:val="0"/>
        <w:jc w:val="both"/>
      </w:pPr>
      <w:r w:rsidRPr="002B6024">
        <w:t>Despite the softening in labour market conditions, t</w:t>
      </w:r>
      <w:r w:rsidR="00384959" w:rsidRPr="002B6024">
        <w:t>here are</w:t>
      </w:r>
      <w:r w:rsidR="009563BF" w:rsidRPr="002B6024">
        <w:t xml:space="preserve"> </w:t>
      </w:r>
      <w:r w:rsidR="004E3A6D" w:rsidRPr="002B6024">
        <w:t xml:space="preserve">positive signs for future recruitment with </w:t>
      </w:r>
      <w:r w:rsidR="004A5C34" w:rsidRPr="002B6024">
        <w:t>nearly half (47 per cent)</w:t>
      </w:r>
      <w:r w:rsidR="004E3A6D" w:rsidRPr="002B6024">
        <w:t xml:space="preserve"> of employers expecting to </w:t>
      </w:r>
      <w:r w:rsidR="004A5C34" w:rsidRPr="002B6024">
        <w:t>recruit</w:t>
      </w:r>
      <w:r w:rsidR="007066A7" w:rsidRPr="002B6024">
        <w:t xml:space="preserve"> </w:t>
      </w:r>
      <w:r w:rsidR="004E3A6D" w:rsidRPr="002B6024">
        <w:t>in the 12 months following the survey. Of the major industries, employers in the Construction, Health Care and Social Assistance and Manufacturing industries most commonly expected staff numbers</w:t>
      </w:r>
      <w:r w:rsidR="007066A7" w:rsidRPr="002B6024">
        <w:t xml:space="preserve"> to increase</w:t>
      </w:r>
      <w:r w:rsidR="004E3A6D" w:rsidRPr="002B6024">
        <w:t>.</w:t>
      </w:r>
    </w:p>
    <w:p w:rsidR="00061DAD" w:rsidRPr="002B6024" w:rsidRDefault="00061DAD" w:rsidP="00BE5305">
      <w:pPr>
        <w:pStyle w:val="ListBullet"/>
        <w:numPr>
          <w:ilvl w:val="0"/>
          <w:numId w:val="0"/>
        </w:numPr>
        <w:spacing w:after="0" w:line="240" w:lineRule="auto"/>
        <w:contextualSpacing w:val="0"/>
        <w:jc w:val="both"/>
        <w:rPr>
          <w:sz w:val="18"/>
          <w:szCs w:val="18"/>
        </w:rPr>
      </w:pPr>
    </w:p>
    <w:p w:rsidR="001E2AA5" w:rsidRPr="002B6024" w:rsidRDefault="001E2AA5" w:rsidP="00BE5305">
      <w:pPr>
        <w:pStyle w:val="Heading1"/>
        <w:pBdr>
          <w:bottom w:val="single" w:sz="4" w:space="0" w:color="427730"/>
        </w:pBdr>
        <w:spacing w:before="0" w:after="0"/>
        <w:contextualSpacing w:val="0"/>
        <w:rPr>
          <w:color w:val="336600"/>
          <w:sz w:val="32"/>
          <w:szCs w:val="32"/>
        </w:rPr>
      </w:pPr>
      <w:r w:rsidRPr="002B6024">
        <w:rPr>
          <w:color w:val="336600"/>
          <w:sz w:val="32"/>
          <w:szCs w:val="32"/>
        </w:rPr>
        <w:t>Where are the opportunities?</w:t>
      </w:r>
    </w:p>
    <w:p w:rsidR="008F3079" w:rsidRPr="002B6024" w:rsidRDefault="008F3079" w:rsidP="00BE5305">
      <w:pPr>
        <w:pStyle w:val="ListBullet"/>
        <w:numPr>
          <w:ilvl w:val="0"/>
          <w:numId w:val="36"/>
        </w:numPr>
        <w:spacing w:after="80"/>
        <w:ind w:left="357" w:hanging="357"/>
        <w:contextualSpacing w:val="0"/>
        <w:jc w:val="both"/>
      </w:pPr>
      <w:r w:rsidRPr="002B6024">
        <w:t xml:space="preserve">The Health Care and Social Assistance industry </w:t>
      </w:r>
      <w:r w:rsidR="00677B54" w:rsidRPr="002B6024">
        <w:t xml:space="preserve">is </w:t>
      </w:r>
      <w:r w:rsidR="006856CA" w:rsidRPr="002B6024">
        <w:t xml:space="preserve">experiencing </w:t>
      </w:r>
      <w:r w:rsidR="00677B54" w:rsidRPr="002B6024">
        <w:t>strong growth</w:t>
      </w:r>
      <w:r w:rsidR="00B5500A" w:rsidRPr="002B6024">
        <w:t>, with employers commonly recruiting for occupations such as Child Carers</w:t>
      </w:r>
      <w:r w:rsidR="00B1439D" w:rsidRPr="002B6024">
        <w:t>, Welfare Support Workers and Registered Nurses.</w:t>
      </w:r>
    </w:p>
    <w:p w:rsidR="00FC2C90" w:rsidRPr="002B6024" w:rsidRDefault="00090639" w:rsidP="00061DAD">
      <w:pPr>
        <w:pStyle w:val="ListBullet"/>
        <w:numPr>
          <w:ilvl w:val="0"/>
          <w:numId w:val="36"/>
        </w:numPr>
        <w:spacing w:after="80"/>
        <w:ind w:left="357" w:hanging="357"/>
        <w:contextualSpacing w:val="0"/>
        <w:jc w:val="both"/>
      </w:pPr>
      <w:r w:rsidRPr="002B6024">
        <w:t>Employers continue to experience difficult</w:t>
      </w:r>
      <w:r w:rsidR="007D7BBE" w:rsidRPr="002B6024">
        <w:t>ies</w:t>
      </w:r>
      <w:r w:rsidRPr="002B6024">
        <w:t xml:space="preserve"> filling vacancies for </w:t>
      </w:r>
      <w:r w:rsidR="00B1439D" w:rsidRPr="002B6024">
        <w:t>many</w:t>
      </w:r>
      <w:r w:rsidR="00833D8B" w:rsidRPr="002B6024">
        <w:t xml:space="preserve"> </w:t>
      </w:r>
      <w:r w:rsidR="00530A44" w:rsidRPr="002B6024">
        <w:t>Technicians and Trades</w:t>
      </w:r>
      <w:r w:rsidR="006B68D7" w:rsidRPr="002B6024">
        <w:t xml:space="preserve"> </w:t>
      </w:r>
      <w:r w:rsidRPr="002B6024">
        <w:t xml:space="preserve">occupations, such as </w:t>
      </w:r>
      <w:r w:rsidR="00767665" w:rsidRPr="002B6024">
        <w:t xml:space="preserve">Chefs, </w:t>
      </w:r>
      <w:r w:rsidR="002D2F55" w:rsidRPr="002B6024">
        <w:t xml:space="preserve">Structural Steel and Welding Trades Workers </w:t>
      </w:r>
      <w:r w:rsidRPr="002B6024">
        <w:t>and Motor Mechanics</w:t>
      </w:r>
      <w:r w:rsidR="00FC2C90" w:rsidRPr="002B6024">
        <w:t>.</w:t>
      </w:r>
    </w:p>
    <w:p w:rsidR="009872DC" w:rsidRPr="002B6024" w:rsidRDefault="001914A5" w:rsidP="00061DAD">
      <w:pPr>
        <w:pStyle w:val="ListBullet"/>
        <w:numPr>
          <w:ilvl w:val="0"/>
          <w:numId w:val="36"/>
        </w:numPr>
        <w:spacing w:after="80"/>
        <w:ind w:left="357" w:hanging="357"/>
        <w:contextualSpacing w:val="0"/>
        <w:jc w:val="both"/>
        <w:rPr>
          <w:vanish/>
          <w:specVanish/>
        </w:rPr>
      </w:pPr>
      <w:r w:rsidRPr="002B6024">
        <w:t xml:space="preserve">Employers </w:t>
      </w:r>
      <w:r w:rsidR="00B37784" w:rsidRPr="002B6024">
        <w:t xml:space="preserve">commonly </w:t>
      </w:r>
      <w:r w:rsidRPr="002B6024">
        <w:t xml:space="preserve">expected to recruit for a number of lower skilled </w:t>
      </w:r>
      <w:r w:rsidR="00530A44" w:rsidRPr="002B6024">
        <w:t xml:space="preserve">or entry level </w:t>
      </w:r>
      <w:r w:rsidR="00C52EE5" w:rsidRPr="002B6024">
        <w:t xml:space="preserve">occupations </w:t>
      </w:r>
      <w:r w:rsidRPr="002B6024">
        <w:t xml:space="preserve">following the survey, including </w:t>
      </w:r>
      <w:r w:rsidR="006D4BF1" w:rsidRPr="002B6024">
        <w:t xml:space="preserve">Sales Assistants, </w:t>
      </w:r>
      <w:r w:rsidRPr="002B6024">
        <w:t>Waiters</w:t>
      </w:r>
      <w:r w:rsidR="003A096B" w:rsidRPr="002B6024">
        <w:t xml:space="preserve">, </w:t>
      </w:r>
      <w:r w:rsidR="006D4BF1" w:rsidRPr="002B6024">
        <w:t>Checkout Operators and Office Cashiers, Bar Attendants and Baristas, and Kitchenhands</w:t>
      </w:r>
      <w:r w:rsidRPr="002B6024">
        <w:t>.</w:t>
      </w:r>
      <w:r w:rsidR="007D7BBE" w:rsidRPr="002B6024">
        <w:t xml:space="preserve">  </w:t>
      </w:r>
    </w:p>
    <w:p w:rsidR="00061DAD" w:rsidRPr="006D4BF1" w:rsidRDefault="009872DC" w:rsidP="009872DC">
      <w:r>
        <w:t xml:space="preserve"> </w:t>
      </w:r>
    </w:p>
    <w:sectPr w:rsidR="00061DAD" w:rsidRPr="006D4BF1" w:rsidSect="00091D7A">
      <w:type w:val="continuous"/>
      <w:pgSz w:w="11906" w:h="16838"/>
      <w:pgMar w:top="1134" w:right="566" w:bottom="567" w:left="993" w:header="426"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9C8" w:rsidRDefault="007349C8" w:rsidP="007349C8">
      <w:pPr>
        <w:spacing w:after="0" w:line="240" w:lineRule="auto"/>
      </w:pPr>
      <w:r>
        <w:separator/>
      </w:r>
    </w:p>
  </w:endnote>
  <w:endnote w:type="continuationSeparator" w:id="0">
    <w:p w:rsidR="007349C8" w:rsidRDefault="007349C8" w:rsidP="00734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9C8" w:rsidRDefault="007349C8" w:rsidP="007349C8">
      <w:pPr>
        <w:spacing w:after="0" w:line="240" w:lineRule="auto"/>
      </w:pPr>
      <w:r>
        <w:separator/>
      </w:r>
    </w:p>
  </w:footnote>
  <w:footnote w:type="continuationSeparator" w:id="0">
    <w:p w:rsidR="007349C8" w:rsidRDefault="007349C8" w:rsidP="007349C8">
      <w:pPr>
        <w:spacing w:after="0" w:line="240" w:lineRule="auto"/>
      </w:pPr>
      <w:r>
        <w:continuationSeparator/>
      </w:r>
    </w:p>
  </w:footnote>
  <w:footnote w:id="1">
    <w:p w:rsidR="00546FC5" w:rsidRPr="002B6024" w:rsidRDefault="00546FC5">
      <w:pPr>
        <w:pStyle w:val="FootnoteText"/>
        <w:rPr>
          <w:rFonts w:asciiTheme="minorHAnsi" w:hAnsiTheme="minorHAnsi" w:cstheme="minorHAnsi"/>
          <w:sz w:val="16"/>
          <w:szCs w:val="16"/>
        </w:rPr>
      </w:pPr>
      <w:r w:rsidRPr="00061DAD">
        <w:rPr>
          <w:rStyle w:val="FootnoteReference"/>
          <w:rFonts w:asciiTheme="minorHAnsi" w:hAnsiTheme="minorHAnsi" w:cstheme="minorHAnsi"/>
          <w:sz w:val="16"/>
          <w:szCs w:val="16"/>
        </w:rPr>
        <w:footnoteRef/>
      </w:r>
      <w:r w:rsidRPr="00061DAD">
        <w:rPr>
          <w:rFonts w:asciiTheme="minorHAnsi" w:hAnsiTheme="minorHAnsi" w:cstheme="minorHAnsi"/>
          <w:sz w:val="16"/>
          <w:szCs w:val="16"/>
        </w:rPr>
        <w:t xml:space="preserve"> </w:t>
      </w:r>
      <w:proofErr w:type="gramStart"/>
      <w:r w:rsidR="007C5084" w:rsidRPr="00061DAD">
        <w:rPr>
          <w:rFonts w:asciiTheme="minorHAnsi" w:hAnsiTheme="minorHAnsi" w:cstheme="minorHAnsi"/>
          <w:sz w:val="16"/>
          <w:szCs w:val="16"/>
        </w:rPr>
        <w:t>Department of Employment, Sma</w:t>
      </w:r>
      <w:r w:rsidR="00FA1937">
        <w:rPr>
          <w:rFonts w:asciiTheme="minorHAnsi" w:hAnsiTheme="minorHAnsi" w:cstheme="minorHAnsi"/>
          <w:sz w:val="16"/>
          <w:szCs w:val="16"/>
        </w:rPr>
        <w:t xml:space="preserve">ll Area Labour </w:t>
      </w:r>
      <w:r w:rsidR="00FA1937" w:rsidRPr="002B6024">
        <w:rPr>
          <w:rFonts w:asciiTheme="minorHAnsi" w:hAnsiTheme="minorHAnsi" w:cstheme="minorHAnsi"/>
          <w:sz w:val="16"/>
          <w:szCs w:val="16"/>
        </w:rPr>
        <w:t>Market</w:t>
      </w:r>
      <w:r w:rsidR="001C2AC2" w:rsidRPr="002B6024">
        <w:rPr>
          <w:rFonts w:asciiTheme="minorHAnsi" w:hAnsiTheme="minorHAnsi" w:cstheme="minorHAnsi"/>
          <w:sz w:val="16"/>
          <w:szCs w:val="16"/>
        </w:rPr>
        <w:t>s</w:t>
      </w:r>
      <w:r w:rsidR="00AF48A7" w:rsidRPr="002B6024">
        <w:rPr>
          <w:rFonts w:asciiTheme="minorHAnsi" w:hAnsiTheme="minorHAnsi" w:cstheme="minorHAnsi"/>
          <w:sz w:val="16"/>
          <w:szCs w:val="16"/>
        </w:rPr>
        <w:t xml:space="preserve"> data</w:t>
      </w:r>
      <w:r w:rsidR="00FA1937" w:rsidRPr="002B6024">
        <w:rPr>
          <w:rFonts w:asciiTheme="minorHAnsi" w:hAnsiTheme="minorHAnsi" w:cstheme="minorHAnsi"/>
          <w:sz w:val="16"/>
          <w:szCs w:val="16"/>
        </w:rPr>
        <w:t>, December</w:t>
      </w:r>
      <w:r w:rsidR="007C5084" w:rsidRPr="002B6024">
        <w:rPr>
          <w:rFonts w:asciiTheme="minorHAnsi" w:hAnsiTheme="minorHAnsi" w:cstheme="minorHAnsi"/>
          <w:sz w:val="16"/>
          <w:szCs w:val="16"/>
        </w:rPr>
        <w:t xml:space="preserve"> 2013</w:t>
      </w:r>
      <w:r w:rsidR="00897A7D" w:rsidRPr="002B6024">
        <w:rPr>
          <w:rFonts w:asciiTheme="minorHAnsi" w:hAnsiTheme="minorHAnsi" w:cstheme="minorHAnsi"/>
          <w:sz w:val="16"/>
          <w:szCs w:val="16"/>
        </w:rPr>
        <w:t>.</w:t>
      </w:r>
      <w:proofErr w:type="gramEnd"/>
    </w:p>
  </w:footnote>
  <w:footnote w:id="2">
    <w:p w:rsidR="007C5084" w:rsidRPr="00061DAD" w:rsidRDefault="007C5084">
      <w:pPr>
        <w:pStyle w:val="FootnoteText"/>
        <w:rPr>
          <w:rFonts w:asciiTheme="minorHAnsi" w:hAnsiTheme="minorHAnsi" w:cstheme="minorHAnsi"/>
          <w:sz w:val="16"/>
          <w:szCs w:val="16"/>
        </w:rPr>
      </w:pPr>
      <w:r w:rsidRPr="002B6024">
        <w:rPr>
          <w:rStyle w:val="FootnoteReference"/>
          <w:rFonts w:asciiTheme="minorHAnsi" w:hAnsiTheme="minorHAnsi" w:cstheme="minorHAnsi"/>
          <w:sz w:val="16"/>
          <w:szCs w:val="16"/>
        </w:rPr>
        <w:footnoteRef/>
      </w:r>
      <w:r w:rsidRPr="002B6024">
        <w:rPr>
          <w:rFonts w:asciiTheme="minorHAnsi" w:hAnsiTheme="minorHAnsi" w:cstheme="minorHAnsi"/>
          <w:sz w:val="16"/>
          <w:szCs w:val="16"/>
        </w:rPr>
        <w:t xml:space="preserve"> ABS Labour Force, (Seas</w:t>
      </w:r>
      <w:r w:rsidR="00995E5B" w:rsidRPr="002B6024">
        <w:rPr>
          <w:rFonts w:asciiTheme="minorHAnsi" w:hAnsiTheme="minorHAnsi" w:cstheme="minorHAnsi"/>
          <w:sz w:val="16"/>
          <w:szCs w:val="16"/>
        </w:rPr>
        <w:t>onally Adjusted), January 2014</w:t>
      </w:r>
      <w:r w:rsidR="00897A7D" w:rsidRPr="002B6024">
        <w:rPr>
          <w:rFonts w:asciiTheme="minorHAnsi" w:hAnsiTheme="minorHAnsi" w:cstheme="minorHAnsi"/>
          <w:sz w:val="16"/>
          <w:szCs w:val="16"/>
        </w:rPr>
        <w:t>.</w:t>
      </w:r>
    </w:p>
  </w:footnote>
  <w:footnote w:id="3">
    <w:p w:rsidR="009E5AE3" w:rsidRPr="00061DAD" w:rsidRDefault="009E5AE3" w:rsidP="009E5AE3">
      <w:pPr>
        <w:pStyle w:val="FootnoteText"/>
        <w:rPr>
          <w:rFonts w:asciiTheme="minorHAnsi" w:hAnsiTheme="minorHAnsi" w:cstheme="minorHAnsi"/>
          <w:sz w:val="16"/>
          <w:szCs w:val="16"/>
        </w:rPr>
      </w:pPr>
      <w:r w:rsidRPr="00061DAD">
        <w:rPr>
          <w:rStyle w:val="FootnoteReference"/>
          <w:rFonts w:asciiTheme="minorHAnsi" w:hAnsiTheme="minorHAnsi" w:cstheme="minorHAnsi"/>
          <w:sz w:val="16"/>
          <w:szCs w:val="16"/>
        </w:rPr>
        <w:footnoteRef/>
      </w:r>
      <w:r w:rsidRPr="00061DAD">
        <w:rPr>
          <w:rFonts w:asciiTheme="minorHAnsi" w:hAnsiTheme="minorHAnsi" w:cstheme="minorHAnsi"/>
          <w:sz w:val="16"/>
          <w:szCs w:val="16"/>
        </w:rPr>
        <w:t xml:space="preserve"> </w:t>
      </w:r>
      <w:proofErr w:type="gramStart"/>
      <w:r w:rsidRPr="00061DAD">
        <w:rPr>
          <w:rFonts w:asciiTheme="minorHAnsi" w:hAnsiTheme="minorHAnsi" w:cstheme="minorHAnsi"/>
          <w:sz w:val="16"/>
          <w:szCs w:val="16"/>
        </w:rPr>
        <w:t>ABS, Census of Population and Housing, 2006 and 2011</w:t>
      </w:r>
      <w:r w:rsidR="00897A7D">
        <w:rPr>
          <w:rFonts w:asciiTheme="minorHAnsi" w:hAnsiTheme="minorHAnsi" w:cstheme="minorHAnsi"/>
          <w:sz w:val="16"/>
          <w:szCs w:val="16"/>
        </w:rPr>
        <w:t>.</w:t>
      </w:r>
      <w:proofErr w:type="gramEnd"/>
    </w:p>
  </w:footnote>
  <w:footnote w:id="4">
    <w:p w:rsidR="00061DAD" w:rsidRPr="00061DAD" w:rsidRDefault="00061DAD" w:rsidP="00061DAD">
      <w:pPr>
        <w:pStyle w:val="FootnoteText"/>
        <w:rPr>
          <w:rFonts w:asciiTheme="minorHAnsi" w:hAnsiTheme="minorHAnsi" w:cstheme="minorHAnsi"/>
          <w:sz w:val="16"/>
          <w:szCs w:val="16"/>
        </w:rPr>
      </w:pPr>
      <w:r w:rsidRPr="00061DAD">
        <w:rPr>
          <w:rStyle w:val="FootnoteReference"/>
          <w:rFonts w:asciiTheme="minorHAnsi" w:hAnsiTheme="minorHAnsi" w:cstheme="minorHAnsi"/>
          <w:sz w:val="16"/>
          <w:szCs w:val="16"/>
        </w:rPr>
        <w:footnoteRef/>
      </w:r>
      <w:r w:rsidR="00156B86">
        <w:rPr>
          <w:rFonts w:asciiTheme="minorHAnsi" w:hAnsiTheme="minorHAnsi" w:cstheme="minorHAnsi"/>
          <w:sz w:val="16"/>
          <w:szCs w:val="16"/>
        </w:rPr>
        <w:t xml:space="preserve"> The report is b</w:t>
      </w:r>
      <w:r w:rsidRPr="00061DAD">
        <w:rPr>
          <w:rFonts w:asciiTheme="minorHAnsi" w:hAnsiTheme="minorHAnsi" w:cstheme="minorHAnsi"/>
          <w:sz w:val="16"/>
          <w:szCs w:val="16"/>
        </w:rPr>
        <w:t xml:space="preserve">ased on a Survey of Employers’ Recruitment Experiences of 415 employers undertaken by the </w:t>
      </w:r>
      <w:r w:rsidR="00F74738" w:rsidRPr="00F74738">
        <w:rPr>
          <w:rFonts w:asciiTheme="minorHAnsi" w:hAnsiTheme="minorHAnsi" w:cstheme="minorHAnsi"/>
          <w:b/>
          <w:sz w:val="16"/>
          <w:szCs w:val="16"/>
        </w:rPr>
        <w:t>Labour Market Research and Analysis Branch</w:t>
      </w:r>
      <w:r w:rsidR="00F74738" w:rsidRPr="00A71C8B">
        <w:rPr>
          <w:rFonts w:asciiTheme="minorHAnsi" w:hAnsiTheme="minorHAnsi" w:cstheme="minorHAnsi"/>
          <w:sz w:val="18"/>
          <w:szCs w:val="16"/>
        </w:rPr>
        <w:t xml:space="preserve"> </w:t>
      </w:r>
      <w:r w:rsidRPr="00061DAD">
        <w:rPr>
          <w:rFonts w:asciiTheme="minorHAnsi" w:hAnsiTheme="minorHAnsi" w:cstheme="minorHAnsi"/>
          <w:sz w:val="16"/>
          <w:szCs w:val="16"/>
        </w:rPr>
        <w:t>in November 2013</w:t>
      </w:r>
      <w:r w:rsidR="00897A7D">
        <w:rPr>
          <w:rFonts w:asciiTheme="minorHAnsi" w:hAnsiTheme="minorHAnsi" w:cstheme="minorHAnsi"/>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65C21B0"/>
    <w:lvl w:ilvl="0">
      <w:start w:val="1"/>
      <w:numFmt w:val="decimal"/>
      <w:lvlText w:val="%1."/>
      <w:lvlJc w:val="left"/>
      <w:pPr>
        <w:tabs>
          <w:tab w:val="num" w:pos="1492"/>
        </w:tabs>
        <w:ind w:left="1492" w:hanging="360"/>
      </w:pPr>
    </w:lvl>
  </w:abstractNum>
  <w:abstractNum w:abstractNumId="1">
    <w:nsid w:val="FFFFFF7D"/>
    <w:multiLevelType w:val="singleLevel"/>
    <w:tmpl w:val="EF2C0204"/>
    <w:lvl w:ilvl="0">
      <w:start w:val="1"/>
      <w:numFmt w:val="decimal"/>
      <w:lvlText w:val="%1."/>
      <w:lvlJc w:val="left"/>
      <w:pPr>
        <w:tabs>
          <w:tab w:val="num" w:pos="1209"/>
        </w:tabs>
        <w:ind w:left="1209" w:hanging="360"/>
      </w:pPr>
    </w:lvl>
  </w:abstractNum>
  <w:abstractNum w:abstractNumId="2">
    <w:nsid w:val="FFFFFF7E"/>
    <w:multiLevelType w:val="singleLevel"/>
    <w:tmpl w:val="37D08C3A"/>
    <w:lvl w:ilvl="0">
      <w:start w:val="1"/>
      <w:numFmt w:val="decimal"/>
      <w:lvlText w:val="%1."/>
      <w:lvlJc w:val="left"/>
      <w:pPr>
        <w:tabs>
          <w:tab w:val="num" w:pos="926"/>
        </w:tabs>
        <w:ind w:left="926" w:hanging="360"/>
      </w:pPr>
    </w:lvl>
  </w:abstractNum>
  <w:abstractNum w:abstractNumId="3">
    <w:nsid w:val="FFFFFF7F"/>
    <w:multiLevelType w:val="singleLevel"/>
    <w:tmpl w:val="4942CF74"/>
    <w:lvl w:ilvl="0">
      <w:start w:val="1"/>
      <w:numFmt w:val="decimal"/>
      <w:lvlText w:val="%1."/>
      <w:lvlJc w:val="left"/>
      <w:pPr>
        <w:tabs>
          <w:tab w:val="num" w:pos="643"/>
        </w:tabs>
        <w:ind w:left="643" w:hanging="360"/>
      </w:pPr>
    </w:lvl>
  </w:abstractNum>
  <w:abstractNum w:abstractNumId="4">
    <w:nsid w:val="FFFFFF80"/>
    <w:multiLevelType w:val="singleLevel"/>
    <w:tmpl w:val="16F649B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2001698"/>
    <w:lvl w:ilvl="0">
      <w:start w:val="1"/>
      <w:numFmt w:val="decimal"/>
      <w:lvlText w:val="%1."/>
      <w:lvlJc w:val="left"/>
      <w:pPr>
        <w:tabs>
          <w:tab w:val="num" w:pos="360"/>
        </w:tabs>
        <w:ind w:left="360" w:hanging="360"/>
      </w:pPr>
    </w:lvl>
  </w:abstractNum>
  <w:abstractNum w:abstractNumId="9">
    <w:nsid w:val="FFFFFF89"/>
    <w:multiLevelType w:val="singleLevel"/>
    <w:tmpl w:val="505A2494"/>
    <w:lvl w:ilvl="0">
      <w:start w:val="1"/>
      <w:numFmt w:val="bullet"/>
      <w:lvlText w:val=""/>
      <w:lvlJc w:val="left"/>
      <w:pPr>
        <w:tabs>
          <w:tab w:val="num" w:pos="360"/>
        </w:tabs>
        <w:ind w:left="360" w:hanging="360"/>
      </w:pPr>
      <w:rPr>
        <w:rFonts w:ascii="Symbol" w:hAnsi="Symbol" w:hint="default"/>
      </w:rPr>
    </w:lvl>
  </w:abstractNum>
  <w:abstractNum w:abstractNumId="10">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0A784D04"/>
    <w:multiLevelType w:val="hybridMultilevel"/>
    <w:tmpl w:val="147E7638"/>
    <w:lvl w:ilvl="0" w:tplc="DD0008C6">
      <w:start w:val="1"/>
      <w:numFmt w:val="lowerLetter"/>
      <w:lvlText w:val="(%1)"/>
      <w:lvlJc w:val="left"/>
      <w:pPr>
        <w:ind w:left="720" w:hanging="360"/>
      </w:pPr>
      <w:rPr>
        <w:rFonts w:ascii="Calibri" w:hAnsi="Calibri" w:cs="Calibri" w:hint="default"/>
        <w:color w:val="auto"/>
        <w:vertAlign w:val="superscrip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0FDF1F70"/>
    <w:multiLevelType w:val="hybridMultilevel"/>
    <w:tmpl w:val="4C64292C"/>
    <w:lvl w:ilvl="0" w:tplc="0C090001">
      <w:start w:val="1"/>
      <w:numFmt w:val="bullet"/>
      <w:lvlText w:val=""/>
      <w:lvlJc w:val="left"/>
      <w:pPr>
        <w:ind w:left="360" w:hanging="360"/>
      </w:pPr>
      <w:rPr>
        <w:rFonts w:ascii="Symbol" w:hAnsi="Symbol" w:hint="default"/>
      </w:rPr>
    </w:lvl>
    <w:lvl w:ilvl="1" w:tplc="BEC8911C">
      <w:start w:val="5"/>
      <w:numFmt w:val="bullet"/>
      <w:lvlText w:val="-"/>
      <w:lvlJc w:val="left"/>
      <w:pPr>
        <w:ind w:left="1080" w:hanging="360"/>
      </w:pPr>
      <w:rPr>
        <w:rFonts w:ascii="Calibri" w:eastAsiaTheme="minorEastAsia"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13776B20"/>
    <w:multiLevelType w:val="hybridMultilevel"/>
    <w:tmpl w:val="C9A8CAF0"/>
    <w:lvl w:ilvl="0" w:tplc="0C09000B">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15133AB5"/>
    <w:multiLevelType w:val="hybridMultilevel"/>
    <w:tmpl w:val="D64E214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1B9670B9"/>
    <w:multiLevelType w:val="hybridMultilevel"/>
    <w:tmpl w:val="E3585D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1FBA5C77"/>
    <w:multiLevelType w:val="multilevel"/>
    <w:tmpl w:val="FF4E1B0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nsid w:val="23577BA0"/>
    <w:multiLevelType w:val="hybridMultilevel"/>
    <w:tmpl w:val="CC16E776"/>
    <w:lvl w:ilvl="0" w:tplc="0C09000B">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6435543"/>
    <w:multiLevelType w:val="hybridMultilevel"/>
    <w:tmpl w:val="433011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3768590B"/>
    <w:multiLevelType w:val="hybridMultilevel"/>
    <w:tmpl w:val="B5C0F67E"/>
    <w:lvl w:ilvl="0" w:tplc="0B449F52">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3292EED"/>
    <w:multiLevelType w:val="hybridMultilevel"/>
    <w:tmpl w:val="7ADA6426"/>
    <w:lvl w:ilvl="0" w:tplc="BEC8911C">
      <w:start w:val="5"/>
      <w:numFmt w:val="bullet"/>
      <w:lvlText w:val="-"/>
      <w:lvlJc w:val="left"/>
      <w:pPr>
        <w:ind w:left="1080" w:hanging="360"/>
      </w:pPr>
      <w:rPr>
        <w:rFonts w:ascii="Calibri" w:eastAsiaTheme="minorEastAsia"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nsid w:val="51B73210"/>
    <w:multiLevelType w:val="multilevel"/>
    <w:tmpl w:val="9C90C16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90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nsid w:val="561B7F1F"/>
    <w:multiLevelType w:val="hybridMultilevel"/>
    <w:tmpl w:val="480C874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5">
    <w:nsid w:val="5BC13BCC"/>
    <w:multiLevelType w:val="hybridMultilevel"/>
    <w:tmpl w:val="7ECE17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nsid w:val="695A7796"/>
    <w:multiLevelType w:val="hybridMultilevel"/>
    <w:tmpl w:val="ECA65040"/>
    <w:lvl w:ilvl="0" w:tplc="19EE18EE">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9663100"/>
    <w:multiLevelType w:val="hybridMultilevel"/>
    <w:tmpl w:val="3112FF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nsid w:val="760A224B"/>
    <w:multiLevelType w:val="hybridMultilevel"/>
    <w:tmpl w:val="954AC1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24"/>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29"/>
  </w:num>
  <w:num w:numId="15">
    <w:abstractNumId w:val="14"/>
  </w:num>
  <w:num w:numId="16">
    <w:abstractNumId w:val="22"/>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22"/>
  </w:num>
  <w:num w:numId="20">
    <w:abstractNumId w:val="13"/>
  </w:num>
  <w:num w:numId="21">
    <w:abstractNumId w:val="18"/>
  </w:num>
  <w:num w:numId="22">
    <w:abstractNumId w:val="15"/>
  </w:num>
  <w:num w:numId="23">
    <w:abstractNumId w:val="22"/>
  </w:num>
  <w:num w:numId="24">
    <w:abstractNumId w:val="9"/>
  </w:num>
  <w:num w:numId="25">
    <w:abstractNumId w:val="11"/>
  </w:num>
  <w:num w:numId="26">
    <w:abstractNumId w:val="26"/>
  </w:num>
  <w:num w:numId="27">
    <w:abstractNumId w:val="20"/>
  </w:num>
  <w:num w:numId="28">
    <w:abstractNumId w:val="22"/>
  </w:num>
  <w:num w:numId="29">
    <w:abstractNumId w:val="22"/>
  </w:num>
  <w:num w:numId="30">
    <w:abstractNumId w:val="16"/>
  </w:num>
  <w:num w:numId="31">
    <w:abstractNumId w:val="12"/>
  </w:num>
  <w:num w:numId="32">
    <w:abstractNumId w:val="21"/>
  </w:num>
  <w:num w:numId="33">
    <w:abstractNumId w:val="22"/>
  </w:num>
  <w:num w:numId="34">
    <w:abstractNumId w:val="22"/>
  </w:num>
  <w:num w:numId="35">
    <w:abstractNumId w:val="19"/>
  </w:num>
  <w:num w:numId="36">
    <w:abstractNumId w:val="27"/>
  </w:num>
  <w:num w:numId="37">
    <w:abstractNumId w:val="22"/>
  </w:num>
  <w:num w:numId="38">
    <w:abstractNumId w:val="28"/>
  </w:num>
  <w:num w:numId="39">
    <w:abstractNumId w:val="22"/>
  </w:num>
  <w:num w:numId="40">
    <w:abstractNumId w:val="22"/>
  </w:num>
  <w:num w:numId="41">
    <w:abstractNumId w:val="25"/>
  </w:num>
  <w:num w:numId="42">
    <w:abstractNumId w:val="22"/>
  </w:num>
  <w:num w:numId="43">
    <w:abstractNumId w:val="22"/>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802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C10C19"/>
    <w:rsid w:val="00002721"/>
    <w:rsid w:val="00013D10"/>
    <w:rsid w:val="0002062B"/>
    <w:rsid w:val="00023DBF"/>
    <w:rsid w:val="00024E24"/>
    <w:rsid w:val="00034146"/>
    <w:rsid w:val="00035321"/>
    <w:rsid w:val="00036899"/>
    <w:rsid w:val="000452B5"/>
    <w:rsid w:val="0005664D"/>
    <w:rsid w:val="000603F6"/>
    <w:rsid w:val="00061DAD"/>
    <w:rsid w:val="00067BB7"/>
    <w:rsid w:val="00081050"/>
    <w:rsid w:val="000861A6"/>
    <w:rsid w:val="00090639"/>
    <w:rsid w:val="00091D7A"/>
    <w:rsid w:val="000A4B3C"/>
    <w:rsid w:val="000B66B5"/>
    <w:rsid w:val="000B7BB9"/>
    <w:rsid w:val="000D274A"/>
    <w:rsid w:val="000D5C9B"/>
    <w:rsid w:val="000E15F0"/>
    <w:rsid w:val="000E72F1"/>
    <w:rsid w:val="000F3BA2"/>
    <w:rsid w:val="000F48DF"/>
    <w:rsid w:val="0010001E"/>
    <w:rsid w:val="001125B4"/>
    <w:rsid w:val="001175BF"/>
    <w:rsid w:val="001249CB"/>
    <w:rsid w:val="001267A5"/>
    <w:rsid w:val="001339FB"/>
    <w:rsid w:val="00143FCD"/>
    <w:rsid w:val="00156B86"/>
    <w:rsid w:val="00163683"/>
    <w:rsid w:val="001673D0"/>
    <w:rsid w:val="00167C53"/>
    <w:rsid w:val="00177775"/>
    <w:rsid w:val="001826A1"/>
    <w:rsid w:val="00186E64"/>
    <w:rsid w:val="001876A0"/>
    <w:rsid w:val="001914A5"/>
    <w:rsid w:val="001B374F"/>
    <w:rsid w:val="001B6467"/>
    <w:rsid w:val="001B64A0"/>
    <w:rsid w:val="001C2AC2"/>
    <w:rsid w:val="001C7D8F"/>
    <w:rsid w:val="001D1373"/>
    <w:rsid w:val="001E2AA5"/>
    <w:rsid w:val="001E460E"/>
    <w:rsid w:val="001F5D50"/>
    <w:rsid w:val="00204AC2"/>
    <w:rsid w:val="002052C6"/>
    <w:rsid w:val="00221F9F"/>
    <w:rsid w:val="00223EB1"/>
    <w:rsid w:val="002254CB"/>
    <w:rsid w:val="00230BA6"/>
    <w:rsid w:val="00236917"/>
    <w:rsid w:val="00236BA4"/>
    <w:rsid w:val="0026798F"/>
    <w:rsid w:val="00270BDA"/>
    <w:rsid w:val="00272D7B"/>
    <w:rsid w:val="00275A2B"/>
    <w:rsid w:val="00276A24"/>
    <w:rsid w:val="00284464"/>
    <w:rsid w:val="00290E0B"/>
    <w:rsid w:val="00297997"/>
    <w:rsid w:val="002B01FB"/>
    <w:rsid w:val="002B06E6"/>
    <w:rsid w:val="002B6024"/>
    <w:rsid w:val="002C0B7C"/>
    <w:rsid w:val="002C19E3"/>
    <w:rsid w:val="002D271F"/>
    <w:rsid w:val="002D2F55"/>
    <w:rsid w:val="002D6386"/>
    <w:rsid w:val="002D7150"/>
    <w:rsid w:val="002D7BB1"/>
    <w:rsid w:val="002F4217"/>
    <w:rsid w:val="003016E6"/>
    <w:rsid w:val="00305B35"/>
    <w:rsid w:val="0032219A"/>
    <w:rsid w:val="00327C04"/>
    <w:rsid w:val="00332398"/>
    <w:rsid w:val="00335F46"/>
    <w:rsid w:val="00336882"/>
    <w:rsid w:val="00342393"/>
    <w:rsid w:val="00343129"/>
    <w:rsid w:val="00346BA7"/>
    <w:rsid w:val="00364068"/>
    <w:rsid w:val="00372FA2"/>
    <w:rsid w:val="00377F31"/>
    <w:rsid w:val="00384959"/>
    <w:rsid w:val="00387260"/>
    <w:rsid w:val="003926E9"/>
    <w:rsid w:val="00393CAF"/>
    <w:rsid w:val="00394CE6"/>
    <w:rsid w:val="00395D15"/>
    <w:rsid w:val="003A096B"/>
    <w:rsid w:val="003C3D8B"/>
    <w:rsid w:val="003C41D5"/>
    <w:rsid w:val="003D26DB"/>
    <w:rsid w:val="003D4092"/>
    <w:rsid w:val="003E3853"/>
    <w:rsid w:val="003F060E"/>
    <w:rsid w:val="003F7219"/>
    <w:rsid w:val="00402C2B"/>
    <w:rsid w:val="00403184"/>
    <w:rsid w:val="00406E5A"/>
    <w:rsid w:val="004104B1"/>
    <w:rsid w:val="00410738"/>
    <w:rsid w:val="00417E2C"/>
    <w:rsid w:val="004347B0"/>
    <w:rsid w:val="004404A6"/>
    <w:rsid w:val="00445813"/>
    <w:rsid w:val="00450DCA"/>
    <w:rsid w:val="00455B34"/>
    <w:rsid w:val="004602FF"/>
    <w:rsid w:val="004609B9"/>
    <w:rsid w:val="00463AAF"/>
    <w:rsid w:val="00477996"/>
    <w:rsid w:val="004814F1"/>
    <w:rsid w:val="00483946"/>
    <w:rsid w:val="004910E8"/>
    <w:rsid w:val="004941D5"/>
    <w:rsid w:val="004A0F20"/>
    <w:rsid w:val="004A5C34"/>
    <w:rsid w:val="004A6055"/>
    <w:rsid w:val="004A7BF4"/>
    <w:rsid w:val="004B256F"/>
    <w:rsid w:val="004B2A5A"/>
    <w:rsid w:val="004C037D"/>
    <w:rsid w:val="004C5803"/>
    <w:rsid w:val="004D0E75"/>
    <w:rsid w:val="004E3A6D"/>
    <w:rsid w:val="00502A2A"/>
    <w:rsid w:val="005109E5"/>
    <w:rsid w:val="005128AC"/>
    <w:rsid w:val="00513857"/>
    <w:rsid w:val="00516FD2"/>
    <w:rsid w:val="00530A44"/>
    <w:rsid w:val="00531817"/>
    <w:rsid w:val="005360D4"/>
    <w:rsid w:val="005433BB"/>
    <w:rsid w:val="00546F93"/>
    <w:rsid w:val="00546FC5"/>
    <w:rsid w:val="00552431"/>
    <w:rsid w:val="0055258D"/>
    <w:rsid w:val="00556F5C"/>
    <w:rsid w:val="005576B6"/>
    <w:rsid w:val="005624F3"/>
    <w:rsid w:val="00562B6B"/>
    <w:rsid w:val="00571CA9"/>
    <w:rsid w:val="005732A9"/>
    <w:rsid w:val="00580463"/>
    <w:rsid w:val="005811EF"/>
    <w:rsid w:val="005917B2"/>
    <w:rsid w:val="005A76BA"/>
    <w:rsid w:val="005B0878"/>
    <w:rsid w:val="005C7478"/>
    <w:rsid w:val="005C7D07"/>
    <w:rsid w:val="0060217B"/>
    <w:rsid w:val="00606282"/>
    <w:rsid w:val="00610654"/>
    <w:rsid w:val="00622A47"/>
    <w:rsid w:val="00624F0D"/>
    <w:rsid w:val="00633210"/>
    <w:rsid w:val="006442BE"/>
    <w:rsid w:val="006463BA"/>
    <w:rsid w:val="006649FA"/>
    <w:rsid w:val="00677B54"/>
    <w:rsid w:val="006856CA"/>
    <w:rsid w:val="0069392B"/>
    <w:rsid w:val="00696584"/>
    <w:rsid w:val="006B68D7"/>
    <w:rsid w:val="006B7005"/>
    <w:rsid w:val="006C3E55"/>
    <w:rsid w:val="006D03F9"/>
    <w:rsid w:val="006D0CDF"/>
    <w:rsid w:val="006D4028"/>
    <w:rsid w:val="006D4BF1"/>
    <w:rsid w:val="006E0574"/>
    <w:rsid w:val="006F46FE"/>
    <w:rsid w:val="006F4B48"/>
    <w:rsid w:val="007008CE"/>
    <w:rsid w:val="00704BD9"/>
    <w:rsid w:val="007066A7"/>
    <w:rsid w:val="00707E62"/>
    <w:rsid w:val="00712E91"/>
    <w:rsid w:val="00715820"/>
    <w:rsid w:val="007217D8"/>
    <w:rsid w:val="007329BB"/>
    <w:rsid w:val="007349C8"/>
    <w:rsid w:val="007352F3"/>
    <w:rsid w:val="007405DA"/>
    <w:rsid w:val="00742886"/>
    <w:rsid w:val="007670DF"/>
    <w:rsid w:val="00767665"/>
    <w:rsid w:val="0077285A"/>
    <w:rsid w:val="00772E50"/>
    <w:rsid w:val="00774515"/>
    <w:rsid w:val="00774A66"/>
    <w:rsid w:val="00792CA3"/>
    <w:rsid w:val="007976D5"/>
    <w:rsid w:val="007A02A5"/>
    <w:rsid w:val="007A29B0"/>
    <w:rsid w:val="007A7170"/>
    <w:rsid w:val="007B2C34"/>
    <w:rsid w:val="007B2FDD"/>
    <w:rsid w:val="007C2F41"/>
    <w:rsid w:val="007C5084"/>
    <w:rsid w:val="007C5C6E"/>
    <w:rsid w:val="007C745C"/>
    <w:rsid w:val="007D6109"/>
    <w:rsid w:val="007D61D2"/>
    <w:rsid w:val="007D7BBE"/>
    <w:rsid w:val="007E1944"/>
    <w:rsid w:val="007E3FC4"/>
    <w:rsid w:val="007E46F1"/>
    <w:rsid w:val="007F3989"/>
    <w:rsid w:val="007F6AA1"/>
    <w:rsid w:val="008068A9"/>
    <w:rsid w:val="00810BA0"/>
    <w:rsid w:val="00833D8B"/>
    <w:rsid w:val="0083468A"/>
    <w:rsid w:val="00834CE3"/>
    <w:rsid w:val="00842D43"/>
    <w:rsid w:val="00842FB2"/>
    <w:rsid w:val="00862DDF"/>
    <w:rsid w:val="00872E1E"/>
    <w:rsid w:val="00874A9C"/>
    <w:rsid w:val="00874C75"/>
    <w:rsid w:val="008805CE"/>
    <w:rsid w:val="00893772"/>
    <w:rsid w:val="00897A7D"/>
    <w:rsid w:val="008A1475"/>
    <w:rsid w:val="008A700D"/>
    <w:rsid w:val="008B6A42"/>
    <w:rsid w:val="008D4C04"/>
    <w:rsid w:val="008D7D8C"/>
    <w:rsid w:val="008E750A"/>
    <w:rsid w:val="008F3079"/>
    <w:rsid w:val="008F31AA"/>
    <w:rsid w:val="008F5EDE"/>
    <w:rsid w:val="009116EA"/>
    <w:rsid w:val="009155A0"/>
    <w:rsid w:val="00933671"/>
    <w:rsid w:val="00944863"/>
    <w:rsid w:val="009563BF"/>
    <w:rsid w:val="00960984"/>
    <w:rsid w:val="009701B1"/>
    <w:rsid w:val="009719BB"/>
    <w:rsid w:val="00977EA1"/>
    <w:rsid w:val="00984879"/>
    <w:rsid w:val="00985632"/>
    <w:rsid w:val="00985900"/>
    <w:rsid w:val="00986C08"/>
    <w:rsid w:val="009872DC"/>
    <w:rsid w:val="00990E55"/>
    <w:rsid w:val="00991B63"/>
    <w:rsid w:val="00995E5B"/>
    <w:rsid w:val="00996BE5"/>
    <w:rsid w:val="009B2428"/>
    <w:rsid w:val="009B277E"/>
    <w:rsid w:val="009B3BFB"/>
    <w:rsid w:val="009B5CB7"/>
    <w:rsid w:val="009B67CC"/>
    <w:rsid w:val="009B710C"/>
    <w:rsid w:val="009D0907"/>
    <w:rsid w:val="009D5F87"/>
    <w:rsid w:val="009E5AE3"/>
    <w:rsid w:val="009E5F23"/>
    <w:rsid w:val="009E660F"/>
    <w:rsid w:val="009F2623"/>
    <w:rsid w:val="00A02315"/>
    <w:rsid w:val="00A108FD"/>
    <w:rsid w:val="00A11055"/>
    <w:rsid w:val="00A11F30"/>
    <w:rsid w:val="00A16E65"/>
    <w:rsid w:val="00A17058"/>
    <w:rsid w:val="00A2425D"/>
    <w:rsid w:val="00A31242"/>
    <w:rsid w:val="00A36D9A"/>
    <w:rsid w:val="00A37947"/>
    <w:rsid w:val="00A439DE"/>
    <w:rsid w:val="00A44446"/>
    <w:rsid w:val="00A45D38"/>
    <w:rsid w:val="00A4773D"/>
    <w:rsid w:val="00A52530"/>
    <w:rsid w:val="00A55570"/>
    <w:rsid w:val="00A646AB"/>
    <w:rsid w:val="00A66E4D"/>
    <w:rsid w:val="00A73B4D"/>
    <w:rsid w:val="00A76936"/>
    <w:rsid w:val="00A84A12"/>
    <w:rsid w:val="00AB18C5"/>
    <w:rsid w:val="00AB761B"/>
    <w:rsid w:val="00AC4CD5"/>
    <w:rsid w:val="00AC65DA"/>
    <w:rsid w:val="00AE3A30"/>
    <w:rsid w:val="00AF48A7"/>
    <w:rsid w:val="00B0570A"/>
    <w:rsid w:val="00B074A6"/>
    <w:rsid w:val="00B13AA6"/>
    <w:rsid w:val="00B13F44"/>
    <w:rsid w:val="00B1439D"/>
    <w:rsid w:val="00B228A5"/>
    <w:rsid w:val="00B24D1A"/>
    <w:rsid w:val="00B3241F"/>
    <w:rsid w:val="00B35C27"/>
    <w:rsid w:val="00B3674C"/>
    <w:rsid w:val="00B37784"/>
    <w:rsid w:val="00B40237"/>
    <w:rsid w:val="00B409EF"/>
    <w:rsid w:val="00B44D30"/>
    <w:rsid w:val="00B45116"/>
    <w:rsid w:val="00B5500A"/>
    <w:rsid w:val="00B60024"/>
    <w:rsid w:val="00B73B52"/>
    <w:rsid w:val="00B848CC"/>
    <w:rsid w:val="00B85843"/>
    <w:rsid w:val="00B87796"/>
    <w:rsid w:val="00B9009B"/>
    <w:rsid w:val="00B9023A"/>
    <w:rsid w:val="00B90C29"/>
    <w:rsid w:val="00B95A8F"/>
    <w:rsid w:val="00B9628B"/>
    <w:rsid w:val="00BA7C31"/>
    <w:rsid w:val="00BB5743"/>
    <w:rsid w:val="00BC0908"/>
    <w:rsid w:val="00BC5774"/>
    <w:rsid w:val="00BD1421"/>
    <w:rsid w:val="00BD4123"/>
    <w:rsid w:val="00BE282B"/>
    <w:rsid w:val="00BE5305"/>
    <w:rsid w:val="00BE7379"/>
    <w:rsid w:val="00BF2529"/>
    <w:rsid w:val="00C012B3"/>
    <w:rsid w:val="00C026B7"/>
    <w:rsid w:val="00C02C42"/>
    <w:rsid w:val="00C05E74"/>
    <w:rsid w:val="00C06C28"/>
    <w:rsid w:val="00C10C19"/>
    <w:rsid w:val="00C10EBC"/>
    <w:rsid w:val="00C1389B"/>
    <w:rsid w:val="00C17D9D"/>
    <w:rsid w:val="00C2098E"/>
    <w:rsid w:val="00C247AD"/>
    <w:rsid w:val="00C52EE5"/>
    <w:rsid w:val="00C54F88"/>
    <w:rsid w:val="00C5649C"/>
    <w:rsid w:val="00C60136"/>
    <w:rsid w:val="00C601F6"/>
    <w:rsid w:val="00C61E3E"/>
    <w:rsid w:val="00C673A7"/>
    <w:rsid w:val="00C8202C"/>
    <w:rsid w:val="00C92A5B"/>
    <w:rsid w:val="00C964B8"/>
    <w:rsid w:val="00CA0ABE"/>
    <w:rsid w:val="00CA2DE1"/>
    <w:rsid w:val="00CA46EC"/>
    <w:rsid w:val="00CB2F67"/>
    <w:rsid w:val="00CB47E8"/>
    <w:rsid w:val="00CB6E69"/>
    <w:rsid w:val="00CC29CE"/>
    <w:rsid w:val="00CD01AF"/>
    <w:rsid w:val="00CD3DCE"/>
    <w:rsid w:val="00CF2400"/>
    <w:rsid w:val="00D00106"/>
    <w:rsid w:val="00D00675"/>
    <w:rsid w:val="00D04991"/>
    <w:rsid w:val="00D060FD"/>
    <w:rsid w:val="00D1191C"/>
    <w:rsid w:val="00D11CB4"/>
    <w:rsid w:val="00D1394D"/>
    <w:rsid w:val="00D22A24"/>
    <w:rsid w:val="00D3000D"/>
    <w:rsid w:val="00D315D9"/>
    <w:rsid w:val="00D35B90"/>
    <w:rsid w:val="00D40A36"/>
    <w:rsid w:val="00D478E0"/>
    <w:rsid w:val="00D618C5"/>
    <w:rsid w:val="00D71077"/>
    <w:rsid w:val="00D85CD1"/>
    <w:rsid w:val="00D863EB"/>
    <w:rsid w:val="00D87D86"/>
    <w:rsid w:val="00D903FD"/>
    <w:rsid w:val="00D96C08"/>
    <w:rsid w:val="00DA5D4F"/>
    <w:rsid w:val="00DB1A50"/>
    <w:rsid w:val="00DC64FA"/>
    <w:rsid w:val="00DD17C8"/>
    <w:rsid w:val="00DE0E2B"/>
    <w:rsid w:val="00DE5ACA"/>
    <w:rsid w:val="00DF1193"/>
    <w:rsid w:val="00E031AC"/>
    <w:rsid w:val="00E06C6D"/>
    <w:rsid w:val="00E11BEA"/>
    <w:rsid w:val="00E2308C"/>
    <w:rsid w:val="00E252D2"/>
    <w:rsid w:val="00E2690D"/>
    <w:rsid w:val="00E37668"/>
    <w:rsid w:val="00E37B50"/>
    <w:rsid w:val="00E40F04"/>
    <w:rsid w:val="00E57922"/>
    <w:rsid w:val="00E62D6F"/>
    <w:rsid w:val="00E805C0"/>
    <w:rsid w:val="00E84A53"/>
    <w:rsid w:val="00E84C5F"/>
    <w:rsid w:val="00E90FDD"/>
    <w:rsid w:val="00E97667"/>
    <w:rsid w:val="00EA0360"/>
    <w:rsid w:val="00EA7400"/>
    <w:rsid w:val="00EB2AC1"/>
    <w:rsid w:val="00EB3199"/>
    <w:rsid w:val="00ED3CCF"/>
    <w:rsid w:val="00ED43D2"/>
    <w:rsid w:val="00ED5DE6"/>
    <w:rsid w:val="00ED721B"/>
    <w:rsid w:val="00EE3B8C"/>
    <w:rsid w:val="00EE662E"/>
    <w:rsid w:val="00F03642"/>
    <w:rsid w:val="00F128FC"/>
    <w:rsid w:val="00F16705"/>
    <w:rsid w:val="00F26279"/>
    <w:rsid w:val="00F27F3E"/>
    <w:rsid w:val="00F37074"/>
    <w:rsid w:val="00F43998"/>
    <w:rsid w:val="00F500BD"/>
    <w:rsid w:val="00F548E9"/>
    <w:rsid w:val="00F56211"/>
    <w:rsid w:val="00F60A82"/>
    <w:rsid w:val="00F71011"/>
    <w:rsid w:val="00F74738"/>
    <w:rsid w:val="00F87489"/>
    <w:rsid w:val="00F87E02"/>
    <w:rsid w:val="00FA1937"/>
    <w:rsid w:val="00FA34E5"/>
    <w:rsid w:val="00FB10CB"/>
    <w:rsid w:val="00FC18A1"/>
    <w:rsid w:val="00FC2BC3"/>
    <w:rsid w:val="00FC2C90"/>
    <w:rsid w:val="00FD3979"/>
    <w:rsid w:val="00FE14F9"/>
    <w:rsid w:val="00FE1A76"/>
    <w:rsid w:val="00FE1EA7"/>
    <w:rsid w:val="00FE493C"/>
    <w:rsid w:val="00FF2D55"/>
    <w:rsid w:val="00FF37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02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25D"/>
  </w:style>
  <w:style w:type="paragraph" w:styleId="Heading1">
    <w:name w:val="heading 1"/>
    <w:basedOn w:val="Normal"/>
    <w:next w:val="Normal"/>
    <w:link w:val="Heading1Char"/>
    <w:uiPriority w:val="9"/>
    <w:qFormat/>
    <w:rsid w:val="00E90FDD"/>
    <w:pPr>
      <w:pBdr>
        <w:bottom w:val="single" w:sz="4" w:space="1" w:color="427730"/>
      </w:pBdr>
      <w:spacing w:before="360" w:after="240" w:line="240" w:lineRule="auto"/>
      <w:contextualSpacing/>
      <w:outlineLvl w:val="0"/>
    </w:pPr>
    <w:rPr>
      <w:rFonts w:ascii="Calibri" w:eastAsiaTheme="majorEastAsia" w:hAnsi="Calibri" w:cstheme="majorBidi"/>
      <w:b/>
      <w:bCs/>
      <w:color w:val="427730"/>
      <w:sz w:val="36"/>
      <w:szCs w:val="28"/>
    </w:rPr>
  </w:style>
  <w:style w:type="paragraph" w:styleId="Heading2">
    <w:name w:val="heading 2"/>
    <w:basedOn w:val="Normal"/>
    <w:next w:val="Normal"/>
    <w:link w:val="Heading2Char"/>
    <w:uiPriority w:val="9"/>
    <w:unhideWhenUsed/>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C10C19"/>
    <w:rPr>
      <w:color w:val="0000FF" w:themeColor="hyperlink"/>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E90FDD"/>
    <w:rPr>
      <w:rFonts w:ascii="Calibri" w:eastAsiaTheme="majorEastAsia" w:hAnsi="Calibri" w:cstheme="majorBidi"/>
      <w:b/>
      <w:bCs/>
      <w:color w:val="427730"/>
      <w:sz w:val="36"/>
      <w:szCs w:val="28"/>
    </w:rPr>
  </w:style>
  <w:style w:type="character" w:customStyle="1" w:styleId="Heading2Char">
    <w:name w:val="Heading 2 Char"/>
    <w:basedOn w:val="DefaultParagraphFont"/>
    <w:link w:val="Heading2"/>
    <w:uiPriority w:val="9"/>
    <w:rsid w:val="00A31242"/>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861A6"/>
    <w:pPr>
      <w:spacing w:after="120" w:line="240" w:lineRule="auto"/>
      <w:contextualSpacing/>
    </w:pPr>
    <w:rPr>
      <w:rFonts w:ascii="Calibri" w:eastAsiaTheme="majorEastAsia" w:hAnsi="Calibri" w:cstheme="majorBidi"/>
      <w:b/>
      <w:spacing w:val="5"/>
      <w:sz w:val="56"/>
      <w:szCs w:val="52"/>
    </w:rPr>
  </w:style>
  <w:style w:type="character" w:customStyle="1" w:styleId="TitleChar">
    <w:name w:val="Title Char"/>
    <w:basedOn w:val="DefaultParagraphFont"/>
    <w:link w:val="Title"/>
    <w:uiPriority w:val="10"/>
    <w:rsid w:val="000861A6"/>
    <w:rPr>
      <w:rFonts w:ascii="Calibri" w:eastAsiaTheme="majorEastAsia" w:hAnsi="Calibri" w:cstheme="majorBidi"/>
      <w:b/>
      <w:spacing w:val="5"/>
      <w:sz w:val="56"/>
      <w:szCs w:val="52"/>
    </w:rPr>
  </w:style>
  <w:style w:type="paragraph" w:styleId="Subtitle">
    <w:name w:val="Subtitle"/>
    <w:basedOn w:val="Normal"/>
    <w:next w:val="Normal"/>
    <w:link w:val="SubtitleChar"/>
    <w:uiPriority w:val="11"/>
    <w:qFormat/>
    <w:rsid w:val="00A2425D"/>
    <w:pPr>
      <w:spacing w:after="240"/>
    </w:pPr>
    <w:rPr>
      <w:rFonts w:ascii="Calibri" w:eastAsiaTheme="majorEastAsia" w:hAnsi="Calibri" w:cstheme="majorBidi"/>
      <w:b/>
      <w:iCs/>
      <w:color w:val="427730"/>
      <w:spacing w:val="13"/>
      <w:sz w:val="40"/>
      <w:szCs w:val="24"/>
    </w:rPr>
  </w:style>
  <w:style w:type="character" w:customStyle="1" w:styleId="SubtitleChar">
    <w:name w:val="Subtitle Char"/>
    <w:basedOn w:val="DefaultParagraphFont"/>
    <w:link w:val="Subtitle"/>
    <w:uiPriority w:val="11"/>
    <w:rsid w:val="00A2425D"/>
    <w:rPr>
      <w:rFonts w:ascii="Calibri" w:eastAsiaTheme="majorEastAsia" w:hAnsi="Calibri" w:cstheme="majorBidi"/>
      <w:b/>
      <w:iCs/>
      <w:color w:val="427730"/>
      <w:spacing w:val="13"/>
      <w:sz w:val="40"/>
      <w:szCs w:val="24"/>
    </w:rPr>
  </w:style>
  <w:style w:type="paragraph" w:styleId="NoSpacing">
    <w:name w:val="No Spacing"/>
    <w:basedOn w:val="Normal"/>
    <w:uiPriority w:val="1"/>
    <w:qFormat/>
    <w:rsid w:val="00AC65DA"/>
    <w:pPr>
      <w:spacing w:after="0" w:line="240" w:lineRule="auto"/>
    </w:pPr>
  </w:style>
  <w:style w:type="paragraph" w:styleId="ListParagraph">
    <w:name w:val="List Paragraph"/>
    <w:basedOn w:val="Normal"/>
    <w:uiPriority w:val="34"/>
    <w:qFormat/>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semiHidden/>
    <w:unhideWhenUsed/>
    <w:qFormat/>
    <w:rsid w:val="00AC65DA"/>
    <w:pPr>
      <w:outlineLvl w:val="9"/>
    </w:pPr>
    <w:rPr>
      <w:lang w:bidi="en-US"/>
    </w:rPr>
  </w:style>
  <w:style w:type="paragraph" w:styleId="ListNumber">
    <w:name w:val="List Number"/>
    <w:basedOn w:val="Normal"/>
    <w:uiPriority w:val="99"/>
    <w:unhideWhenUsed/>
    <w:rsid w:val="00FB10CB"/>
    <w:pPr>
      <w:numPr>
        <w:numId w:val="11"/>
      </w:numPr>
      <w:spacing w:after="120"/>
      <w:ind w:left="369" w:hanging="369"/>
      <w:contextualSpacing/>
    </w:pPr>
  </w:style>
  <w:style w:type="paragraph" w:styleId="ListNumber2">
    <w:name w:val="List Number 2"/>
    <w:basedOn w:val="Normal"/>
    <w:uiPriority w:val="99"/>
    <w:unhideWhenUsed/>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1"/>
      </w:numPr>
      <w:spacing w:after="120"/>
      <w:ind w:left="1701" w:hanging="765"/>
      <w:contextualSpacing/>
    </w:pPr>
  </w:style>
  <w:style w:type="paragraph" w:styleId="ListNumber4">
    <w:name w:val="List Number 4"/>
    <w:basedOn w:val="Normal"/>
    <w:uiPriority w:val="99"/>
    <w:unhideWhenUsed/>
    <w:rsid w:val="00406E5A"/>
    <w:pPr>
      <w:numPr>
        <w:ilvl w:val="3"/>
        <w:numId w:val="11"/>
      </w:numPr>
      <w:spacing w:after="120"/>
      <w:ind w:left="2637" w:hanging="936"/>
      <w:contextualSpacing/>
    </w:pPr>
  </w:style>
  <w:style w:type="paragraph" w:styleId="ListBullet">
    <w:name w:val="List Bullet"/>
    <w:basedOn w:val="Normal"/>
    <w:uiPriority w:val="99"/>
    <w:unhideWhenUsed/>
    <w:rsid w:val="00CA46EC"/>
    <w:pPr>
      <w:numPr>
        <w:numId w:val="16"/>
      </w:numPr>
      <w:spacing w:after="120"/>
      <w:contextualSpacing/>
    </w:pPr>
  </w:style>
  <w:style w:type="paragraph" w:styleId="ListBullet2">
    <w:name w:val="List Bullet 2"/>
    <w:basedOn w:val="Normal"/>
    <w:uiPriority w:val="99"/>
    <w:unhideWhenUsed/>
    <w:rsid w:val="00CA46EC"/>
    <w:pPr>
      <w:numPr>
        <w:ilvl w:val="1"/>
        <w:numId w:val="16"/>
      </w:numPr>
      <w:spacing w:after="120"/>
      <w:contextualSpacing/>
    </w:pPr>
  </w:style>
  <w:style w:type="paragraph" w:styleId="ListBullet3">
    <w:name w:val="List Bullet 3"/>
    <w:basedOn w:val="Normal"/>
    <w:uiPriority w:val="99"/>
    <w:unhideWhenUsed/>
    <w:rsid w:val="00CA46EC"/>
    <w:pPr>
      <w:numPr>
        <w:ilvl w:val="2"/>
        <w:numId w:val="16"/>
      </w:numPr>
      <w:spacing w:after="120"/>
      <w:contextualSpacing/>
    </w:pPr>
  </w:style>
  <w:style w:type="paragraph" w:styleId="ListBullet4">
    <w:name w:val="List Bullet 4"/>
    <w:basedOn w:val="Normal"/>
    <w:uiPriority w:val="99"/>
    <w:unhideWhenUsed/>
    <w:rsid w:val="00CA46EC"/>
    <w:pPr>
      <w:numPr>
        <w:ilvl w:val="3"/>
        <w:numId w:val="16"/>
      </w:numPr>
      <w:spacing w:after="120"/>
      <w:contextualSpacing/>
    </w:pPr>
  </w:style>
  <w:style w:type="table" w:styleId="TableGrid">
    <w:name w:val="Table Grid"/>
    <w:basedOn w:val="TableNormal"/>
    <w:uiPriority w:val="59"/>
    <w:rsid w:val="00792C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EEWRTable">
    <w:name w:val="DEEWR Table"/>
    <w:basedOn w:val="TableNormal"/>
    <w:uiPriority w:val="99"/>
    <w:rsid w:val="00ED3CCF"/>
    <w:pPr>
      <w:spacing w:after="0" w:line="240" w:lineRule="auto"/>
    </w:pPr>
    <w:rPr>
      <w:sz w:val="20"/>
    </w:rPr>
    <w:tblPr>
      <w:tblStyleRowBandSize w:val="1"/>
      <w:tblInd w:w="0" w:type="dxa"/>
      <w:tblCellMar>
        <w:top w:w="0" w:type="dxa"/>
        <w:left w:w="108" w:type="dxa"/>
        <w:bottom w:w="0" w:type="dxa"/>
        <w:right w:w="108" w:type="dxa"/>
      </w:tblCellMar>
    </w:tblPr>
    <w:tblStylePr w:type="firstRow">
      <w:pPr>
        <w:wordWrap/>
        <w:ind w:leftChars="0" w:left="0" w:rightChars="0" w:right="0"/>
        <w:jc w:val="left"/>
      </w:pPr>
      <w:rPr>
        <w:rFonts w:asciiTheme="minorHAnsi" w:hAnsiTheme="minorHAnsi"/>
        <w:b/>
        <w:color w:val="FFFFFF" w:themeColor="background1"/>
        <w:sz w:val="20"/>
      </w:rPr>
      <w:tblPr/>
      <w:tcPr>
        <w:shd w:val="clear" w:color="auto" w:fill="427730"/>
      </w:tcPr>
    </w:tblStylePr>
    <w:tblStylePr w:type="band2Horz">
      <w:tblPr/>
      <w:tcPr>
        <w:shd w:val="clear" w:color="auto" w:fill="D9E6DA"/>
      </w:tcPr>
    </w:tblStylePr>
  </w:style>
  <w:style w:type="paragraph" w:styleId="Header">
    <w:name w:val="header"/>
    <w:basedOn w:val="Normal"/>
    <w:link w:val="HeaderChar"/>
    <w:uiPriority w:val="99"/>
    <w:unhideWhenUsed/>
    <w:rsid w:val="007349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49C8"/>
  </w:style>
  <w:style w:type="paragraph" w:styleId="Footer">
    <w:name w:val="footer"/>
    <w:basedOn w:val="Normal"/>
    <w:link w:val="FooterChar"/>
    <w:uiPriority w:val="99"/>
    <w:unhideWhenUsed/>
    <w:rsid w:val="007349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49C8"/>
  </w:style>
  <w:style w:type="paragraph" w:styleId="BalloonText">
    <w:name w:val="Balloon Text"/>
    <w:basedOn w:val="Normal"/>
    <w:link w:val="BalloonTextChar"/>
    <w:uiPriority w:val="99"/>
    <w:semiHidden/>
    <w:unhideWhenUsed/>
    <w:rsid w:val="007349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49C8"/>
    <w:rPr>
      <w:rFonts w:ascii="Tahoma" w:hAnsi="Tahoma" w:cs="Tahoma"/>
      <w:sz w:val="16"/>
      <w:szCs w:val="16"/>
    </w:rPr>
  </w:style>
  <w:style w:type="paragraph" w:styleId="FootnoteText">
    <w:name w:val="footnote text"/>
    <w:aliases w:val="Footnote Text Char1 Char,Footnote Text Char Char Char,Footnote Text Char1 Char Char Char,Footnote Text Char Char Char Char Char,Footnote Text Char1 Char1,Footnote Text Char Char Char1"/>
    <w:basedOn w:val="Normal"/>
    <w:link w:val="FootnoteTextChar"/>
    <w:uiPriority w:val="99"/>
    <w:unhideWhenUsed/>
    <w:rsid w:val="003F060E"/>
    <w:pPr>
      <w:spacing w:after="0" w:line="240" w:lineRule="auto"/>
    </w:pPr>
    <w:rPr>
      <w:rFonts w:ascii="Arial" w:eastAsia="Times New Roman" w:hAnsi="Arial" w:cs="Times New Roman"/>
      <w:sz w:val="20"/>
      <w:szCs w:val="20"/>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1 Char,Footnote Text Char Char Char1 Char"/>
    <w:basedOn w:val="DefaultParagraphFont"/>
    <w:link w:val="FootnoteText"/>
    <w:uiPriority w:val="99"/>
    <w:rsid w:val="003F060E"/>
    <w:rPr>
      <w:rFonts w:ascii="Arial" w:eastAsia="Times New Roman" w:hAnsi="Arial" w:cs="Times New Roman"/>
      <w:sz w:val="20"/>
      <w:szCs w:val="20"/>
    </w:rPr>
  </w:style>
  <w:style w:type="character" w:styleId="FootnoteReference">
    <w:name w:val="footnote reference"/>
    <w:basedOn w:val="DefaultParagraphFont"/>
    <w:uiPriority w:val="99"/>
    <w:unhideWhenUsed/>
    <w:rsid w:val="003F060E"/>
    <w:rPr>
      <w:vertAlign w:val="superscript"/>
    </w:rPr>
  </w:style>
  <w:style w:type="table" w:styleId="LightShading-Accent1">
    <w:name w:val="Light Shading Accent 1"/>
    <w:basedOn w:val="TableNormal"/>
    <w:uiPriority w:val="60"/>
    <w:rsid w:val="003F060E"/>
    <w:pPr>
      <w:spacing w:after="0" w:line="240" w:lineRule="auto"/>
    </w:pPr>
    <w:rPr>
      <w:rFonts w:eastAsiaTheme="minorHAnsi"/>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FollowedHyperlink">
    <w:name w:val="FollowedHyperlink"/>
    <w:basedOn w:val="DefaultParagraphFont"/>
    <w:uiPriority w:val="99"/>
    <w:semiHidden/>
    <w:unhideWhenUsed/>
    <w:rsid w:val="00B074A6"/>
    <w:rPr>
      <w:color w:val="800080" w:themeColor="followedHyperlink"/>
      <w:u w:val="single"/>
    </w:rPr>
  </w:style>
  <w:style w:type="paragraph" w:styleId="Caption">
    <w:name w:val="caption"/>
    <w:basedOn w:val="Normal"/>
    <w:next w:val="Normal"/>
    <w:uiPriority w:val="35"/>
    <w:unhideWhenUsed/>
    <w:rsid w:val="00D11CB4"/>
    <w:pPr>
      <w:spacing w:line="240" w:lineRule="auto"/>
    </w:pPr>
    <w:rPr>
      <w:b/>
      <w:bCs/>
      <w:color w:val="4F81BD" w:themeColor="accent1"/>
      <w:sz w:val="18"/>
      <w:szCs w:val="18"/>
    </w:rPr>
  </w:style>
  <w:style w:type="character" w:styleId="CommentReference">
    <w:name w:val="annotation reference"/>
    <w:basedOn w:val="DefaultParagraphFont"/>
    <w:uiPriority w:val="99"/>
    <w:semiHidden/>
    <w:unhideWhenUsed/>
    <w:rsid w:val="000603F6"/>
    <w:rPr>
      <w:sz w:val="16"/>
      <w:szCs w:val="16"/>
    </w:rPr>
  </w:style>
  <w:style w:type="paragraph" w:styleId="CommentText">
    <w:name w:val="annotation text"/>
    <w:basedOn w:val="Normal"/>
    <w:link w:val="CommentTextChar"/>
    <w:uiPriority w:val="99"/>
    <w:semiHidden/>
    <w:unhideWhenUsed/>
    <w:rsid w:val="000603F6"/>
    <w:pPr>
      <w:spacing w:line="240" w:lineRule="auto"/>
    </w:pPr>
    <w:rPr>
      <w:sz w:val="20"/>
      <w:szCs w:val="20"/>
    </w:rPr>
  </w:style>
  <w:style w:type="character" w:customStyle="1" w:styleId="CommentTextChar">
    <w:name w:val="Comment Text Char"/>
    <w:basedOn w:val="DefaultParagraphFont"/>
    <w:link w:val="CommentText"/>
    <w:uiPriority w:val="99"/>
    <w:semiHidden/>
    <w:rsid w:val="000603F6"/>
    <w:rPr>
      <w:sz w:val="20"/>
      <w:szCs w:val="20"/>
    </w:rPr>
  </w:style>
  <w:style w:type="paragraph" w:styleId="CommentSubject">
    <w:name w:val="annotation subject"/>
    <w:basedOn w:val="CommentText"/>
    <w:next w:val="CommentText"/>
    <w:link w:val="CommentSubjectChar"/>
    <w:uiPriority w:val="99"/>
    <w:semiHidden/>
    <w:unhideWhenUsed/>
    <w:rsid w:val="000603F6"/>
    <w:rPr>
      <w:b/>
      <w:bCs/>
    </w:rPr>
  </w:style>
  <w:style w:type="character" w:customStyle="1" w:styleId="CommentSubjectChar">
    <w:name w:val="Comment Subject Char"/>
    <w:basedOn w:val="CommentTextChar"/>
    <w:link w:val="CommentSubject"/>
    <w:uiPriority w:val="99"/>
    <w:semiHidden/>
    <w:rsid w:val="000603F6"/>
    <w:rPr>
      <w:b/>
      <w:bCs/>
      <w:sz w:val="20"/>
      <w:szCs w:val="20"/>
    </w:rPr>
  </w:style>
  <w:style w:type="paragraph" w:styleId="Revision">
    <w:name w:val="Revision"/>
    <w:hidden/>
    <w:uiPriority w:val="99"/>
    <w:semiHidden/>
    <w:rsid w:val="00B35C27"/>
    <w:pPr>
      <w:spacing w:after="0" w:line="240" w:lineRule="auto"/>
    </w:pPr>
  </w:style>
  <w:style w:type="paragraph" w:styleId="NormalWeb">
    <w:name w:val="Normal (Web)"/>
    <w:basedOn w:val="Normal"/>
    <w:uiPriority w:val="99"/>
    <w:semiHidden/>
    <w:unhideWhenUsed/>
    <w:rsid w:val="00C1389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leHeading">
    <w:name w:val="Table Heading"/>
    <w:basedOn w:val="NormalWeb"/>
    <w:link w:val="TableHeadingChar"/>
    <w:qFormat/>
    <w:rsid w:val="009E660F"/>
    <w:pPr>
      <w:spacing w:line="300" w:lineRule="auto"/>
    </w:pPr>
    <w:rPr>
      <w:rFonts w:ascii="Calibri" w:hAnsi="Calibri"/>
      <w:b/>
      <w:color w:val="FFFFFF" w:themeColor="background1"/>
      <w:sz w:val="22"/>
    </w:rPr>
  </w:style>
  <w:style w:type="character" w:customStyle="1" w:styleId="TableHeadingChar">
    <w:name w:val="Table Heading Char"/>
    <w:basedOn w:val="DefaultParagraphFont"/>
    <w:link w:val="TableHeading"/>
    <w:rsid w:val="009E660F"/>
    <w:rPr>
      <w:rFonts w:ascii="Calibri" w:eastAsia="Times New Roman" w:hAnsi="Calibri" w:cs="Times New Roman"/>
      <w:b/>
      <w:color w:val="FFFFFF" w:themeColor="background1"/>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25D"/>
  </w:style>
  <w:style w:type="paragraph" w:styleId="Heading1">
    <w:name w:val="heading 1"/>
    <w:basedOn w:val="Normal"/>
    <w:next w:val="Normal"/>
    <w:link w:val="Heading1Char"/>
    <w:uiPriority w:val="9"/>
    <w:qFormat/>
    <w:rsid w:val="00E90FDD"/>
    <w:pPr>
      <w:pBdr>
        <w:bottom w:val="single" w:sz="4" w:space="1" w:color="427730"/>
      </w:pBdr>
      <w:spacing w:before="360" w:after="240" w:line="240" w:lineRule="auto"/>
      <w:contextualSpacing/>
      <w:outlineLvl w:val="0"/>
    </w:pPr>
    <w:rPr>
      <w:rFonts w:ascii="Calibri" w:eastAsiaTheme="majorEastAsia" w:hAnsi="Calibri" w:cstheme="majorBidi"/>
      <w:b/>
      <w:bCs/>
      <w:color w:val="427730"/>
      <w:sz w:val="36"/>
      <w:szCs w:val="28"/>
    </w:rPr>
  </w:style>
  <w:style w:type="paragraph" w:styleId="Heading2">
    <w:name w:val="heading 2"/>
    <w:basedOn w:val="Normal"/>
    <w:next w:val="Normal"/>
    <w:link w:val="Heading2Char"/>
    <w:uiPriority w:val="9"/>
    <w:unhideWhenUsed/>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C10C19"/>
    <w:rPr>
      <w:color w:val="0000FF" w:themeColor="hyperlink"/>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E90FDD"/>
    <w:rPr>
      <w:rFonts w:ascii="Calibri" w:eastAsiaTheme="majorEastAsia" w:hAnsi="Calibri" w:cstheme="majorBidi"/>
      <w:b/>
      <w:bCs/>
      <w:color w:val="427730"/>
      <w:sz w:val="36"/>
      <w:szCs w:val="28"/>
    </w:rPr>
  </w:style>
  <w:style w:type="character" w:customStyle="1" w:styleId="Heading2Char">
    <w:name w:val="Heading 2 Char"/>
    <w:basedOn w:val="DefaultParagraphFont"/>
    <w:link w:val="Heading2"/>
    <w:uiPriority w:val="9"/>
    <w:rsid w:val="00A31242"/>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861A6"/>
    <w:pPr>
      <w:spacing w:after="120" w:line="240" w:lineRule="auto"/>
      <w:contextualSpacing/>
    </w:pPr>
    <w:rPr>
      <w:rFonts w:ascii="Calibri" w:eastAsiaTheme="majorEastAsia" w:hAnsi="Calibri" w:cstheme="majorBidi"/>
      <w:b/>
      <w:spacing w:val="5"/>
      <w:sz w:val="56"/>
      <w:szCs w:val="52"/>
    </w:rPr>
  </w:style>
  <w:style w:type="character" w:customStyle="1" w:styleId="TitleChar">
    <w:name w:val="Title Char"/>
    <w:basedOn w:val="DefaultParagraphFont"/>
    <w:link w:val="Title"/>
    <w:uiPriority w:val="10"/>
    <w:rsid w:val="000861A6"/>
    <w:rPr>
      <w:rFonts w:ascii="Calibri" w:eastAsiaTheme="majorEastAsia" w:hAnsi="Calibri" w:cstheme="majorBidi"/>
      <w:b/>
      <w:spacing w:val="5"/>
      <w:sz w:val="56"/>
      <w:szCs w:val="52"/>
    </w:rPr>
  </w:style>
  <w:style w:type="paragraph" w:styleId="Subtitle">
    <w:name w:val="Subtitle"/>
    <w:basedOn w:val="Normal"/>
    <w:next w:val="Normal"/>
    <w:link w:val="SubtitleChar"/>
    <w:uiPriority w:val="11"/>
    <w:qFormat/>
    <w:rsid w:val="00A2425D"/>
    <w:pPr>
      <w:spacing w:after="240"/>
    </w:pPr>
    <w:rPr>
      <w:rFonts w:ascii="Calibri" w:eastAsiaTheme="majorEastAsia" w:hAnsi="Calibri" w:cstheme="majorBidi"/>
      <w:b/>
      <w:iCs/>
      <w:color w:val="427730"/>
      <w:spacing w:val="13"/>
      <w:sz w:val="40"/>
      <w:szCs w:val="24"/>
    </w:rPr>
  </w:style>
  <w:style w:type="character" w:customStyle="1" w:styleId="SubtitleChar">
    <w:name w:val="Subtitle Char"/>
    <w:basedOn w:val="DefaultParagraphFont"/>
    <w:link w:val="Subtitle"/>
    <w:uiPriority w:val="11"/>
    <w:rsid w:val="00A2425D"/>
    <w:rPr>
      <w:rFonts w:ascii="Calibri" w:eastAsiaTheme="majorEastAsia" w:hAnsi="Calibri" w:cstheme="majorBidi"/>
      <w:b/>
      <w:iCs/>
      <w:color w:val="427730"/>
      <w:spacing w:val="13"/>
      <w:sz w:val="40"/>
      <w:szCs w:val="24"/>
    </w:rPr>
  </w:style>
  <w:style w:type="paragraph" w:styleId="NoSpacing">
    <w:name w:val="No Spacing"/>
    <w:basedOn w:val="Normal"/>
    <w:uiPriority w:val="1"/>
    <w:qFormat/>
    <w:rsid w:val="00AC65DA"/>
    <w:pPr>
      <w:spacing w:after="0" w:line="240" w:lineRule="auto"/>
    </w:pPr>
  </w:style>
  <w:style w:type="paragraph" w:styleId="ListParagraph">
    <w:name w:val="List Paragraph"/>
    <w:basedOn w:val="Normal"/>
    <w:uiPriority w:val="34"/>
    <w:qFormat/>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semiHidden/>
    <w:unhideWhenUsed/>
    <w:qFormat/>
    <w:rsid w:val="00AC65DA"/>
    <w:pPr>
      <w:outlineLvl w:val="9"/>
    </w:pPr>
    <w:rPr>
      <w:lang w:bidi="en-US"/>
    </w:rPr>
  </w:style>
  <w:style w:type="paragraph" w:styleId="ListNumber">
    <w:name w:val="List Number"/>
    <w:basedOn w:val="Normal"/>
    <w:uiPriority w:val="99"/>
    <w:unhideWhenUsed/>
    <w:rsid w:val="00FB10CB"/>
    <w:pPr>
      <w:numPr>
        <w:numId w:val="11"/>
      </w:numPr>
      <w:spacing w:after="120"/>
      <w:ind w:left="369" w:hanging="369"/>
      <w:contextualSpacing/>
    </w:pPr>
  </w:style>
  <w:style w:type="paragraph" w:styleId="ListNumber2">
    <w:name w:val="List Number 2"/>
    <w:basedOn w:val="Normal"/>
    <w:uiPriority w:val="99"/>
    <w:unhideWhenUsed/>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1"/>
      </w:numPr>
      <w:spacing w:after="120"/>
      <w:ind w:left="1701" w:hanging="765"/>
      <w:contextualSpacing/>
    </w:pPr>
  </w:style>
  <w:style w:type="paragraph" w:styleId="ListNumber4">
    <w:name w:val="List Number 4"/>
    <w:basedOn w:val="Normal"/>
    <w:uiPriority w:val="99"/>
    <w:unhideWhenUsed/>
    <w:rsid w:val="00406E5A"/>
    <w:pPr>
      <w:numPr>
        <w:ilvl w:val="3"/>
        <w:numId w:val="11"/>
      </w:numPr>
      <w:spacing w:after="120"/>
      <w:ind w:left="2637" w:hanging="936"/>
      <w:contextualSpacing/>
    </w:pPr>
  </w:style>
  <w:style w:type="paragraph" w:styleId="ListBullet">
    <w:name w:val="List Bullet"/>
    <w:basedOn w:val="Normal"/>
    <w:uiPriority w:val="99"/>
    <w:unhideWhenUsed/>
    <w:rsid w:val="00CA46EC"/>
    <w:pPr>
      <w:numPr>
        <w:numId w:val="16"/>
      </w:numPr>
      <w:spacing w:after="120"/>
      <w:contextualSpacing/>
    </w:pPr>
  </w:style>
  <w:style w:type="paragraph" w:styleId="ListBullet2">
    <w:name w:val="List Bullet 2"/>
    <w:basedOn w:val="Normal"/>
    <w:uiPriority w:val="99"/>
    <w:unhideWhenUsed/>
    <w:rsid w:val="00CA46EC"/>
    <w:pPr>
      <w:numPr>
        <w:ilvl w:val="1"/>
        <w:numId w:val="16"/>
      </w:numPr>
      <w:spacing w:after="120"/>
      <w:contextualSpacing/>
    </w:pPr>
  </w:style>
  <w:style w:type="paragraph" w:styleId="ListBullet3">
    <w:name w:val="List Bullet 3"/>
    <w:basedOn w:val="Normal"/>
    <w:uiPriority w:val="99"/>
    <w:unhideWhenUsed/>
    <w:rsid w:val="00CA46EC"/>
    <w:pPr>
      <w:numPr>
        <w:ilvl w:val="2"/>
        <w:numId w:val="16"/>
      </w:numPr>
      <w:spacing w:after="120"/>
      <w:contextualSpacing/>
    </w:pPr>
  </w:style>
  <w:style w:type="paragraph" w:styleId="ListBullet4">
    <w:name w:val="List Bullet 4"/>
    <w:basedOn w:val="Normal"/>
    <w:uiPriority w:val="99"/>
    <w:unhideWhenUsed/>
    <w:rsid w:val="00CA46EC"/>
    <w:pPr>
      <w:numPr>
        <w:ilvl w:val="3"/>
        <w:numId w:val="16"/>
      </w:numPr>
      <w:spacing w:after="120"/>
      <w:contextualSpacing/>
    </w:pPr>
  </w:style>
  <w:style w:type="table" w:styleId="TableGrid">
    <w:name w:val="Table Grid"/>
    <w:basedOn w:val="TableNormal"/>
    <w:uiPriority w:val="59"/>
    <w:rsid w:val="00792C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EEWRTable">
    <w:name w:val="DEEWR Table"/>
    <w:basedOn w:val="TableNormal"/>
    <w:uiPriority w:val="99"/>
    <w:rsid w:val="00ED3CCF"/>
    <w:pPr>
      <w:spacing w:after="0" w:line="240" w:lineRule="auto"/>
    </w:pPr>
    <w:rPr>
      <w:sz w:val="20"/>
    </w:rPr>
    <w:tblPr>
      <w:tblStyleRowBandSize w:val="1"/>
      <w:tblInd w:w="0" w:type="dxa"/>
      <w:tblCellMar>
        <w:top w:w="0" w:type="dxa"/>
        <w:left w:w="108" w:type="dxa"/>
        <w:bottom w:w="0" w:type="dxa"/>
        <w:right w:w="108" w:type="dxa"/>
      </w:tblCellMar>
    </w:tblPr>
    <w:tblStylePr w:type="firstRow">
      <w:pPr>
        <w:wordWrap/>
        <w:ind w:leftChars="0" w:left="0" w:rightChars="0" w:right="0"/>
        <w:jc w:val="left"/>
      </w:pPr>
      <w:rPr>
        <w:rFonts w:asciiTheme="minorHAnsi" w:hAnsiTheme="minorHAnsi"/>
        <w:b/>
        <w:color w:val="FFFFFF" w:themeColor="background1"/>
        <w:sz w:val="20"/>
      </w:rPr>
      <w:tblPr/>
      <w:tcPr>
        <w:shd w:val="clear" w:color="auto" w:fill="427730"/>
      </w:tcPr>
    </w:tblStylePr>
    <w:tblStylePr w:type="band2Horz">
      <w:tblPr/>
      <w:tcPr>
        <w:shd w:val="clear" w:color="auto" w:fill="D9E6DA"/>
      </w:tcPr>
    </w:tblStylePr>
  </w:style>
  <w:style w:type="paragraph" w:styleId="Header">
    <w:name w:val="header"/>
    <w:basedOn w:val="Normal"/>
    <w:link w:val="HeaderChar"/>
    <w:uiPriority w:val="99"/>
    <w:unhideWhenUsed/>
    <w:rsid w:val="007349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49C8"/>
  </w:style>
  <w:style w:type="paragraph" w:styleId="Footer">
    <w:name w:val="footer"/>
    <w:basedOn w:val="Normal"/>
    <w:link w:val="FooterChar"/>
    <w:uiPriority w:val="99"/>
    <w:unhideWhenUsed/>
    <w:rsid w:val="007349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49C8"/>
  </w:style>
  <w:style w:type="paragraph" w:styleId="BalloonText">
    <w:name w:val="Balloon Text"/>
    <w:basedOn w:val="Normal"/>
    <w:link w:val="BalloonTextChar"/>
    <w:uiPriority w:val="99"/>
    <w:semiHidden/>
    <w:unhideWhenUsed/>
    <w:rsid w:val="007349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49C8"/>
    <w:rPr>
      <w:rFonts w:ascii="Tahoma" w:hAnsi="Tahoma" w:cs="Tahoma"/>
      <w:sz w:val="16"/>
      <w:szCs w:val="16"/>
    </w:rPr>
  </w:style>
  <w:style w:type="paragraph" w:styleId="FootnoteText">
    <w:name w:val="footnote text"/>
    <w:aliases w:val="Footnote Text Char1 Char,Footnote Text Char Char Char,Footnote Text Char1 Char Char Char,Footnote Text Char Char Char Char Char,Footnote Text Char1 Char1,Footnote Text Char Char Char1"/>
    <w:basedOn w:val="Normal"/>
    <w:link w:val="FootnoteTextChar"/>
    <w:uiPriority w:val="99"/>
    <w:unhideWhenUsed/>
    <w:rsid w:val="003F060E"/>
    <w:pPr>
      <w:spacing w:after="0" w:line="240" w:lineRule="auto"/>
    </w:pPr>
    <w:rPr>
      <w:rFonts w:ascii="Arial" w:eastAsia="Times New Roman" w:hAnsi="Arial" w:cs="Times New Roman"/>
      <w:sz w:val="20"/>
      <w:szCs w:val="20"/>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1 Char,Footnote Text Char Char Char1 Char"/>
    <w:basedOn w:val="DefaultParagraphFont"/>
    <w:link w:val="FootnoteText"/>
    <w:uiPriority w:val="99"/>
    <w:rsid w:val="003F060E"/>
    <w:rPr>
      <w:rFonts w:ascii="Arial" w:eastAsia="Times New Roman" w:hAnsi="Arial" w:cs="Times New Roman"/>
      <w:sz w:val="20"/>
      <w:szCs w:val="20"/>
    </w:rPr>
  </w:style>
  <w:style w:type="character" w:styleId="FootnoteReference">
    <w:name w:val="footnote reference"/>
    <w:basedOn w:val="DefaultParagraphFont"/>
    <w:uiPriority w:val="99"/>
    <w:unhideWhenUsed/>
    <w:rsid w:val="003F060E"/>
    <w:rPr>
      <w:vertAlign w:val="superscript"/>
    </w:rPr>
  </w:style>
  <w:style w:type="table" w:styleId="LightShading-Accent1">
    <w:name w:val="Light Shading Accent 1"/>
    <w:basedOn w:val="TableNormal"/>
    <w:uiPriority w:val="60"/>
    <w:rsid w:val="003F060E"/>
    <w:pPr>
      <w:spacing w:after="0" w:line="240" w:lineRule="auto"/>
    </w:pPr>
    <w:rPr>
      <w:rFonts w:eastAsiaTheme="minorHAnsi"/>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FollowedHyperlink">
    <w:name w:val="FollowedHyperlink"/>
    <w:basedOn w:val="DefaultParagraphFont"/>
    <w:uiPriority w:val="99"/>
    <w:semiHidden/>
    <w:unhideWhenUsed/>
    <w:rsid w:val="00B074A6"/>
    <w:rPr>
      <w:color w:val="800080" w:themeColor="followedHyperlink"/>
      <w:u w:val="single"/>
    </w:rPr>
  </w:style>
  <w:style w:type="paragraph" w:styleId="Caption">
    <w:name w:val="caption"/>
    <w:basedOn w:val="Normal"/>
    <w:next w:val="Normal"/>
    <w:uiPriority w:val="35"/>
    <w:unhideWhenUsed/>
    <w:rsid w:val="00D11CB4"/>
    <w:pPr>
      <w:spacing w:line="240" w:lineRule="auto"/>
    </w:pPr>
    <w:rPr>
      <w:b/>
      <w:bCs/>
      <w:color w:val="4F81BD" w:themeColor="accent1"/>
      <w:sz w:val="18"/>
      <w:szCs w:val="18"/>
    </w:rPr>
  </w:style>
  <w:style w:type="character" w:styleId="CommentReference">
    <w:name w:val="annotation reference"/>
    <w:basedOn w:val="DefaultParagraphFont"/>
    <w:uiPriority w:val="99"/>
    <w:semiHidden/>
    <w:unhideWhenUsed/>
    <w:rsid w:val="000603F6"/>
    <w:rPr>
      <w:sz w:val="16"/>
      <w:szCs w:val="16"/>
    </w:rPr>
  </w:style>
  <w:style w:type="paragraph" w:styleId="CommentText">
    <w:name w:val="annotation text"/>
    <w:basedOn w:val="Normal"/>
    <w:link w:val="CommentTextChar"/>
    <w:uiPriority w:val="99"/>
    <w:semiHidden/>
    <w:unhideWhenUsed/>
    <w:rsid w:val="000603F6"/>
    <w:pPr>
      <w:spacing w:line="240" w:lineRule="auto"/>
    </w:pPr>
    <w:rPr>
      <w:sz w:val="20"/>
      <w:szCs w:val="20"/>
    </w:rPr>
  </w:style>
  <w:style w:type="character" w:customStyle="1" w:styleId="CommentTextChar">
    <w:name w:val="Comment Text Char"/>
    <w:basedOn w:val="DefaultParagraphFont"/>
    <w:link w:val="CommentText"/>
    <w:uiPriority w:val="99"/>
    <w:semiHidden/>
    <w:rsid w:val="000603F6"/>
    <w:rPr>
      <w:sz w:val="20"/>
      <w:szCs w:val="20"/>
    </w:rPr>
  </w:style>
  <w:style w:type="paragraph" w:styleId="CommentSubject">
    <w:name w:val="annotation subject"/>
    <w:basedOn w:val="CommentText"/>
    <w:next w:val="CommentText"/>
    <w:link w:val="CommentSubjectChar"/>
    <w:uiPriority w:val="99"/>
    <w:semiHidden/>
    <w:unhideWhenUsed/>
    <w:rsid w:val="000603F6"/>
    <w:rPr>
      <w:b/>
      <w:bCs/>
    </w:rPr>
  </w:style>
  <w:style w:type="character" w:customStyle="1" w:styleId="CommentSubjectChar">
    <w:name w:val="Comment Subject Char"/>
    <w:basedOn w:val="CommentTextChar"/>
    <w:link w:val="CommentSubject"/>
    <w:uiPriority w:val="99"/>
    <w:semiHidden/>
    <w:rsid w:val="000603F6"/>
    <w:rPr>
      <w:b/>
      <w:bCs/>
      <w:sz w:val="20"/>
      <w:szCs w:val="20"/>
    </w:rPr>
  </w:style>
  <w:style w:type="paragraph" w:styleId="Revision">
    <w:name w:val="Revision"/>
    <w:hidden/>
    <w:uiPriority w:val="99"/>
    <w:semiHidden/>
    <w:rsid w:val="00B35C27"/>
    <w:pPr>
      <w:spacing w:after="0" w:line="240" w:lineRule="auto"/>
    </w:pPr>
  </w:style>
  <w:style w:type="paragraph" w:styleId="NormalWeb">
    <w:name w:val="Normal (Web)"/>
    <w:basedOn w:val="Normal"/>
    <w:uiPriority w:val="99"/>
    <w:semiHidden/>
    <w:unhideWhenUsed/>
    <w:rsid w:val="00C1389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leHeading">
    <w:name w:val="Table Heading"/>
    <w:basedOn w:val="NormalWeb"/>
    <w:link w:val="TableHeadingChar"/>
    <w:qFormat/>
    <w:rsid w:val="009E660F"/>
    <w:pPr>
      <w:spacing w:line="300" w:lineRule="auto"/>
    </w:pPr>
    <w:rPr>
      <w:rFonts w:ascii="Calibri" w:hAnsi="Calibri"/>
      <w:b/>
      <w:color w:val="FFFFFF" w:themeColor="background1"/>
      <w:sz w:val="22"/>
    </w:rPr>
  </w:style>
  <w:style w:type="character" w:customStyle="1" w:styleId="TableHeadingChar">
    <w:name w:val="Table Heading Char"/>
    <w:basedOn w:val="DefaultParagraphFont"/>
    <w:link w:val="TableHeading"/>
    <w:rsid w:val="009E660F"/>
    <w:rPr>
      <w:rFonts w:ascii="Calibri" w:eastAsia="Times New Roman" w:hAnsi="Calibri" w:cs="Times New Roman"/>
      <w:b/>
      <w:color w:val="FFFFFF" w:themeColor="background1"/>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501509417">
      <w:bodyDiv w:val="1"/>
      <w:marLeft w:val="0"/>
      <w:marRight w:val="0"/>
      <w:marTop w:val="0"/>
      <w:marBottom w:val="0"/>
      <w:divBdr>
        <w:top w:val="none" w:sz="0" w:space="0" w:color="auto"/>
        <w:left w:val="none" w:sz="0" w:space="0" w:color="auto"/>
        <w:bottom w:val="none" w:sz="0" w:space="0" w:color="auto"/>
        <w:right w:val="none" w:sz="0" w:space="0" w:color="auto"/>
      </w:divBdr>
    </w:div>
    <w:div w:id="1286689998">
      <w:bodyDiv w:val="1"/>
      <w:marLeft w:val="0"/>
      <w:marRight w:val="0"/>
      <w:marTop w:val="0"/>
      <w:marBottom w:val="0"/>
      <w:divBdr>
        <w:top w:val="none" w:sz="0" w:space="0" w:color="auto"/>
        <w:left w:val="none" w:sz="0" w:space="0" w:color="auto"/>
        <w:bottom w:val="none" w:sz="0" w:space="0" w:color="auto"/>
        <w:right w:val="none" w:sz="0" w:space="0" w:color="auto"/>
      </w:divBdr>
    </w:div>
    <w:div w:id="176464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3A96A9-2211-4024-975C-01B5F2CB60D8}"/>
</file>

<file path=customXml/itemProps2.xml><?xml version="1.0" encoding="utf-8"?>
<ds:datastoreItem xmlns:ds="http://schemas.openxmlformats.org/officeDocument/2006/customXml" ds:itemID="{C6E6F26A-1AA9-4ABF-93EF-A043FAAC5541}"/>
</file>

<file path=customXml/itemProps3.xml><?xml version="1.0" encoding="utf-8"?>
<ds:datastoreItem xmlns:ds="http://schemas.openxmlformats.org/officeDocument/2006/customXml" ds:itemID="{DD75735A-BF29-4B2F-8CF8-B8AB8BBEF97F}"/>
</file>

<file path=customXml/itemProps4.xml><?xml version="1.0" encoding="utf-8"?>
<ds:datastoreItem xmlns:ds="http://schemas.openxmlformats.org/officeDocument/2006/customXml" ds:itemID="{1E3E12F4-A6DA-473B-A12D-C9FF373E0E68}"/>
</file>

<file path=docProps/app.xml><?xml version="1.0" encoding="utf-8"?>
<Properties xmlns="http://schemas.openxmlformats.org/officeDocument/2006/extended-properties" xmlns:vt="http://schemas.openxmlformats.org/officeDocument/2006/docPropsVTypes">
  <Template>9A078F79.dotm</Template>
  <TotalTime>135</TotalTime>
  <Pages>1</Pages>
  <Words>417</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Danny Thomas</dc:creator>
  <cp:lastModifiedBy>Maria Cavalli</cp:lastModifiedBy>
  <cp:revision>15</cp:revision>
  <cp:lastPrinted>2014-03-06T06:55:00Z</cp:lastPrinted>
  <dcterms:created xsi:type="dcterms:W3CDTF">2014-03-13T00:30:00Z</dcterms:created>
  <dcterms:modified xsi:type="dcterms:W3CDTF">2014-06-16T03:12:00Z</dcterms:modified>
</cp:coreProperties>
</file>