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E2" w:rsidRPr="00F626BC" w:rsidRDefault="00F66FE2" w:rsidP="00F66FE2">
      <w:pPr>
        <w:pStyle w:val="Heading3"/>
        <w:rPr>
          <w:rStyle w:val="Heading1Char"/>
          <w:b w:val="0"/>
        </w:rPr>
      </w:pPr>
      <w:r w:rsidRPr="00BE2CA7">
        <w:rPr>
          <w:noProof/>
        </w:rPr>
        <w:drawing>
          <wp:inline distT="0" distB="0" distL="0" distR="0" wp14:anchorId="685E5E9D" wp14:editId="076093C4">
            <wp:extent cx="5760720" cy="507013"/>
            <wp:effectExtent l="0" t="0" r="0" b="7620"/>
            <wp:docPr id="34" name="Picture 34" descr="Australian Government Department of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07013"/>
                    </a:xfrm>
                    <a:prstGeom prst="rect">
                      <a:avLst/>
                    </a:prstGeom>
                    <a:noFill/>
                    <a:ln>
                      <a:noFill/>
                    </a:ln>
                  </pic:spPr>
                </pic:pic>
              </a:graphicData>
            </a:graphic>
          </wp:inline>
        </w:drawing>
      </w:r>
      <w:r w:rsidRPr="00F626BC">
        <w:rPr>
          <w:rStyle w:val="Heading1Char"/>
          <w:b w:val="0"/>
        </w:rPr>
        <w:t>Slide 1 Australian Government Department of Employment Central Victoria Priority Employment Area labour market overview – Ballarat presentation 13 June 2014.</w:t>
      </w:r>
    </w:p>
    <w:p w:rsidR="00F66FE2" w:rsidRDefault="00F66FE2" w:rsidP="00F66FE2"/>
    <w:p w:rsidR="00F66FE2" w:rsidRDefault="00F66FE2" w:rsidP="00F66FE2">
      <w:pPr>
        <w:rPr>
          <w:rFonts w:ascii="Calibri" w:hAnsi="Calibri" w:cs="Calibri"/>
          <w:kern w:val="24"/>
        </w:rPr>
      </w:pPr>
      <w:r w:rsidRPr="001F0AC8">
        <w:t xml:space="preserve">Presentation given by </w:t>
      </w:r>
      <w:r>
        <w:t xml:space="preserve">Ivan Neville Branch Manager </w:t>
      </w:r>
      <w:r w:rsidRPr="001F0AC8">
        <w:t xml:space="preserve">Labour Market Research and Analysis Branch based on survey </w:t>
      </w:r>
      <w:r>
        <w:rPr>
          <w:rFonts w:ascii="Calibri" w:hAnsi="Calibri" w:cs="Calibri"/>
          <w:kern w:val="24"/>
        </w:rPr>
        <w:t>of Central Victoria Priority Employment Area conducted November 2013</w:t>
      </w:r>
    </w:p>
    <w:p w:rsidR="00D954A6" w:rsidRPr="00D954A6" w:rsidRDefault="00D954A6">
      <w:pPr>
        <w:rPr>
          <w:rFonts w:cstheme="minorHAnsi"/>
          <w:sz w:val="20"/>
          <w:szCs w:val="20"/>
        </w:rPr>
      </w:pPr>
      <w:r w:rsidRPr="00D954A6">
        <w:rPr>
          <w:rFonts w:cstheme="minorHAnsi"/>
          <w:sz w:val="20"/>
          <w:szCs w:val="20"/>
        </w:rPr>
        <w:br w:type="page"/>
      </w:r>
    </w:p>
    <w:p w:rsidR="00D954A6" w:rsidRPr="00F626BC" w:rsidRDefault="00D954A6" w:rsidP="00F626BC">
      <w:pPr>
        <w:pStyle w:val="Heading1"/>
      </w:pPr>
      <w:r w:rsidRPr="00F626BC">
        <w:lastRenderedPageBreak/>
        <w:t>Slide 2</w:t>
      </w:r>
      <w:r w:rsidR="00287C6C" w:rsidRPr="00F626BC">
        <w:t xml:space="preserve"> </w:t>
      </w:r>
      <w:r w:rsidR="00667307" w:rsidRPr="00F626BC">
        <w:t>Map of Central Victoria</w:t>
      </w:r>
      <w:r w:rsidR="00287C6C" w:rsidRPr="00F626BC">
        <w:t xml:space="preserve"> – Ballarat region</w:t>
      </w:r>
    </w:p>
    <w:p w:rsidR="00D954A6" w:rsidRPr="00D954A6" w:rsidRDefault="00D954A6" w:rsidP="00D954A6">
      <w:pPr>
        <w:spacing w:line="360" w:lineRule="auto"/>
        <w:rPr>
          <w:rFonts w:cstheme="minorHAnsi"/>
          <w:sz w:val="20"/>
          <w:szCs w:val="20"/>
        </w:rPr>
      </w:pPr>
    </w:p>
    <w:p w:rsidR="00D954A6" w:rsidRDefault="008633F8" w:rsidP="00D954A6">
      <w:pPr>
        <w:spacing w:line="360" w:lineRule="auto"/>
        <w:jc w:val="center"/>
        <w:rPr>
          <w:rFonts w:cstheme="minorHAnsi"/>
          <w:sz w:val="20"/>
          <w:szCs w:val="20"/>
        </w:rPr>
      </w:pPr>
      <w:r w:rsidRPr="008633F8">
        <w:rPr>
          <w:noProof/>
        </w:rPr>
        <w:drawing>
          <wp:inline distT="0" distB="0" distL="0" distR="0" wp14:anchorId="25CCD0DC" wp14:editId="3D75515A">
            <wp:extent cx="5400000" cy="4050000"/>
            <wp:effectExtent l="19050" t="19050" r="10795" b="27305"/>
            <wp:docPr id="45" name="Picture 45" descr="Map of the Ballara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00" cy="4050000"/>
                    </a:xfrm>
                    <a:prstGeom prst="rect">
                      <a:avLst/>
                    </a:prstGeom>
                    <a:ln>
                      <a:solidFill>
                        <a:schemeClr val="tx1"/>
                      </a:solidFill>
                    </a:ln>
                  </pic:spPr>
                </pic:pic>
              </a:graphicData>
            </a:graphic>
          </wp:inline>
        </w:drawing>
      </w:r>
    </w:p>
    <w:p w:rsidR="00D954A6" w:rsidRPr="00A13816" w:rsidRDefault="00D954A6" w:rsidP="00A13816">
      <w:pPr>
        <w:rPr>
          <w:i/>
        </w:rPr>
      </w:pPr>
      <w:r w:rsidRPr="00A13816">
        <w:rPr>
          <w:i/>
        </w:rPr>
        <w:t>Source: ABS (ASGC), 2006 LGA boundaries</w:t>
      </w:r>
    </w:p>
    <w:p w:rsidR="00D954A6" w:rsidRPr="00D954A6" w:rsidRDefault="00D954A6" w:rsidP="00A13816"/>
    <w:p w:rsidR="00D954A6" w:rsidRPr="008633F8" w:rsidRDefault="00D954A6" w:rsidP="00A13816">
      <w:pPr>
        <w:rPr>
          <w:bCs/>
        </w:rPr>
      </w:pPr>
      <w:r w:rsidRPr="008633F8">
        <w:rPr>
          <w:bCs/>
        </w:rPr>
        <w:t>The Ballarat region includes the Local Government Areas (LGAs) of:</w:t>
      </w:r>
    </w:p>
    <w:p w:rsidR="00D954A6" w:rsidRPr="008633F8" w:rsidRDefault="00D954A6" w:rsidP="00A13816">
      <w:pPr>
        <w:pStyle w:val="ListParagraph"/>
        <w:numPr>
          <w:ilvl w:val="0"/>
          <w:numId w:val="8"/>
        </w:numPr>
      </w:pPr>
      <w:r w:rsidRPr="008633F8">
        <w:t xml:space="preserve">Northern Grampians </w:t>
      </w:r>
    </w:p>
    <w:p w:rsidR="00D954A6" w:rsidRPr="008633F8" w:rsidRDefault="00D954A6" w:rsidP="00A13816">
      <w:pPr>
        <w:pStyle w:val="ListParagraph"/>
        <w:numPr>
          <w:ilvl w:val="0"/>
          <w:numId w:val="8"/>
        </w:numPr>
      </w:pPr>
      <w:r w:rsidRPr="008633F8">
        <w:t>Ararat</w:t>
      </w:r>
    </w:p>
    <w:p w:rsidR="00D954A6" w:rsidRPr="008633F8" w:rsidRDefault="00D954A6" w:rsidP="00A13816">
      <w:pPr>
        <w:pStyle w:val="ListParagraph"/>
        <w:numPr>
          <w:ilvl w:val="0"/>
          <w:numId w:val="8"/>
        </w:numPr>
      </w:pPr>
      <w:r w:rsidRPr="008633F8">
        <w:t>Pyrenees</w:t>
      </w:r>
    </w:p>
    <w:p w:rsidR="00D954A6" w:rsidRPr="008633F8" w:rsidRDefault="00D954A6" w:rsidP="00A13816">
      <w:pPr>
        <w:pStyle w:val="ListParagraph"/>
        <w:numPr>
          <w:ilvl w:val="0"/>
          <w:numId w:val="8"/>
        </w:numPr>
      </w:pPr>
      <w:r w:rsidRPr="008633F8">
        <w:t>Ballarat</w:t>
      </w:r>
    </w:p>
    <w:p w:rsidR="00D954A6" w:rsidRPr="008633F8" w:rsidRDefault="00D954A6" w:rsidP="00A13816">
      <w:pPr>
        <w:pStyle w:val="ListParagraph"/>
        <w:numPr>
          <w:ilvl w:val="0"/>
          <w:numId w:val="8"/>
        </w:numPr>
      </w:pPr>
      <w:r w:rsidRPr="008633F8">
        <w:t>Moorabool</w:t>
      </w:r>
    </w:p>
    <w:p w:rsidR="00D954A6" w:rsidRPr="008633F8" w:rsidRDefault="00D954A6" w:rsidP="00A13816">
      <w:pPr>
        <w:pStyle w:val="ListParagraph"/>
        <w:numPr>
          <w:ilvl w:val="0"/>
          <w:numId w:val="8"/>
        </w:numPr>
      </w:pPr>
      <w:r w:rsidRPr="008633F8">
        <w:t>Hepburn</w:t>
      </w:r>
    </w:p>
    <w:p w:rsidR="00D954A6" w:rsidRPr="00D954A6" w:rsidRDefault="00D954A6" w:rsidP="00A13816">
      <w:pPr>
        <w:rPr>
          <w:b/>
          <w:bCs/>
        </w:rPr>
      </w:pPr>
    </w:p>
    <w:p w:rsidR="00D954A6" w:rsidRPr="008633F8" w:rsidRDefault="00D954A6" w:rsidP="00A13816">
      <w:pPr>
        <w:rPr>
          <w:bCs/>
        </w:rPr>
      </w:pPr>
      <w:r w:rsidRPr="008633F8">
        <w:rPr>
          <w:bCs/>
        </w:rPr>
        <w:t>The Central Victoria region includes the Ballarat region plus the following Local Government Areas (LGAs) of:</w:t>
      </w:r>
    </w:p>
    <w:p w:rsidR="00D954A6" w:rsidRPr="008633F8" w:rsidRDefault="00D954A6" w:rsidP="00A13816">
      <w:pPr>
        <w:pStyle w:val="ListParagraph"/>
        <w:numPr>
          <w:ilvl w:val="0"/>
          <w:numId w:val="9"/>
        </w:numPr>
      </w:pPr>
      <w:r w:rsidRPr="008633F8">
        <w:t>Central Goldfields</w:t>
      </w:r>
    </w:p>
    <w:p w:rsidR="00D954A6" w:rsidRPr="008633F8" w:rsidRDefault="00D954A6" w:rsidP="00A13816">
      <w:pPr>
        <w:pStyle w:val="ListParagraph"/>
        <w:numPr>
          <w:ilvl w:val="0"/>
          <w:numId w:val="9"/>
        </w:numPr>
      </w:pPr>
      <w:r w:rsidRPr="008633F8">
        <w:t>Greater Bendigo</w:t>
      </w:r>
    </w:p>
    <w:p w:rsidR="00D954A6" w:rsidRPr="008633F8" w:rsidRDefault="00D954A6" w:rsidP="00A13816">
      <w:pPr>
        <w:pStyle w:val="ListParagraph"/>
        <w:numPr>
          <w:ilvl w:val="0"/>
          <w:numId w:val="9"/>
        </w:numPr>
      </w:pPr>
      <w:r w:rsidRPr="008633F8">
        <w:t>Mount Alexander</w:t>
      </w:r>
    </w:p>
    <w:p w:rsidR="00D954A6" w:rsidRPr="008633F8" w:rsidRDefault="00D954A6" w:rsidP="00A13816"/>
    <w:p w:rsidR="00D954A6" w:rsidRPr="008633F8" w:rsidRDefault="00D954A6" w:rsidP="00A13816">
      <w:pPr>
        <w:rPr>
          <w:bCs/>
        </w:rPr>
      </w:pPr>
      <w:r w:rsidRPr="008633F8">
        <w:rPr>
          <w:bCs/>
        </w:rPr>
        <w:t>76% of the Ballarat SA4 population lives in the Ballarat region.</w:t>
      </w:r>
    </w:p>
    <w:p w:rsidR="00D954A6" w:rsidRPr="00D954A6" w:rsidRDefault="00D954A6">
      <w:pPr>
        <w:rPr>
          <w:rFonts w:cstheme="minorHAnsi"/>
          <w:sz w:val="20"/>
          <w:szCs w:val="20"/>
        </w:rPr>
      </w:pPr>
      <w:r w:rsidRPr="00D954A6">
        <w:rPr>
          <w:rFonts w:cstheme="minorHAnsi"/>
          <w:sz w:val="20"/>
          <w:szCs w:val="20"/>
        </w:rPr>
        <w:br w:type="page"/>
      </w:r>
    </w:p>
    <w:p w:rsidR="00667307" w:rsidRDefault="00D954A6" w:rsidP="00667307">
      <w:pPr>
        <w:pStyle w:val="Heading1"/>
      </w:pPr>
      <w:r w:rsidRPr="00667307">
        <w:lastRenderedPageBreak/>
        <w:t>Slide 3</w:t>
      </w:r>
      <w:r w:rsidR="00667307" w:rsidRPr="00667307">
        <w:t xml:space="preserve"> </w:t>
      </w:r>
      <w:proofErr w:type="gramStart"/>
      <w:r w:rsidR="00667307" w:rsidRPr="00667307">
        <w:t>What</w:t>
      </w:r>
      <w:proofErr w:type="gramEnd"/>
      <w:r w:rsidR="00667307" w:rsidRPr="00667307">
        <w:t xml:space="preserve"> has changed in the Ballarat region? (Since last survey, March 2012)</w:t>
      </w:r>
    </w:p>
    <w:p w:rsidR="00E60AB8" w:rsidRPr="00E60AB8" w:rsidRDefault="00E60AB8" w:rsidP="00E60AB8"/>
    <w:p w:rsidR="00D954A6" w:rsidRPr="00D954A6" w:rsidRDefault="00E60AB8" w:rsidP="00D954A6">
      <w:pPr>
        <w:spacing w:line="360" w:lineRule="auto"/>
        <w:jc w:val="center"/>
        <w:rPr>
          <w:rFonts w:cstheme="minorHAnsi"/>
          <w:sz w:val="20"/>
          <w:szCs w:val="20"/>
        </w:rPr>
      </w:pPr>
      <w:r w:rsidRPr="00E60AB8">
        <w:rPr>
          <w:noProof/>
        </w:rPr>
        <w:drawing>
          <wp:inline distT="0" distB="0" distL="0" distR="0" wp14:anchorId="58BEC3D5" wp14:editId="296BAFED">
            <wp:extent cx="5400000" cy="4050000"/>
            <wp:effectExtent l="19050" t="19050" r="10795" b="27305"/>
            <wp:docPr id="36" name="Picture 36" descr="Graph - What has changed in the Ballarat region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00" cy="4050000"/>
                    </a:xfrm>
                    <a:prstGeom prst="rect">
                      <a:avLst/>
                    </a:prstGeom>
                    <a:ln>
                      <a:solidFill>
                        <a:schemeClr val="tx1"/>
                      </a:solidFill>
                    </a:ln>
                  </pic:spPr>
                </pic:pic>
              </a:graphicData>
            </a:graphic>
          </wp:inline>
        </w:drawing>
      </w:r>
    </w:p>
    <w:p w:rsidR="00D954A6" w:rsidRPr="00A13816" w:rsidRDefault="00D954A6" w:rsidP="00A13816">
      <w:pPr>
        <w:rPr>
          <w:i/>
        </w:rPr>
      </w:pPr>
      <w:r w:rsidRPr="00A13816">
        <w:rPr>
          <w:i/>
        </w:rPr>
        <w:t>Source: ABS, Labour Force Survey, April 2014; Department of Employment, Small Area Labour Market data, December 2013; Survey of Employers’ Recruitment Experiences, Central Victoria PEA, November 2012 and November 2013; Department of Employment administrative data, March 2014</w:t>
      </w:r>
    </w:p>
    <w:p w:rsidR="00D954A6" w:rsidRPr="00D954A6" w:rsidRDefault="00D954A6" w:rsidP="00A13816"/>
    <w:p w:rsidR="00D954A6" w:rsidRPr="00E60AB8" w:rsidRDefault="00D954A6" w:rsidP="00A13816">
      <w:pPr>
        <w:pStyle w:val="ListParagraph"/>
        <w:numPr>
          <w:ilvl w:val="0"/>
          <w:numId w:val="10"/>
        </w:numPr>
      </w:pPr>
      <w:r w:rsidRPr="00E60AB8">
        <w:t>Labour market conditions in the Ballarat region have strengthened slightly since 2012.</w:t>
      </w:r>
    </w:p>
    <w:p w:rsidR="00D954A6" w:rsidRPr="00E60AB8" w:rsidRDefault="00D954A6" w:rsidP="00A13816">
      <w:pPr>
        <w:pStyle w:val="ListParagraph"/>
        <w:numPr>
          <w:ilvl w:val="0"/>
          <w:numId w:val="10"/>
        </w:numPr>
      </w:pPr>
      <w:r w:rsidRPr="00A13816">
        <w:rPr>
          <w:bCs/>
        </w:rPr>
        <w:t xml:space="preserve">The unemployment rate </w:t>
      </w:r>
      <w:r w:rsidRPr="00E60AB8">
        <w:t>in the Ballarat region decreased to 5.8 per cent in December 2013 from 6.7 per cent in December 2012 (SALM, December 2013).</w:t>
      </w:r>
    </w:p>
    <w:p w:rsidR="00D954A6" w:rsidRPr="00E60AB8" w:rsidRDefault="00D954A6" w:rsidP="00A13816">
      <w:pPr>
        <w:pStyle w:val="ListParagraph"/>
        <w:numPr>
          <w:ilvl w:val="0"/>
          <w:numId w:val="10"/>
        </w:numPr>
      </w:pPr>
      <w:r w:rsidRPr="00A13816">
        <w:rPr>
          <w:bCs/>
        </w:rPr>
        <w:t xml:space="preserve">The youth unemployment rate </w:t>
      </w:r>
      <w:r w:rsidRPr="00E60AB8">
        <w:t xml:space="preserve">for the Ballarat region dropped from </w:t>
      </w:r>
      <w:r w:rsidR="00A13816">
        <w:br/>
      </w:r>
      <w:r w:rsidRPr="00E60AB8">
        <w:t>17.7 per cent in April 2013 to 7.9 per cent in April 2014 (ABS LFS, April 2014).</w:t>
      </w:r>
    </w:p>
    <w:p w:rsidR="00D954A6" w:rsidRPr="00E60AB8" w:rsidRDefault="00D954A6" w:rsidP="00A13816">
      <w:pPr>
        <w:pStyle w:val="ListParagraph"/>
        <w:numPr>
          <w:ilvl w:val="0"/>
          <w:numId w:val="10"/>
        </w:numPr>
      </w:pPr>
      <w:r w:rsidRPr="00A13816">
        <w:rPr>
          <w:bCs/>
        </w:rPr>
        <w:t xml:space="preserve">Competition for vacancies </w:t>
      </w:r>
      <w:r w:rsidRPr="00E60AB8">
        <w:t>increased substantially.</w:t>
      </w:r>
    </w:p>
    <w:p w:rsidR="00D954A6" w:rsidRPr="00E60AB8" w:rsidRDefault="00D954A6" w:rsidP="00A13816">
      <w:pPr>
        <w:pStyle w:val="ListParagraph"/>
        <w:numPr>
          <w:ilvl w:val="0"/>
          <w:numId w:val="10"/>
        </w:numPr>
      </w:pPr>
      <w:r w:rsidRPr="00E60AB8">
        <w:t>The survey showed an increase</w:t>
      </w:r>
      <w:r w:rsidRPr="00A13816">
        <w:rPr>
          <w:bCs/>
        </w:rPr>
        <w:t xml:space="preserve"> in recruitment activity </w:t>
      </w:r>
      <w:r w:rsidRPr="00E60AB8">
        <w:t xml:space="preserve">and </w:t>
      </w:r>
      <w:r w:rsidRPr="00A13816">
        <w:rPr>
          <w:bCs/>
        </w:rPr>
        <w:t xml:space="preserve">expectations of future recruitment </w:t>
      </w:r>
      <w:r w:rsidRPr="00E60AB8">
        <w:t>were encouraging.</w:t>
      </w:r>
    </w:p>
    <w:p w:rsidR="00D954A6" w:rsidRPr="00D954A6" w:rsidRDefault="00D954A6">
      <w:pPr>
        <w:rPr>
          <w:rFonts w:cstheme="minorHAnsi"/>
          <w:sz w:val="20"/>
          <w:szCs w:val="20"/>
        </w:rPr>
      </w:pPr>
      <w:r w:rsidRPr="00D954A6">
        <w:rPr>
          <w:rFonts w:cstheme="minorHAnsi"/>
          <w:sz w:val="20"/>
          <w:szCs w:val="20"/>
        </w:rPr>
        <w:br w:type="page"/>
      </w:r>
    </w:p>
    <w:p w:rsidR="00D954A6" w:rsidRPr="00D954A6" w:rsidRDefault="00D954A6" w:rsidP="00667307">
      <w:pPr>
        <w:pStyle w:val="Heading1"/>
      </w:pPr>
      <w:r w:rsidRPr="00D954A6">
        <w:lastRenderedPageBreak/>
        <w:t>Slide 4</w:t>
      </w:r>
      <w:r w:rsidR="00667307">
        <w:t xml:space="preserve"> </w:t>
      </w:r>
      <w:r w:rsidR="00667307" w:rsidRPr="00D954A6">
        <w:t>Population profile for the Ballarat region</w:t>
      </w:r>
    </w:p>
    <w:p w:rsidR="00D954A6" w:rsidRPr="00D954A6" w:rsidRDefault="00D954A6" w:rsidP="00D954A6">
      <w:pPr>
        <w:spacing w:line="360" w:lineRule="auto"/>
        <w:rPr>
          <w:rFonts w:cstheme="minorHAnsi"/>
          <w:sz w:val="20"/>
          <w:szCs w:val="20"/>
        </w:rPr>
      </w:pPr>
    </w:p>
    <w:tbl>
      <w:tblPr>
        <w:tblW w:w="9185" w:type="dxa"/>
        <w:tblLayout w:type="fixed"/>
        <w:tblCellMar>
          <w:left w:w="0" w:type="dxa"/>
          <w:right w:w="0" w:type="dxa"/>
        </w:tblCellMar>
        <w:tblLook w:val="0600" w:firstRow="0" w:lastRow="0" w:firstColumn="0" w:lastColumn="0" w:noHBand="1" w:noVBand="1"/>
      </w:tblPr>
      <w:tblGrid>
        <w:gridCol w:w="2665"/>
        <w:gridCol w:w="1630"/>
        <w:gridCol w:w="1630"/>
        <w:gridCol w:w="1630"/>
        <w:gridCol w:w="1630"/>
      </w:tblGrid>
      <w:tr w:rsidR="00E119B5" w:rsidRPr="00A13816" w:rsidTr="00E15141">
        <w:trPr>
          <w:trHeight w:val="1014"/>
        </w:trPr>
        <w:tc>
          <w:tcPr>
            <w:tcW w:w="2665" w:type="dxa"/>
            <w:tcBorders>
              <w:top w:val="single" w:sz="4" w:space="0" w:color="000000"/>
              <w:left w:val="single" w:sz="4" w:space="0" w:color="000000"/>
              <w:bottom w:val="single" w:sz="4" w:space="0" w:color="000000"/>
              <w:right w:val="single" w:sz="4" w:space="0" w:color="000000"/>
            </w:tcBorders>
            <w:shd w:val="clear" w:color="auto" w:fill="376092"/>
            <w:tcMar>
              <w:top w:w="15" w:type="dxa"/>
              <w:left w:w="113" w:type="dxa"/>
              <w:bottom w:w="0" w:type="dxa"/>
              <w:right w:w="57" w:type="dxa"/>
            </w:tcMar>
            <w:vAlign w:val="center"/>
            <w:hideMark/>
          </w:tcPr>
          <w:p w:rsidR="00E119B5" w:rsidRPr="00A13816" w:rsidRDefault="00E119B5" w:rsidP="00A13816">
            <w:pPr>
              <w:pStyle w:val="Heading1"/>
              <w:rPr>
                <w:sz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376092"/>
            <w:tcMar>
              <w:top w:w="15" w:type="dxa"/>
              <w:left w:w="57" w:type="dxa"/>
              <w:bottom w:w="0" w:type="dxa"/>
              <w:right w:w="57" w:type="dxa"/>
            </w:tcMar>
            <w:vAlign w:val="center"/>
            <w:hideMark/>
          </w:tcPr>
          <w:p w:rsidR="00E119B5" w:rsidRPr="00A13816" w:rsidRDefault="00E119B5" w:rsidP="00B405D6">
            <w:pPr>
              <w:pStyle w:val="Heading1"/>
              <w:jc w:val="center"/>
              <w:rPr>
                <w:sz w:val="24"/>
              </w:rPr>
            </w:pPr>
            <w:r w:rsidRPr="00A13816">
              <w:rPr>
                <w:rFonts w:cs="Calibri"/>
                <w:color w:val="FFFFFF" w:themeColor="background1"/>
                <w:kern w:val="24"/>
                <w:sz w:val="24"/>
                <w:szCs w:val="21"/>
              </w:rPr>
              <w:t>Adult</w:t>
            </w:r>
            <w:r w:rsidRPr="00A13816">
              <w:rPr>
                <w:rFonts w:cs="Calibri"/>
                <w:color w:val="FFFFFF" w:themeColor="background1"/>
                <w:kern w:val="24"/>
                <w:sz w:val="24"/>
                <w:szCs w:val="21"/>
              </w:rPr>
              <w:br/>
              <w:t xml:space="preserve">Population </w:t>
            </w:r>
            <w:r w:rsidRPr="00A13816">
              <w:rPr>
                <w:rFonts w:cs="Calibri"/>
                <w:color w:val="FFFFFF" w:themeColor="background1"/>
                <w:kern w:val="24"/>
                <w:sz w:val="24"/>
                <w:szCs w:val="21"/>
              </w:rPr>
              <w:br/>
              <w:t>(15 +)</w:t>
            </w:r>
          </w:p>
        </w:tc>
        <w:tc>
          <w:tcPr>
            <w:tcW w:w="1630" w:type="dxa"/>
            <w:tcBorders>
              <w:top w:val="single" w:sz="4" w:space="0" w:color="000000"/>
              <w:left w:val="single" w:sz="4" w:space="0" w:color="000000"/>
              <w:bottom w:val="single" w:sz="4" w:space="0" w:color="000000"/>
              <w:right w:val="single" w:sz="4" w:space="0" w:color="000000"/>
            </w:tcBorders>
            <w:shd w:val="clear" w:color="auto" w:fill="376092"/>
            <w:tcMar>
              <w:top w:w="15" w:type="dxa"/>
              <w:left w:w="57" w:type="dxa"/>
              <w:bottom w:w="0" w:type="dxa"/>
              <w:right w:w="57" w:type="dxa"/>
            </w:tcMar>
            <w:vAlign w:val="center"/>
            <w:hideMark/>
          </w:tcPr>
          <w:p w:rsidR="00E119B5" w:rsidRPr="00A13816" w:rsidRDefault="00E119B5" w:rsidP="00B405D6">
            <w:pPr>
              <w:pStyle w:val="Heading1"/>
              <w:jc w:val="center"/>
              <w:rPr>
                <w:sz w:val="24"/>
              </w:rPr>
            </w:pPr>
            <w:r w:rsidRPr="00A13816">
              <w:rPr>
                <w:rFonts w:cs="Calibri"/>
                <w:color w:val="FFFFFF" w:themeColor="background1"/>
                <w:kern w:val="24"/>
                <w:sz w:val="24"/>
                <w:szCs w:val="21"/>
              </w:rPr>
              <w:t xml:space="preserve">Growth </w:t>
            </w:r>
            <w:r w:rsidRPr="00A13816">
              <w:rPr>
                <w:rFonts w:cs="Calibri"/>
                <w:color w:val="FFFFFF" w:themeColor="background1"/>
                <w:kern w:val="24"/>
                <w:sz w:val="24"/>
                <w:szCs w:val="21"/>
              </w:rPr>
              <w:br/>
              <w:t>2007 to 2012</w:t>
            </w:r>
          </w:p>
        </w:tc>
        <w:tc>
          <w:tcPr>
            <w:tcW w:w="1630" w:type="dxa"/>
            <w:tcBorders>
              <w:top w:val="single" w:sz="4" w:space="0" w:color="000000"/>
              <w:left w:val="single" w:sz="4" w:space="0" w:color="000000"/>
              <w:bottom w:val="single" w:sz="4" w:space="0" w:color="000000"/>
              <w:right w:val="single" w:sz="4" w:space="0" w:color="000000"/>
            </w:tcBorders>
            <w:shd w:val="clear" w:color="auto" w:fill="376092"/>
            <w:tcMar>
              <w:top w:w="15" w:type="dxa"/>
              <w:left w:w="57" w:type="dxa"/>
              <w:bottom w:w="0" w:type="dxa"/>
              <w:right w:w="57" w:type="dxa"/>
            </w:tcMar>
            <w:vAlign w:val="center"/>
            <w:hideMark/>
          </w:tcPr>
          <w:p w:rsidR="00E119B5" w:rsidRPr="00A13816" w:rsidRDefault="00E119B5" w:rsidP="00B405D6">
            <w:pPr>
              <w:pStyle w:val="Heading1"/>
              <w:jc w:val="center"/>
              <w:rPr>
                <w:sz w:val="24"/>
              </w:rPr>
            </w:pPr>
            <w:r w:rsidRPr="00A13816">
              <w:rPr>
                <w:rFonts w:cs="Calibri"/>
                <w:color w:val="FFFFFF" w:themeColor="background1"/>
                <w:kern w:val="24"/>
                <w:sz w:val="24"/>
                <w:szCs w:val="21"/>
              </w:rPr>
              <w:t xml:space="preserve">Working Age </w:t>
            </w:r>
            <w:r w:rsidRPr="00A13816">
              <w:rPr>
                <w:rFonts w:cs="Calibri"/>
                <w:color w:val="FFFFFF" w:themeColor="background1"/>
                <w:kern w:val="24"/>
                <w:sz w:val="24"/>
                <w:szCs w:val="21"/>
              </w:rPr>
              <w:br/>
              <w:t>(15-64) Participation Rate (2011)</w:t>
            </w:r>
          </w:p>
        </w:tc>
        <w:tc>
          <w:tcPr>
            <w:tcW w:w="1630" w:type="dxa"/>
            <w:tcBorders>
              <w:top w:val="single" w:sz="4" w:space="0" w:color="000000"/>
              <w:left w:val="single" w:sz="4" w:space="0" w:color="000000"/>
              <w:bottom w:val="single" w:sz="4" w:space="0" w:color="000000"/>
              <w:right w:val="single" w:sz="4" w:space="0" w:color="000000"/>
            </w:tcBorders>
            <w:shd w:val="clear" w:color="auto" w:fill="376092"/>
            <w:tcMar>
              <w:top w:w="15" w:type="dxa"/>
              <w:left w:w="57" w:type="dxa"/>
              <w:bottom w:w="0" w:type="dxa"/>
              <w:right w:w="57" w:type="dxa"/>
            </w:tcMar>
            <w:vAlign w:val="center"/>
            <w:hideMark/>
          </w:tcPr>
          <w:p w:rsidR="00E119B5" w:rsidRPr="00A13816" w:rsidRDefault="00E119B5" w:rsidP="00B405D6">
            <w:pPr>
              <w:pStyle w:val="Heading1"/>
              <w:jc w:val="center"/>
              <w:rPr>
                <w:sz w:val="24"/>
              </w:rPr>
            </w:pPr>
            <w:r w:rsidRPr="00A13816">
              <w:rPr>
                <w:rFonts w:cs="Calibri"/>
                <w:color w:val="FFFFFF" w:themeColor="background1"/>
                <w:kern w:val="24"/>
                <w:sz w:val="24"/>
                <w:szCs w:val="21"/>
              </w:rPr>
              <w:t xml:space="preserve">Median </w:t>
            </w:r>
            <w:proofErr w:type="gramStart"/>
            <w:r w:rsidRPr="00A13816">
              <w:rPr>
                <w:rFonts w:cs="Calibri"/>
                <w:color w:val="FFFFFF" w:themeColor="background1"/>
                <w:kern w:val="24"/>
                <w:sz w:val="24"/>
                <w:szCs w:val="21"/>
              </w:rPr>
              <w:t>Age</w:t>
            </w:r>
            <w:proofErr w:type="gramEnd"/>
            <w:r w:rsidRPr="00A13816">
              <w:rPr>
                <w:rFonts w:cs="Calibri"/>
                <w:color w:val="FFFFFF" w:themeColor="background1"/>
                <w:kern w:val="24"/>
                <w:sz w:val="24"/>
                <w:szCs w:val="21"/>
              </w:rPr>
              <w:br/>
              <w:t>(2011)</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Ballarat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78,300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74.6%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36</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Ararat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9,400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69.9%</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43</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Hepburn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12,200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71.6%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44</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Moorabool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23,200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75.6%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color w:val="000000" w:themeColor="text1"/>
                <w:sz w:val="28"/>
              </w:rPr>
              <w:t>37</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N. Grampians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9,900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73.0%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color w:val="000000" w:themeColor="text1"/>
                <w:sz w:val="28"/>
              </w:rPr>
              <w:t>42</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Pyrenees LGA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5,700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65.2%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color w:val="000000" w:themeColor="text1"/>
                <w:sz w:val="28"/>
              </w:rPr>
              <w:t>45</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DDD9C3"/>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Central Victoria region</w:t>
            </w:r>
          </w:p>
        </w:tc>
        <w:tc>
          <w:tcPr>
            <w:tcW w:w="1630"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247,900</w:t>
            </w:r>
          </w:p>
        </w:tc>
        <w:tc>
          <w:tcPr>
            <w:tcW w:w="1630"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73.5%</w:t>
            </w:r>
          </w:p>
        </w:tc>
        <w:tc>
          <w:tcPr>
            <w:tcW w:w="1630" w:type="dxa"/>
            <w:tcBorders>
              <w:top w:val="single" w:sz="4" w:space="0" w:color="000000"/>
              <w:left w:val="single" w:sz="4" w:space="0" w:color="000000"/>
              <w:bottom w:val="single" w:sz="4" w:space="0" w:color="000000"/>
              <w:right w:val="single" w:sz="4" w:space="0" w:color="000000"/>
            </w:tcBorders>
            <w:shd w:val="clear" w:color="auto" w:fill="DDD9C3"/>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40</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Victoria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4,599,100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color w:val="000000" w:themeColor="text1"/>
                <w:sz w:val="28"/>
              </w:rPr>
              <w:t>75.6%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color w:val="000000" w:themeColor="text1"/>
                <w:sz w:val="28"/>
              </w:rPr>
              <w:t>37</w:t>
            </w:r>
          </w:p>
        </w:tc>
      </w:tr>
      <w:tr w:rsidR="00E119B5" w:rsidRPr="003E3921" w:rsidTr="00E15141">
        <w:trPr>
          <w:trHeight w:val="20"/>
        </w:trPr>
        <w:tc>
          <w:tcPr>
            <w:tcW w:w="2665"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119B5" w:rsidRPr="000D7E39" w:rsidRDefault="00E119B5" w:rsidP="00B405D6">
            <w:pPr>
              <w:jc w:val="left"/>
              <w:rPr>
                <w:rFonts w:ascii="Arial" w:hAnsi="Arial" w:cs="Arial"/>
                <w:sz w:val="28"/>
                <w:szCs w:val="36"/>
              </w:rPr>
            </w:pPr>
            <w:r w:rsidRPr="000D7E39">
              <w:rPr>
                <w:sz w:val="28"/>
              </w:rPr>
              <w:t>Australia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18,419,600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119B5" w:rsidRPr="000D7E39" w:rsidRDefault="00E119B5" w:rsidP="00B405D6">
            <w:pPr>
              <w:jc w:val="center"/>
              <w:rPr>
                <w:rFonts w:ascii="Arial" w:hAnsi="Arial" w:cs="Arial"/>
                <w:sz w:val="28"/>
                <w:szCs w:val="36"/>
              </w:rPr>
            </w:pPr>
            <w:r w:rsidRPr="000D7E39">
              <w:rPr>
                <w:sz w:val="28"/>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75.8%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119B5" w:rsidRPr="000D7E39" w:rsidRDefault="00E119B5" w:rsidP="00B405D6">
            <w:pPr>
              <w:jc w:val="center"/>
              <w:rPr>
                <w:rFonts w:ascii="Arial" w:hAnsi="Arial" w:cs="Arial"/>
                <w:sz w:val="28"/>
                <w:szCs w:val="36"/>
              </w:rPr>
            </w:pPr>
            <w:r w:rsidRPr="000D7E39">
              <w:rPr>
                <w:sz w:val="28"/>
              </w:rPr>
              <w:t>37</w:t>
            </w:r>
          </w:p>
        </w:tc>
      </w:tr>
    </w:tbl>
    <w:p w:rsidR="00D954A6" w:rsidRPr="00A13816" w:rsidRDefault="00D954A6" w:rsidP="00A13816">
      <w:pPr>
        <w:rPr>
          <w:i/>
        </w:rPr>
      </w:pPr>
      <w:r w:rsidRPr="00A13816">
        <w:rPr>
          <w:i/>
        </w:rPr>
        <w:t>Source: ABS, Estimated Resident Population, 2007 and 2012; ABS, Census of Population and Housing, 2011</w:t>
      </w:r>
    </w:p>
    <w:p w:rsidR="00D954A6" w:rsidRPr="00D954A6" w:rsidRDefault="00D954A6" w:rsidP="00A13816"/>
    <w:p w:rsidR="00D954A6" w:rsidRPr="00D954A6" w:rsidRDefault="00D954A6" w:rsidP="00A13816">
      <w:r w:rsidRPr="00D954A6">
        <w:t>The adult population (15 years+) in the Central Victoria region (247,900) has increased by 8 per cent in the five years to June 2012. The adult population for Victoria and Australia have both increased in the same period by 10 per cent. The Moorabool LGA has the strongest population growth (13</w:t>
      </w:r>
      <w:r>
        <w:t> </w:t>
      </w:r>
      <w:r w:rsidRPr="00D954A6">
        <w:t>per</w:t>
      </w:r>
      <w:r>
        <w:t> </w:t>
      </w:r>
      <w:r w:rsidRPr="00D954A6">
        <w:t>cent) while the Ararat and N. Grampians LGAs had the weakest (both 1 per cent).</w:t>
      </w:r>
    </w:p>
    <w:p w:rsidR="00D954A6" w:rsidRPr="00D954A6" w:rsidRDefault="00D954A6" w:rsidP="00A13816"/>
    <w:p w:rsidR="00D954A6" w:rsidRPr="00D954A6" w:rsidRDefault="00D954A6" w:rsidP="00A13816">
      <w:r w:rsidRPr="00D954A6">
        <w:t xml:space="preserve">At the time of the 2011 Census, the Working Age Population (15-64 years) participation rate for the region was 73.5 per cent, slightly weaker that Victoria </w:t>
      </w:r>
      <w:r w:rsidR="00A13816">
        <w:br/>
      </w:r>
      <w:r w:rsidRPr="00D954A6">
        <w:t>(75.6 per cent) and Australia (75.8 per cent).</w:t>
      </w:r>
    </w:p>
    <w:p w:rsidR="00D954A6" w:rsidRPr="00D954A6" w:rsidRDefault="00D954A6" w:rsidP="00A13816"/>
    <w:p w:rsidR="00D954A6" w:rsidRPr="00D954A6" w:rsidRDefault="00D954A6" w:rsidP="00A13816">
      <w:r w:rsidRPr="00D954A6">
        <w:t>The median age in the region was 40 years at the time of the 2011 Census, a slightly higher age compared with Victoria and Australia (both 37 years). The Pyrenees LGA had the highest median age (45 years).</w:t>
      </w:r>
    </w:p>
    <w:p w:rsidR="00D954A6" w:rsidRPr="00D954A6" w:rsidRDefault="00D954A6">
      <w:pPr>
        <w:rPr>
          <w:rFonts w:cstheme="minorHAnsi"/>
          <w:sz w:val="20"/>
          <w:szCs w:val="20"/>
        </w:rPr>
      </w:pPr>
      <w:r w:rsidRPr="00D954A6">
        <w:rPr>
          <w:rFonts w:cstheme="minorHAnsi"/>
          <w:sz w:val="20"/>
          <w:szCs w:val="20"/>
        </w:rPr>
        <w:br w:type="page"/>
      </w:r>
    </w:p>
    <w:p w:rsidR="00D954A6" w:rsidRDefault="00D954A6" w:rsidP="002971B5">
      <w:pPr>
        <w:pStyle w:val="Heading1"/>
      </w:pPr>
      <w:r w:rsidRPr="00D954A6">
        <w:lastRenderedPageBreak/>
        <w:t>Slide 5</w:t>
      </w:r>
      <w:r w:rsidR="00667307">
        <w:t xml:space="preserve"> </w:t>
      </w:r>
      <w:r w:rsidR="00667307" w:rsidRPr="00D954A6">
        <w:t>Age distribution — Ballarat region</w:t>
      </w:r>
    </w:p>
    <w:p w:rsidR="0022312A" w:rsidRPr="0022312A" w:rsidRDefault="0022312A" w:rsidP="0022312A"/>
    <w:p w:rsidR="00D954A6" w:rsidRPr="00D954A6" w:rsidRDefault="002971B5" w:rsidP="00D954A6">
      <w:pPr>
        <w:spacing w:line="360" w:lineRule="auto"/>
        <w:jc w:val="center"/>
        <w:rPr>
          <w:rFonts w:cstheme="minorHAnsi"/>
          <w:sz w:val="20"/>
          <w:szCs w:val="20"/>
        </w:rPr>
      </w:pPr>
      <w:r w:rsidRPr="002971B5">
        <w:rPr>
          <w:noProof/>
        </w:rPr>
        <w:drawing>
          <wp:inline distT="0" distB="0" distL="0" distR="0" wp14:anchorId="2348E001" wp14:editId="3DC65616">
            <wp:extent cx="5400000" cy="4050000"/>
            <wp:effectExtent l="19050" t="19050" r="10795" b="27305"/>
            <wp:docPr id="38" name="Picture 38" descr="Grpah - Age distribution from 1991 to 2012 - further describ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00" cy="4050000"/>
                    </a:xfrm>
                    <a:prstGeom prst="rect">
                      <a:avLst/>
                    </a:prstGeom>
                    <a:ln>
                      <a:solidFill>
                        <a:schemeClr val="tx1"/>
                      </a:solidFill>
                    </a:ln>
                  </pic:spPr>
                </pic:pic>
              </a:graphicData>
            </a:graphic>
          </wp:inline>
        </w:drawing>
      </w:r>
    </w:p>
    <w:p w:rsidR="00D954A6" w:rsidRPr="00A13816" w:rsidRDefault="00D954A6" w:rsidP="00A13816">
      <w:pPr>
        <w:rPr>
          <w:i/>
        </w:rPr>
      </w:pPr>
      <w:r w:rsidRPr="00A13816">
        <w:rPr>
          <w:i/>
        </w:rPr>
        <w:t>Source: ABS Estimated Resident Population, 2012 </w:t>
      </w:r>
    </w:p>
    <w:p w:rsidR="00D954A6" w:rsidRPr="00D954A6" w:rsidRDefault="00D954A6" w:rsidP="00A13816"/>
    <w:p w:rsidR="00D954A6" w:rsidRPr="00D954A6" w:rsidRDefault="007F775C" w:rsidP="00A13816">
      <w:r>
        <w:t>Over the 21 years between 1991 and 2012 the population has shown signs of aging.</w:t>
      </w:r>
    </w:p>
    <w:p w:rsidR="00D954A6" w:rsidRPr="00D954A6" w:rsidRDefault="00D954A6">
      <w:pPr>
        <w:rPr>
          <w:rFonts w:cstheme="minorHAnsi"/>
          <w:sz w:val="20"/>
          <w:szCs w:val="20"/>
        </w:rPr>
      </w:pPr>
      <w:r w:rsidRPr="00D954A6">
        <w:rPr>
          <w:rFonts w:cstheme="minorHAnsi"/>
          <w:sz w:val="20"/>
          <w:szCs w:val="20"/>
        </w:rPr>
        <w:br w:type="page"/>
      </w:r>
    </w:p>
    <w:p w:rsidR="00D954A6" w:rsidRDefault="00D954A6" w:rsidP="00667307">
      <w:pPr>
        <w:pStyle w:val="Heading1"/>
      </w:pPr>
      <w:r w:rsidRPr="00D954A6">
        <w:lastRenderedPageBreak/>
        <w:t>Slide 6</w:t>
      </w:r>
      <w:r w:rsidR="00667307">
        <w:t xml:space="preserve"> </w:t>
      </w:r>
      <w:r w:rsidR="00667307" w:rsidRPr="00D954A6">
        <w:t>More people moving into the region over the past 5 years - Working Age Population (15-64 years)</w:t>
      </w:r>
    </w:p>
    <w:p w:rsidR="0022312A" w:rsidRPr="0022312A" w:rsidRDefault="0022312A" w:rsidP="0022312A"/>
    <w:p w:rsidR="00D954A6" w:rsidRPr="00D954A6" w:rsidRDefault="00434D3E" w:rsidP="00D954A6">
      <w:pPr>
        <w:spacing w:line="360" w:lineRule="auto"/>
        <w:jc w:val="center"/>
        <w:rPr>
          <w:rFonts w:cstheme="minorHAnsi"/>
          <w:sz w:val="20"/>
          <w:szCs w:val="20"/>
        </w:rPr>
      </w:pPr>
      <w:r w:rsidRPr="00434D3E">
        <w:rPr>
          <w:noProof/>
        </w:rPr>
        <w:drawing>
          <wp:inline distT="0" distB="0" distL="0" distR="0" wp14:anchorId="7CE16E05" wp14:editId="6F46A276">
            <wp:extent cx="5400000" cy="4050000"/>
            <wp:effectExtent l="19050" t="19050" r="10795" b="27305"/>
            <wp:docPr id="40" name="Picture 40" descr="Graph - More people moving into the region over the past 5 years Working Age Population - decorative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00" cy="4050000"/>
                    </a:xfrm>
                    <a:prstGeom prst="rect">
                      <a:avLst/>
                    </a:prstGeom>
                    <a:ln>
                      <a:solidFill>
                        <a:schemeClr val="tx1"/>
                      </a:solidFill>
                    </a:ln>
                  </pic:spPr>
                </pic:pic>
              </a:graphicData>
            </a:graphic>
          </wp:inline>
        </w:drawing>
      </w:r>
    </w:p>
    <w:p w:rsidR="00D954A6" w:rsidRPr="00A13816" w:rsidRDefault="00D954A6" w:rsidP="00A13816">
      <w:pPr>
        <w:rPr>
          <w:i/>
        </w:rPr>
      </w:pPr>
      <w:r w:rsidRPr="00A13816">
        <w:rPr>
          <w:i/>
        </w:rPr>
        <w:t>Source: ABS Census of Population and Housing, 2011</w:t>
      </w:r>
    </w:p>
    <w:p w:rsidR="00D954A6" w:rsidRPr="00D954A6" w:rsidRDefault="00D954A6" w:rsidP="00A13816"/>
    <w:p w:rsidR="00D954A6" w:rsidRPr="00D954A6" w:rsidRDefault="00D954A6" w:rsidP="00A13816">
      <w:r w:rsidRPr="00D954A6">
        <w:t>In the five years to the 2011 Census, 19,500 people aged 15 to 64 have moved to the Ballarat region. The majority of people came from the following localities:</w:t>
      </w:r>
    </w:p>
    <w:p w:rsidR="00D954A6" w:rsidRPr="00D954A6" w:rsidRDefault="00D954A6" w:rsidP="00D954A6">
      <w:pPr>
        <w:autoSpaceDE w:val="0"/>
        <w:autoSpaceDN w:val="0"/>
        <w:adjustRightInd w:val="0"/>
        <w:rPr>
          <w:rFonts w:cstheme="minorHAnsi"/>
          <w:kern w:val="24"/>
          <w:sz w:val="20"/>
          <w:szCs w:val="20"/>
        </w:rPr>
      </w:pPr>
    </w:p>
    <w:tbl>
      <w:tblPr>
        <w:tblStyle w:val="TableGrid8"/>
        <w:tblW w:w="0" w:type="auto"/>
        <w:tblLook w:val="04A0" w:firstRow="1" w:lastRow="0" w:firstColumn="1" w:lastColumn="0" w:noHBand="0" w:noVBand="1"/>
      </w:tblPr>
      <w:tblGrid>
        <w:gridCol w:w="1951"/>
        <w:gridCol w:w="1701"/>
        <w:gridCol w:w="4253"/>
      </w:tblGrid>
      <w:tr w:rsidR="00B405D6" w:rsidRPr="00B405D6" w:rsidTr="00B405D6">
        <w:trPr>
          <w:cnfStyle w:val="100000000000" w:firstRow="1" w:lastRow="0" w:firstColumn="0" w:lastColumn="0" w:oddVBand="0" w:evenVBand="0" w:oddHBand="0" w:evenHBand="0" w:firstRowFirstColumn="0" w:firstRowLastColumn="0" w:lastRowFirstColumn="0" w:lastRowLastColumn="0"/>
        </w:trPr>
        <w:tc>
          <w:tcPr>
            <w:tcW w:w="1951" w:type="dxa"/>
            <w:tcBorders>
              <w:bottom w:val="nil"/>
            </w:tcBorders>
            <w:shd w:val="clear" w:color="auto" w:fill="002060"/>
          </w:tcPr>
          <w:p w:rsidR="00434D3E" w:rsidRPr="00B405D6" w:rsidRDefault="00344116" w:rsidP="00B405D6">
            <w:pPr>
              <w:pStyle w:val="Heading1"/>
              <w:jc w:val="center"/>
              <w:outlineLvl w:val="0"/>
              <w:rPr>
                <w:bCs/>
                <w:color w:val="FFFFFF" w:themeColor="background1"/>
                <w:sz w:val="24"/>
              </w:rPr>
            </w:pPr>
            <w:r>
              <w:rPr>
                <w:color w:val="FFFFFF" w:themeColor="background1"/>
                <w:sz w:val="24"/>
              </w:rPr>
              <w:t>R</w:t>
            </w:r>
            <w:r w:rsidR="00434D3E" w:rsidRPr="00B405D6">
              <w:rPr>
                <w:color w:val="FFFFFF" w:themeColor="background1"/>
                <w:sz w:val="24"/>
              </w:rPr>
              <w:t>egion</w:t>
            </w:r>
          </w:p>
        </w:tc>
        <w:tc>
          <w:tcPr>
            <w:tcW w:w="1701" w:type="dxa"/>
            <w:tcBorders>
              <w:bottom w:val="nil"/>
            </w:tcBorders>
            <w:shd w:val="clear" w:color="auto" w:fill="002060"/>
          </w:tcPr>
          <w:p w:rsidR="00434D3E" w:rsidRPr="00B405D6" w:rsidRDefault="00434D3E" w:rsidP="00B405D6">
            <w:pPr>
              <w:pStyle w:val="Heading1"/>
              <w:jc w:val="center"/>
              <w:outlineLvl w:val="0"/>
              <w:rPr>
                <w:bCs/>
                <w:color w:val="FFFFFF" w:themeColor="background1"/>
                <w:sz w:val="24"/>
              </w:rPr>
            </w:pPr>
            <w:r w:rsidRPr="00B405D6">
              <w:rPr>
                <w:color w:val="FFFFFF" w:themeColor="background1"/>
                <w:sz w:val="24"/>
              </w:rPr>
              <w:t>People</w:t>
            </w:r>
          </w:p>
        </w:tc>
        <w:tc>
          <w:tcPr>
            <w:tcW w:w="4253" w:type="dxa"/>
            <w:tcBorders>
              <w:bottom w:val="nil"/>
            </w:tcBorders>
            <w:shd w:val="clear" w:color="auto" w:fill="002060"/>
          </w:tcPr>
          <w:p w:rsidR="00434D3E" w:rsidRPr="00B405D6" w:rsidRDefault="00434D3E" w:rsidP="00B405D6">
            <w:pPr>
              <w:pStyle w:val="Heading1"/>
              <w:jc w:val="center"/>
              <w:outlineLvl w:val="0"/>
              <w:rPr>
                <w:bCs/>
                <w:color w:val="FFFFFF" w:themeColor="background1"/>
                <w:sz w:val="24"/>
              </w:rPr>
            </w:pPr>
            <w:r w:rsidRPr="00B405D6">
              <w:rPr>
                <w:color w:val="FFFFFF" w:themeColor="background1"/>
                <w:sz w:val="24"/>
              </w:rPr>
              <w:t>% of people who moved to the region</w:t>
            </w:r>
          </w:p>
        </w:tc>
      </w:tr>
      <w:tr w:rsidR="00434D3E" w:rsidRPr="00A13816" w:rsidTr="00B405D6">
        <w:tc>
          <w:tcPr>
            <w:tcW w:w="1951" w:type="dxa"/>
            <w:tcBorders>
              <w:top w:val="nil"/>
              <w:left w:val="nil"/>
              <w:bottom w:val="nil"/>
              <w:right w:val="nil"/>
            </w:tcBorders>
          </w:tcPr>
          <w:p w:rsidR="00434D3E" w:rsidRPr="00A13816" w:rsidRDefault="00434D3E" w:rsidP="00A13816">
            <w:pPr>
              <w:rPr>
                <w:sz w:val="20"/>
              </w:rPr>
            </w:pPr>
            <w:r w:rsidRPr="00A13816">
              <w:rPr>
                <w:sz w:val="20"/>
              </w:rPr>
              <w:t>Melbourne</w:t>
            </w:r>
          </w:p>
        </w:tc>
        <w:tc>
          <w:tcPr>
            <w:tcW w:w="1701" w:type="dxa"/>
            <w:tcBorders>
              <w:top w:val="nil"/>
              <w:left w:val="nil"/>
              <w:bottom w:val="nil"/>
              <w:right w:val="nil"/>
            </w:tcBorders>
          </w:tcPr>
          <w:p w:rsidR="00434D3E" w:rsidRPr="00A13816" w:rsidRDefault="00434D3E" w:rsidP="00B405D6">
            <w:pPr>
              <w:jc w:val="center"/>
              <w:rPr>
                <w:sz w:val="20"/>
              </w:rPr>
            </w:pPr>
            <w:r w:rsidRPr="00A13816">
              <w:rPr>
                <w:sz w:val="20"/>
              </w:rPr>
              <w:t>8</w:t>
            </w:r>
            <w:r w:rsidR="00B405D6">
              <w:rPr>
                <w:sz w:val="20"/>
              </w:rPr>
              <w:t>,</w:t>
            </w:r>
            <w:r w:rsidRPr="00A13816">
              <w:rPr>
                <w:sz w:val="20"/>
              </w:rPr>
              <w:t>070</w:t>
            </w:r>
          </w:p>
        </w:tc>
        <w:tc>
          <w:tcPr>
            <w:tcW w:w="4253" w:type="dxa"/>
            <w:tcBorders>
              <w:top w:val="nil"/>
              <w:left w:val="nil"/>
              <w:bottom w:val="nil"/>
              <w:right w:val="nil"/>
            </w:tcBorders>
          </w:tcPr>
          <w:p w:rsidR="00434D3E" w:rsidRPr="00A13816" w:rsidRDefault="00434D3E" w:rsidP="00B405D6">
            <w:pPr>
              <w:jc w:val="center"/>
              <w:rPr>
                <w:sz w:val="20"/>
              </w:rPr>
            </w:pPr>
            <w:r w:rsidRPr="00A13816">
              <w:rPr>
                <w:sz w:val="20"/>
              </w:rPr>
              <w:t>(41%)</w:t>
            </w:r>
          </w:p>
        </w:tc>
      </w:tr>
      <w:tr w:rsidR="00434D3E" w:rsidRPr="00A13816" w:rsidTr="00B405D6">
        <w:tc>
          <w:tcPr>
            <w:tcW w:w="1951" w:type="dxa"/>
            <w:tcBorders>
              <w:top w:val="nil"/>
              <w:left w:val="nil"/>
              <w:bottom w:val="nil"/>
              <w:right w:val="nil"/>
            </w:tcBorders>
          </w:tcPr>
          <w:p w:rsidR="00434D3E" w:rsidRPr="00A13816" w:rsidRDefault="00434D3E" w:rsidP="00A13816">
            <w:pPr>
              <w:rPr>
                <w:sz w:val="20"/>
              </w:rPr>
            </w:pPr>
            <w:r w:rsidRPr="00A13816">
              <w:rPr>
                <w:sz w:val="20"/>
              </w:rPr>
              <w:t>Overseas</w:t>
            </w:r>
          </w:p>
        </w:tc>
        <w:tc>
          <w:tcPr>
            <w:tcW w:w="1701" w:type="dxa"/>
            <w:tcBorders>
              <w:top w:val="nil"/>
              <w:left w:val="nil"/>
              <w:bottom w:val="nil"/>
              <w:right w:val="nil"/>
            </w:tcBorders>
          </w:tcPr>
          <w:p w:rsidR="00434D3E" w:rsidRPr="00A13816" w:rsidRDefault="00434D3E" w:rsidP="00B405D6">
            <w:pPr>
              <w:jc w:val="center"/>
              <w:rPr>
                <w:sz w:val="20"/>
              </w:rPr>
            </w:pPr>
            <w:r w:rsidRPr="00A13816">
              <w:rPr>
                <w:sz w:val="20"/>
              </w:rPr>
              <w:t>2</w:t>
            </w:r>
            <w:r w:rsidR="00B405D6">
              <w:rPr>
                <w:sz w:val="20"/>
              </w:rPr>
              <w:t>,</w:t>
            </w:r>
            <w:r w:rsidRPr="00A13816">
              <w:rPr>
                <w:sz w:val="20"/>
              </w:rPr>
              <w:t>400</w:t>
            </w:r>
          </w:p>
        </w:tc>
        <w:tc>
          <w:tcPr>
            <w:tcW w:w="4253" w:type="dxa"/>
            <w:tcBorders>
              <w:top w:val="nil"/>
              <w:left w:val="nil"/>
              <w:bottom w:val="nil"/>
              <w:right w:val="nil"/>
            </w:tcBorders>
          </w:tcPr>
          <w:p w:rsidR="00434D3E" w:rsidRPr="00A13816" w:rsidRDefault="00434D3E" w:rsidP="00B405D6">
            <w:pPr>
              <w:jc w:val="center"/>
              <w:rPr>
                <w:sz w:val="20"/>
              </w:rPr>
            </w:pPr>
            <w:r w:rsidRPr="00A13816">
              <w:rPr>
                <w:sz w:val="20"/>
              </w:rPr>
              <w:t>(12%)</w:t>
            </w:r>
          </w:p>
        </w:tc>
      </w:tr>
      <w:tr w:rsidR="00434D3E" w:rsidRPr="00A13816" w:rsidTr="00B405D6">
        <w:tc>
          <w:tcPr>
            <w:tcW w:w="1951" w:type="dxa"/>
            <w:tcBorders>
              <w:top w:val="nil"/>
              <w:left w:val="nil"/>
              <w:bottom w:val="nil"/>
              <w:right w:val="nil"/>
            </w:tcBorders>
          </w:tcPr>
          <w:p w:rsidR="00434D3E" w:rsidRPr="00A13816" w:rsidRDefault="00434D3E" w:rsidP="00A13816">
            <w:pPr>
              <w:rPr>
                <w:sz w:val="20"/>
              </w:rPr>
            </w:pPr>
            <w:r w:rsidRPr="00A13816">
              <w:rPr>
                <w:sz w:val="20"/>
              </w:rPr>
              <w:t>Queensland</w:t>
            </w:r>
          </w:p>
        </w:tc>
        <w:tc>
          <w:tcPr>
            <w:tcW w:w="1701" w:type="dxa"/>
            <w:tcBorders>
              <w:top w:val="nil"/>
              <w:left w:val="nil"/>
              <w:bottom w:val="nil"/>
              <w:right w:val="nil"/>
            </w:tcBorders>
          </w:tcPr>
          <w:p w:rsidR="00434D3E" w:rsidRPr="00A13816" w:rsidRDefault="00434D3E" w:rsidP="00B405D6">
            <w:pPr>
              <w:jc w:val="center"/>
              <w:rPr>
                <w:sz w:val="20"/>
              </w:rPr>
            </w:pPr>
            <w:r w:rsidRPr="00A13816">
              <w:rPr>
                <w:sz w:val="20"/>
              </w:rPr>
              <w:t>1</w:t>
            </w:r>
            <w:r w:rsidR="00B405D6">
              <w:rPr>
                <w:sz w:val="20"/>
              </w:rPr>
              <w:t>,</w:t>
            </w:r>
            <w:r w:rsidRPr="00A13816">
              <w:rPr>
                <w:sz w:val="20"/>
              </w:rPr>
              <w:t>100</w:t>
            </w:r>
          </w:p>
        </w:tc>
        <w:tc>
          <w:tcPr>
            <w:tcW w:w="4253" w:type="dxa"/>
            <w:tcBorders>
              <w:top w:val="nil"/>
              <w:left w:val="nil"/>
              <w:bottom w:val="nil"/>
              <w:right w:val="nil"/>
            </w:tcBorders>
          </w:tcPr>
          <w:p w:rsidR="00434D3E" w:rsidRPr="00A13816" w:rsidRDefault="00434D3E" w:rsidP="00B405D6">
            <w:pPr>
              <w:jc w:val="center"/>
              <w:rPr>
                <w:sz w:val="20"/>
              </w:rPr>
            </w:pPr>
            <w:r w:rsidRPr="00A13816">
              <w:rPr>
                <w:sz w:val="20"/>
              </w:rPr>
              <w:t>(6%)</w:t>
            </w:r>
          </w:p>
        </w:tc>
      </w:tr>
      <w:tr w:rsidR="00434D3E" w:rsidRPr="00A13816" w:rsidTr="00B405D6">
        <w:tc>
          <w:tcPr>
            <w:tcW w:w="1951" w:type="dxa"/>
            <w:tcBorders>
              <w:top w:val="nil"/>
              <w:left w:val="nil"/>
              <w:bottom w:val="nil"/>
              <w:right w:val="nil"/>
            </w:tcBorders>
          </w:tcPr>
          <w:p w:rsidR="00434D3E" w:rsidRPr="00A13816" w:rsidRDefault="00434D3E" w:rsidP="00A13816">
            <w:pPr>
              <w:rPr>
                <w:sz w:val="20"/>
              </w:rPr>
            </w:pPr>
            <w:r w:rsidRPr="00A13816">
              <w:rPr>
                <w:sz w:val="20"/>
              </w:rPr>
              <w:t>New South Wales</w:t>
            </w:r>
          </w:p>
        </w:tc>
        <w:tc>
          <w:tcPr>
            <w:tcW w:w="1701" w:type="dxa"/>
            <w:tcBorders>
              <w:top w:val="nil"/>
              <w:left w:val="nil"/>
              <w:bottom w:val="nil"/>
              <w:right w:val="nil"/>
            </w:tcBorders>
          </w:tcPr>
          <w:p w:rsidR="00434D3E" w:rsidRPr="00A13816" w:rsidRDefault="00434D3E" w:rsidP="00B405D6">
            <w:pPr>
              <w:jc w:val="center"/>
              <w:rPr>
                <w:sz w:val="20"/>
              </w:rPr>
            </w:pPr>
            <w:r w:rsidRPr="00A13816">
              <w:rPr>
                <w:sz w:val="20"/>
              </w:rPr>
              <w:t>1</w:t>
            </w:r>
            <w:r w:rsidR="00B405D6">
              <w:rPr>
                <w:sz w:val="20"/>
              </w:rPr>
              <w:t>,</w:t>
            </w:r>
            <w:r w:rsidRPr="00A13816">
              <w:rPr>
                <w:sz w:val="20"/>
              </w:rPr>
              <w:t>000</w:t>
            </w:r>
          </w:p>
        </w:tc>
        <w:tc>
          <w:tcPr>
            <w:tcW w:w="4253" w:type="dxa"/>
            <w:tcBorders>
              <w:top w:val="nil"/>
              <w:left w:val="nil"/>
              <w:bottom w:val="nil"/>
              <w:right w:val="nil"/>
            </w:tcBorders>
          </w:tcPr>
          <w:p w:rsidR="00434D3E" w:rsidRPr="00A13816" w:rsidRDefault="00434D3E" w:rsidP="00B405D6">
            <w:pPr>
              <w:jc w:val="center"/>
              <w:rPr>
                <w:sz w:val="20"/>
              </w:rPr>
            </w:pPr>
            <w:r w:rsidRPr="00A13816">
              <w:rPr>
                <w:sz w:val="20"/>
              </w:rPr>
              <w:t>(5%)</w:t>
            </w:r>
          </w:p>
        </w:tc>
      </w:tr>
      <w:tr w:rsidR="00434D3E" w:rsidRPr="00A13816" w:rsidTr="00B405D6">
        <w:tc>
          <w:tcPr>
            <w:tcW w:w="1951" w:type="dxa"/>
            <w:tcBorders>
              <w:top w:val="nil"/>
              <w:left w:val="nil"/>
              <w:bottom w:val="nil"/>
              <w:right w:val="nil"/>
            </w:tcBorders>
          </w:tcPr>
          <w:p w:rsidR="00434D3E" w:rsidRPr="00A13816" w:rsidRDefault="00434D3E" w:rsidP="00A13816">
            <w:pPr>
              <w:rPr>
                <w:sz w:val="20"/>
              </w:rPr>
            </w:pPr>
            <w:r w:rsidRPr="00A13816">
              <w:rPr>
                <w:sz w:val="20"/>
              </w:rPr>
              <w:t>Bendigo region</w:t>
            </w:r>
          </w:p>
        </w:tc>
        <w:tc>
          <w:tcPr>
            <w:tcW w:w="1701" w:type="dxa"/>
            <w:tcBorders>
              <w:top w:val="nil"/>
              <w:left w:val="nil"/>
              <w:bottom w:val="nil"/>
              <w:right w:val="nil"/>
            </w:tcBorders>
          </w:tcPr>
          <w:p w:rsidR="00434D3E" w:rsidRPr="00A13816" w:rsidRDefault="00434D3E" w:rsidP="00B405D6">
            <w:pPr>
              <w:jc w:val="center"/>
              <w:rPr>
                <w:sz w:val="20"/>
              </w:rPr>
            </w:pPr>
            <w:r w:rsidRPr="00A13816">
              <w:rPr>
                <w:sz w:val="20"/>
              </w:rPr>
              <w:t>700</w:t>
            </w:r>
          </w:p>
        </w:tc>
        <w:tc>
          <w:tcPr>
            <w:tcW w:w="4253" w:type="dxa"/>
            <w:tcBorders>
              <w:top w:val="nil"/>
              <w:left w:val="nil"/>
              <w:bottom w:val="nil"/>
              <w:right w:val="nil"/>
            </w:tcBorders>
          </w:tcPr>
          <w:p w:rsidR="00434D3E" w:rsidRPr="00A13816" w:rsidRDefault="00434D3E" w:rsidP="00B405D6">
            <w:pPr>
              <w:jc w:val="center"/>
              <w:rPr>
                <w:sz w:val="20"/>
              </w:rPr>
            </w:pPr>
            <w:r w:rsidRPr="00A13816">
              <w:rPr>
                <w:sz w:val="20"/>
              </w:rPr>
              <w:t>(4%)</w:t>
            </w:r>
          </w:p>
        </w:tc>
      </w:tr>
    </w:tbl>
    <w:p w:rsidR="00D954A6" w:rsidRPr="00A13816" w:rsidRDefault="00D954A6" w:rsidP="00D954A6">
      <w:pPr>
        <w:autoSpaceDE w:val="0"/>
        <w:autoSpaceDN w:val="0"/>
        <w:adjustRightInd w:val="0"/>
        <w:rPr>
          <w:rFonts w:cstheme="minorHAnsi"/>
          <w:kern w:val="24"/>
          <w:sz w:val="16"/>
          <w:szCs w:val="20"/>
        </w:rPr>
      </w:pPr>
    </w:p>
    <w:p w:rsidR="00D954A6" w:rsidRPr="00D954A6" w:rsidRDefault="00D954A6" w:rsidP="00A13816">
      <w:r w:rsidRPr="00D954A6">
        <w:t xml:space="preserve">In the five years to the 2011 Census, 13,300 people aged 15 to 64 moved out of the Ballarat region. </w:t>
      </w:r>
    </w:p>
    <w:p w:rsidR="00D954A6" w:rsidRPr="00D954A6" w:rsidRDefault="00D954A6" w:rsidP="00D954A6">
      <w:pPr>
        <w:autoSpaceDE w:val="0"/>
        <w:autoSpaceDN w:val="0"/>
        <w:adjustRightInd w:val="0"/>
        <w:rPr>
          <w:rFonts w:cstheme="minorHAnsi"/>
          <w:kern w:val="24"/>
          <w:sz w:val="20"/>
          <w:szCs w:val="20"/>
        </w:rPr>
      </w:pPr>
    </w:p>
    <w:tbl>
      <w:tblPr>
        <w:tblStyle w:val="TableGrid"/>
        <w:tblW w:w="0" w:type="auto"/>
        <w:tblLook w:val="04A0" w:firstRow="1" w:lastRow="0" w:firstColumn="1" w:lastColumn="0" w:noHBand="0" w:noVBand="1"/>
      </w:tblPr>
      <w:tblGrid>
        <w:gridCol w:w="1951"/>
        <w:gridCol w:w="1701"/>
        <w:gridCol w:w="4253"/>
      </w:tblGrid>
      <w:tr w:rsidR="00B405D6" w:rsidRPr="00B405D6" w:rsidTr="00344116">
        <w:trPr>
          <w:trHeight w:val="454"/>
        </w:trPr>
        <w:tc>
          <w:tcPr>
            <w:tcW w:w="1951" w:type="dxa"/>
            <w:tcBorders>
              <w:bottom w:val="nil"/>
            </w:tcBorders>
            <w:shd w:val="clear" w:color="auto" w:fill="002060"/>
          </w:tcPr>
          <w:p w:rsidR="000749AD" w:rsidRPr="00B405D6" w:rsidRDefault="00344116" w:rsidP="00B405D6">
            <w:pPr>
              <w:pStyle w:val="Heading1"/>
              <w:jc w:val="center"/>
              <w:rPr>
                <w:color w:val="FFFFFF" w:themeColor="background1"/>
                <w:sz w:val="22"/>
              </w:rPr>
            </w:pPr>
            <w:r>
              <w:rPr>
                <w:color w:val="FFFFFF" w:themeColor="background1"/>
                <w:sz w:val="22"/>
              </w:rPr>
              <w:t>R</w:t>
            </w:r>
            <w:r w:rsidR="000749AD" w:rsidRPr="00B405D6">
              <w:rPr>
                <w:color w:val="FFFFFF" w:themeColor="background1"/>
                <w:sz w:val="22"/>
              </w:rPr>
              <w:t>egion</w:t>
            </w:r>
          </w:p>
        </w:tc>
        <w:tc>
          <w:tcPr>
            <w:tcW w:w="1701" w:type="dxa"/>
            <w:tcBorders>
              <w:bottom w:val="nil"/>
            </w:tcBorders>
            <w:shd w:val="clear" w:color="auto" w:fill="002060"/>
          </w:tcPr>
          <w:p w:rsidR="000749AD" w:rsidRPr="00B405D6" w:rsidRDefault="000749AD" w:rsidP="00B405D6">
            <w:pPr>
              <w:pStyle w:val="Heading1"/>
              <w:jc w:val="center"/>
              <w:rPr>
                <w:color w:val="FFFFFF" w:themeColor="background1"/>
                <w:sz w:val="22"/>
              </w:rPr>
            </w:pPr>
            <w:r w:rsidRPr="00B405D6">
              <w:rPr>
                <w:color w:val="FFFFFF" w:themeColor="background1"/>
                <w:sz w:val="22"/>
              </w:rPr>
              <w:t>People</w:t>
            </w:r>
          </w:p>
        </w:tc>
        <w:tc>
          <w:tcPr>
            <w:tcW w:w="4253" w:type="dxa"/>
            <w:tcBorders>
              <w:bottom w:val="nil"/>
            </w:tcBorders>
            <w:shd w:val="clear" w:color="auto" w:fill="002060"/>
          </w:tcPr>
          <w:p w:rsidR="000749AD" w:rsidRPr="00B405D6" w:rsidRDefault="000749AD" w:rsidP="00B405D6">
            <w:pPr>
              <w:pStyle w:val="Heading1"/>
              <w:jc w:val="center"/>
              <w:rPr>
                <w:color w:val="FFFFFF" w:themeColor="background1"/>
                <w:sz w:val="22"/>
              </w:rPr>
            </w:pPr>
            <w:r w:rsidRPr="00B405D6">
              <w:rPr>
                <w:color w:val="FFFFFF" w:themeColor="background1"/>
                <w:sz w:val="22"/>
              </w:rPr>
              <w:t>% of people who moved to the region</w:t>
            </w:r>
          </w:p>
        </w:tc>
      </w:tr>
      <w:tr w:rsidR="000749AD" w:rsidRPr="000749AD" w:rsidTr="00344116">
        <w:tc>
          <w:tcPr>
            <w:tcW w:w="1951" w:type="dxa"/>
            <w:tcBorders>
              <w:top w:val="nil"/>
              <w:left w:val="nil"/>
              <w:bottom w:val="nil"/>
              <w:right w:val="nil"/>
            </w:tcBorders>
          </w:tcPr>
          <w:p w:rsidR="000749AD" w:rsidRPr="00A13816" w:rsidRDefault="000749AD" w:rsidP="00A13816">
            <w:pPr>
              <w:rPr>
                <w:sz w:val="20"/>
              </w:rPr>
            </w:pPr>
            <w:r w:rsidRPr="00A13816">
              <w:rPr>
                <w:sz w:val="20"/>
              </w:rPr>
              <w:t>Melbourne</w:t>
            </w:r>
          </w:p>
        </w:tc>
        <w:tc>
          <w:tcPr>
            <w:tcW w:w="1701" w:type="dxa"/>
            <w:tcBorders>
              <w:top w:val="nil"/>
              <w:left w:val="nil"/>
              <w:bottom w:val="nil"/>
              <w:right w:val="nil"/>
            </w:tcBorders>
            <w:vAlign w:val="center"/>
          </w:tcPr>
          <w:p w:rsidR="000749AD" w:rsidRPr="00A13816" w:rsidRDefault="000749AD" w:rsidP="00B405D6">
            <w:pPr>
              <w:jc w:val="center"/>
              <w:rPr>
                <w:sz w:val="20"/>
              </w:rPr>
            </w:pPr>
            <w:r w:rsidRPr="00A13816">
              <w:rPr>
                <w:sz w:val="20"/>
              </w:rPr>
              <w:t>5</w:t>
            </w:r>
            <w:r w:rsidR="00B405D6">
              <w:rPr>
                <w:sz w:val="20"/>
              </w:rPr>
              <w:t>,</w:t>
            </w:r>
            <w:r w:rsidRPr="00A13816">
              <w:rPr>
                <w:sz w:val="20"/>
              </w:rPr>
              <w:t>220</w:t>
            </w:r>
          </w:p>
        </w:tc>
        <w:tc>
          <w:tcPr>
            <w:tcW w:w="4253" w:type="dxa"/>
            <w:tcBorders>
              <w:top w:val="nil"/>
              <w:left w:val="nil"/>
              <w:bottom w:val="nil"/>
              <w:right w:val="nil"/>
            </w:tcBorders>
            <w:vAlign w:val="center"/>
          </w:tcPr>
          <w:p w:rsidR="000749AD" w:rsidRPr="00A13816" w:rsidRDefault="000749AD" w:rsidP="00B405D6">
            <w:pPr>
              <w:jc w:val="center"/>
              <w:rPr>
                <w:sz w:val="20"/>
              </w:rPr>
            </w:pPr>
            <w:r w:rsidRPr="00A13816">
              <w:rPr>
                <w:sz w:val="20"/>
              </w:rPr>
              <w:t>(39%)</w:t>
            </w:r>
          </w:p>
        </w:tc>
      </w:tr>
      <w:tr w:rsidR="000749AD" w:rsidRPr="000749AD" w:rsidTr="00344116">
        <w:tc>
          <w:tcPr>
            <w:tcW w:w="1951" w:type="dxa"/>
            <w:tcBorders>
              <w:top w:val="nil"/>
              <w:left w:val="nil"/>
              <w:bottom w:val="nil"/>
              <w:right w:val="nil"/>
            </w:tcBorders>
          </w:tcPr>
          <w:p w:rsidR="000749AD" w:rsidRPr="00A13816" w:rsidRDefault="000749AD" w:rsidP="00A13816">
            <w:pPr>
              <w:rPr>
                <w:sz w:val="20"/>
              </w:rPr>
            </w:pPr>
            <w:r w:rsidRPr="00A13816">
              <w:rPr>
                <w:sz w:val="20"/>
              </w:rPr>
              <w:t>Queensland</w:t>
            </w:r>
          </w:p>
        </w:tc>
        <w:tc>
          <w:tcPr>
            <w:tcW w:w="1701" w:type="dxa"/>
            <w:tcBorders>
              <w:top w:val="nil"/>
              <w:left w:val="nil"/>
              <w:bottom w:val="nil"/>
              <w:right w:val="nil"/>
            </w:tcBorders>
            <w:vAlign w:val="center"/>
          </w:tcPr>
          <w:p w:rsidR="000749AD" w:rsidRPr="00A13816" w:rsidRDefault="000749AD" w:rsidP="00B405D6">
            <w:pPr>
              <w:jc w:val="center"/>
              <w:rPr>
                <w:sz w:val="20"/>
              </w:rPr>
            </w:pPr>
            <w:r w:rsidRPr="00A13816">
              <w:rPr>
                <w:sz w:val="20"/>
              </w:rPr>
              <w:t>1</w:t>
            </w:r>
            <w:r w:rsidR="00B405D6">
              <w:rPr>
                <w:sz w:val="20"/>
              </w:rPr>
              <w:t>,</w:t>
            </w:r>
            <w:r w:rsidRPr="00A13816">
              <w:rPr>
                <w:sz w:val="20"/>
              </w:rPr>
              <w:t>200</w:t>
            </w:r>
          </w:p>
        </w:tc>
        <w:tc>
          <w:tcPr>
            <w:tcW w:w="4253" w:type="dxa"/>
            <w:tcBorders>
              <w:top w:val="nil"/>
              <w:left w:val="nil"/>
              <w:bottom w:val="nil"/>
              <w:right w:val="nil"/>
            </w:tcBorders>
            <w:vAlign w:val="center"/>
          </w:tcPr>
          <w:p w:rsidR="000749AD" w:rsidRPr="00A13816" w:rsidRDefault="000749AD" w:rsidP="00B405D6">
            <w:pPr>
              <w:jc w:val="center"/>
              <w:rPr>
                <w:sz w:val="20"/>
              </w:rPr>
            </w:pPr>
            <w:r w:rsidRPr="00A13816">
              <w:rPr>
                <w:sz w:val="20"/>
              </w:rPr>
              <w:t>(9%)</w:t>
            </w:r>
          </w:p>
        </w:tc>
      </w:tr>
      <w:tr w:rsidR="000749AD" w:rsidRPr="000749AD" w:rsidTr="00344116">
        <w:tc>
          <w:tcPr>
            <w:tcW w:w="1951" w:type="dxa"/>
            <w:tcBorders>
              <w:top w:val="nil"/>
              <w:left w:val="nil"/>
              <w:bottom w:val="nil"/>
              <w:right w:val="nil"/>
            </w:tcBorders>
          </w:tcPr>
          <w:p w:rsidR="000749AD" w:rsidRPr="00A13816" w:rsidRDefault="000749AD" w:rsidP="00A13816">
            <w:pPr>
              <w:rPr>
                <w:sz w:val="20"/>
              </w:rPr>
            </w:pPr>
            <w:r w:rsidRPr="00A13816">
              <w:rPr>
                <w:sz w:val="20"/>
              </w:rPr>
              <w:t>New South Wales</w:t>
            </w:r>
          </w:p>
        </w:tc>
        <w:tc>
          <w:tcPr>
            <w:tcW w:w="1701" w:type="dxa"/>
            <w:tcBorders>
              <w:top w:val="nil"/>
              <w:left w:val="nil"/>
              <w:bottom w:val="nil"/>
              <w:right w:val="nil"/>
            </w:tcBorders>
            <w:vAlign w:val="center"/>
          </w:tcPr>
          <w:p w:rsidR="000749AD" w:rsidRPr="00A13816" w:rsidRDefault="000749AD" w:rsidP="00B405D6">
            <w:pPr>
              <w:jc w:val="center"/>
              <w:rPr>
                <w:sz w:val="20"/>
              </w:rPr>
            </w:pPr>
            <w:r w:rsidRPr="00A13816">
              <w:rPr>
                <w:sz w:val="20"/>
              </w:rPr>
              <w:t>800</w:t>
            </w:r>
          </w:p>
        </w:tc>
        <w:tc>
          <w:tcPr>
            <w:tcW w:w="4253" w:type="dxa"/>
            <w:tcBorders>
              <w:top w:val="nil"/>
              <w:left w:val="nil"/>
              <w:bottom w:val="nil"/>
              <w:right w:val="nil"/>
            </w:tcBorders>
            <w:vAlign w:val="center"/>
          </w:tcPr>
          <w:p w:rsidR="000749AD" w:rsidRPr="00A13816" w:rsidRDefault="000749AD" w:rsidP="00B405D6">
            <w:pPr>
              <w:jc w:val="center"/>
              <w:rPr>
                <w:sz w:val="20"/>
              </w:rPr>
            </w:pPr>
            <w:r w:rsidRPr="00A13816">
              <w:rPr>
                <w:sz w:val="20"/>
              </w:rPr>
              <w:t>(6%)</w:t>
            </w:r>
          </w:p>
        </w:tc>
      </w:tr>
      <w:tr w:rsidR="000749AD" w:rsidRPr="000749AD" w:rsidTr="00344116">
        <w:tc>
          <w:tcPr>
            <w:tcW w:w="1951" w:type="dxa"/>
            <w:tcBorders>
              <w:top w:val="nil"/>
              <w:left w:val="nil"/>
              <w:bottom w:val="nil"/>
              <w:right w:val="nil"/>
            </w:tcBorders>
          </w:tcPr>
          <w:p w:rsidR="000749AD" w:rsidRPr="00A13816" w:rsidRDefault="000749AD" w:rsidP="00A13816">
            <w:pPr>
              <w:rPr>
                <w:sz w:val="20"/>
              </w:rPr>
            </w:pPr>
            <w:r w:rsidRPr="00A13816">
              <w:rPr>
                <w:sz w:val="20"/>
              </w:rPr>
              <w:t>Bendigo region</w:t>
            </w:r>
          </w:p>
        </w:tc>
        <w:tc>
          <w:tcPr>
            <w:tcW w:w="1701" w:type="dxa"/>
            <w:tcBorders>
              <w:top w:val="nil"/>
              <w:left w:val="nil"/>
              <w:bottom w:val="nil"/>
              <w:right w:val="nil"/>
            </w:tcBorders>
            <w:vAlign w:val="center"/>
          </w:tcPr>
          <w:p w:rsidR="000749AD" w:rsidRPr="00A13816" w:rsidRDefault="000749AD" w:rsidP="00B405D6">
            <w:pPr>
              <w:jc w:val="center"/>
              <w:rPr>
                <w:sz w:val="20"/>
              </w:rPr>
            </w:pPr>
            <w:r w:rsidRPr="00A13816">
              <w:rPr>
                <w:sz w:val="20"/>
              </w:rPr>
              <w:t>700</w:t>
            </w:r>
          </w:p>
        </w:tc>
        <w:tc>
          <w:tcPr>
            <w:tcW w:w="4253" w:type="dxa"/>
            <w:tcBorders>
              <w:top w:val="nil"/>
              <w:left w:val="nil"/>
              <w:bottom w:val="nil"/>
              <w:right w:val="nil"/>
            </w:tcBorders>
            <w:vAlign w:val="center"/>
          </w:tcPr>
          <w:p w:rsidR="000749AD" w:rsidRPr="00A13816" w:rsidRDefault="000749AD" w:rsidP="00B405D6">
            <w:pPr>
              <w:jc w:val="center"/>
              <w:rPr>
                <w:sz w:val="20"/>
              </w:rPr>
            </w:pPr>
            <w:r w:rsidRPr="00A13816">
              <w:rPr>
                <w:sz w:val="20"/>
              </w:rPr>
              <w:t>(5%)</w:t>
            </w:r>
          </w:p>
        </w:tc>
      </w:tr>
    </w:tbl>
    <w:p w:rsidR="00D954A6" w:rsidRDefault="00D954A6" w:rsidP="00667307">
      <w:pPr>
        <w:pStyle w:val="Heading1"/>
      </w:pPr>
      <w:r w:rsidRPr="00D954A6">
        <w:lastRenderedPageBreak/>
        <w:t>Slide 7</w:t>
      </w:r>
      <w:r w:rsidR="00667307">
        <w:t xml:space="preserve"> </w:t>
      </w:r>
      <w:r w:rsidR="00667307" w:rsidRPr="00D954A6">
        <w:t>Residents on the move</w:t>
      </w:r>
    </w:p>
    <w:p w:rsidR="0022312A" w:rsidRPr="0022312A" w:rsidRDefault="0022312A" w:rsidP="0022312A"/>
    <w:p w:rsidR="00D954A6" w:rsidRPr="00D954A6" w:rsidRDefault="006842B9" w:rsidP="00D954A6">
      <w:pPr>
        <w:spacing w:line="360" w:lineRule="auto"/>
        <w:rPr>
          <w:rFonts w:cstheme="minorHAnsi"/>
          <w:sz w:val="20"/>
          <w:szCs w:val="20"/>
        </w:rPr>
      </w:pPr>
      <w:r w:rsidRPr="006842B9">
        <w:rPr>
          <w:noProof/>
        </w:rPr>
        <w:drawing>
          <wp:inline distT="0" distB="0" distL="0" distR="0" wp14:anchorId="03D3713F" wp14:editId="61AC3269">
            <wp:extent cx="5400000" cy="4050000"/>
            <wp:effectExtent l="19050" t="19050" r="10795" b="27305"/>
            <wp:docPr id="42" name="Picture 42" descr="grpah - Residents on the move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00" cy="4050000"/>
                    </a:xfrm>
                    <a:prstGeom prst="rect">
                      <a:avLst/>
                    </a:prstGeom>
                    <a:ln>
                      <a:solidFill>
                        <a:schemeClr val="tx1"/>
                      </a:solidFill>
                    </a:ln>
                  </pic:spPr>
                </pic:pic>
              </a:graphicData>
            </a:graphic>
          </wp:inline>
        </w:drawing>
      </w:r>
    </w:p>
    <w:p w:rsidR="00D954A6" w:rsidRPr="006842B9" w:rsidRDefault="00D954A6" w:rsidP="006842B9">
      <w:pPr>
        <w:rPr>
          <w:i/>
        </w:rPr>
      </w:pPr>
      <w:r w:rsidRPr="006842B9">
        <w:rPr>
          <w:i/>
        </w:rPr>
        <w:t xml:space="preserve">Source: ABS, Census of Population and Housing, 2011 </w:t>
      </w:r>
    </w:p>
    <w:p w:rsidR="00D954A6" w:rsidRPr="00D954A6" w:rsidRDefault="00D954A6" w:rsidP="006842B9"/>
    <w:p w:rsidR="00D954A6" w:rsidRPr="00D954A6" w:rsidRDefault="00D954A6" w:rsidP="006842B9">
      <w:r w:rsidRPr="00D954A6">
        <w:t>The age group responsible for the largest migration out of the Ballarat region is the 15 to 24 years age group (3</w:t>
      </w:r>
      <w:r w:rsidR="00B405D6">
        <w:t>,</w:t>
      </w:r>
      <w:r w:rsidRPr="00D954A6">
        <w:t>990 moving out, with a net figure of 720 persons moving into the region).</w:t>
      </w:r>
    </w:p>
    <w:p w:rsidR="00D954A6" w:rsidRPr="00D954A6" w:rsidRDefault="00D954A6" w:rsidP="006842B9"/>
    <w:p w:rsidR="00D954A6" w:rsidRPr="00D954A6" w:rsidRDefault="00D954A6" w:rsidP="006842B9">
      <w:r w:rsidRPr="00D954A6">
        <w:t>The largest migration into the region occurred in the 25 to 34 years age group (5</w:t>
      </w:r>
      <w:r w:rsidR="00B405D6">
        <w:t>,</w:t>
      </w:r>
      <w:r w:rsidRPr="00D954A6">
        <w:t>010 moving in, with a net figure of 1</w:t>
      </w:r>
      <w:r w:rsidR="00B405D6">
        <w:t>,</w:t>
      </w:r>
      <w:r w:rsidRPr="00D954A6">
        <w:t>400 persons moving into the region).</w:t>
      </w:r>
    </w:p>
    <w:p w:rsidR="00D954A6" w:rsidRPr="00D954A6" w:rsidRDefault="00D954A6" w:rsidP="006842B9"/>
    <w:p w:rsidR="00D954A6" w:rsidRPr="00D954A6" w:rsidRDefault="00D954A6" w:rsidP="006842B9">
      <w:r w:rsidRPr="00D954A6">
        <w:t>The age group with the largest net migration into the region are 35 to 44 year olds (a net fi</w:t>
      </w:r>
      <w:r>
        <w:t>gure of 2</w:t>
      </w:r>
      <w:r w:rsidR="00B405D6">
        <w:t>,</w:t>
      </w:r>
      <w:r>
        <w:t>100 persons moving in).</w:t>
      </w:r>
    </w:p>
    <w:p w:rsidR="00D954A6" w:rsidRPr="00D954A6" w:rsidRDefault="00D954A6">
      <w:pPr>
        <w:rPr>
          <w:rFonts w:cstheme="minorHAnsi"/>
          <w:sz w:val="20"/>
          <w:szCs w:val="20"/>
        </w:rPr>
      </w:pPr>
      <w:r w:rsidRPr="00D954A6">
        <w:rPr>
          <w:rFonts w:cstheme="minorHAnsi"/>
          <w:sz w:val="20"/>
          <w:szCs w:val="20"/>
        </w:rPr>
        <w:br w:type="page"/>
      </w:r>
    </w:p>
    <w:p w:rsidR="00667307" w:rsidRDefault="00D954A6" w:rsidP="00667307">
      <w:pPr>
        <w:pStyle w:val="Heading1"/>
      </w:pPr>
      <w:r w:rsidRPr="00D954A6">
        <w:lastRenderedPageBreak/>
        <w:t>Slide 8</w:t>
      </w:r>
      <w:r w:rsidR="00667307">
        <w:t xml:space="preserve"> </w:t>
      </w:r>
      <w:r w:rsidR="00667307" w:rsidRPr="00D954A6">
        <w:t>Migrating with a job into the Ballarat region?</w:t>
      </w:r>
    </w:p>
    <w:p w:rsidR="0022312A" w:rsidRPr="0022312A" w:rsidRDefault="0022312A" w:rsidP="0022312A"/>
    <w:tbl>
      <w:tblPr>
        <w:tblpPr w:leftFromText="180" w:rightFromText="180" w:vertAnchor="text" w:horzAnchor="margin" w:tblpY="133"/>
        <w:tblW w:w="8224" w:type="dxa"/>
        <w:tblCellMar>
          <w:left w:w="0" w:type="dxa"/>
          <w:right w:w="0" w:type="dxa"/>
        </w:tblCellMar>
        <w:tblLook w:val="0420" w:firstRow="1" w:lastRow="0" w:firstColumn="0" w:lastColumn="0" w:noHBand="0" w:noVBand="1"/>
      </w:tblPr>
      <w:tblGrid>
        <w:gridCol w:w="1348"/>
        <w:gridCol w:w="1385"/>
        <w:gridCol w:w="1654"/>
        <w:gridCol w:w="1750"/>
        <w:gridCol w:w="2087"/>
      </w:tblGrid>
      <w:tr w:rsidR="006842B9" w:rsidRPr="006842B9" w:rsidTr="00DC470E">
        <w:trPr>
          <w:trHeight w:val="1025"/>
        </w:trPr>
        <w:tc>
          <w:tcPr>
            <w:tcW w:w="1348"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6842B9" w:rsidRPr="00DC470E" w:rsidRDefault="006842B9" w:rsidP="00DC470E">
            <w:pPr>
              <w:pStyle w:val="Heading1"/>
              <w:jc w:val="center"/>
              <w:rPr>
                <w:rFonts w:ascii="Arial" w:hAnsi="Arial" w:cs="Arial"/>
                <w:color w:val="FFFFFF" w:themeColor="background1"/>
                <w:sz w:val="28"/>
                <w:szCs w:val="36"/>
              </w:rPr>
            </w:pPr>
            <w:r w:rsidRPr="00DC470E">
              <w:rPr>
                <w:color w:val="FFFFFF" w:themeColor="background1"/>
                <w:sz w:val="28"/>
              </w:rPr>
              <w:t>Group</w:t>
            </w:r>
            <w:r w:rsidR="00DC470E" w:rsidRPr="00DC470E">
              <w:rPr>
                <w:color w:val="FFFFFF" w:themeColor="background1"/>
                <w:sz w:val="28"/>
              </w:rPr>
              <w:t xml:space="preserve"> </w:t>
            </w:r>
            <w:r w:rsidRPr="00DC470E">
              <w:rPr>
                <w:color w:val="FFFFFF" w:themeColor="background1"/>
                <w:sz w:val="28"/>
              </w:rPr>
              <w:t>(age at 2011)</w:t>
            </w:r>
          </w:p>
        </w:tc>
        <w:tc>
          <w:tcPr>
            <w:tcW w:w="1385"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6842B9" w:rsidRPr="00DC470E" w:rsidRDefault="006842B9" w:rsidP="00DC470E">
            <w:pPr>
              <w:pStyle w:val="Heading1"/>
              <w:jc w:val="center"/>
              <w:rPr>
                <w:rFonts w:ascii="Arial" w:hAnsi="Arial" w:cs="Arial"/>
                <w:color w:val="FFFFFF" w:themeColor="background1"/>
                <w:sz w:val="28"/>
                <w:szCs w:val="36"/>
              </w:rPr>
            </w:pPr>
            <w:r w:rsidRPr="00DC470E">
              <w:rPr>
                <w:color w:val="FFFFFF" w:themeColor="background1"/>
                <w:sz w:val="28"/>
              </w:rPr>
              <w:t>Number of People</w:t>
            </w:r>
          </w:p>
        </w:tc>
        <w:tc>
          <w:tcPr>
            <w:tcW w:w="1654"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6842B9" w:rsidRPr="00DC470E" w:rsidRDefault="006842B9" w:rsidP="00DC470E">
            <w:pPr>
              <w:pStyle w:val="Heading1"/>
              <w:jc w:val="center"/>
              <w:rPr>
                <w:rFonts w:ascii="Arial" w:hAnsi="Arial" w:cs="Arial"/>
                <w:color w:val="FFFFFF" w:themeColor="background1"/>
                <w:sz w:val="28"/>
                <w:szCs w:val="36"/>
              </w:rPr>
            </w:pPr>
            <w:r w:rsidRPr="00DC470E">
              <w:rPr>
                <w:color w:val="FFFFFF" w:themeColor="background1"/>
                <w:sz w:val="28"/>
              </w:rPr>
              <w:t>Employed</w:t>
            </w:r>
          </w:p>
        </w:tc>
        <w:tc>
          <w:tcPr>
            <w:tcW w:w="1750"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6842B9" w:rsidRPr="00DC470E" w:rsidRDefault="006842B9" w:rsidP="00DC470E">
            <w:pPr>
              <w:pStyle w:val="Heading1"/>
              <w:jc w:val="center"/>
              <w:rPr>
                <w:rFonts w:ascii="Arial" w:hAnsi="Arial" w:cs="Arial"/>
                <w:color w:val="FFFFFF" w:themeColor="background1"/>
                <w:sz w:val="28"/>
                <w:szCs w:val="36"/>
              </w:rPr>
            </w:pPr>
            <w:r w:rsidRPr="00DC470E">
              <w:rPr>
                <w:color w:val="FFFFFF" w:themeColor="background1"/>
                <w:sz w:val="28"/>
              </w:rPr>
              <w:t>Unemployed</w:t>
            </w:r>
          </w:p>
        </w:tc>
        <w:tc>
          <w:tcPr>
            <w:tcW w:w="2087"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6842B9" w:rsidRPr="00DC470E" w:rsidRDefault="006842B9" w:rsidP="00DC470E">
            <w:pPr>
              <w:pStyle w:val="Heading1"/>
              <w:jc w:val="center"/>
              <w:rPr>
                <w:rFonts w:ascii="Arial" w:hAnsi="Arial" w:cs="Arial"/>
                <w:color w:val="FFFFFF" w:themeColor="background1"/>
                <w:sz w:val="28"/>
                <w:szCs w:val="36"/>
              </w:rPr>
            </w:pPr>
            <w:r w:rsidRPr="00DC470E">
              <w:rPr>
                <w:color w:val="FFFFFF" w:themeColor="background1"/>
                <w:sz w:val="28"/>
              </w:rPr>
              <w:t>Not in the labour force</w:t>
            </w:r>
          </w:p>
        </w:tc>
      </w:tr>
      <w:tr w:rsidR="006842B9" w:rsidRPr="006842B9" w:rsidTr="00DC470E">
        <w:trPr>
          <w:trHeight w:val="613"/>
        </w:trPr>
        <w:tc>
          <w:tcPr>
            <w:tcW w:w="1348"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WAP</w:t>
            </w:r>
          </w:p>
        </w:tc>
        <w:tc>
          <w:tcPr>
            <w:tcW w:w="1385"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19,430</w:t>
            </w:r>
            <w:r w:rsidRPr="000D7E39">
              <w:rPr>
                <w:color w:val="0070C0"/>
                <w:sz w:val="28"/>
              </w:rPr>
              <w:t>*</w:t>
            </w:r>
          </w:p>
        </w:tc>
        <w:tc>
          <w:tcPr>
            <w:tcW w:w="1654"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 xml:space="preserve">65% </w:t>
            </w:r>
            <w:r w:rsidRPr="000D7E39">
              <w:rPr>
                <w:b/>
                <w:bCs/>
                <w:color w:val="FF0000"/>
                <w:sz w:val="28"/>
              </w:rPr>
              <w:t>(70%)*</w:t>
            </w:r>
          </w:p>
        </w:tc>
        <w:tc>
          <w:tcPr>
            <w:tcW w:w="1750"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 xml:space="preserve">7% </w:t>
            </w:r>
            <w:r w:rsidRPr="000D7E39">
              <w:rPr>
                <w:b/>
                <w:bCs/>
                <w:color w:val="FF0000"/>
                <w:sz w:val="28"/>
              </w:rPr>
              <w:t>(4%)*</w:t>
            </w:r>
          </w:p>
        </w:tc>
        <w:tc>
          <w:tcPr>
            <w:tcW w:w="2087"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 xml:space="preserve">29% </w:t>
            </w:r>
            <w:r w:rsidRPr="000D7E39">
              <w:rPr>
                <w:b/>
                <w:bCs/>
                <w:color w:val="FF0000"/>
                <w:sz w:val="28"/>
              </w:rPr>
              <w:t>(26%)*</w:t>
            </w:r>
          </w:p>
        </w:tc>
      </w:tr>
      <w:tr w:rsidR="006842B9" w:rsidRPr="006842B9" w:rsidTr="00DC470E">
        <w:trPr>
          <w:trHeight w:val="613"/>
        </w:trPr>
        <w:tc>
          <w:tcPr>
            <w:tcW w:w="1348"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15-24</w:t>
            </w:r>
          </w:p>
        </w:tc>
        <w:tc>
          <w:tcPr>
            <w:tcW w:w="1385"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4690</w:t>
            </w:r>
          </w:p>
        </w:tc>
        <w:tc>
          <w:tcPr>
            <w:tcW w:w="1654"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51% </w:t>
            </w:r>
            <w:r w:rsidRPr="000D7E39">
              <w:rPr>
                <w:b/>
                <w:bCs/>
                <w:color w:val="FF0000"/>
                <w:sz w:val="28"/>
              </w:rPr>
              <w:t>(57%)</w:t>
            </w:r>
          </w:p>
        </w:tc>
        <w:tc>
          <w:tcPr>
            <w:tcW w:w="1750" w:type="dxa"/>
            <w:tcBorders>
              <w:top w:val="single" w:sz="4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10% </w:t>
            </w:r>
            <w:r w:rsidRPr="000D7E39">
              <w:rPr>
                <w:b/>
                <w:bCs/>
                <w:color w:val="FF0000"/>
                <w:sz w:val="28"/>
              </w:rPr>
              <w:t>(8%)</w:t>
            </w:r>
          </w:p>
        </w:tc>
        <w:tc>
          <w:tcPr>
            <w:tcW w:w="2087"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 xml:space="preserve">39% </w:t>
            </w:r>
            <w:r w:rsidRPr="000D7E39">
              <w:rPr>
                <w:b/>
                <w:bCs/>
                <w:color w:val="FF0000"/>
                <w:sz w:val="28"/>
              </w:rPr>
              <w:t>(35%)</w:t>
            </w:r>
          </w:p>
        </w:tc>
      </w:tr>
      <w:tr w:rsidR="006842B9" w:rsidRPr="006842B9" w:rsidTr="00DC470E">
        <w:trPr>
          <w:trHeight w:val="613"/>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25-44</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9400</w:t>
            </w:r>
          </w:p>
        </w:tc>
        <w:tc>
          <w:tcPr>
            <w:tcW w:w="16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75%</w:t>
            </w:r>
          </w:p>
        </w:tc>
        <w:tc>
          <w:tcPr>
            <w:tcW w:w="1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5%</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20%</w:t>
            </w:r>
          </w:p>
        </w:tc>
      </w:tr>
      <w:tr w:rsidR="006842B9" w:rsidRPr="006842B9" w:rsidTr="00DC470E">
        <w:trPr>
          <w:trHeight w:val="613"/>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45-54</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2790</w:t>
            </w:r>
          </w:p>
        </w:tc>
        <w:tc>
          <w:tcPr>
            <w:tcW w:w="1654"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69% </w:t>
            </w:r>
            <w:r w:rsidRPr="000D7E39">
              <w:rPr>
                <w:b/>
                <w:bCs/>
                <w:color w:val="FF0000"/>
                <w:sz w:val="28"/>
              </w:rPr>
              <w:t>(79%)</w:t>
            </w:r>
          </w:p>
        </w:tc>
        <w:tc>
          <w:tcPr>
            <w:tcW w:w="1750"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7% </w:t>
            </w:r>
            <w:r w:rsidRPr="000D7E39">
              <w:rPr>
                <w:rFonts w:eastAsiaTheme="minorEastAsia" w:cstheme="minorBidi"/>
                <w:b/>
                <w:bCs/>
                <w:color w:val="FF0000"/>
                <w:sz w:val="28"/>
              </w:rPr>
              <w:t>(3%)</w:t>
            </w:r>
          </w:p>
        </w:tc>
        <w:tc>
          <w:tcPr>
            <w:tcW w:w="2087"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24% </w:t>
            </w:r>
            <w:r w:rsidRPr="000D7E39">
              <w:rPr>
                <w:rFonts w:eastAsiaTheme="minorEastAsia" w:cstheme="minorBidi"/>
                <w:b/>
                <w:bCs/>
                <w:color w:val="FF0000"/>
                <w:sz w:val="28"/>
              </w:rPr>
              <w:t>(18%)</w:t>
            </w:r>
          </w:p>
        </w:tc>
      </w:tr>
      <w:tr w:rsidR="006842B9" w:rsidRPr="006842B9" w:rsidTr="00DC470E">
        <w:trPr>
          <w:trHeight w:val="613"/>
        </w:trPr>
        <w:tc>
          <w:tcPr>
            <w:tcW w:w="1348"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55-64</w:t>
            </w:r>
          </w:p>
        </w:tc>
        <w:tc>
          <w:tcPr>
            <w:tcW w:w="1385"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2560</w:t>
            </w:r>
          </w:p>
        </w:tc>
        <w:tc>
          <w:tcPr>
            <w:tcW w:w="1654" w:type="dxa"/>
            <w:tcBorders>
              <w:top w:val="single" w:sz="8" w:space="0" w:color="000000"/>
              <w:left w:val="single" w:sz="8" w:space="0" w:color="000000"/>
              <w:bottom w:val="single" w:sz="36"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48% </w:t>
            </w:r>
            <w:r w:rsidRPr="000D7E39">
              <w:rPr>
                <w:b/>
                <w:bCs/>
                <w:color w:val="FF0000"/>
                <w:sz w:val="28"/>
              </w:rPr>
              <w:t>(59%)</w:t>
            </w:r>
          </w:p>
        </w:tc>
        <w:tc>
          <w:tcPr>
            <w:tcW w:w="1750"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color w:val="17365D" w:themeColor="text2" w:themeShade="BF"/>
                <w:sz w:val="28"/>
              </w:rPr>
              <w:t xml:space="preserve">5% </w:t>
            </w:r>
            <w:r w:rsidRPr="000D7E39">
              <w:rPr>
                <w:b/>
                <w:bCs/>
                <w:color w:val="FF0000"/>
                <w:sz w:val="28"/>
              </w:rPr>
              <w:t>(2%)</w:t>
            </w:r>
          </w:p>
        </w:tc>
        <w:tc>
          <w:tcPr>
            <w:tcW w:w="2087" w:type="dxa"/>
            <w:tcBorders>
              <w:top w:val="single" w:sz="8" w:space="0" w:color="000000"/>
              <w:left w:val="single" w:sz="8" w:space="0" w:color="000000"/>
              <w:bottom w:val="single" w:sz="36" w:space="0" w:color="000000"/>
              <w:right w:val="single" w:sz="8" w:space="0" w:color="000000"/>
            </w:tcBorders>
            <w:shd w:val="clear" w:color="auto" w:fill="FFE2BC"/>
            <w:tcMar>
              <w:top w:w="72" w:type="dxa"/>
              <w:left w:w="144" w:type="dxa"/>
              <w:bottom w:w="72" w:type="dxa"/>
              <w:right w:w="144" w:type="dxa"/>
            </w:tcMar>
            <w:vAlign w:val="center"/>
            <w:hideMark/>
          </w:tcPr>
          <w:p w:rsidR="006842B9" w:rsidRPr="000D7E39" w:rsidRDefault="006842B9" w:rsidP="00DC470E">
            <w:pPr>
              <w:rPr>
                <w:rFonts w:ascii="Arial" w:hAnsi="Arial" w:cs="Arial"/>
                <w:sz w:val="28"/>
              </w:rPr>
            </w:pPr>
            <w:r w:rsidRPr="000D7E39">
              <w:rPr>
                <w:sz w:val="28"/>
              </w:rPr>
              <w:t xml:space="preserve">47% </w:t>
            </w:r>
            <w:r w:rsidRPr="000D7E39">
              <w:rPr>
                <w:b/>
                <w:bCs/>
                <w:color w:val="FF0000"/>
                <w:sz w:val="28"/>
              </w:rPr>
              <w:t>(39%)</w:t>
            </w:r>
          </w:p>
        </w:tc>
      </w:tr>
    </w:tbl>
    <w:p w:rsidR="00D954A6" w:rsidRPr="00DC470E" w:rsidRDefault="00D954A6" w:rsidP="00DC470E">
      <w:pPr>
        <w:rPr>
          <w:i/>
        </w:rPr>
      </w:pPr>
      <w:r w:rsidRPr="00DC470E">
        <w:rPr>
          <w:i/>
        </w:rPr>
        <w:t xml:space="preserve">Source: ABS, Census of Population and Housing, 2011 </w:t>
      </w:r>
    </w:p>
    <w:p w:rsidR="00D954A6" w:rsidRPr="00D954A6" w:rsidRDefault="00D954A6" w:rsidP="00DC470E"/>
    <w:p w:rsidR="00D954A6" w:rsidRPr="00D954A6" w:rsidRDefault="00D954A6" w:rsidP="00DC470E">
      <w:r w:rsidRPr="00D954A6">
        <w:t>People of working age (age at 2011) who had migrated into Ballarat LGA between 2006 and 2011 (19,430 persons) were more likely to be unemployed (7 per cent compared with 4 per cent overall) and not in the labour force (29 per cent, compared with 26 per cent overall).</w:t>
      </w:r>
    </w:p>
    <w:p w:rsidR="00D954A6" w:rsidRPr="00D954A6" w:rsidRDefault="00D954A6">
      <w:pPr>
        <w:rPr>
          <w:rFonts w:cstheme="minorHAnsi"/>
          <w:sz w:val="20"/>
          <w:szCs w:val="20"/>
        </w:rPr>
      </w:pPr>
      <w:r w:rsidRPr="00D954A6">
        <w:rPr>
          <w:rFonts w:cstheme="minorHAnsi"/>
          <w:sz w:val="20"/>
          <w:szCs w:val="20"/>
        </w:rPr>
        <w:br w:type="page"/>
      </w:r>
    </w:p>
    <w:p w:rsidR="00667307" w:rsidRDefault="00D954A6" w:rsidP="00667307">
      <w:pPr>
        <w:pStyle w:val="Heading1"/>
      </w:pPr>
      <w:r w:rsidRPr="00D954A6">
        <w:lastRenderedPageBreak/>
        <w:t>Slide 9</w:t>
      </w:r>
      <w:r w:rsidR="00667307">
        <w:t xml:space="preserve"> </w:t>
      </w:r>
      <w:r w:rsidR="00667307" w:rsidRPr="00D954A6">
        <w:t>Where else do Ballarat residents work?</w:t>
      </w:r>
    </w:p>
    <w:p w:rsidR="0022312A" w:rsidRPr="0022312A" w:rsidRDefault="0022312A" w:rsidP="0022312A"/>
    <w:p w:rsidR="00D954A6" w:rsidRPr="00D954A6" w:rsidRDefault="00DC470E" w:rsidP="00D954A6">
      <w:pPr>
        <w:spacing w:line="360" w:lineRule="auto"/>
        <w:rPr>
          <w:rFonts w:cstheme="minorHAnsi"/>
          <w:sz w:val="20"/>
          <w:szCs w:val="20"/>
        </w:rPr>
      </w:pPr>
      <w:r w:rsidRPr="00DC470E">
        <w:rPr>
          <w:noProof/>
        </w:rPr>
        <w:drawing>
          <wp:inline distT="0" distB="0" distL="0" distR="0" wp14:anchorId="2616CCA6" wp14:editId="53B5C25D">
            <wp:extent cx="5400000" cy="4050000"/>
            <wp:effectExtent l="19050" t="19050" r="10795" b="27305"/>
            <wp:docPr id="2" name="Picture 2" descr="Graph - Where else do Ballarat residents work?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00" cy="4050000"/>
                    </a:xfrm>
                    <a:prstGeom prst="rect">
                      <a:avLst/>
                    </a:prstGeom>
                    <a:ln>
                      <a:solidFill>
                        <a:schemeClr val="tx1"/>
                      </a:solidFill>
                    </a:ln>
                  </pic:spPr>
                </pic:pic>
              </a:graphicData>
            </a:graphic>
          </wp:inline>
        </w:drawing>
      </w:r>
    </w:p>
    <w:p w:rsidR="00D954A6" w:rsidRPr="000F019A" w:rsidRDefault="00D954A6" w:rsidP="000F019A">
      <w:pPr>
        <w:rPr>
          <w:i/>
        </w:rPr>
      </w:pPr>
      <w:r w:rsidRPr="000F019A">
        <w:rPr>
          <w:i/>
        </w:rPr>
        <w:t xml:space="preserve">Source: ABS, Census of Population and Housing, 2011 </w:t>
      </w:r>
    </w:p>
    <w:p w:rsidR="00D954A6" w:rsidRPr="00D954A6" w:rsidRDefault="00D954A6" w:rsidP="000F019A"/>
    <w:p w:rsidR="00D954A6" w:rsidRPr="00D954A6" w:rsidRDefault="00D954A6" w:rsidP="000F019A">
      <w:pPr>
        <w:rPr>
          <w:b/>
          <w:bCs/>
        </w:rPr>
      </w:pPr>
      <w:r w:rsidRPr="00D954A6">
        <w:t xml:space="preserve">Of those who defined their place of work in 2011, 83 per cent (54,100) work locally and 17 per cent (10,800) work outside the Ballarat region. Those who work outside were more likely to be employed as Professionals (23 per cent compared with </w:t>
      </w:r>
      <w:r w:rsidR="000F019A">
        <w:br/>
      </w:r>
      <w:r w:rsidRPr="00D954A6">
        <w:t>19 per cent for those who live and work locally).</w:t>
      </w:r>
    </w:p>
    <w:p w:rsidR="00D954A6" w:rsidRPr="00D954A6" w:rsidRDefault="00D954A6" w:rsidP="000F019A"/>
    <w:p w:rsidR="00D954A6" w:rsidRPr="00D954A6" w:rsidRDefault="00D954A6" w:rsidP="000F019A">
      <w:r w:rsidRPr="00D954A6">
        <w:t>Melbourne is by far the most common destination for Ballarat residents who work outside the region (8</w:t>
      </w:r>
      <w:r w:rsidR="000F019A">
        <w:t>,</w:t>
      </w:r>
      <w:r w:rsidRPr="00D954A6">
        <w:t>200 persons or 76 per cent of those who work elsewhere), followed by the Bendigo region (620</w:t>
      </w:r>
      <w:r>
        <w:t> </w:t>
      </w:r>
      <w:r w:rsidRPr="00D954A6">
        <w:t>persons or 6 per cent of those who work elsewhere). Greater Geelong is also an important working destination (4 per cent).</w:t>
      </w:r>
    </w:p>
    <w:p w:rsidR="00D954A6" w:rsidRPr="00D954A6" w:rsidRDefault="00D954A6" w:rsidP="000F019A"/>
    <w:p w:rsidR="00D954A6" w:rsidRPr="000F019A" w:rsidRDefault="00D954A6" w:rsidP="000F019A">
      <w:pPr>
        <w:rPr>
          <w:bCs/>
        </w:rPr>
      </w:pPr>
      <w:r w:rsidRPr="000F019A">
        <w:rPr>
          <w:bCs/>
        </w:rPr>
        <w:t>**9</w:t>
      </w:r>
      <w:r w:rsidR="000F019A">
        <w:rPr>
          <w:bCs/>
        </w:rPr>
        <w:t>,</w:t>
      </w:r>
      <w:r w:rsidRPr="000F019A">
        <w:rPr>
          <w:bCs/>
        </w:rPr>
        <w:t>000 employed people living in the Ballarat region inadequately defined their place of work and so are excluded from these figures</w:t>
      </w:r>
    </w:p>
    <w:p w:rsidR="00D954A6" w:rsidRPr="00D954A6" w:rsidRDefault="00D954A6">
      <w:pPr>
        <w:rPr>
          <w:rFonts w:cstheme="minorHAnsi"/>
          <w:sz w:val="20"/>
          <w:szCs w:val="20"/>
        </w:rPr>
      </w:pPr>
      <w:r w:rsidRPr="00D954A6">
        <w:rPr>
          <w:rFonts w:cstheme="minorHAnsi"/>
          <w:sz w:val="20"/>
          <w:szCs w:val="20"/>
        </w:rPr>
        <w:br w:type="page"/>
      </w:r>
    </w:p>
    <w:p w:rsidR="006A062C" w:rsidRDefault="00D954A6" w:rsidP="006A062C">
      <w:pPr>
        <w:pStyle w:val="Heading1"/>
      </w:pPr>
      <w:r w:rsidRPr="00D954A6">
        <w:lastRenderedPageBreak/>
        <w:t>Slide 10</w:t>
      </w:r>
      <w:r w:rsidR="006A062C">
        <w:t xml:space="preserve"> </w:t>
      </w:r>
      <w:r w:rsidR="006A062C" w:rsidRPr="00D954A6">
        <w:t>Unemployment Rate relatively flat…</w:t>
      </w:r>
    </w:p>
    <w:p w:rsidR="0022312A" w:rsidRPr="0022312A" w:rsidRDefault="0022312A" w:rsidP="0022312A"/>
    <w:p w:rsidR="00D954A6" w:rsidRPr="00D954A6" w:rsidRDefault="0022312A" w:rsidP="0022312A">
      <w:pPr>
        <w:spacing w:line="360" w:lineRule="auto"/>
        <w:jc w:val="center"/>
        <w:rPr>
          <w:rFonts w:cstheme="minorHAnsi"/>
          <w:sz w:val="20"/>
          <w:szCs w:val="20"/>
        </w:rPr>
      </w:pPr>
      <w:r w:rsidRPr="0022312A">
        <w:rPr>
          <w:noProof/>
        </w:rPr>
        <w:drawing>
          <wp:inline distT="0" distB="0" distL="0" distR="0" wp14:anchorId="7EEE3D40" wp14:editId="14B0CDCB">
            <wp:extent cx="5400000" cy="4050000"/>
            <wp:effectExtent l="19050" t="19050" r="10795" b="27305"/>
            <wp:docPr id="3" name="Picture 3" descr="Graph - Unemployment rate relatively flat...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00" cy="4050000"/>
                    </a:xfrm>
                    <a:prstGeom prst="rect">
                      <a:avLst/>
                    </a:prstGeom>
                    <a:ln>
                      <a:solidFill>
                        <a:schemeClr val="tx1"/>
                      </a:solidFill>
                    </a:ln>
                  </pic:spPr>
                </pic:pic>
              </a:graphicData>
            </a:graphic>
          </wp:inline>
        </w:drawing>
      </w:r>
    </w:p>
    <w:p w:rsidR="00D954A6" w:rsidRPr="0022312A" w:rsidRDefault="00D954A6" w:rsidP="0022312A">
      <w:pPr>
        <w:rPr>
          <w:i/>
        </w:rPr>
      </w:pPr>
      <w:r w:rsidRPr="0022312A">
        <w:rPr>
          <w:i/>
        </w:rPr>
        <w:t>Source: Department of Employment Small Area Labour Markets, December 2013</w:t>
      </w:r>
    </w:p>
    <w:p w:rsidR="00D954A6" w:rsidRPr="00D954A6" w:rsidRDefault="00D954A6" w:rsidP="0022312A"/>
    <w:p w:rsidR="00D954A6" w:rsidRPr="00D954A6" w:rsidRDefault="00D954A6" w:rsidP="0022312A">
      <w:r w:rsidRPr="00D954A6">
        <w:t>In December 2013, the unemployment rate in the Ballarat region was 5.2 per cent, lower than the Bendigo region (6.5 per cent) and Victoria (5.8 per cent).</w:t>
      </w:r>
    </w:p>
    <w:p w:rsidR="00D954A6" w:rsidRPr="00D954A6" w:rsidRDefault="00D954A6" w:rsidP="0022312A"/>
    <w:p w:rsidR="00D954A6" w:rsidRPr="00D954A6" w:rsidRDefault="00D954A6" w:rsidP="0022312A">
      <w:r w:rsidRPr="00D954A6">
        <w:t>While the unemployment rate in the Ballarat region has decreased over the last few years, the region has consistently had higher unemployment rate than Victoria.</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11</w:t>
      </w:r>
      <w:r w:rsidR="006A062C">
        <w:t xml:space="preserve"> </w:t>
      </w:r>
      <w:r w:rsidR="006A062C" w:rsidRPr="00D954A6">
        <w:t>…but recent decline</w:t>
      </w:r>
    </w:p>
    <w:tbl>
      <w:tblPr>
        <w:tblpPr w:leftFromText="180" w:rightFromText="180" w:vertAnchor="page" w:horzAnchor="margin" w:tblpY="2217"/>
        <w:tblW w:w="8534" w:type="dxa"/>
        <w:tblCellMar>
          <w:left w:w="0" w:type="dxa"/>
          <w:right w:w="0" w:type="dxa"/>
        </w:tblCellMar>
        <w:tblLook w:val="0600" w:firstRow="0" w:lastRow="0" w:firstColumn="0" w:lastColumn="0" w:noHBand="1" w:noVBand="1"/>
      </w:tblPr>
      <w:tblGrid>
        <w:gridCol w:w="3005"/>
        <w:gridCol w:w="1843"/>
        <w:gridCol w:w="1843"/>
        <w:gridCol w:w="1843"/>
      </w:tblGrid>
      <w:tr w:rsidR="00EF0A17" w:rsidRPr="00EF0A17" w:rsidTr="00EF0A17">
        <w:trPr>
          <w:trHeight w:val="737"/>
        </w:trPr>
        <w:tc>
          <w:tcPr>
            <w:tcW w:w="3005" w:type="dxa"/>
            <w:tcBorders>
              <w:top w:val="single" w:sz="4" w:space="0" w:color="000000"/>
              <w:left w:val="single" w:sz="4" w:space="0" w:color="000000"/>
              <w:bottom w:val="single" w:sz="4" w:space="0" w:color="000000"/>
              <w:right w:val="single" w:sz="4" w:space="0" w:color="000000"/>
            </w:tcBorders>
            <w:shd w:val="clear" w:color="auto" w:fill="376092"/>
            <w:tcMar>
              <w:top w:w="15" w:type="dxa"/>
              <w:left w:w="170" w:type="dxa"/>
              <w:bottom w:w="0" w:type="dxa"/>
              <w:right w:w="15" w:type="dxa"/>
            </w:tcMar>
            <w:vAlign w:val="center"/>
            <w:hideMark/>
          </w:tcPr>
          <w:p w:rsidR="00EF0A17" w:rsidRPr="00EF0A17" w:rsidRDefault="00512307" w:rsidP="00EF0A17">
            <w:pPr>
              <w:pStyle w:val="Heading1"/>
              <w:jc w:val="center"/>
              <w:rPr>
                <w:rFonts w:ascii="Arial" w:hAnsi="Arial" w:cs="Arial"/>
                <w:color w:val="FFFFFF" w:themeColor="background1"/>
                <w:sz w:val="28"/>
              </w:rPr>
            </w:pPr>
            <w:r>
              <w:rPr>
                <w:color w:val="FFFFFF" w:themeColor="background1"/>
                <w:sz w:val="28"/>
              </w:rPr>
              <w:t>R</w:t>
            </w:r>
            <w:r w:rsidR="00EF0A17" w:rsidRPr="00EF0A17">
              <w:rPr>
                <w:color w:val="FFFFFF" w:themeColor="background1"/>
                <w:sz w:val="28"/>
              </w:rPr>
              <w:t>egion</w:t>
            </w:r>
          </w:p>
        </w:tc>
        <w:tc>
          <w:tcPr>
            <w:tcW w:w="184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EF0A17" w:rsidRPr="00EF0A17" w:rsidRDefault="00EF0A17" w:rsidP="00EF0A17">
            <w:pPr>
              <w:pStyle w:val="Heading1"/>
              <w:jc w:val="center"/>
              <w:rPr>
                <w:rFonts w:ascii="Arial" w:hAnsi="Arial" w:cs="Arial"/>
                <w:color w:val="FFFFFF" w:themeColor="background1"/>
                <w:sz w:val="28"/>
              </w:rPr>
            </w:pPr>
            <w:r w:rsidRPr="00EF0A17">
              <w:rPr>
                <w:color w:val="FFFFFF" w:themeColor="background1"/>
                <w:sz w:val="28"/>
              </w:rPr>
              <w:t>December 2012</w:t>
            </w:r>
          </w:p>
        </w:tc>
        <w:tc>
          <w:tcPr>
            <w:tcW w:w="184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EF0A17" w:rsidRPr="00EF0A17" w:rsidRDefault="00EF0A17" w:rsidP="00EF0A17">
            <w:pPr>
              <w:pStyle w:val="Heading1"/>
              <w:jc w:val="center"/>
              <w:rPr>
                <w:rFonts w:ascii="Arial" w:hAnsi="Arial" w:cs="Arial"/>
                <w:color w:val="FFFFFF" w:themeColor="background1"/>
                <w:sz w:val="28"/>
              </w:rPr>
            </w:pPr>
            <w:r w:rsidRPr="00EF0A17">
              <w:rPr>
                <w:color w:val="FFFFFF" w:themeColor="background1"/>
                <w:sz w:val="28"/>
              </w:rPr>
              <w:t>December 2013</w:t>
            </w:r>
          </w:p>
        </w:tc>
        <w:tc>
          <w:tcPr>
            <w:tcW w:w="184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EF0A17" w:rsidRPr="00EF0A17" w:rsidRDefault="00EF0A17" w:rsidP="00EF0A17">
            <w:pPr>
              <w:pStyle w:val="Heading1"/>
              <w:jc w:val="center"/>
              <w:rPr>
                <w:rFonts w:ascii="Arial" w:hAnsi="Arial" w:cs="Arial"/>
                <w:color w:val="FFFFFF" w:themeColor="background1"/>
                <w:sz w:val="28"/>
              </w:rPr>
            </w:pPr>
            <w:r w:rsidRPr="00EF0A17">
              <w:rPr>
                <w:color w:val="FFFFFF" w:themeColor="background1"/>
                <w:sz w:val="28"/>
              </w:rPr>
              <w:t>Annual Change</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Ballarat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-0.9%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Ararat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4.9%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-0.5%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Hepburn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-0.9%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Moorabool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4.5%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-0.6%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N. Grampians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-0.9%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Pyrenees LGA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4.9%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-0.9%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Ballarat region</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5.2%</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-0.8%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Central Victoria region</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5.9%</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5.8%</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-0.1% pts</w:t>
            </w:r>
          </w:p>
        </w:tc>
      </w:tr>
      <w:tr w:rsidR="00EF0A17" w:rsidRPr="00EF0A17" w:rsidTr="00EF0A17">
        <w:trPr>
          <w:trHeight w:val="670"/>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rPr>
                <w:rFonts w:ascii="Arial" w:hAnsi="Arial" w:cs="Arial"/>
                <w:sz w:val="28"/>
                <w:szCs w:val="36"/>
              </w:rPr>
            </w:pPr>
            <w:r w:rsidRPr="000D7E39">
              <w:rPr>
                <w:rFonts w:eastAsiaTheme="minorEastAsia"/>
                <w:sz w:val="28"/>
              </w:rPr>
              <w:t xml:space="preserve">Victoria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5.8%</w:t>
            </w:r>
          </w:p>
          <w:p w:rsidR="00EF0A17" w:rsidRPr="000D7E39" w:rsidRDefault="00EF0A17" w:rsidP="00EF0A17">
            <w:pPr>
              <w:jc w:val="center"/>
              <w:rPr>
                <w:rFonts w:ascii="Arial" w:hAnsi="Arial" w:cs="Arial"/>
                <w:sz w:val="28"/>
                <w:szCs w:val="36"/>
              </w:rPr>
            </w:pPr>
            <w:r w:rsidRPr="000D7E39">
              <w:rPr>
                <w:color w:val="000000" w:themeColor="text1"/>
                <w:sz w:val="28"/>
              </w:rPr>
              <w:t>April 2013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6.4%</w:t>
            </w:r>
          </w:p>
          <w:p w:rsidR="00EF0A17" w:rsidRPr="000D7E39" w:rsidRDefault="00EF0A17" w:rsidP="00EF0A17">
            <w:pPr>
              <w:jc w:val="center"/>
              <w:rPr>
                <w:rFonts w:ascii="Arial" w:hAnsi="Arial" w:cs="Arial"/>
                <w:sz w:val="28"/>
                <w:szCs w:val="36"/>
              </w:rPr>
            </w:pPr>
            <w:r w:rsidRPr="000D7E39">
              <w:rPr>
                <w:color w:val="000000" w:themeColor="text1"/>
                <w:sz w:val="28"/>
              </w:rPr>
              <w:t>April 2014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F0A17" w:rsidRPr="000D7E39" w:rsidRDefault="00EF0A17" w:rsidP="00EF0A17">
            <w:pPr>
              <w:jc w:val="center"/>
              <w:rPr>
                <w:rFonts w:ascii="Arial" w:hAnsi="Arial" w:cs="Arial"/>
                <w:sz w:val="28"/>
                <w:szCs w:val="36"/>
              </w:rPr>
            </w:pPr>
            <w:r w:rsidRPr="000D7E39">
              <w:rPr>
                <w:color w:val="000000" w:themeColor="text1"/>
                <w:sz w:val="28"/>
              </w:rPr>
              <w:t>0.6% pts</w:t>
            </w:r>
          </w:p>
        </w:tc>
      </w:tr>
    </w:tbl>
    <w:p w:rsidR="00EF0A17" w:rsidRDefault="00EF0A17" w:rsidP="00EF0A17">
      <w:pPr>
        <w:rPr>
          <w:rFonts w:cstheme="minorHAnsi"/>
          <w:sz w:val="20"/>
          <w:szCs w:val="20"/>
        </w:rPr>
      </w:pPr>
    </w:p>
    <w:p w:rsidR="00EF0A17" w:rsidRPr="00EF0A17" w:rsidRDefault="00EF0A17" w:rsidP="00EF0A17">
      <w:pPr>
        <w:spacing w:line="360" w:lineRule="auto"/>
        <w:jc w:val="left"/>
        <w:rPr>
          <w:rFonts w:cstheme="minorHAnsi"/>
          <w:sz w:val="20"/>
          <w:szCs w:val="20"/>
        </w:rPr>
      </w:pPr>
      <w:r w:rsidRPr="00EF0A17">
        <w:rPr>
          <w:rFonts w:cstheme="minorHAnsi"/>
          <w:sz w:val="20"/>
          <w:szCs w:val="20"/>
        </w:rPr>
        <w:t>* Seasonally adjusted April figure</w:t>
      </w:r>
    </w:p>
    <w:p w:rsidR="00512307" w:rsidRDefault="00D954A6" w:rsidP="00EF0A17">
      <w:pPr>
        <w:rPr>
          <w:i/>
        </w:rPr>
      </w:pPr>
      <w:r w:rsidRPr="00EF0A17">
        <w:rPr>
          <w:i/>
        </w:rPr>
        <w:t>Source: DEEWR, Small Area</w:t>
      </w:r>
      <w:r w:rsidR="00512307">
        <w:rPr>
          <w:i/>
        </w:rPr>
        <w:t xml:space="preserve"> Labour Markets, December 2013</w:t>
      </w:r>
    </w:p>
    <w:p w:rsidR="00512307" w:rsidRPr="00512307" w:rsidRDefault="00512307" w:rsidP="00EF0A17">
      <w:pPr>
        <w:rPr>
          <w:i/>
        </w:rPr>
      </w:pPr>
    </w:p>
    <w:p w:rsidR="00D954A6" w:rsidRPr="00D954A6" w:rsidRDefault="00D954A6" w:rsidP="00EF0A17">
      <w:r w:rsidRPr="00D954A6">
        <w:t xml:space="preserve">In December 2013, the unemployment rate in the Central Victoria region was </w:t>
      </w:r>
      <w:r w:rsidR="00EF0A17">
        <w:br/>
      </w:r>
      <w:r w:rsidRPr="00D954A6">
        <w:t xml:space="preserve">5.8 per cent, lower compared with the state (6.4 per cent). </w:t>
      </w:r>
    </w:p>
    <w:p w:rsidR="00D954A6" w:rsidRPr="00D954A6" w:rsidRDefault="00D954A6" w:rsidP="00EF0A17"/>
    <w:p w:rsidR="00D954A6" w:rsidRPr="00D954A6" w:rsidRDefault="00D954A6" w:rsidP="00EF0A17">
      <w:r w:rsidRPr="00D954A6">
        <w:t xml:space="preserve">The LGAs of Ballarat and Hepburn reported the highest unemployment rates in the Ballarat region (5.8 and 5.2 per cent, respectively). In contrast, the Moorabool LGA reported </w:t>
      </w:r>
      <w:r w:rsidR="00C07A07" w:rsidRPr="00D954A6">
        <w:t>an</w:t>
      </w:r>
      <w:r w:rsidRPr="00D954A6">
        <w:t xml:space="preserve"> unemployment rate of only 3.9 per cent.</w:t>
      </w:r>
    </w:p>
    <w:p w:rsidR="00D954A6" w:rsidRPr="00D954A6" w:rsidRDefault="00D954A6" w:rsidP="00EF0A17"/>
    <w:p w:rsidR="00D954A6" w:rsidRPr="00D954A6" w:rsidRDefault="00D954A6" w:rsidP="00EF0A17">
      <w:r w:rsidRPr="00D954A6">
        <w:t xml:space="preserve">In the 12 months to December 2013, the unemployment in the Central Victoria region has decreased (by 0.1 percentage point) while Victoria it increased (by </w:t>
      </w:r>
      <w:r w:rsidR="00EF0A17">
        <w:br/>
      </w:r>
      <w:r w:rsidRPr="00D954A6">
        <w:t>0.6 percentage points) to 6.4 per cent.</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12</w:t>
      </w:r>
      <w:r w:rsidR="006A062C">
        <w:t xml:space="preserve"> </w:t>
      </w:r>
      <w:proofErr w:type="gramStart"/>
      <w:r w:rsidR="006A062C" w:rsidRPr="00D954A6">
        <w:t>Below</w:t>
      </w:r>
      <w:proofErr w:type="gramEnd"/>
      <w:r w:rsidR="006A062C" w:rsidRPr="00D954A6">
        <w:t xml:space="preserve"> average participation in most age groups</w:t>
      </w:r>
    </w:p>
    <w:p w:rsidR="00D954A6" w:rsidRPr="00D954A6" w:rsidRDefault="00D954A6" w:rsidP="00D954A6">
      <w:pPr>
        <w:spacing w:line="360" w:lineRule="auto"/>
        <w:rPr>
          <w:rFonts w:cstheme="minorHAnsi"/>
          <w:sz w:val="20"/>
          <w:szCs w:val="20"/>
        </w:rPr>
      </w:pPr>
    </w:p>
    <w:p w:rsidR="00D954A6" w:rsidRPr="00D954A6" w:rsidRDefault="00EF0A17" w:rsidP="00D954A6">
      <w:pPr>
        <w:spacing w:line="360" w:lineRule="auto"/>
        <w:rPr>
          <w:rFonts w:cstheme="minorHAnsi"/>
          <w:sz w:val="20"/>
          <w:szCs w:val="20"/>
        </w:rPr>
      </w:pPr>
      <w:r w:rsidRPr="00EF0A17">
        <w:rPr>
          <w:noProof/>
        </w:rPr>
        <w:drawing>
          <wp:inline distT="0" distB="0" distL="0" distR="0" wp14:anchorId="5DD39CDE" wp14:editId="1A35CC5D">
            <wp:extent cx="5400000" cy="4050000"/>
            <wp:effectExtent l="19050" t="19050" r="10795" b="27305"/>
            <wp:docPr id="7" name="Picture 7" descr="Graph - Below average participation rate in most age group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00" cy="4050000"/>
                    </a:xfrm>
                    <a:prstGeom prst="rect">
                      <a:avLst/>
                    </a:prstGeom>
                    <a:ln>
                      <a:solidFill>
                        <a:schemeClr val="tx1"/>
                      </a:solidFill>
                    </a:ln>
                  </pic:spPr>
                </pic:pic>
              </a:graphicData>
            </a:graphic>
          </wp:inline>
        </w:drawing>
      </w:r>
    </w:p>
    <w:p w:rsidR="00D954A6" w:rsidRPr="00EF0A17" w:rsidRDefault="00D954A6" w:rsidP="00EF0A17">
      <w:pPr>
        <w:rPr>
          <w:i/>
        </w:rPr>
      </w:pPr>
      <w:r w:rsidRPr="00EF0A17">
        <w:rPr>
          <w:i/>
        </w:rPr>
        <w:t>Source: ABS, Census of Population and Housing, 2011</w:t>
      </w:r>
    </w:p>
    <w:p w:rsidR="00D954A6" w:rsidRPr="00D954A6" w:rsidRDefault="00D954A6" w:rsidP="00EF0A17"/>
    <w:p w:rsidR="00D954A6" w:rsidRPr="00D954A6" w:rsidRDefault="00D954A6" w:rsidP="00EF0A17">
      <w:pPr>
        <w:rPr>
          <w:rFonts w:cstheme="minorHAnsi"/>
          <w:kern w:val="24"/>
          <w:sz w:val="20"/>
          <w:szCs w:val="20"/>
        </w:rPr>
      </w:pPr>
      <w:r w:rsidRPr="00D954A6">
        <w:t>The participation rate for males aged 15 to 19 years (49.4 per cent) had a relatively high participation rate compared with the national rate (48.3 per cent). The participation rate for females in the same cohort (53.6 per cent) was also high compared with the national rate (52.3 per cent). The participation rate for males aged 55 to 59 had the lowest comparative rate with the Australia (76.7</w:t>
      </w:r>
      <w:r>
        <w:t> </w:t>
      </w:r>
      <w:r w:rsidRPr="00D954A6">
        <w:t xml:space="preserve">per cent compared with 79.8 per cent), while females aged 30 to 34 had the lowest comparative rate with Australia (70.2 per cent compared with </w:t>
      </w:r>
      <w:r w:rsidR="00EF0A17">
        <w:t>73.4 per cent).</w:t>
      </w:r>
    </w:p>
    <w:p w:rsidR="00ED4615" w:rsidRDefault="00ED4615">
      <w:pPr>
        <w:rPr>
          <w:rFonts w:ascii="Calibri" w:eastAsiaTheme="majorEastAsia" w:hAnsi="Calibri" w:cstheme="majorBidi"/>
          <w:b/>
          <w:bCs/>
          <w:sz w:val="28"/>
          <w:szCs w:val="28"/>
        </w:rPr>
      </w:pPr>
      <w:r>
        <w:br w:type="page"/>
      </w:r>
    </w:p>
    <w:p w:rsidR="006A062C" w:rsidRDefault="00D954A6" w:rsidP="006A062C">
      <w:pPr>
        <w:pStyle w:val="Heading1"/>
      </w:pPr>
      <w:r w:rsidRPr="00D954A6">
        <w:lastRenderedPageBreak/>
        <w:t>Slide 13</w:t>
      </w:r>
      <w:r w:rsidR="006A062C">
        <w:t xml:space="preserve"> </w:t>
      </w:r>
      <w:r w:rsidR="006A062C" w:rsidRPr="00D954A6">
        <w:t>Male employment growth both full-time and part-time</w:t>
      </w:r>
    </w:p>
    <w:p w:rsidR="0040022F" w:rsidRPr="0040022F" w:rsidRDefault="0040022F" w:rsidP="0040022F"/>
    <w:p w:rsidR="00D954A6" w:rsidRPr="00D954A6" w:rsidRDefault="00EF0A17" w:rsidP="00D954A6">
      <w:pPr>
        <w:spacing w:line="360" w:lineRule="auto"/>
        <w:rPr>
          <w:rFonts w:cstheme="minorHAnsi"/>
          <w:sz w:val="20"/>
          <w:szCs w:val="20"/>
        </w:rPr>
      </w:pPr>
      <w:r w:rsidRPr="00EF0A17">
        <w:rPr>
          <w:noProof/>
        </w:rPr>
        <w:drawing>
          <wp:inline distT="0" distB="0" distL="0" distR="0" wp14:anchorId="1CEDCBDA" wp14:editId="69B22948">
            <wp:extent cx="5400000" cy="4050000"/>
            <wp:effectExtent l="19050" t="19050" r="10795" b="27305"/>
            <wp:docPr id="20" name="Picture 20" descr="Graph - Male employment growth both full-time and part-time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00" cy="4050000"/>
                    </a:xfrm>
                    <a:prstGeom prst="rect">
                      <a:avLst/>
                    </a:prstGeom>
                    <a:ln>
                      <a:solidFill>
                        <a:schemeClr val="tx1"/>
                      </a:solidFill>
                    </a:ln>
                  </pic:spPr>
                </pic:pic>
              </a:graphicData>
            </a:graphic>
          </wp:inline>
        </w:drawing>
      </w:r>
    </w:p>
    <w:p w:rsidR="00D954A6" w:rsidRPr="00A5057B" w:rsidRDefault="00D954A6" w:rsidP="0040022F">
      <w:pPr>
        <w:rPr>
          <w:i/>
        </w:rPr>
      </w:pPr>
      <w:r w:rsidRPr="00A5057B">
        <w:rPr>
          <w:i/>
        </w:rPr>
        <w:t>Source: ABS, Labour Force Data, April 2014, (12 month averages)</w:t>
      </w:r>
    </w:p>
    <w:p w:rsidR="00D954A6" w:rsidRPr="00D954A6" w:rsidRDefault="00D954A6" w:rsidP="0040022F"/>
    <w:p w:rsidR="00D954A6" w:rsidRPr="00D954A6" w:rsidRDefault="00D954A6" w:rsidP="0040022F">
      <w:r w:rsidRPr="00D954A6">
        <w:t xml:space="preserve">Over the five years to 2014, employment has grown by 3300 jobs across Ballarat SA4s. This growth was driven by male employment (up 2600 jobs). The growth was split evenly between full-time and part-time employment, both growing by 1300 jobs. Female full-time jobs grew by 1600 </w:t>
      </w:r>
      <w:proofErr w:type="gramStart"/>
      <w:r w:rsidRPr="00D954A6">
        <w:t>jobs,</w:t>
      </w:r>
      <w:proofErr w:type="gramEnd"/>
      <w:r w:rsidRPr="00D954A6">
        <w:t xml:space="preserve"> however, this was offset by a decline of 1000 part-time jobs over the same period.</w:t>
      </w:r>
    </w:p>
    <w:p w:rsidR="00D954A6" w:rsidRPr="00D954A6" w:rsidRDefault="00D954A6" w:rsidP="0040022F"/>
    <w:p w:rsidR="00D954A6" w:rsidRPr="0040022F" w:rsidRDefault="00D954A6" w:rsidP="0040022F">
      <w:pPr>
        <w:rPr>
          <w:bCs/>
          <w:sz w:val="28"/>
          <w:u w:val="single"/>
        </w:rPr>
      </w:pPr>
      <w:r w:rsidRPr="0040022F">
        <w:rPr>
          <w:bCs/>
          <w:sz w:val="28"/>
          <w:u w:val="single"/>
        </w:rPr>
        <w:t>Industries in which growth occurred</w:t>
      </w:r>
    </w:p>
    <w:p w:rsidR="00D954A6" w:rsidRPr="0040022F" w:rsidRDefault="00D954A6" w:rsidP="0040022F">
      <w:pPr>
        <w:rPr>
          <w:i/>
        </w:rPr>
      </w:pPr>
      <w:r w:rsidRPr="0040022F">
        <w:rPr>
          <w:i/>
        </w:rPr>
        <w:t>Male full-time employment growth</w:t>
      </w:r>
    </w:p>
    <w:p w:rsidR="00D954A6" w:rsidRPr="00D954A6" w:rsidRDefault="00D954A6" w:rsidP="0040022F">
      <w:pPr>
        <w:pStyle w:val="ListParagraph"/>
        <w:numPr>
          <w:ilvl w:val="0"/>
          <w:numId w:val="11"/>
        </w:numPr>
      </w:pPr>
      <w:r w:rsidRPr="00D954A6">
        <w:t>Construction</w:t>
      </w:r>
      <w:r>
        <w:t xml:space="preserve">; </w:t>
      </w:r>
      <w:r w:rsidRPr="00D954A6">
        <w:t>Healthcare and Social Assistance</w:t>
      </w:r>
      <w:r>
        <w:t xml:space="preserve"> and </w:t>
      </w:r>
      <w:r w:rsidRPr="00D954A6">
        <w:t>Information Media and Telecommunications</w:t>
      </w:r>
    </w:p>
    <w:p w:rsidR="00D954A6" w:rsidRPr="0040022F" w:rsidRDefault="00D954A6" w:rsidP="0040022F">
      <w:pPr>
        <w:rPr>
          <w:i/>
        </w:rPr>
      </w:pPr>
      <w:r w:rsidRPr="0040022F">
        <w:rPr>
          <w:i/>
        </w:rPr>
        <w:t>Male part-time employment growth</w:t>
      </w:r>
    </w:p>
    <w:p w:rsidR="00D954A6" w:rsidRPr="00D954A6" w:rsidRDefault="00D954A6" w:rsidP="0040022F">
      <w:pPr>
        <w:pStyle w:val="ListParagraph"/>
        <w:numPr>
          <w:ilvl w:val="0"/>
          <w:numId w:val="11"/>
        </w:numPr>
      </w:pPr>
      <w:r w:rsidRPr="00D954A6">
        <w:t>Retail</w:t>
      </w:r>
      <w:r>
        <w:t xml:space="preserve">; </w:t>
      </w:r>
      <w:r w:rsidRPr="00D954A6">
        <w:t>Accommodation and Food Services</w:t>
      </w:r>
      <w:r>
        <w:t xml:space="preserve">; </w:t>
      </w:r>
      <w:r w:rsidRPr="00D954A6">
        <w:t>Construction</w:t>
      </w:r>
      <w:r>
        <w:t xml:space="preserve"> and </w:t>
      </w:r>
      <w:r w:rsidRPr="00D954A6">
        <w:t>Manufacturing</w:t>
      </w:r>
    </w:p>
    <w:p w:rsidR="00D954A6" w:rsidRPr="0040022F" w:rsidRDefault="00D954A6" w:rsidP="0040022F">
      <w:pPr>
        <w:rPr>
          <w:i/>
        </w:rPr>
      </w:pPr>
      <w:r w:rsidRPr="0040022F">
        <w:rPr>
          <w:i/>
        </w:rPr>
        <w:t>Female full-time employment growth</w:t>
      </w:r>
    </w:p>
    <w:p w:rsidR="00D954A6" w:rsidRPr="00D954A6" w:rsidRDefault="00D954A6" w:rsidP="0040022F">
      <w:pPr>
        <w:pStyle w:val="ListParagraph"/>
        <w:numPr>
          <w:ilvl w:val="0"/>
          <w:numId w:val="11"/>
        </w:numPr>
      </w:pPr>
      <w:r w:rsidRPr="00D954A6">
        <w:t>Education</w:t>
      </w:r>
      <w:r>
        <w:t xml:space="preserve">; </w:t>
      </w:r>
      <w:r w:rsidRPr="00D954A6">
        <w:t>Public Administration and Safety</w:t>
      </w:r>
      <w:r>
        <w:t xml:space="preserve">; </w:t>
      </w:r>
      <w:r w:rsidRPr="00D954A6">
        <w:t>Financial and Insurance Services</w:t>
      </w:r>
      <w:r>
        <w:t xml:space="preserve"> and </w:t>
      </w:r>
      <w:r w:rsidRPr="00D954A6">
        <w:t>Health Care and Social Assistance</w:t>
      </w:r>
    </w:p>
    <w:p w:rsidR="00D954A6" w:rsidRPr="0040022F" w:rsidRDefault="00D954A6" w:rsidP="0040022F">
      <w:pPr>
        <w:rPr>
          <w:i/>
        </w:rPr>
      </w:pPr>
      <w:r w:rsidRPr="0040022F">
        <w:rPr>
          <w:i/>
        </w:rPr>
        <w:t>Female part-time employment growth</w:t>
      </w:r>
    </w:p>
    <w:p w:rsidR="00D954A6" w:rsidRPr="00D954A6" w:rsidRDefault="00D954A6" w:rsidP="0040022F">
      <w:pPr>
        <w:pStyle w:val="ListParagraph"/>
        <w:numPr>
          <w:ilvl w:val="0"/>
          <w:numId w:val="11"/>
        </w:numPr>
      </w:pPr>
      <w:r w:rsidRPr="00D954A6">
        <w:t>Increase - Healthcare and Social Assistance</w:t>
      </w:r>
    </w:p>
    <w:p w:rsidR="00D954A6" w:rsidRPr="00D954A6" w:rsidRDefault="00C07A07" w:rsidP="0040022F">
      <w:pPr>
        <w:pStyle w:val="ListParagraph"/>
        <w:numPr>
          <w:ilvl w:val="0"/>
          <w:numId w:val="11"/>
        </w:numPr>
      </w:pPr>
      <w:r>
        <w:t>Decrease -</w:t>
      </w:r>
      <w:r w:rsidRPr="00D954A6">
        <w:t xml:space="preserve"> Retail</w:t>
      </w:r>
      <w:r>
        <w:t xml:space="preserve">; and </w:t>
      </w:r>
      <w:r w:rsidRPr="00D954A6">
        <w:t>Administrative and Support Services</w:t>
      </w:r>
    </w:p>
    <w:p w:rsidR="006A062C" w:rsidRDefault="00D954A6" w:rsidP="006A062C">
      <w:pPr>
        <w:pStyle w:val="Heading1"/>
      </w:pPr>
      <w:r w:rsidRPr="00D954A6">
        <w:lastRenderedPageBreak/>
        <w:t>Slide 14</w:t>
      </w:r>
      <w:r w:rsidR="006A062C">
        <w:t xml:space="preserve"> </w:t>
      </w:r>
      <w:r w:rsidR="006A062C" w:rsidRPr="00D954A6">
        <w:t>Health and Retail largest employing industries</w:t>
      </w:r>
    </w:p>
    <w:p w:rsidR="0040022F" w:rsidRPr="0040022F" w:rsidRDefault="0040022F" w:rsidP="0040022F"/>
    <w:p w:rsidR="00D954A6" w:rsidRPr="00D954A6" w:rsidRDefault="0040022F" w:rsidP="00D954A6">
      <w:pPr>
        <w:spacing w:line="360" w:lineRule="auto"/>
        <w:rPr>
          <w:rFonts w:cstheme="minorHAnsi"/>
          <w:sz w:val="20"/>
          <w:szCs w:val="20"/>
        </w:rPr>
      </w:pPr>
      <w:r w:rsidRPr="0040022F">
        <w:rPr>
          <w:noProof/>
        </w:rPr>
        <w:drawing>
          <wp:inline distT="0" distB="0" distL="0" distR="0" wp14:anchorId="72E6AD1C" wp14:editId="168BF1FA">
            <wp:extent cx="5400000" cy="4050000"/>
            <wp:effectExtent l="19050" t="19050" r="10795" b="27305"/>
            <wp:docPr id="37" name="Picture 37" descr="Health 15%/12%&#10;Retail 12%/11%&#10;Manufacturing 11%/10%&#10;Construction 9%/9%&#10;Education and Training 8%/8%&#10;Accomodation and Fodd Services 7%/6%&#10;Professional, Scientific and Technical Services 4%/9%&#10;Public Administration and Safety 4%/5%" title="Employment by Industry breakup Ballarat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00" cy="4050000"/>
                    </a:xfrm>
                    <a:prstGeom prst="rect">
                      <a:avLst/>
                    </a:prstGeom>
                    <a:ln>
                      <a:solidFill>
                        <a:schemeClr val="tx1"/>
                      </a:solidFill>
                    </a:ln>
                  </pic:spPr>
                </pic:pic>
              </a:graphicData>
            </a:graphic>
          </wp:inline>
        </w:drawing>
      </w:r>
    </w:p>
    <w:p w:rsidR="00D954A6" w:rsidRPr="0040022F" w:rsidRDefault="00D954A6" w:rsidP="0040022F">
      <w:pPr>
        <w:rPr>
          <w:i/>
        </w:rPr>
      </w:pPr>
      <w:r w:rsidRPr="0040022F">
        <w:rPr>
          <w:i/>
        </w:rPr>
        <w:t>Source: ABS Labour Force data, February Quarter 2014 (4 quarter averages)</w:t>
      </w:r>
    </w:p>
    <w:p w:rsidR="00D954A6" w:rsidRPr="00D954A6" w:rsidRDefault="00D954A6" w:rsidP="0040022F"/>
    <w:p w:rsidR="00D954A6" w:rsidRPr="00D954A6" w:rsidRDefault="00D954A6" w:rsidP="0040022F">
      <w:r w:rsidRPr="00D954A6">
        <w:t>Employment in the Ballarat region was highest in the Health Care and Social Assistance (15 per cent of all employed), Retail Trade (12 per cent) and Manufacturing Industries (11 per cent).</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15</w:t>
      </w:r>
      <w:r w:rsidR="006A062C">
        <w:t xml:space="preserve"> </w:t>
      </w:r>
      <w:r w:rsidR="006A062C" w:rsidRPr="00D954A6">
        <w:t>Structural change in industry employment Ballarat SA4</w:t>
      </w:r>
    </w:p>
    <w:p w:rsidR="00D954A6" w:rsidRPr="00D954A6" w:rsidRDefault="00D954A6" w:rsidP="00D954A6">
      <w:pPr>
        <w:spacing w:line="360" w:lineRule="auto"/>
        <w:rPr>
          <w:rFonts w:cstheme="minorHAnsi"/>
          <w:sz w:val="20"/>
          <w:szCs w:val="20"/>
        </w:rPr>
      </w:pPr>
    </w:p>
    <w:p w:rsidR="00D954A6" w:rsidRPr="00D954A6" w:rsidRDefault="00442522" w:rsidP="00D954A6">
      <w:pPr>
        <w:spacing w:line="360" w:lineRule="auto"/>
        <w:rPr>
          <w:rFonts w:cstheme="minorHAnsi"/>
          <w:sz w:val="20"/>
          <w:szCs w:val="20"/>
        </w:rPr>
      </w:pPr>
      <w:r w:rsidRPr="00442522">
        <w:rPr>
          <w:noProof/>
        </w:rPr>
        <w:drawing>
          <wp:inline distT="0" distB="0" distL="0" distR="0" wp14:anchorId="11CEBF64" wp14:editId="43912250">
            <wp:extent cx="5400000" cy="4050000"/>
            <wp:effectExtent l="19050" t="19050" r="10795" b="27305"/>
            <wp:docPr id="39" name="Picture 39" descr="Manufacturing 15%/11%&#10;Construction 9%/9%&#10;Education and Training 8%/8%&#10;Public Administration and Safety 8%/4%&#10;Other Services 6%/4%&#10;Accommodation and Food Services 7%/7%&#10;Retail Trade 8%/12%&#10;Health Care and Social Assistance 9%/15%" title="Percentage of total employment 200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00" cy="4050000"/>
                    </a:xfrm>
                    <a:prstGeom prst="rect">
                      <a:avLst/>
                    </a:prstGeom>
                    <a:ln>
                      <a:solidFill>
                        <a:schemeClr val="tx1"/>
                      </a:solidFill>
                    </a:ln>
                  </pic:spPr>
                </pic:pic>
              </a:graphicData>
            </a:graphic>
          </wp:inline>
        </w:drawing>
      </w:r>
    </w:p>
    <w:p w:rsidR="00D954A6" w:rsidRPr="00442522" w:rsidRDefault="00D954A6" w:rsidP="00442522">
      <w:pPr>
        <w:rPr>
          <w:i/>
        </w:rPr>
      </w:pPr>
      <w:r w:rsidRPr="00442522">
        <w:rPr>
          <w:i/>
        </w:rPr>
        <w:t xml:space="preserve">Source: ABS Labour Force, February Quarter 2014 (4 quarter averages) </w:t>
      </w:r>
    </w:p>
    <w:p w:rsidR="00D954A6" w:rsidRPr="00D954A6" w:rsidRDefault="00D954A6" w:rsidP="00442522"/>
    <w:p w:rsidR="00D954A6" w:rsidRPr="00D954A6" w:rsidRDefault="00D954A6" w:rsidP="00442522">
      <w:r w:rsidRPr="00D954A6">
        <w:t>In the 10 years from 2004, industry employment has changed quite substantially in the Ballarat region. The reliance on the Manufacturing Industry has lessened, reducing from 15 per cent to 11</w:t>
      </w:r>
      <w:r>
        <w:t> </w:t>
      </w:r>
      <w:r w:rsidRPr="00D954A6">
        <w:t>per</w:t>
      </w:r>
      <w:r>
        <w:t> </w:t>
      </w:r>
      <w:r w:rsidRPr="00D954A6">
        <w:t>cent of all employment.  Whereas</w:t>
      </w:r>
      <w:r>
        <w:t>,</w:t>
      </w:r>
      <w:r w:rsidRPr="00D954A6">
        <w:t xml:space="preserve"> the importance of the Hea</w:t>
      </w:r>
      <w:r w:rsidR="005E4C4B">
        <w:t>lth Care and Social Assistance i</w:t>
      </w:r>
      <w:r w:rsidRPr="00D954A6">
        <w:t xml:space="preserve">ndustry is very evident having grown from 9 per cent to 15 per cent of all employment in the region. </w:t>
      </w:r>
    </w:p>
    <w:p w:rsidR="00ED4615" w:rsidRDefault="00ED4615">
      <w:pPr>
        <w:rPr>
          <w:rFonts w:ascii="Calibri" w:eastAsiaTheme="majorEastAsia" w:hAnsi="Calibri" w:cstheme="majorBidi"/>
          <w:b/>
          <w:bCs/>
          <w:sz w:val="28"/>
          <w:szCs w:val="28"/>
        </w:rPr>
      </w:pPr>
      <w:r>
        <w:br w:type="page"/>
      </w:r>
    </w:p>
    <w:p w:rsidR="006A062C" w:rsidRPr="00D954A6" w:rsidRDefault="00D954A6" w:rsidP="006A062C">
      <w:pPr>
        <w:pStyle w:val="Heading1"/>
      </w:pPr>
      <w:r w:rsidRPr="00D954A6">
        <w:lastRenderedPageBreak/>
        <w:t>Slide 16</w:t>
      </w:r>
      <w:r w:rsidR="006A062C">
        <w:t xml:space="preserve"> </w:t>
      </w:r>
      <w:r w:rsidR="006A062C" w:rsidRPr="00D954A6">
        <w:t>One in four receive income support</w:t>
      </w:r>
    </w:p>
    <w:p w:rsidR="00D954A6" w:rsidRPr="00D954A6" w:rsidRDefault="00D954A6" w:rsidP="00D954A6">
      <w:pPr>
        <w:spacing w:line="360" w:lineRule="auto"/>
        <w:rPr>
          <w:rFonts w:cstheme="minorHAnsi"/>
          <w:sz w:val="20"/>
          <w:szCs w:val="20"/>
        </w:rPr>
      </w:pPr>
    </w:p>
    <w:tbl>
      <w:tblPr>
        <w:tblpPr w:leftFromText="180" w:rightFromText="180" w:vertAnchor="text" w:horzAnchor="margin" w:tblpY="132"/>
        <w:tblW w:w="9129" w:type="dxa"/>
        <w:tblLayout w:type="fixed"/>
        <w:tblCellMar>
          <w:left w:w="0" w:type="dxa"/>
          <w:right w:w="0" w:type="dxa"/>
        </w:tblCellMar>
        <w:tblLook w:val="0600" w:firstRow="0" w:lastRow="0" w:firstColumn="0" w:lastColumn="0" w:noHBand="1" w:noVBand="1"/>
      </w:tblPr>
      <w:tblGrid>
        <w:gridCol w:w="2921"/>
        <w:gridCol w:w="2069"/>
        <w:gridCol w:w="2069"/>
        <w:gridCol w:w="2070"/>
      </w:tblGrid>
      <w:tr w:rsidR="00F83B48" w:rsidRPr="00503BC0" w:rsidTr="00E15141">
        <w:trPr>
          <w:trHeight w:val="680"/>
        </w:trPr>
        <w:tc>
          <w:tcPr>
            <w:tcW w:w="2921" w:type="dxa"/>
            <w:vMerge w:val="restart"/>
            <w:tcBorders>
              <w:top w:val="single" w:sz="4" w:space="0" w:color="000000"/>
              <w:left w:val="single" w:sz="4" w:space="0" w:color="000000"/>
              <w:bottom w:val="single" w:sz="4" w:space="0" w:color="000000"/>
              <w:right w:val="single" w:sz="4" w:space="0" w:color="000000"/>
            </w:tcBorders>
            <w:shd w:val="clear" w:color="auto" w:fill="376092"/>
            <w:tcMar>
              <w:top w:w="10" w:type="dxa"/>
              <w:left w:w="57" w:type="dxa"/>
              <w:bottom w:w="0" w:type="dxa"/>
              <w:right w:w="10" w:type="dxa"/>
            </w:tcMar>
            <w:vAlign w:val="center"/>
            <w:hideMark/>
          </w:tcPr>
          <w:p w:rsidR="00F83B48" w:rsidRPr="000D7E39" w:rsidRDefault="00F83B48" w:rsidP="00F83B48">
            <w:pPr>
              <w:pStyle w:val="Heading1"/>
              <w:jc w:val="center"/>
              <w:rPr>
                <w:rFonts w:ascii="Arial" w:hAnsi="Arial" w:cs="Arial"/>
                <w:color w:val="FFFFFF" w:themeColor="background1"/>
                <w:sz w:val="28"/>
              </w:rPr>
            </w:pPr>
            <w:r w:rsidRPr="000D7E39">
              <w:rPr>
                <w:color w:val="FFFFFF" w:themeColor="background1"/>
                <w:sz w:val="28"/>
              </w:rPr>
              <w:t>Region</w:t>
            </w:r>
          </w:p>
        </w:tc>
        <w:tc>
          <w:tcPr>
            <w:tcW w:w="6208" w:type="dxa"/>
            <w:gridSpan w:val="3"/>
            <w:tcBorders>
              <w:top w:val="single" w:sz="4" w:space="0" w:color="000000"/>
              <w:left w:val="single" w:sz="4" w:space="0" w:color="000000"/>
              <w:bottom w:val="single" w:sz="4" w:space="0" w:color="000000"/>
              <w:right w:val="single" w:sz="4" w:space="0" w:color="000000"/>
            </w:tcBorders>
            <w:shd w:val="clear" w:color="auto" w:fill="376092"/>
            <w:tcMar>
              <w:top w:w="10" w:type="dxa"/>
              <w:left w:w="10" w:type="dxa"/>
              <w:bottom w:w="0" w:type="dxa"/>
              <w:right w:w="10" w:type="dxa"/>
            </w:tcMar>
            <w:vAlign w:val="center"/>
            <w:hideMark/>
          </w:tcPr>
          <w:p w:rsidR="00F83B48" w:rsidRPr="000D7E39" w:rsidRDefault="00F83B48" w:rsidP="00F83B48">
            <w:pPr>
              <w:pStyle w:val="Heading1"/>
              <w:jc w:val="center"/>
              <w:rPr>
                <w:rFonts w:ascii="Arial" w:hAnsi="Arial" w:cs="Arial"/>
                <w:color w:val="FFFFFF" w:themeColor="background1"/>
                <w:sz w:val="28"/>
              </w:rPr>
            </w:pPr>
            <w:r w:rsidRPr="000D7E39">
              <w:rPr>
                <w:color w:val="FFFFFF" w:themeColor="background1"/>
                <w:sz w:val="28"/>
              </w:rPr>
              <w:t xml:space="preserve">Proportion of working age population </w:t>
            </w:r>
            <w:r w:rsidR="000D7E39">
              <w:rPr>
                <w:color w:val="FFFFFF" w:themeColor="background1"/>
                <w:sz w:val="28"/>
              </w:rPr>
              <w:br/>
            </w:r>
            <w:r w:rsidRPr="000D7E39">
              <w:rPr>
                <w:color w:val="FFFFFF" w:themeColor="background1"/>
                <w:sz w:val="28"/>
              </w:rPr>
              <w:t>in receipt of a benefit</w:t>
            </w:r>
          </w:p>
        </w:tc>
      </w:tr>
      <w:tr w:rsidR="00F83B48" w:rsidRPr="00503BC0" w:rsidTr="00E15141">
        <w:trPr>
          <w:trHeight w:val="846"/>
        </w:trPr>
        <w:tc>
          <w:tcPr>
            <w:tcW w:w="2921" w:type="dxa"/>
            <w:vMerge/>
            <w:tcBorders>
              <w:top w:val="single" w:sz="4" w:space="0" w:color="000000"/>
              <w:left w:val="single" w:sz="4" w:space="0" w:color="000000"/>
              <w:bottom w:val="single" w:sz="4" w:space="0" w:color="000000"/>
              <w:right w:val="single" w:sz="4" w:space="0" w:color="000000"/>
            </w:tcBorders>
            <w:vAlign w:val="center"/>
            <w:hideMark/>
          </w:tcPr>
          <w:p w:rsidR="00F83B48" w:rsidRPr="000D7E39" w:rsidRDefault="00F83B48" w:rsidP="00F83B48">
            <w:pPr>
              <w:pStyle w:val="Heading1"/>
              <w:jc w:val="center"/>
              <w:rPr>
                <w:rFonts w:ascii="Arial" w:hAnsi="Arial" w:cs="Arial"/>
                <w:color w:val="FFFFFF" w:themeColor="background1"/>
                <w:sz w:val="28"/>
              </w:rPr>
            </w:pPr>
          </w:p>
        </w:tc>
        <w:tc>
          <w:tcPr>
            <w:tcW w:w="2069" w:type="dxa"/>
            <w:tcBorders>
              <w:top w:val="single" w:sz="4" w:space="0" w:color="000000"/>
              <w:left w:val="single" w:sz="4" w:space="0" w:color="000000"/>
              <w:bottom w:val="single" w:sz="4" w:space="0" w:color="000000"/>
              <w:right w:val="single" w:sz="4" w:space="0" w:color="000000"/>
            </w:tcBorders>
            <w:shd w:val="clear" w:color="auto" w:fill="376092"/>
            <w:tcMar>
              <w:top w:w="10" w:type="dxa"/>
              <w:left w:w="10" w:type="dxa"/>
              <w:bottom w:w="0" w:type="dxa"/>
              <w:right w:w="10" w:type="dxa"/>
            </w:tcMar>
            <w:vAlign w:val="center"/>
            <w:hideMark/>
          </w:tcPr>
          <w:p w:rsidR="00F83B48" w:rsidRPr="000D7E39" w:rsidRDefault="00F83B48" w:rsidP="00F83B48">
            <w:pPr>
              <w:pStyle w:val="Heading1"/>
              <w:jc w:val="center"/>
              <w:rPr>
                <w:rFonts w:ascii="Arial" w:hAnsi="Arial" w:cs="Arial"/>
                <w:color w:val="FFFFFF" w:themeColor="background1"/>
                <w:sz w:val="28"/>
              </w:rPr>
            </w:pPr>
            <w:r w:rsidRPr="000D7E39">
              <w:rPr>
                <w:color w:val="FFFFFF" w:themeColor="background1"/>
                <w:sz w:val="28"/>
              </w:rPr>
              <w:t>Income Support benefits</w:t>
            </w:r>
          </w:p>
        </w:tc>
        <w:tc>
          <w:tcPr>
            <w:tcW w:w="2069" w:type="dxa"/>
            <w:tcBorders>
              <w:top w:val="single" w:sz="4" w:space="0" w:color="000000"/>
              <w:left w:val="single" w:sz="4" w:space="0" w:color="000000"/>
              <w:bottom w:val="single" w:sz="4" w:space="0" w:color="000000"/>
              <w:right w:val="single" w:sz="4" w:space="0" w:color="000000"/>
            </w:tcBorders>
            <w:shd w:val="clear" w:color="auto" w:fill="376092"/>
            <w:tcMar>
              <w:top w:w="10" w:type="dxa"/>
              <w:left w:w="10" w:type="dxa"/>
              <w:bottom w:w="0" w:type="dxa"/>
              <w:right w:w="10" w:type="dxa"/>
            </w:tcMar>
            <w:vAlign w:val="center"/>
            <w:hideMark/>
          </w:tcPr>
          <w:p w:rsidR="00F83B48" w:rsidRPr="000D7E39" w:rsidRDefault="00F83B48" w:rsidP="00F83B48">
            <w:pPr>
              <w:pStyle w:val="Heading1"/>
              <w:jc w:val="center"/>
              <w:rPr>
                <w:rFonts w:ascii="Arial" w:hAnsi="Arial" w:cs="Arial"/>
                <w:color w:val="FFFFFF" w:themeColor="background1"/>
                <w:sz w:val="28"/>
              </w:rPr>
            </w:pPr>
            <w:r w:rsidRPr="000D7E39">
              <w:rPr>
                <w:color w:val="FFFFFF" w:themeColor="background1"/>
                <w:sz w:val="28"/>
              </w:rPr>
              <w:t>Unemployment benefits</w:t>
            </w:r>
          </w:p>
        </w:tc>
        <w:tc>
          <w:tcPr>
            <w:tcW w:w="2070" w:type="dxa"/>
            <w:tcBorders>
              <w:top w:val="single" w:sz="4" w:space="0" w:color="000000"/>
              <w:left w:val="single" w:sz="4" w:space="0" w:color="000000"/>
              <w:bottom w:val="single" w:sz="4" w:space="0" w:color="000000"/>
              <w:right w:val="single" w:sz="4" w:space="0" w:color="000000"/>
            </w:tcBorders>
            <w:shd w:val="clear" w:color="auto" w:fill="376092"/>
            <w:tcMar>
              <w:top w:w="10" w:type="dxa"/>
              <w:left w:w="10" w:type="dxa"/>
              <w:bottom w:w="0" w:type="dxa"/>
              <w:right w:w="10" w:type="dxa"/>
            </w:tcMar>
            <w:vAlign w:val="center"/>
            <w:hideMark/>
          </w:tcPr>
          <w:p w:rsidR="00F83B48" w:rsidRPr="000D7E39" w:rsidRDefault="00F83B48" w:rsidP="00F83B48">
            <w:pPr>
              <w:pStyle w:val="Heading1"/>
              <w:jc w:val="center"/>
              <w:rPr>
                <w:rFonts w:ascii="Arial" w:hAnsi="Arial" w:cs="Arial"/>
                <w:color w:val="FFFFFF" w:themeColor="background1"/>
                <w:sz w:val="28"/>
              </w:rPr>
            </w:pPr>
            <w:r w:rsidRPr="000D7E39">
              <w:rPr>
                <w:color w:val="FFFFFF" w:themeColor="background1"/>
                <w:sz w:val="28"/>
              </w:rPr>
              <w:t>Disability Support Benefits</w:t>
            </w:r>
          </w:p>
        </w:tc>
      </w:tr>
      <w:tr w:rsidR="00F83B48" w:rsidRPr="00503BC0" w:rsidTr="00E15141">
        <w:trPr>
          <w:trHeight w:val="561"/>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Ballarat LGA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24%</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8%</w:t>
            </w:r>
          </w:p>
        </w:tc>
      </w:tr>
      <w:tr w:rsidR="00F83B48" w:rsidRPr="00503BC0" w:rsidTr="00E15141">
        <w:trPr>
          <w:trHeight w:val="561"/>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Ararat LGA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9%</w:t>
            </w:r>
          </w:p>
        </w:tc>
      </w:tr>
      <w:tr w:rsidR="00F83B48" w:rsidRPr="00503BC0" w:rsidTr="00E15141">
        <w:trPr>
          <w:trHeight w:val="561"/>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Hepburn LGA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9%</w:t>
            </w:r>
          </w:p>
        </w:tc>
      </w:tr>
      <w:tr w:rsidR="00F83B48" w:rsidRPr="00503BC0" w:rsidTr="00E15141">
        <w:trPr>
          <w:trHeight w:val="561"/>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Moorabool LGA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17%</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5%</w:t>
            </w:r>
          </w:p>
        </w:tc>
      </w:tr>
      <w:tr w:rsidR="00F83B48" w:rsidRPr="00503BC0" w:rsidTr="00E15141">
        <w:trPr>
          <w:trHeight w:val="561"/>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N. Grampians LGA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AC090"/>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11%</w:t>
            </w:r>
          </w:p>
        </w:tc>
      </w:tr>
      <w:tr w:rsidR="00F83B48" w:rsidRPr="00503BC0" w:rsidTr="00E15141">
        <w:trPr>
          <w:trHeight w:val="577"/>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Pyrenees LGA</w:t>
            </w:r>
          </w:p>
        </w:tc>
        <w:tc>
          <w:tcPr>
            <w:tcW w:w="2069" w:type="dxa"/>
            <w:tcBorders>
              <w:top w:val="single" w:sz="4" w:space="0" w:color="000000"/>
              <w:left w:val="single" w:sz="4" w:space="0" w:color="000000"/>
              <w:bottom w:val="single" w:sz="4" w:space="0" w:color="000000"/>
              <w:right w:val="single" w:sz="4" w:space="0" w:color="000000"/>
            </w:tcBorders>
            <w:shd w:val="clear" w:color="auto" w:fill="FBD2B4"/>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26%</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AC090"/>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11%</w:t>
            </w:r>
          </w:p>
        </w:tc>
      </w:tr>
      <w:tr w:rsidR="00F83B48" w:rsidRPr="00503BC0" w:rsidTr="00E15141">
        <w:trPr>
          <w:trHeight w:val="522"/>
        </w:trPr>
        <w:tc>
          <w:tcPr>
            <w:tcW w:w="2921"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Ballarat region</w:t>
            </w:r>
          </w:p>
        </w:tc>
        <w:tc>
          <w:tcPr>
            <w:tcW w:w="2069"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8%</w:t>
            </w:r>
          </w:p>
        </w:tc>
      </w:tr>
      <w:tr w:rsidR="00F83B48" w:rsidRPr="00503BC0" w:rsidTr="00E15141">
        <w:trPr>
          <w:trHeight w:val="522"/>
        </w:trPr>
        <w:tc>
          <w:tcPr>
            <w:tcW w:w="2921"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Central Victoria region</w:t>
            </w:r>
          </w:p>
        </w:tc>
        <w:tc>
          <w:tcPr>
            <w:tcW w:w="2069"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24%</w:t>
            </w:r>
          </w:p>
        </w:tc>
        <w:tc>
          <w:tcPr>
            <w:tcW w:w="2069"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8%</w:t>
            </w:r>
          </w:p>
        </w:tc>
      </w:tr>
      <w:tr w:rsidR="00F83B48" w:rsidRPr="00503BC0" w:rsidTr="00E15141">
        <w:trPr>
          <w:trHeight w:val="547"/>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Victoria</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17%</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5%</w:t>
            </w:r>
          </w:p>
        </w:tc>
      </w:tr>
      <w:tr w:rsidR="00F83B48" w:rsidRPr="00503BC0" w:rsidTr="00E15141">
        <w:trPr>
          <w:trHeight w:val="532"/>
        </w:trPr>
        <w:tc>
          <w:tcPr>
            <w:tcW w:w="292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rPr>
                <w:rFonts w:ascii="Arial" w:hAnsi="Arial" w:cs="Arial"/>
                <w:sz w:val="28"/>
              </w:rPr>
            </w:pPr>
            <w:r w:rsidRPr="000D7E39">
              <w:rPr>
                <w:sz w:val="28"/>
              </w:rPr>
              <w:t>Australia</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sz w:val="28"/>
              </w:rPr>
              <w:t>17%</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sz w:val="28"/>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F83B48" w:rsidRPr="000D7E39" w:rsidRDefault="00F83B48" w:rsidP="00F83B48">
            <w:pPr>
              <w:jc w:val="center"/>
              <w:rPr>
                <w:rFonts w:ascii="Arial" w:hAnsi="Arial" w:cs="Arial"/>
                <w:sz w:val="28"/>
              </w:rPr>
            </w:pPr>
            <w:r w:rsidRPr="000D7E39">
              <w:rPr>
                <w:color w:val="000000" w:themeColor="text1"/>
                <w:sz w:val="28"/>
              </w:rPr>
              <w:t>5%</w:t>
            </w:r>
          </w:p>
        </w:tc>
      </w:tr>
    </w:tbl>
    <w:p w:rsidR="00D954A6" w:rsidRPr="00F83B48" w:rsidRDefault="00D954A6" w:rsidP="00F83B48">
      <w:pPr>
        <w:rPr>
          <w:i/>
        </w:rPr>
      </w:pPr>
      <w:r w:rsidRPr="00F83B48">
        <w:rPr>
          <w:i/>
        </w:rPr>
        <w:t>Source: Department of Employment administrative data, March 2014; ABS Estimated Residential Population, 2012</w:t>
      </w:r>
    </w:p>
    <w:p w:rsidR="00D954A6" w:rsidRPr="00D954A6" w:rsidRDefault="00D954A6" w:rsidP="00F83B48"/>
    <w:p w:rsidR="00D954A6" w:rsidRPr="00D954A6" w:rsidRDefault="00D954A6" w:rsidP="00F83B48">
      <w:r w:rsidRPr="00D954A6">
        <w:t>In March 2013, almost one in four (23 per cent) of the working age population were in receipt of an Income Support benefit in the Ballarat region, higher compared with Victoria and Australia (both 17</w:t>
      </w:r>
      <w:r w:rsidR="005E4C4B">
        <w:t> </w:t>
      </w:r>
      <w:r w:rsidRPr="00D954A6">
        <w:t>per cent). The proportion of working age persons on Disability Support Pension was particularly high (8 per cent) compared with the state and Australia (both 5 per cent of WAP).</w:t>
      </w:r>
    </w:p>
    <w:p w:rsidR="00D954A6" w:rsidRPr="00D954A6" w:rsidRDefault="00D954A6" w:rsidP="00F83B48"/>
    <w:p w:rsidR="00D954A6" w:rsidRPr="00D954A6" w:rsidRDefault="00D954A6" w:rsidP="00F83B48">
      <w:r w:rsidRPr="00D954A6">
        <w:t xml:space="preserve">There is significant variation across the LGAs for example, 26 per cent of working age persons in the Pyrenees LGA were on Income Support benefits compared with only 17 per cent in the Moorabool LGA. Pyrenees also had 11 per cent of the working age population receiving Disability Support Benefits compared to 5 per cent in both Victoria and </w:t>
      </w:r>
      <w:r w:rsidR="005E4C4B">
        <w:t>n</w:t>
      </w:r>
      <w:r w:rsidRPr="00D954A6">
        <w:t>ationally.</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17</w:t>
      </w:r>
      <w:r w:rsidR="006A062C">
        <w:t xml:space="preserve"> </w:t>
      </w:r>
      <w:proofErr w:type="gramStart"/>
      <w:r w:rsidR="006A062C" w:rsidRPr="00D954A6">
        <w:t>What’s</w:t>
      </w:r>
      <w:proofErr w:type="gramEnd"/>
      <w:r w:rsidR="006A062C" w:rsidRPr="00D954A6">
        <w:t xml:space="preserve"> happening</w:t>
      </w:r>
      <w:r w:rsidR="006A062C">
        <w:t xml:space="preserve"> with</w:t>
      </w:r>
      <w:r w:rsidR="006A062C" w:rsidRPr="00D954A6">
        <w:t xml:space="preserve"> 45 to 64 year olds? </w:t>
      </w:r>
      <w:r w:rsidR="00E15141">
        <w:t>–</w:t>
      </w:r>
      <w:r w:rsidR="006A062C" w:rsidRPr="00D954A6">
        <w:t xml:space="preserve"> Ballarat</w:t>
      </w:r>
      <w:r w:rsidR="00E15141">
        <w:t xml:space="preserve"> region</w:t>
      </w:r>
    </w:p>
    <w:p w:rsidR="00D954A6" w:rsidRPr="00D954A6" w:rsidRDefault="00D954A6" w:rsidP="00D954A6">
      <w:pPr>
        <w:spacing w:line="360" w:lineRule="auto"/>
        <w:rPr>
          <w:rFonts w:cstheme="minorHAnsi"/>
          <w:sz w:val="20"/>
          <w:szCs w:val="20"/>
        </w:rPr>
      </w:pPr>
    </w:p>
    <w:p w:rsidR="00D954A6" w:rsidRPr="00D954A6" w:rsidRDefault="00F83B48" w:rsidP="00D954A6">
      <w:pPr>
        <w:spacing w:line="360" w:lineRule="auto"/>
        <w:rPr>
          <w:rFonts w:cstheme="minorHAnsi"/>
          <w:sz w:val="20"/>
          <w:szCs w:val="20"/>
        </w:rPr>
      </w:pPr>
      <w:r w:rsidRPr="00F83B48">
        <w:rPr>
          <w:noProof/>
        </w:rPr>
        <w:drawing>
          <wp:inline distT="0" distB="0" distL="0" distR="0" wp14:anchorId="31DE3FBD" wp14:editId="364005FC">
            <wp:extent cx="5400000" cy="4050000"/>
            <wp:effectExtent l="19050" t="19050" r="10795" b="27305"/>
            <wp:docPr id="41" name="Picture 41" descr="Graph - What's happening with 45 to 64 year olds?&#10;&#10;% of 45-54 year olds Ballarat/Australia&#10;Benefits 19%/15%&#10;Unemployment benefits 6%/6%&#10;Disability support payments 10%/7%&#10;&#10;% of 55-64 year olds Ballarat/Australia&#10;Benefits 27%/22%&#10;Unemployment benefits 6%/5%&#10;Disability support payments 15%/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00" cy="4050000"/>
                    </a:xfrm>
                    <a:prstGeom prst="rect">
                      <a:avLst/>
                    </a:prstGeom>
                    <a:ln>
                      <a:solidFill>
                        <a:schemeClr val="tx1"/>
                      </a:solidFill>
                    </a:ln>
                  </pic:spPr>
                </pic:pic>
              </a:graphicData>
            </a:graphic>
          </wp:inline>
        </w:drawing>
      </w:r>
    </w:p>
    <w:p w:rsidR="00D954A6" w:rsidRPr="00F83B48" w:rsidRDefault="00D954A6" w:rsidP="00F83B48">
      <w:pPr>
        <w:rPr>
          <w:i/>
        </w:rPr>
      </w:pPr>
      <w:r w:rsidRPr="00F83B48">
        <w:rPr>
          <w:i/>
        </w:rPr>
        <w:t>Source: Department of Employment ad</w:t>
      </w:r>
      <w:r w:rsidR="00F83B48">
        <w:rPr>
          <w:i/>
        </w:rPr>
        <w:t xml:space="preserve">ministrative data, March 2014; </w:t>
      </w:r>
      <w:r w:rsidRPr="00F83B48">
        <w:rPr>
          <w:i/>
        </w:rPr>
        <w:t>ABS, Estimated Residential Population, 2012</w:t>
      </w:r>
    </w:p>
    <w:p w:rsidR="00D954A6" w:rsidRPr="00D954A6" w:rsidRDefault="00D954A6" w:rsidP="00F83B48"/>
    <w:p w:rsidR="00D954A6" w:rsidRPr="00D954A6" w:rsidRDefault="00D954A6" w:rsidP="00F83B48">
      <w:r w:rsidRPr="00D954A6">
        <w:t>Reliance on income support payments is particularly high for those aged 45 to 64 years in the Ballarat region when compared with Australia overall. This is especially so for those aged 55 to 64 years. Disability Support Payments are the most common payment and a far higher proportion of the age group receive this payment when compared to Australia overall.</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18</w:t>
      </w:r>
      <w:r w:rsidR="006A062C">
        <w:t xml:space="preserve"> </w:t>
      </w:r>
      <w:r w:rsidR="006A062C" w:rsidRPr="00D954A6">
        <w:t>Jobless Families in the Ballarat region with children under 15</w:t>
      </w:r>
    </w:p>
    <w:p w:rsidR="00D954A6" w:rsidRPr="00D954A6" w:rsidRDefault="00D954A6" w:rsidP="00D954A6">
      <w:pPr>
        <w:spacing w:line="360" w:lineRule="auto"/>
        <w:rPr>
          <w:rFonts w:cstheme="minorHAnsi"/>
          <w:sz w:val="20"/>
          <w:szCs w:val="20"/>
        </w:rPr>
      </w:pPr>
    </w:p>
    <w:p w:rsidR="00D954A6" w:rsidRPr="00D954A6" w:rsidRDefault="00213F3F" w:rsidP="00D954A6">
      <w:pPr>
        <w:spacing w:line="360" w:lineRule="auto"/>
        <w:rPr>
          <w:rFonts w:cstheme="minorHAnsi"/>
          <w:sz w:val="20"/>
          <w:szCs w:val="20"/>
        </w:rPr>
      </w:pPr>
      <w:r w:rsidRPr="00213F3F">
        <w:rPr>
          <w:noProof/>
        </w:rPr>
        <w:drawing>
          <wp:inline distT="0" distB="0" distL="0" distR="0" wp14:anchorId="51326398" wp14:editId="1523B043">
            <wp:extent cx="5400000" cy="4050000"/>
            <wp:effectExtent l="19050" t="19050" r="10795" b="27305"/>
            <wp:docPr id="43" name="Picture 43" descr="Graph - Jobless familie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00" cy="4050000"/>
                    </a:xfrm>
                    <a:prstGeom prst="rect">
                      <a:avLst/>
                    </a:prstGeom>
                    <a:ln>
                      <a:solidFill>
                        <a:schemeClr val="tx1"/>
                      </a:solidFill>
                    </a:ln>
                  </pic:spPr>
                </pic:pic>
              </a:graphicData>
            </a:graphic>
          </wp:inline>
        </w:drawing>
      </w:r>
    </w:p>
    <w:p w:rsidR="00D954A6" w:rsidRPr="00213F3F" w:rsidRDefault="00D954A6" w:rsidP="00213F3F">
      <w:pPr>
        <w:rPr>
          <w:i/>
        </w:rPr>
      </w:pPr>
      <w:r w:rsidRPr="00213F3F">
        <w:rPr>
          <w:i/>
        </w:rPr>
        <w:t>Source: ABS, Census of Population and Housing, 2011</w:t>
      </w:r>
    </w:p>
    <w:p w:rsidR="00D954A6" w:rsidRPr="00D954A6" w:rsidRDefault="00D954A6" w:rsidP="00213F3F"/>
    <w:p w:rsidR="00D954A6" w:rsidRPr="00D954A6" w:rsidRDefault="00D954A6" w:rsidP="00213F3F">
      <w:r w:rsidRPr="00D954A6">
        <w:t>The proportion of families with children under 15 years in the Ballarat region who are jobless (15</w:t>
      </w:r>
      <w:r w:rsidR="005E4C4B">
        <w:t> </w:t>
      </w:r>
      <w:r w:rsidRPr="00D954A6">
        <w:t>per</w:t>
      </w:r>
      <w:r w:rsidR="005E4C4B">
        <w:t> </w:t>
      </w:r>
      <w:r w:rsidRPr="00D954A6">
        <w:t xml:space="preserve">cent) is above both Victoria (13 per cent) and Australia </w:t>
      </w:r>
      <w:r w:rsidR="00213F3F">
        <w:br/>
      </w:r>
      <w:r w:rsidRPr="00D954A6">
        <w:t xml:space="preserve">(14 per cent). </w:t>
      </w:r>
    </w:p>
    <w:p w:rsidR="00D954A6" w:rsidRPr="00D954A6" w:rsidRDefault="00D954A6" w:rsidP="00213F3F"/>
    <w:p w:rsidR="00D954A6" w:rsidRPr="00D954A6" w:rsidRDefault="00D954A6" w:rsidP="00213F3F">
      <w:r w:rsidRPr="00D954A6">
        <w:t xml:space="preserve">One in seven families with children under 15 in the Ballarat region </w:t>
      </w:r>
      <w:r w:rsidR="00C07A07" w:rsidRPr="00D954A6">
        <w:t>is</w:t>
      </w:r>
      <w:r w:rsidRPr="00D954A6">
        <w:t xml:space="preserve"> jobless.</w:t>
      </w:r>
    </w:p>
    <w:p w:rsidR="00D954A6" w:rsidRPr="00D954A6" w:rsidRDefault="00D954A6" w:rsidP="00E15141">
      <w:pPr>
        <w:pStyle w:val="ListParagraph"/>
        <w:numPr>
          <w:ilvl w:val="0"/>
          <w:numId w:val="27"/>
        </w:numPr>
      </w:pPr>
      <w:r w:rsidRPr="00D954A6">
        <w:t>1 in 20 couple families are jobless</w:t>
      </w:r>
    </w:p>
    <w:p w:rsidR="00D954A6" w:rsidRPr="00D954A6" w:rsidRDefault="00D954A6" w:rsidP="00E15141">
      <w:pPr>
        <w:pStyle w:val="ListParagraph"/>
        <w:numPr>
          <w:ilvl w:val="0"/>
          <w:numId w:val="27"/>
        </w:numPr>
      </w:pPr>
      <w:r w:rsidRPr="00D954A6">
        <w:t>Almost 1 in 2 lone parent families are jobless</w:t>
      </w:r>
    </w:p>
    <w:p w:rsidR="00D954A6" w:rsidRPr="00D954A6" w:rsidRDefault="00D954A6" w:rsidP="00213F3F"/>
    <w:p w:rsidR="00D954A6" w:rsidRPr="00D954A6" w:rsidRDefault="00D954A6" w:rsidP="00213F3F">
      <w:r w:rsidRPr="00D954A6">
        <w:t>There are at least 5</w:t>
      </w:r>
      <w:r w:rsidR="00213F3F">
        <w:t>,</w:t>
      </w:r>
      <w:r w:rsidRPr="00D954A6">
        <w:t>250 children in jobless families in the Ballarat region</w:t>
      </w:r>
    </w:p>
    <w:p w:rsidR="00D954A6" w:rsidRPr="00D954A6" w:rsidRDefault="00D954A6">
      <w:pPr>
        <w:rPr>
          <w:rFonts w:cstheme="minorHAnsi"/>
          <w:sz w:val="20"/>
          <w:szCs w:val="20"/>
        </w:rPr>
      </w:pPr>
      <w:r w:rsidRPr="00D954A6">
        <w:rPr>
          <w:rFonts w:cstheme="minorHAnsi"/>
          <w:sz w:val="20"/>
          <w:szCs w:val="20"/>
        </w:rPr>
        <w:br w:type="page"/>
      </w:r>
    </w:p>
    <w:p w:rsidR="006A062C" w:rsidRPr="00D954A6" w:rsidRDefault="00D954A6" w:rsidP="006A062C">
      <w:pPr>
        <w:pStyle w:val="Heading1"/>
      </w:pPr>
      <w:r w:rsidRPr="00D954A6">
        <w:lastRenderedPageBreak/>
        <w:t>Slide 19</w:t>
      </w:r>
      <w:r w:rsidR="006A062C">
        <w:t xml:space="preserve"> </w:t>
      </w:r>
      <w:proofErr w:type="gramStart"/>
      <w:r w:rsidR="006A062C" w:rsidRPr="00D954A6">
        <w:t>Is</w:t>
      </w:r>
      <w:proofErr w:type="gramEnd"/>
      <w:r w:rsidR="006A062C" w:rsidRPr="00D954A6">
        <w:t xml:space="preserve"> youth unemployment really only 7.9%?</w:t>
      </w:r>
    </w:p>
    <w:p w:rsidR="00D954A6" w:rsidRPr="00D954A6" w:rsidRDefault="00D954A6" w:rsidP="00D954A6">
      <w:pPr>
        <w:spacing w:line="360" w:lineRule="auto"/>
        <w:rPr>
          <w:rFonts w:cstheme="minorHAnsi"/>
          <w:sz w:val="20"/>
          <w:szCs w:val="20"/>
        </w:rPr>
      </w:pPr>
    </w:p>
    <w:tbl>
      <w:tblPr>
        <w:tblW w:w="8931" w:type="dxa"/>
        <w:tblInd w:w="-140" w:type="dxa"/>
        <w:tblLayout w:type="fixed"/>
        <w:tblCellMar>
          <w:left w:w="0" w:type="dxa"/>
          <w:right w:w="0" w:type="dxa"/>
        </w:tblCellMar>
        <w:tblLook w:val="0420" w:firstRow="1" w:lastRow="0" w:firstColumn="0" w:lastColumn="0" w:noHBand="0" w:noVBand="1"/>
      </w:tblPr>
      <w:tblGrid>
        <w:gridCol w:w="2127"/>
        <w:gridCol w:w="2268"/>
        <w:gridCol w:w="2268"/>
        <w:gridCol w:w="2268"/>
      </w:tblGrid>
      <w:tr w:rsidR="000D7E39" w:rsidRPr="000D7E39" w:rsidTr="000D7E39">
        <w:trPr>
          <w:trHeight w:val="1705"/>
        </w:trPr>
        <w:tc>
          <w:tcPr>
            <w:tcW w:w="2127"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0D7E39" w:rsidRPr="000D7E39" w:rsidRDefault="000D7E39" w:rsidP="000D7E39">
            <w:pPr>
              <w:pStyle w:val="Heading1"/>
              <w:jc w:val="center"/>
              <w:rPr>
                <w:rFonts w:ascii="Arial" w:hAnsi="Arial" w:cs="Arial"/>
                <w:color w:val="FFFFFF" w:themeColor="background1"/>
                <w:szCs w:val="36"/>
              </w:rPr>
            </w:pPr>
            <w:r w:rsidRPr="000D7E39">
              <w:rPr>
                <w:color w:val="FFFFFF" w:themeColor="background1"/>
              </w:rPr>
              <w:t>Region</w:t>
            </w:r>
          </w:p>
        </w:tc>
        <w:tc>
          <w:tcPr>
            <w:tcW w:w="2268"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0D7E39" w:rsidRPr="000D7E39" w:rsidRDefault="000D7E39" w:rsidP="000D7E39">
            <w:pPr>
              <w:pStyle w:val="Heading1"/>
              <w:jc w:val="center"/>
              <w:rPr>
                <w:rFonts w:ascii="Arial" w:hAnsi="Arial" w:cs="Arial"/>
                <w:color w:val="FFFFFF" w:themeColor="background1"/>
                <w:sz w:val="28"/>
                <w:szCs w:val="36"/>
              </w:rPr>
            </w:pPr>
            <w:r w:rsidRPr="000D7E39">
              <w:rPr>
                <w:color w:val="FFFFFF" w:themeColor="background1"/>
                <w:sz w:val="28"/>
              </w:rPr>
              <w:t>Youth unemployment rate (15-24 years)</w:t>
            </w:r>
          </w:p>
        </w:tc>
        <w:tc>
          <w:tcPr>
            <w:tcW w:w="2268"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0D7E39" w:rsidRPr="000D7E39" w:rsidRDefault="000D7E39" w:rsidP="000D7E39">
            <w:pPr>
              <w:pStyle w:val="Heading1"/>
              <w:jc w:val="center"/>
              <w:rPr>
                <w:rFonts w:ascii="Arial" w:hAnsi="Arial" w:cs="Arial"/>
                <w:color w:val="FFFFFF" w:themeColor="background1"/>
                <w:sz w:val="28"/>
                <w:szCs w:val="36"/>
              </w:rPr>
            </w:pPr>
            <w:r w:rsidRPr="000D7E39">
              <w:rPr>
                <w:color w:val="FFFFFF" w:themeColor="background1"/>
                <w:sz w:val="28"/>
              </w:rPr>
              <w:t>Youth Participation Rate (April 2014)</w:t>
            </w:r>
          </w:p>
        </w:tc>
        <w:tc>
          <w:tcPr>
            <w:tcW w:w="2268" w:type="dxa"/>
            <w:tcBorders>
              <w:top w:val="single" w:sz="8" w:space="0" w:color="000000"/>
              <w:left w:val="single" w:sz="8" w:space="0" w:color="000000"/>
              <w:bottom w:val="single" w:sz="8" w:space="0" w:color="000000"/>
              <w:right w:val="single" w:sz="8" w:space="0" w:color="000000"/>
            </w:tcBorders>
            <w:shd w:val="clear" w:color="auto" w:fill="376092"/>
            <w:tcMar>
              <w:top w:w="72" w:type="dxa"/>
              <w:left w:w="144" w:type="dxa"/>
              <w:bottom w:w="72" w:type="dxa"/>
              <w:right w:w="144" w:type="dxa"/>
            </w:tcMar>
            <w:vAlign w:val="center"/>
            <w:hideMark/>
          </w:tcPr>
          <w:p w:rsidR="000D7E39" w:rsidRPr="000D7E39" w:rsidRDefault="000D7E39" w:rsidP="000D7E39">
            <w:pPr>
              <w:pStyle w:val="Heading1"/>
              <w:jc w:val="center"/>
              <w:rPr>
                <w:rFonts w:ascii="Arial" w:hAnsi="Arial" w:cs="Arial"/>
                <w:color w:val="FFFFFF" w:themeColor="background1"/>
                <w:sz w:val="28"/>
                <w:szCs w:val="36"/>
              </w:rPr>
            </w:pPr>
            <w:r w:rsidRPr="000D7E39">
              <w:rPr>
                <w:color w:val="FFFFFF" w:themeColor="background1"/>
                <w:sz w:val="28"/>
              </w:rPr>
              <w:t>Youth Unemployment to population ratio</w:t>
            </w:r>
          </w:p>
        </w:tc>
      </w:tr>
      <w:tr w:rsidR="000D7E39" w:rsidRPr="000D7E39" w:rsidTr="000D7E39">
        <w:trPr>
          <w:trHeight w:val="858"/>
        </w:trPr>
        <w:tc>
          <w:tcPr>
            <w:tcW w:w="2127"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0D7E39" w:rsidRPr="000D7E39" w:rsidRDefault="000D7E39" w:rsidP="000D7E39">
            <w:pPr>
              <w:rPr>
                <w:rFonts w:ascii="Arial" w:hAnsi="Arial" w:cs="Arial"/>
                <w:sz w:val="28"/>
                <w:szCs w:val="36"/>
              </w:rPr>
            </w:pPr>
            <w:r w:rsidRPr="000D7E39">
              <w:rPr>
                <w:sz w:val="28"/>
              </w:rPr>
              <w:t>Ballarat SA4</w:t>
            </w:r>
          </w:p>
        </w:tc>
        <w:tc>
          <w:tcPr>
            <w:tcW w:w="2268"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7.9%</w:t>
            </w:r>
          </w:p>
        </w:tc>
        <w:tc>
          <w:tcPr>
            <w:tcW w:w="2268"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75.6%</w:t>
            </w:r>
          </w:p>
        </w:tc>
        <w:tc>
          <w:tcPr>
            <w:tcW w:w="2268"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6.0%</w:t>
            </w:r>
          </w:p>
        </w:tc>
      </w:tr>
      <w:tr w:rsidR="000D7E39" w:rsidRPr="000D7E39" w:rsidTr="000D7E39">
        <w:trPr>
          <w:trHeight w:val="85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rPr>
                <w:rFonts w:ascii="Arial" w:hAnsi="Arial" w:cs="Arial"/>
                <w:sz w:val="28"/>
                <w:szCs w:val="36"/>
              </w:rPr>
            </w:pPr>
            <w:r w:rsidRPr="000D7E39">
              <w:rPr>
                <w:sz w:val="28"/>
              </w:rPr>
              <w:t>Victoria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12.8%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65.3%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8.4%</w:t>
            </w:r>
          </w:p>
        </w:tc>
      </w:tr>
      <w:tr w:rsidR="000D7E39" w:rsidRPr="000D7E39" w:rsidTr="000D7E39">
        <w:trPr>
          <w:trHeight w:val="858"/>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rPr>
                <w:rFonts w:ascii="Arial" w:hAnsi="Arial" w:cs="Arial"/>
                <w:sz w:val="28"/>
                <w:szCs w:val="36"/>
              </w:rPr>
            </w:pPr>
            <w:r w:rsidRPr="000D7E39">
              <w:rPr>
                <w:sz w:val="28"/>
              </w:rPr>
              <w:t>Australia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12.5%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66.6%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D7E39" w:rsidRPr="000D7E39" w:rsidRDefault="000D7E39" w:rsidP="000D7E39">
            <w:pPr>
              <w:jc w:val="center"/>
              <w:rPr>
                <w:rFonts w:ascii="Arial" w:hAnsi="Arial" w:cs="Arial"/>
                <w:sz w:val="28"/>
                <w:szCs w:val="36"/>
              </w:rPr>
            </w:pPr>
            <w:r w:rsidRPr="000D7E39">
              <w:rPr>
                <w:sz w:val="28"/>
              </w:rPr>
              <w:t>8.3%</w:t>
            </w:r>
          </w:p>
        </w:tc>
      </w:tr>
    </w:tbl>
    <w:p w:rsidR="00D954A6" w:rsidRPr="00E15141" w:rsidRDefault="00D954A6" w:rsidP="00E15141">
      <w:pPr>
        <w:rPr>
          <w:i/>
        </w:rPr>
      </w:pPr>
      <w:r w:rsidRPr="00E15141">
        <w:rPr>
          <w:i/>
        </w:rPr>
        <w:t>Source: ABS, Labour Force, April 2014 (12 month averages)</w:t>
      </w:r>
    </w:p>
    <w:p w:rsidR="00D954A6" w:rsidRPr="00D954A6" w:rsidRDefault="00D954A6" w:rsidP="00E15141">
      <w:pPr>
        <w:rPr>
          <w:b/>
          <w:bCs/>
          <w:lang w:val="en-US"/>
        </w:rPr>
      </w:pPr>
    </w:p>
    <w:p w:rsidR="00D954A6" w:rsidRPr="00D954A6" w:rsidRDefault="00D954A6" w:rsidP="00E15141">
      <w:pPr>
        <w:rPr>
          <w:lang w:val="en-US"/>
        </w:rPr>
      </w:pPr>
      <w:r w:rsidRPr="00D954A6">
        <w:rPr>
          <w:lang w:val="en-US"/>
        </w:rPr>
        <w:t>Due to their lack of skills and experience, youth participating in the labour market can be particularly vulnerable during a labour market downturn.</w:t>
      </w:r>
    </w:p>
    <w:p w:rsidR="00D954A6" w:rsidRPr="00D954A6" w:rsidRDefault="00D954A6" w:rsidP="00E15141"/>
    <w:p w:rsidR="00D954A6" w:rsidRPr="00D954A6" w:rsidRDefault="00C07A07" w:rsidP="00E15141">
      <w:r w:rsidRPr="00D954A6">
        <w:t>In April 2014, the unemployment rate for the Ballarat SA4 was 7.9 per cent, a decrease of 9.8</w:t>
      </w:r>
      <w:r>
        <w:t> </w:t>
      </w:r>
      <w:r w:rsidRPr="00D954A6">
        <w:t>per</w:t>
      </w:r>
      <w:r>
        <w:t> </w:t>
      </w:r>
      <w:r w:rsidRPr="00D954A6">
        <w:t xml:space="preserve">cent since the previous year. </w:t>
      </w:r>
      <w:r w:rsidR="00D954A6" w:rsidRPr="00D954A6">
        <w:t>The unemployment rate was significantly lower than both Victoria (12.8</w:t>
      </w:r>
      <w:r w:rsidR="005E4C4B">
        <w:t> </w:t>
      </w:r>
      <w:r w:rsidR="00D954A6" w:rsidRPr="00D954A6">
        <w:t>per cent) and Australia (12.5 per cent).</w:t>
      </w:r>
    </w:p>
    <w:p w:rsidR="00D954A6" w:rsidRPr="00D954A6" w:rsidRDefault="00D954A6" w:rsidP="00E15141"/>
    <w:p w:rsidR="00D954A6" w:rsidRPr="00D954A6" w:rsidRDefault="00D954A6" w:rsidP="00E15141">
      <w:r w:rsidRPr="00D954A6">
        <w:t>Similarly, the youth unemployment to population ratio in the Ballarat SA4 (6.0 per cent) was lower than Victoria (8.4 per cent) and Australia (8.3 per cent).</w:t>
      </w:r>
    </w:p>
    <w:p w:rsidR="00D954A6" w:rsidRPr="00D954A6" w:rsidRDefault="00D954A6">
      <w:pPr>
        <w:rPr>
          <w:rFonts w:cstheme="minorHAnsi"/>
          <w:sz w:val="20"/>
          <w:szCs w:val="20"/>
        </w:rPr>
      </w:pPr>
      <w:r w:rsidRPr="00D954A6">
        <w:rPr>
          <w:rFonts w:cstheme="minorHAnsi"/>
          <w:sz w:val="20"/>
          <w:szCs w:val="20"/>
        </w:rPr>
        <w:br w:type="page"/>
      </w:r>
    </w:p>
    <w:p w:rsidR="00A4179C" w:rsidRPr="00434B1F" w:rsidRDefault="00D954A6" w:rsidP="00434B1F">
      <w:pPr>
        <w:pStyle w:val="Heading1"/>
      </w:pPr>
      <w:r w:rsidRPr="00434B1F">
        <w:lastRenderedPageBreak/>
        <w:t>Slide 20</w:t>
      </w:r>
      <w:r w:rsidR="00A4179C" w:rsidRPr="00434B1F">
        <w:t xml:space="preserve"> More young people in Central Victoria not studying</w:t>
      </w:r>
    </w:p>
    <w:p w:rsidR="00D954A6" w:rsidRPr="00D954A6" w:rsidRDefault="00D954A6" w:rsidP="00D954A6">
      <w:pPr>
        <w:spacing w:line="360" w:lineRule="auto"/>
        <w:rPr>
          <w:rFonts w:cstheme="minorHAnsi"/>
          <w:sz w:val="20"/>
          <w:szCs w:val="20"/>
        </w:rPr>
      </w:pPr>
    </w:p>
    <w:p w:rsidR="00D954A6" w:rsidRPr="00D954A6" w:rsidRDefault="000D7E39" w:rsidP="00D954A6">
      <w:pPr>
        <w:spacing w:line="360" w:lineRule="auto"/>
        <w:rPr>
          <w:rFonts w:cstheme="minorHAnsi"/>
          <w:sz w:val="20"/>
          <w:szCs w:val="20"/>
        </w:rPr>
      </w:pPr>
      <w:r w:rsidRPr="000D7E39">
        <w:rPr>
          <w:noProof/>
        </w:rPr>
        <w:drawing>
          <wp:inline distT="0" distB="0" distL="0" distR="0" wp14:anchorId="152DBF5A" wp14:editId="17129E57">
            <wp:extent cx="5400000" cy="4050000"/>
            <wp:effectExtent l="19050" t="19050" r="10795" b="27305"/>
            <wp:docPr id="44" name="Picture 44" descr="Graph - More young people in Central Victoria studying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00" cy="4050000"/>
                    </a:xfrm>
                    <a:prstGeom prst="rect">
                      <a:avLst/>
                    </a:prstGeom>
                    <a:ln>
                      <a:solidFill>
                        <a:schemeClr val="tx1"/>
                      </a:solidFill>
                    </a:ln>
                  </pic:spPr>
                </pic:pic>
              </a:graphicData>
            </a:graphic>
          </wp:inline>
        </w:drawing>
      </w:r>
    </w:p>
    <w:p w:rsidR="00D954A6" w:rsidRPr="000D7E39" w:rsidRDefault="00D954A6" w:rsidP="000D7E39">
      <w:pPr>
        <w:rPr>
          <w:i/>
        </w:rPr>
      </w:pPr>
      <w:r w:rsidRPr="000D7E39">
        <w:rPr>
          <w:i/>
        </w:rPr>
        <w:t>Source: ABS, Census of Population and Housing, 2011</w:t>
      </w:r>
    </w:p>
    <w:p w:rsidR="00D954A6" w:rsidRPr="00D954A6" w:rsidRDefault="00D954A6" w:rsidP="000D7E39"/>
    <w:p w:rsidR="00D954A6" w:rsidRPr="00D954A6" w:rsidRDefault="00C07A07" w:rsidP="000D7E39">
      <w:r w:rsidRPr="00D954A6">
        <w:t xml:space="preserve">At the time of the 2011 Census, there were 25,140 18-24 year olds in the Central Victoria region, of which 14,560 (58 per cent) were not studying. </w:t>
      </w:r>
      <w:r w:rsidR="00D954A6" w:rsidRPr="00D954A6">
        <w:t>Overall in Victoria the percentage of 18 to 24 year olds that were studying was higher at 51 per cent.</w:t>
      </w:r>
    </w:p>
    <w:p w:rsidR="00D954A6" w:rsidRPr="00D954A6" w:rsidRDefault="00D954A6" w:rsidP="000D7E39"/>
    <w:p w:rsidR="00D954A6" w:rsidRDefault="00D954A6" w:rsidP="000D7E39">
      <w:r w:rsidRPr="00D954A6">
        <w:t>Of the 14,560 who were not studying, those who did not complete year 12, are vulnerable and may have difficulty entering the labour market, whether they’re employed or not employed. One in four people (24 per cent) in the Central Victoria region aged 18 to 24 were not studying and had not completed Year 12, this was high compared to the state where 16 per cent were not studying and had not completed Year 12.</w:t>
      </w:r>
    </w:p>
    <w:p w:rsidR="000D7E39" w:rsidRPr="00D954A6" w:rsidRDefault="000D7E39" w:rsidP="000D7E39"/>
    <w:p w:rsidR="00D954A6" w:rsidRPr="00D954A6" w:rsidRDefault="00D954A6" w:rsidP="000D7E39">
      <w:r w:rsidRPr="00D954A6">
        <w:t>Of those not studying, 77 per cent were employed comparable with Victoria where 78 per cent of those not studying were employed.</w:t>
      </w:r>
    </w:p>
    <w:p w:rsidR="00D954A6" w:rsidRPr="00D954A6" w:rsidRDefault="00D954A6">
      <w:pPr>
        <w:rPr>
          <w:rFonts w:cstheme="minorHAnsi"/>
          <w:sz w:val="20"/>
          <w:szCs w:val="20"/>
        </w:rPr>
      </w:pPr>
      <w:r w:rsidRPr="00D954A6">
        <w:rPr>
          <w:rFonts w:cstheme="minorHAnsi"/>
          <w:sz w:val="20"/>
          <w:szCs w:val="20"/>
        </w:rPr>
        <w:br w:type="page"/>
      </w:r>
    </w:p>
    <w:p w:rsidR="0031672F" w:rsidRPr="00D954A6" w:rsidRDefault="00D954A6" w:rsidP="0031672F">
      <w:pPr>
        <w:pStyle w:val="Heading1"/>
      </w:pPr>
      <w:r w:rsidRPr="00D954A6">
        <w:lastRenderedPageBreak/>
        <w:t>Slide 21</w:t>
      </w:r>
      <w:r w:rsidR="0031672F">
        <w:t xml:space="preserve"> </w:t>
      </w:r>
      <w:r w:rsidR="0031672F" w:rsidRPr="00D954A6">
        <w:t>Lower educational attainment in Ballarat</w:t>
      </w:r>
    </w:p>
    <w:p w:rsidR="00D954A6" w:rsidRPr="00D954A6" w:rsidRDefault="00D954A6" w:rsidP="00D954A6">
      <w:pPr>
        <w:spacing w:line="360" w:lineRule="auto"/>
        <w:rPr>
          <w:rFonts w:cstheme="minorHAnsi"/>
          <w:sz w:val="20"/>
          <w:szCs w:val="20"/>
        </w:rPr>
      </w:pPr>
    </w:p>
    <w:p w:rsidR="00D954A6" w:rsidRPr="00D954A6" w:rsidRDefault="000D7E39" w:rsidP="00D954A6">
      <w:pPr>
        <w:spacing w:line="360" w:lineRule="auto"/>
        <w:rPr>
          <w:rFonts w:cstheme="minorHAnsi"/>
          <w:sz w:val="20"/>
          <w:szCs w:val="20"/>
        </w:rPr>
      </w:pPr>
      <w:r w:rsidRPr="000D7E39">
        <w:rPr>
          <w:noProof/>
        </w:rPr>
        <w:drawing>
          <wp:inline distT="0" distB="0" distL="0" distR="0" wp14:anchorId="40511D63" wp14:editId="02E13822">
            <wp:extent cx="5400000" cy="4050000"/>
            <wp:effectExtent l="19050" t="19050" r="10795" b="27305"/>
            <wp:docPr id="46" name="Picture 46" descr="Graph - Lower educational attainment in Ballarat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00" cy="4050000"/>
                    </a:xfrm>
                    <a:prstGeom prst="rect">
                      <a:avLst/>
                    </a:prstGeom>
                    <a:ln>
                      <a:solidFill>
                        <a:schemeClr val="tx1"/>
                      </a:solidFill>
                    </a:ln>
                  </pic:spPr>
                </pic:pic>
              </a:graphicData>
            </a:graphic>
          </wp:inline>
        </w:drawing>
      </w:r>
    </w:p>
    <w:p w:rsidR="00D954A6" w:rsidRPr="00D954A6" w:rsidRDefault="00D954A6" w:rsidP="000D7E39">
      <w:r w:rsidRPr="00D954A6">
        <w:t>Source: ABS, Census of Population and Housing, 2006 and 2011</w:t>
      </w:r>
    </w:p>
    <w:p w:rsidR="00D954A6" w:rsidRPr="00D954A6" w:rsidRDefault="00D954A6" w:rsidP="000D7E39"/>
    <w:p w:rsidR="00D954A6" w:rsidRPr="00D954A6" w:rsidRDefault="00D954A6" w:rsidP="000D7E39">
      <w:r w:rsidRPr="00D954A6">
        <w:t>The Ballarat region has had an improvement of 6 percentage points in the proportion of 25 to 34 year olds that have completed Yr 12 or equivalent studies between 2006 and 2011. This is in line with the 6</w:t>
      </w:r>
      <w:r w:rsidR="005E4C4B">
        <w:t> </w:t>
      </w:r>
      <w:r w:rsidRPr="00D954A6">
        <w:t>percentage point improvement seen in Victoria overall.</w:t>
      </w:r>
    </w:p>
    <w:p w:rsidR="00D954A6" w:rsidRPr="00D954A6" w:rsidRDefault="00D954A6" w:rsidP="000D7E39"/>
    <w:p w:rsidR="00D954A6" w:rsidRPr="00D954A6" w:rsidRDefault="00D954A6" w:rsidP="000D7E39">
      <w:r w:rsidRPr="00D954A6">
        <w:t xml:space="preserve">The improvement was not even across all LGAs. Ararat LGA had an improvement of </w:t>
      </w:r>
      <w:r w:rsidR="00E15141">
        <w:br/>
      </w:r>
      <w:r w:rsidRPr="00D954A6">
        <w:t>8 percentage points (to 63 per cent) while North Grampians LGA only had a</w:t>
      </w:r>
      <w:r w:rsidR="00E15141">
        <w:t xml:space="preserve"> </w:t>
      </w:r>
      <w:r w:rsidR="00E15141">
        <w:br/>
      </w:r>
      <w:r w:rsidRPr="00D954A6">
        <w:t>1 percentage point improvement (to 57</w:t>
      </w:r>
      <w:r w:rsidR="005E4C4B">
        <w:t> </w:t>
      </w:r>
      <w:r w:rsidRPr="00D954A6">
        <w:t>per cent)</w:t>
      </w:r>
    </w:p>
    <w:p w:rsidR="00D954A6" w:rsidRPr="00D954A6" w:rsidRDefault="00D954A6" w:rsidP="000D7E39"/>
    <w:p w:rsidR="00D954A6" w:rsidRPr="00D954A6" w:rsidRDefault="00D954A6" w:rsidP="000D7E39">
      <w:r w:rsidRPr="00D954A6">
        <w:t xml:space="preserve">The number of 25 to 34 year olds having completed an Advance Diploma, Diploma or Certificate III/IV was quite high for all Ballarat LGAs. In the Moorabool LGA some </w:t>
      </w:r>
      <w:r w:rsidR="00E15141">
        <w:br/>
      </w:r>
      <w:r w:rsidRPr="00D954A6">
        <w:t>41 per cent of the cohort had completed these courses compared to 29 per cent for Victoria.</w:t>
      </w:r>
    </w:p>
    <w:p w:rsidR="00D954A6" w:rsidRPr="00D954A6" w:rsidRDefault="00D954A6" w:rsidP="000D7E39"/>
    <w:p w:rsidR="00D954A6" w:rsidRPr="00D954A6" w:rsidRDefault="00D954A6" w:rsidP="000D7E39">
      <w:r w:rsidRPr="00D954A6">
        <w:t>The story was very different for Bachelor Degrees or higher. Ballarat LGA had the highest level at 29</w:t>
      </w:r>
      <w:r w:rsidR="005E4C4B">
        <w:t> </w:t>
      </w:r>
      <w:r w:rsidRPr="00D954A6">
        <w:t>per cent of the cohort while the Pyrenees LGA had a level of only 16 per cent. The level for Victoria was 40 per cent.</w:t>
      </w:r>
    </w:p>
    <w:p w:rsidR="00D954A6" w:rsidRPr="00D954A6" w:rsidRDefault="00D954A6">
      <w:pPr>
        <w:rPr>
          <w:rFonts w:cstheme="minorHAnsi"/>
          <w:sz w:val="20"/>
          <w:szCs w:val="20"/>
        </w:rPr>
      </w:pPr>
      <w:r w:rsidRPr="00D954A6">
        <w:rPr>
          <w:rFonts w:cstheme="minorHAnsi"/>
          <w:sz w:val="20"/>
          <w:szCs w:val="20"/>
        </w:rPr>
        <w:br w:type="page"/>
      </w:r>
    </w:p>
    <w:p w:rsidR="0031672F" w:rsidRPr="00D954A6" w:rsidRDefault="00D954A6" w:rsidP="0031672F">
      <w:pPr>
        <w:pStyle w:val="Heading1"/>
      </w:pPr>
      <w:r w:rsidRPr="00D954A6">
        <w:lastRenderedPageBreak/>
        <w:t>Slide 22</w:t>
      </w:r>
      <w:r w:rsidR="0031672F">
        <w:t xml:space="preserve"> </w:t>
      </w:r>
      <w:r w:rsidR="0031672F" w:rsidRPr="00D954A6">
        <w:t>Importance of education to labour market outcome</w:t>
      </w:r>
    </w:p>
    <w:p w:rsidR="00D954A6" w:rsidRPr="00D954A6" w:rsidRDefault="00D954A6" w:rsidP="00D954A6">
      <w:pPr>
        <w:spacing w:line="360" w:lineRule="auto"/>
        <w:rPr>
          <w:rFonts w:cstheme="minorHAnsi"/>
          <w:sz w:val="20"/>
          <w:szCs w:val="20"/>
        </w:rPr>
      </w:pPr>
    </w:p>
    <w:p w:rsidR="00D954A6" w:rsidRPr="00D954A6" w:rsidRDefault="000D7E39" w:rsidP="00D954A6">
      <w:pPr>
        <w:spacing w:line="360" w:lineRule="auto"/>
        <w:rPr>
          <w:rFonts w:cstheme="minorHAnsi"/>
          <w:sz w:val="20"/>
          <w:szCs w:val="20"/>
        </w:rPr>
      </w:pPr>
      <w:r w:rsidRPr="000D7E39">
        <w:rPr>
          <w:noProof/>
        </w:rPr>
        <w:drawing>
          <wp:inline distT="0" distB="0" distL="0" distR="0" wp14:anchorId="153329AD" wp14:editId="66D2839A">
            <wp:extent cx="5400000" cy="4050000"/>
            <wp:effectExtent l="19050" t="19050" r="10795" b="27305"/>
            <wp:docPr id="48" name="Picture 48" descr="Graph - Importance of education to labour market outcomes 25-34 year olds - Central Victoria&#10;&#10;Bachelor degree or higher unemployment rate 2.8%&#10;Bachelor degree or higher participation rate 88.9%&#10;Advanced diploma and Diploma unemployment rate 3.7%&#10;Advanced diploma and Diploma participation rate 84.5%&#10;Cert III and IV unemployment rate 4.3%&#10;Cert III and IV participation rate 87.7%&#10;Year 12 or equivalent unemployment rate 5.8%&#10;Year 12 or equivalent participation rate 77.9%&#10;Cert I and II unemployment rate 18.8%&#10;Cert I and II participation rate 66.1%&#10;Below Year 12 unemployment rate 12.7%&#10;Below Year 12 participation rat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00000" cy="4050000"/>
                    </a:xfrm>
                    <a:prstGeom prst="rect">
                      <a:avLst/>
                    </a:prstGeom>
                    <a:ln>
                      <a:solidFill>
                        <a:schemeClr val="tx1"/>
                      </a:solidFill>
                    </a:ln>
                  </pic:spPr>
                </pic:pic>
              </a:graphicData>
            </a:graphic>
          </wp:inline>
        </w:drawing>
      </w:r>
    </w:p>
    <w:p w:rsidR="00D954A6" w:rsidRPr="0058168C" w:rsidRDefault="00D954A6" w:rsidP="0058168C">
      <w:pPr>
        <w:rPr>
          <w:i/>
        </w:rPr>
      </w:pPr>
      <w:r w:rsidRPr="0058168C">
        <w:rPr>
          <w:i/>
        </w:rPr>
        <w:t>Source: ABS, Census of Population and Housing, 2011</w:t>
      </w:r>
    </w:p>
    <w:p w:rsidR="00D954A6" w:rsidRPr="00D954A6" w:rsidRDefault="00D954A6" w:rsidP="0058168C"/>
    <w:p w:rsidR="00D954A6" w:rsidRPr="00D954A6" w:rsidRDefault="00D954A6" w:rsidP="0058168C">
      <w:r w:rsidRPr="00D954A6">
        <w:t>This slide illustrates the correlation between education and labour market outcomes in the Central Victoria region, with higher labour force participation rates and lower unemployment rates for those with higher levels of educational attainment. This reflects the pattern seen across Australia and demonstrates the importance of continuing education to help job seekers obtain employment and participate in the labour market.</w:t>
      </w:r>
    </w:p>
    <w:p w:rsidR="00D954A6" w:rsidRPr="00D954A6" w:rsidRDefault="00D954A6">
      <w:pPr>
        <w:rPr>
          <w:rFonts w:cstheme="minorHAnsi"/>
          <w:sz w:val="20"/>
          <w:szCs w:val="20"/>
        </w:rPr>
      </w:pPr>
      <w:r w:rsidRPr="00D954A6">
        <w:rPr>
          <w:rFonts w:cstheme="minorHAnsi"/>
          <w:sz w:val="20"/>
          <w:szCs w:val="20"/>
        </w:rPr>
        <w:br w:type="page"/>
      </w:r>
    </w:p>
    <w:p w:rsidR="0031672F" w:rsidRPr="00D954A6" w:rsidRDefault="00D954A6" w:rsidP="0031672F">
      <w:pPr>
        <w:pStyle w:val="Heading1"/>
      </w:pPr>
      <w:r w:rsidRPr="00D954A6">
        <w:lastRenderedPageBreak/>
        <w:t>Slide 23</w:t>
      </w:r>
      <w:r w:rsidR="0031672F">
        <w:t xml:space="preserve"> </w:t>
      </w:r>
      <w:r w:rsidR="0031672F" w:rsidRPr="00D954A6">
        <w:t>Improving Youth labour market outcomes</w:t>
      </w:r>
    </w:p>
    <w:p w:rsidR="00D954A6" w:rsidRPr="00D954A6" w:rsidRDefault="00D954A6" w:rsidP="00D954A6">
      <w:pPr>
        <w:spacing w:line="360" w:lineRule="auto"/>
        <w:rPr>
          <w:rFonts w:cstheme="minorHAnsi"/>
          <w:sz w:val="20"/>
          <w:szCs w:val="20"/>
        </w:rPr>
      </w:pPr>
    </w:p>
    <w:p w:rsidR="00D954A6" w:rsidRPr="00D954A6" w:rsidRDefault="00C54F84" w:rsidP="00D954A6">
      <w:pPr>
        <w:spacing w:line="360" w:lineRule="auto"/>
        <w:rPr>
          <w:rFonts w:cstheme="minorHAnsi"/>
          <w:sz w:val="20"/>
          <w:szCs w:val="20"/>
        </w:rPr>
      </w:pPr>
      <w:r w:rsidRPr="00C54F84">
        <w:rPr>
          <w:noProof/>
        </w:rPr>
        <w:drawing>
          <wp:inline distT="0" distB="0" distL="0" distR="0" wp14:anchorId="350F8CCD" wp14:editId="309976DB">
            <wp:extent cx="5400000" cy="4050000"/>
            <wp:effectExtent l="19050" t="19050" r="10795" b="27305"/>
            <wp:docPr id="49" name="Picture 49" descr="Graph - Improving youth labour market outcome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00" cy="4050000"/>
                    </a:xfrm>
                    <a:prstGeom prst="rect">
                      <a:avLst/>
                    </a:prstGeom>
                    <a:ln>
                      <a:solidFill>
                        <a:schemeClr val="tx1"/>
                      </a:solidFill>
                    </a:ln>
                  </pic:spPr>
                </pic:pic>
              </a:graphicData>
            </a:graphic>
          </wp:inline>
        </w:drawing>
      </w:r>
    </w:p>
    <w:p w:rsidR="00D954A6" w:rsidRPr="00C54F84" w:rsidRDefault="00D954A6" w:rsidP="00C54F84">
      <w:pPr>
        <w:rPr>
          <w:i/>
        </w:rPr>
      </w:pPr>
      <w:r w:rsidRPr="00C54F84">
        <w:rPr>
          <w:i/>
        </w:rPr>
        <w:t>Source:  Department of Employment, Survey of Employers’ Recruitment Experiences, Central Victoria PEA, November 2013</w:t>
      </w:r>
    </w:p>
    <w:p w:rsidR="00D954A6" w:rsidRPr="00D954A6" w:rsidRDefault="00D954A6" w:rsidP="00C54F84"/>
    <w:p w:rsidR="00D954A6" w:rsidRPr="00D954A6" w:rsidRDefault="00D954A6" w:rsidP="00C54F84">
      <w:r w:rsidRPr="00D954A6">
        <w:t xml:space="preserve">Employers in </w:t>
      </w:r>
      <w:r w:rsidRPr="00C54F84">
        <w:rPr>
          <w:bCs/>
        </w:rPr>
        <w:t>Central Victoria</w:t>
      </w:r>
      <w:r w:rsidRPr="00D954A6">
        <w:rPr>
          <w:b/>
          <w:bCs/>
        </w:rPr>
        <w:t xml:space="preserve"> </w:t>
      </w:r>
      <w:r w:rsidRPr="00D954A6">
        <w:t>were asked for feedback on strategies to improve labour market outcomes for youth.</w:t>
      </w:r>
    </w:p>
    <w:p w:rsidR="00D954A6" w:rsidRPr="00D954A6" w:rsidRDefault="00D954A6" w:rsidP="00C54F84"/>
    <w:p w:rsidR="00D954A6" w:rsidRPr="00D954A6" w:rsidRDefault="00D954A6" w:rsidP="00C54F84">
      <w:r w:rsidRPr="00D954A6">
        <w:t>The majority of employers (60 per cent) believed that improving employability and labour market engagement were the most important factors in improving youth labour market outcomes, most particularly:</w:t>
      </w:r>
    </w:p>
    <w:p w:rsidR="00D954A6" w:rsidRPr="00D954A6" w:rsidRDefault="00D954A6" w:rsidP="00C54F84"/>
    <w:p w:rsidR="00D954A6" w:rsidRPr="00D954A6" w:rsidRDefault="00D954A6" w:rsidP="00C54F84">
      <w:pPr>
        <w:pStyle w:val="ListParagraph"/>
        <w:numPr>
          <w:ilvl w:val="0"/>
          <w:numId w:val="12"/>
        </w:numPr>
      </w:pPr>
      <w:r w:rsidRPr="00D954A6">
        <w:t>Attitude/motivation</w:t>
      </w:r>
    </w:p>
    <w:p w:rsidR="00D954A6" w:rsidRPr="00D954A6" w:rsidRDefault="00D954A6" w:rsidP="00C54F84">
      <w:pPr>
        <w:pStyle w:val="ListParagraph"/>
        <w:numPr>
          <w:ilvl w:val="0"/>
          <w:numId w:val="12"/>
        </w:numPr>
      </w:pPr>
      <w:r w:rsidRPr="00D954A6">
        <w:t>Job seeker expectations</w:t>
      </w:r>
    </w:p>
    <w:p w:rsidR="00D954A6" w:rsidRPr="00D954A6" w:rsidRDefault="00D954A6" w:rsidP="00C54F84">
      <w:pPr>
        <w:pStyle w:val="ListParagraph"/>
        <w:numPr>
          <w:ilvl w:val="0"/>
          <w:numId w:val="12"/>
        </w:numPr>
      </w:pPr>
      <w:r w:rsidRPr="00D954A6">
        <w:t>Presentation</w:t>
      </w:r>
    </w:p>
    <w:p w:rsidR="00D954A6" w:rsidRPr="00D954A6" w:rsidRDefault="00D954A6" w:rsidP="00C54F84"/>
    <w:p w:rsidR="00D954A6" w:rsidRPr="00D954A6" w:rsidRDefault="00D954A6" w:rsidP="00C54F84"/>
    <w:p w:rsidR="00D954A6" w:rsidRPr="00D954A6" w:rsidRDefault="00D954A6" w:rsidP="00C54F84">
      <w:r w:rsidRPr="00D954A6">
        <w:t>A substantial proportion of employers (27 per cent) believed that experience or training was most important for youth, in particular:</w:t>
      </w:r>
    </w:p>
    <w:p w:rsidR="00D954A6" w:rsidRPr="00D954A6" w:rsidRDefault="00D954A6" w:rsidP="00C54F84"/>
    <w:p w:rsidR="00D954A6" w:rsidRPr="00D954A6" w:rsidRDefault="00D954A6" w:rsidP="00C54F84">
      <w:pPr>
        <w:pStyle w:val="ListParagraph"/>
        <w:numPr>
          <w:ilvl w:val="0"/>
          <w:numId w:val="13"/>
        </w:numPr>
      </w:pPr>
      <w:r w:rsidRPr="00D954A6">
        <w:t>School based work experience</w:t>
      </w:r>
    </w:p>
    <w:p w:rsidR="00D954A6" w:rsidRPr="00D954A6" w:rsidRDefault="00D954A6" w:rsidP="00C54F84">
      <w:pPr>
        <w:pStyle w:val="ListParagraph"/>
        <w:numPr>
          <w:ilvl w:val="0"/>
          <w:numId w:val="13"/>
        </w:numPr>
      </w:pPr>
      <w:r w:rsidRPr="00D954A6">
        <w:t>Further education</w:t>
      </w:r>
    </w:p>
    <w:p w:rsidR="00D954A6" w:rsidRPr="00D954A6" w:rsidRDefault="00D954A6" w:rsidP="00C54F84">
      <w:pPr>
        <w:pStyle w:val="ListParagraph"/>
        <w:numPr>
          <w:ilvl w:val="0"/>
          <w:numId w:val="13"/>
        </w:numPr>
      </w:pPr>
      <w:r w:rsidRPr="00D954A6">
        <w:t>Traineeships</w:t>
      </w:r>
    </w:p>
    <w:p w:rsidR="00D954A6" w:rsidRPr="00D954A6" w:rsidRDefault="00D954A6">
      <w:pPr>
        <w:rPr>
          <w:rFonts w:cstheme="minorHAnsi"/>
          <w:sz w:val="20"/>
          <w:szCs w:val="20"/>
        </w:rPr>
      </w:pPr>
      <w:r w:rsidRPr="00D954A6">
        <w:rPr>
          <w:rFonts w:cstheme="minorHAnsi"/>
          <w:sz w:val="20"/>
          <w:szCs w:val="20"/>
        </w:rPr>
        <w:br w:type="page"/>
      </w:r>
    </w:p>
    <w:p w:rsidR="0031672F" w:rsidRPr="00D954A6" w:rsidRDefault="00D954A6" w:rsidP="0031672F">
      <w:pPr>
        <w:pStyle w:val="Heading1"/>
      </w:pPr>
      <w:r w:rsidRPr="00D954A6">
        <w:lastRenderedPageBreak/>
        <w:t>Slide 24</w:t>
      </w:r>
      <w:r w:rsidR="0031672F">
        <w:t xml:space="preserve"> </w:t>
      </w:r>
      <w:r w:rsidR="0031672F" w:rsidRPr="00D954A6">
        <w:t>Signs of weakening recruitment conditions</w:t>
      </w:r>
    </w:p>
    <w:p w:rsidR="00D954A6" w:rsidRPr="00D954A6" w:rsidRDefault="00D954A6" w:rsidP="00D954A6">
      <w:pPr>
        <w:spacing w:line="360" w:lineRule="auto"/>
        <w:rPr>
          <w:rFonts w:cstheme="minorHAnsi"/>
          <w:sz w:val="20"/>
          <w:szCs w:val="20"/>
        </w:rPr>
      </w:pPr>
    </w:p>
    <w:tbl>
      <w:tblPr>
        <w:tblW w:w="0" w:type="auto"/>
        <w:tblCellMar>
          <w:left w:w="0" w:type="dxa"/>
          <w:right w:w="0" w:type="dxa"/>
        </w:tblCellMar>
        <w:tblLook w:val="0600" w:firstRow="0" w:lastRow="0" w:firstColumn="0" w:lastColumn="0" w:noHBand="1" w:noVBand="1"/>
      </w:tblPr>
      <w:tblGrid>
        <w:gridCol w:w="2061"/>
        <w:gridCol w:w="1173"/>
        <w:gridCol w:w="1173"/>
        <w:gridCol w:w="1173"/>
        <w:gridCol w:w="1173"/>
        <w:gridCol w:w="1583"/>
      </w:tblGrid>
      <w:tr w:rsidR="00C54F84" w:rsidRPr="00C54F84" w:rsidTr="00C54F84">
        <w:trPr>
          <w:trHeight w:val="780"/>
        </w:trPr>
        <w:tc>
          <w:tcPr>
            <w:tcW w:w="2061" w:type="dxa"/>
            <w:vMerge w:val="restart"/>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bottom"/>
            <w:hideMark/>
          </w:tcPr>
          <w:p w:rsidR="00C54F84" w:rsidRPr="00C54F84" w:rsidRDefault="00C54F84" w:rsidP="00C54F84">
            <w:pPr>
              <w:pStyle w:val="Heading1"/>
            </w:pPr>
          </w:p>
        </w:tc>
        <w:tc>
          <w:tcPr>
            <w:tcW w:w="2346" w:type="dxa"/>
            <w:gridSpan w:val="2"/>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8"/>
              </w:rPr>
            </w:pPr>
            <w:r w:rsidRPr="00C54F84">
              <w:rPr>
                <w:color w:val="FFFFFF" w:themeColor="background1"/>
                <w:sz w:val="28"/>
              </w:rPr>
              <w:t>Ballarat region</w:t>
            </w:r>
          </w:p>
        </w:tc>
        <w:tc>
          <w:tcPr>
            <w:tcW w:w="2346" w:type="dxa"/>
            <w:gridSpan w:val="2"/>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8"/>
              </w:rPr>
            </w:pPr>
            <w:r w:rsidRPr="00C54F84">
              <w:rPr>
                <w:color w:val="FFFFFF" w:themeColor="background1"/>
                <w:sz w:val="28"/>
              </w:rPr>
              <w:t>Central Victoria region</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8"/>
              </w:rPr>
            </w:pPr>
            <w:r w:rsidRPr="00C54F84">
              <w:rPr>
                <w:color w:val="FFFFFF" w:themeColor="background1"/>
                <w:sz w:val="28"/>
              </w:rPr>
              <w:t xml:space="preserve">All regions surveyed </w:t>
            </w:r>
            <w:r w:rsidRPr="00C54F84">
              <w:rPr>
                <w:color w:val="FFFFFF" w:themeColor="background1"/>
                <w:sz w:val="28"/>
              </w:rPr>
              <w:br/>
              <w:t>(12 months to March 2014)</w:t>
            </w:r>
          </w:p>
        </w:tc>
      </w:tr>
      <w:tr w:rsidR="00C54F84" w:rsidRPr="00C54F84" w:rsidTr="00C54F84">
        <w:trPr>
          <w:trHeight w:val="841"/>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rsidR="00C54F84" w:rsidRPr="00C54F84" w:rsidRDefault="00C54F84" w:rsidP="00C54F84">
            <w:pPr>
              <w:pStyle w:val="Heading1"/>
            </w:pPr>
          </w:p>
        </w:tc>
        <w:tc>
          <w:tcPr>
            <w:tcW w:w="117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4"/>
              </w:rPr>
            </w:pPr>
            <w:r w:rsidRPr="00C54F84">
              <w:rPr>
                <w:color w:val="FFFFFF" w:themeColor="background1"/>
                <w:sz w:val="24"/>
              </w:rPr>
              <w:t>November</w:t>
            </w:r>
            <w:r>
              <w:rPr>
                <w:color w:val="FFFFFF" w:themeColor="background1"/>
                <w:sz w:val="24"/>
              </w:rPr>
              <w:t xml:space="preserve"> </w:t>
            </w:r>
            <w:r w:rsidRPr="00C54F84">
              <w:rPr>
                <w:color w:val="FFFFFF" w:themeColor="background1"/>
                <w:sz w:val="24"/>
              </w:rPr>
              <w:t>2013</w:t>
            </w:r>
          </w:p>
        </w:tc>
        <w:tc>
          <w:tcPr>
            <w:tcW w:w="117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4"/>
              </w:rPr>
            </w:pPr>
            <w:r w:rsidRPr="00C54F84">
              <w:rPr>
                <w:color w:val="FFFFFF" w:themeColor="background1"/>
                <w:sz w:val="24"/>
              </w:rPr>
              <w:t>November</w:t>
            </w:r>
            <w:r>
              <w:rPr>
                <w:color w:val="FFFFFF" w:themeColor="background1"/>
                <w:sz w:val="24"/>
              </w:rPr>
              <w:t xml:space="preserve"> </w:t>
            </w:r>
            <w:r w:rsidRPr="00C54F84">
              <w:rPr>
                <w:color w:val="FFFFFF" w:themeColor="background1"/>
                <w:sz w:val="24"/>
              </w:rPr>
              <w:t>2012</w:t>
            </w:r>
          </w:p>
        </w:tc>
        <w:tc>
          <w:tcPr>
            <w:tcW w:w="117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4"/>
              </w:rPr>
            </w:pPr>
            <w:r w:rsidRPr="00C54F84">
              <w:rPr>
                <w:color w:val="FFFFFF" w:themeColor="background1"/>
                <w:sz w:val="24"/>
              </w:rPr>
              <w:t>November</w:t>
            </w:r>
            <w:r>
              <w:rPr>
                <w:color w:val="FFFFFF" w:themeColor="background1"/>
                <w:sz w:val="24"/>
              </w:rPr>
              <w:t xml:space="preserve"> </w:t>
            </w:r>
            <w:r w:rsidRPr="00C54F84">
              <w:rPr>
                <w:color w:val="FFFFFF" w:themeColor="background1"/>
                <w:sz w:val="24"/>
              </w:rPr>
              <w:t>2013</w:t>
            </w:r>
          </w:p>
        </w:tc>
        <w:tc>
          <w:tcPr>
            <w:tcW w:w="1173" w:type="dxa"/>
            <w:tcBorders>
              <w:top w:val="single" w:sz="4" w:space="0" w:color="000000"/>
              <w:left w:val="single" w:sz="4" w:space="0" w:color="000000"/>
              <w:bottom w:val="single" w:sz="4" w:space="0" w:color="000000"/>
              <w:right w:val="single" w:sz="4" w:space="0" w:color="000000"/>
            </w:tcBorders>
            <w:shd w:val="clear" w:color="auto" w:fill="376092"/>
            <w:tcMar>
              <w:top w:w="15" w:type="dxa"/>
              <w:left w:w="15" w:type="dxa"/>
              <w:bottom w:w="0" w:type="dxa"/>
              <w:right w:w="15" w:type="dxa"/>
            </w:tcMar>
            <w:vAlign w:val="center"/>
            <w:hideMark/>
          </w:tcPr>
          <w:p w:rsidR="00C54F84" w:rsidRPr="00C54F84" w:rsidRDefault="00C54F84" w:rsidP="00C54F84">
            <w:pPr>
              <w:pStyle w:val="Heading1"/>
              <w:jc w:val="center"/>
              <w:rPr>
                <w:color w:val="FFFFFF" w:themeColor="background1"/>
                <w:sz w:val="24"/>
              </w:rPr>
            </w:pPr>
            <w:r w:rsidRPr="00C54F84">
              <w:rPr>
                <w:color w:val="FFFFFF" w:themeColor="background1"/>
                <w:sz w:val="24"/>
              </w:rPr>
              <w:t>November</w:t>
            </w:r>
            <w:r>
              <w:rPr>
                <w:color w:val="FFFFFF" w:themeColor="background1"/>
                <w:sz w:val="24"/>
              </w:rPr>
              <w:t xml:space="preserve"> </w:t>
            </w:r>
            <w:r w:rsidRPr="00C54F84">
              <w:rPr>
                <w:color w:val="FFFFFF" w:themeColor="background1"/>
                <w:sz w:val="24"/>
              </w:rPr>
              <w:t>2012</w:t>
            </w:r>
          </w:p>
        </w:tc>
        <w:tc>
          <w:tcPr>
            <w:tcW w:w="1583" w:type="dxa"/>
            <w:vMerge/>
            <w:tcBorders>
              <w:top w:val="single" w:sz="4" w:space="0" w:color="000000"/>
              <w:left w:val="single" w:sz="4" w:space="0" w:color="000000"/>
              <w:bottom w:val="single" w:sz="4" w:space="0" w:color="000000"/>
              <w:right w:val="single" w:sz="4" w:space="0" w:color="000000"/>
            </w:tcBorders>
            <w:vAlign w:val="center"/>
            <w:hideMark/>
          </w:tcPr>
          <w:p w:rsidR="00C54F84" w:rsidRPr="00C54F84" w:rsidRDefault="00C54F84" w:rsidP="00C54F84">
            <w:pPr>
              <w:jc w:val="center"/>
              <w:rPr>
                <w:rFonts w:ascii="Arial" w:hAnsi="Arial" w:cs="Arial"/>
                <w:sz w:val="28"/>
                <w:szCs w:val="20"/>
              </w:rPr>
            </w:pPr>
          </w:p>
        </w:tc>
      </w:tr>
      <w:tr w:rsidR="00C54F84" w:rsidRPr="00C54F84" w:rsidTr="00C54F84">
        <w:trPr>
          <w:trHeight w:val="1478"/>
        </w:trPr>
        <w:tc>
          <w:tcPr>
            <w:tcW w:w="2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left"/>
              <w:textAlignment w:val="center"/>
              <w:rPr>
                <w:rFonts w:ascii="Arial" w:hAnsi="Arial" w:cs="Arial"/>
                <w:sz w:val="28"/>
                <w:szCs w:val="20"/>
              </w:rPr>
            </w:pPr>
            <w:r w:rsidRPr="00C54F84">
              <w:rPr>
                <w:rFonts w:hAnsi="Calibri" w:cs="Calibri"/>
                <w:color w:val="000000"/>
                <w:kern w:val="24"/>
                <w:sz w:val="28"/>
                <w:szCs w:val="20"/>
              </w:rPr>
              <w:t xml:space="preserve"> Annual vacancies </w:t>
            </w:r>
          </w:p>
          <w:p w:rsidR="00C54F84" w:rsidRPr="00C54F84" w:rsidRDefault="00C54F84" w:rsidP="00C54F84">
            <w:pPr>
              <w:jc w:val="left"/>
              <w:textAlignment w:val="center"/>
              <w:rPr>
                <w:rFonts w:ascii="Arial" w:hAnsi="Arial" w:cs="Arial"/>
                <w:sz w:val="28"/>
                <w:szCs w:val="20"/>
              </w:rPr>
            </w:pPr>
            <w:r w:rsidRPr="00C54F84">
              <w:rPr>
                <w:rFonts w:hAnsi="Calibri" w:cs="Calibri"/>
                <w:color w:val="000000"/>
                <w:kern w:val="24"/>
                <w:sz w:val="28"/>
                <w:szCs w:val="20"/>
              </w:rPr>
              <w:t xml:space="preserve"> per 100 staff</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rPr>
                <w:rFonts w:ascii="Arial" w:hAnsi="Arial" w:cs="Arial"/>
                <w:sz w:val="28"/>
                <w:szCs w:val="20"/>
              </w:rPr>
            </w:pPr>
            <w:r w:rsidRPr="00C54F84">
              <w:rPr>
                <w:rFonts w:hAnsi="Calibri" w:cs="Calibri"/>
                <w:color w:val="000000" w:themeColor="text1"/>
                <w:kern w:val="24"/>
                <w:sz w:val="28"/>
                <w:szCs w:val="20"/>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16</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16</w:t>
            </w:r>
          </w:p>
        </w:tc>
      </w:tr>
      <w:tr w:rsidR="00C54F84" w:rsidRPr="00C54F84" w:rsidTr="00C54F84">
        <w:trPr>
          <w:trHeight w:val="1478"/>
        </w:trPr>
        <w:tc>
          <w:tcPr>
            <w:tcW w:w="2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left"/>
              <w:textAlignment w:val="center"/>
              <w:rPr>
                <w:rFonts w:ascii="Arial" w:hAnsi="Arial" w:cs="Arial"/>
                <w:sz w:val="28"/>
                <w:szCs w:val="20"/>
              </w:rPr>
            </w:pPr>
            <w:r w:rsidRPr="00C54F84">
              <w:rPr>
                <w:rFonts w:hAnsi="Calibri" w:cs="Calibri"/>
                <w:color w:val="000000"/>
                <w:kern w:val="24"/>
                <w:sz w:val="28"/>
                <w:szCs w:val="20"/>
              </w:rPr>
              <w:t xml:space="preserve"> Increased staff</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rPr>
                <w:rFonts w:ascii="Arial" w:hAnsi="Arial" w:cs="Arial"/>
                <w:sz w:val="28"/>
                <w:szCs w:val="20"/>
              </w:rPr>
            </w:pPr>
            <w:r w:rsidRPr="00C54F84">
              <w:rPr>
                <w:rFonts w:hAnsi="Calibri" w:cs="Calibri"/>
                <w:color w:val="000000" w:themeColor="text1"/>
                <w:kern w:val="24"/>
                <w:sz w:val="28"/>
                <w:szCs w:val="20"/>
              </w:rPr>
              <w:t>20%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22%</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19%</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20%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16%</w:t>
            </w:r>
          </w:p>
        </w:tc>
      </w:tr>
      <w:tr w:rsidR="00C54F84" w:rsidRPr="00C54F84" w:rsidTr="00C54F84">
        <w:trPr>
          <w:trHeight w:val="1478"/>
        </w:trPr>
        <w:tc>
          <w:tcPr>
            <w:tcW w:w="2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left"/>
              <w:textAlignment w:val="center"/>
              <w:rPr>
                <w:rFonts w:ascii="Arial" w:hAnsi="Arial" w:cs="Arial"/>
                <w:sz w:val="28"/>
                <w:szCs w:val="20"/>
              </w:rPr>
            </w:pPr>
            <w:r w:rsidRPr="00C54F84">
              <w:rPr>
                <w:rFonts w:hAnsi="Calibri" w:cs="Calibri"/>
                <w:color w:val="000000"/>
                <w:kern w:val="24"/>
                <w:sz w:val="28"/>
                <w:szCs w:val="20"/>
              </w:rPr>
              <w:t xml:space="preserve"> Decreased staff</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rPr>
                <w:rFonts w:ascii="Arial" w:hAnsi="Arial" w:cs="Arial"/>
                <w:sz w:val="28"/>
                <w:szCs w:val="20"/>
              </w:rPr>
            </w:pPr>
            <w:r w:rsidRPr="00C54F84">
              <w:rPr>
                <w:rFonts w:hAnsi="Calibri" w:cs="Calibri"/>
                <w:color w:val="000000" w:themeColor="text1"/>
                <w:kern w:val="24"/>
                <w:sz w:val="28"/>
                <w:szCs w:val="20"/>
              </w:rPr>
              <w:t>21%</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21%</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17%</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54F84" w:rsidRPr="00C54F84" w:rsidRDefault="00C54F84" w:rsidP="00C54F84">
            <w:pPr>
              <w:jc w:val="center"/>
              <w:textAlignment w:val="center"/>
              <w:rPr>
                <w:rFonts w:ascii="Arial" w:hAnsi="Arial" w:cs="Arial"/>
                <w:sz w:val="28"/>
                <w:szCs w:val="20"/>
              </w:rPr>
            </w:pPr>
            <w:r w:rsidRPr="00C54F84">
              <w:rPr>
                <w:rFonts w:hAnsi="Calibri" w:cs="Calibri"/>
                <w:color w:val="000000" w:themeColor="text1"/>
                <w:kern w:val="24"/>
                <w:sz w:val="28"/>
                <w:szCs w:val="20"/>
              </w:rPr>
              <w:t>22%</w:t>
            </w:r>
          </w:p>
        </w:tc>
      </w:tr>
    </w:tbl>
    <w:p w:rsidR="00D954A6" w:rsidRPr="00C54F84" w:rsidRDefault="00D954A6" w:rsidP="00C54F84">
      <w:pPr>
        <w:rPr>
          <w:i/>
        </w:rPr>
      </w:pPr>
      <w:r w:rsidRPr="00C54F84">
        <w:rPr>
          <w:i/>
        </w:rPr>
        <w:t>Source: Department of Employment, Survey of Employers’ Recruitment Experiences, Central Victoria Coast Priority Employment Area, Novem</w:t>
      </w:r>
      <w:r w:rsidR="00A849B6" w:rsidRPr="00C54F84">
        <w:rPr>
          <w:i/>
        </w:rPr>
        <w:t xml:space="preserve">ber 2012 and November 2013; </w:t>
      </w:r>
      <w:proofErr w:type="gramStart"/>
      <w:r w:rsidR="00A849B6" w:rsidRPr="00C54F84">
        <w:rPr>
          <w:i/>
        </w:rPr>
        <w:t>All</w:t>
      </w:r>
      <w:proofErr w:type="gramEnd"/>
      <w:r w:rsidR="00A849B6" w:rsidRPr="00C54F84">
        <w:rPr>
          <w:i/>
        </w:rPr>
        <w:t xml:space="preserve"> </w:t>
      </w:r>
      <w:r w:rsidRPr="00C54F84">
        <w:rPr>
          <w:i/>
        </w:rPr>
        <w:t>regions surveyed in the 12 months to March 2014</w:t>
      </w:r>
    </w:p>
    <w:p w:rsidR="00D954A6" w:rsidRPr="00D954A6" w:rsidRDefault="00D954A6" w:rsidP="00C54F84"/>
    <w:p w:rsidR="00D954A6" w:rsidRPr="00D954A6" w:rsidRDefault="00D954A6" w:rsidP="00C54F84">
      <w:r w:rsidRPr="00D954A6">
        <w:t>The survey results indicate a weakening in recruitment conditions across the Central Victoria region and Ballarat region over the last year. Recruitment activity has decreased over the year (from 16</w:t>
      </w:r>
      <w:r w:rsidR="005E4C4B">
        <w:t> </w:t>
      </w:r>
      <w:r w:rsidRPr="00D954A6">
        <w:t>vacancies to 14 vacancies per 100 staff). Additionally, a slightly smaller proportion of employers had increased staff and a larger proportion had decreased staff when compared to the results from a year earlier.</w:t>
      </w:r>
    </w:p>
    <w:p w:rsidR="00D954A6" w:rsidRPr="00D954A6" w:rsidRDefault="00D954A6">
      <w:pPr>
        <w:rPr>
          <w:rFonts w:cstheme="minorHAnsi"/>
          <w:sz w:val="20"/>
          <w:szCs w:val="20"/>
        </w:rPr>
      </w:pPr>
      <w:r w:rsidRPr="00D954A6">
        <w:rPr>
          <w:rFonts w:cstheme="minorHAnsi"/>
          <w:sz w:val="20"/>
          <w:szCs w:val="20"/>
        </w:rPr>
        <w:br w:type="page"/>
      </w:r>
    </w:p>
    <w:p w:rsidR="00E26937" w:rsidRPr="00D954A6" w:rsidRDefault="00D954A6" w:rsidP="00E26937">
      <w:pPr>
        <w:pStyle w:val="Heading1"/>
      </w:pPr>
      <w:r w:rsidRPr="00D954A6">
        <w:lastRenderedPageBreak/>
        <w:t>Slide 25</w:t>
      </w:r>
      <w:r w:rsidR="00E26937">
        <w:t xml:space="preserve"> </w:t>
      </w:r>
      <w:r w:rsidR="00E26937" w:rsidRPr="00D954A6">
        <w:t>Competition for vacancies increased since 2012</w:t>
      </w:r>
    </w:p>
    <w:p w:rsidR="00D954A6" w:rsidRPr="00D954A6" w:rsidRDefault="00D954A6" w:rsidP="00D954A6">
      <w:pPr>
        <w:spacing w:line="360" w:lineRule="auto"/>
        <w:rPr>
          <w:rFonts w:cstheme="minorHAnsi"/>
          <w:sz w:val="20"/>
          <w:szCs w:val="20"/>
        </w:rPr>
      </w:pPr>
    </w:p>
    <w:p w:rsidR="00D954A6" w:rsidRPr="00D954A6" w:rsidRDefault="00C54F84" w:rsidP="00D954A6">
      <w:pPr>
        <w:spacing w:line="360" w:lineRule="auto"/>
        <w:rPr>
          <w:rFonts w:cstheme="minorHAnsi"/>
          <w:sz w:val="20"/>
          <w:szCs w:val="20"/>
        </w:rPr>
      </w:pPr>
      <w:r w:rsidRPr="00C54F84">
        <w:rPr>
          <w:noProof/>
        </w:rPr>
        <w:drawing>
          <wp:inline distT="0" distB="0" distL="0" distR="0" wp14:anchorId="0A7175FF" wp14:editId="3DC86139">
            <wp:extent cx="5400000" cy="4050000"/>
            <wp:effectExtent l="19050" t="19050" r="10795" b="27305"/>
            <wp:docPr id="50" name="Picture 50" descr="Managers and Professionals 9.2/1.8&#10;Technicians and Trade Workers 4.7/1.3&#10;Community and Personal Services Workers 4.7/1.3&#10;Clerical and Administrative Workers 15.4/2.0&#10;Sales Workers 10.3/1.6&#10;Machinery Operators and Drivers 18.6/1.2&#10;Labourers 8.2/1.7&#10;Central Victoria PEA November 2013 9.0/1.5&#10;Central Victoria PEA November 2012 5.2/1.7&#10;All regions, 12 months to March 2014 10.6/1.5" title="Average number of applicants and average number of suitable applic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00" cy="4050000"/>
                    </a:xfrm>
                    <a:prstGeom prst="rect">
                      <a:avLst/>
                    </a:prstGeom>
                    <a:ln>
                      <a:solidFill>
                        <a:schemeClr val="tx1"/>
                      </a:solidFill>
                    </a:ln>
                  </pic:spPr>
                </pic:pic>
              </a:graphicData>
            </a:graphic>
          </wp:inline>
        </w:drawing>
      </w:r>
    </w:p>
    <w:p w:rsidR="00D954A6" w:rsidRPr="00C54F84" w:rsidRDefault="00D954A6" w:rsidP="00C54F84">
      <w:pPr>
        <w:rPr>
          <w:i/>
        </w:rPr>
      </w:pPr>
      <w:r w:rsidRPr="00C54F84">
        <w:rPr>
          <w:i/>
        </w:rPr>
        <w:t>Source:  Department of Employment, Survey of Employers’ Recruitment Experiences, Central Victoria PEA, November 2013</w:t>
      </w:r>
      <w:r w:rsidRPr="00C54F84">
        <w:rPr>
          <w:b/>
          <w:bCs/>
          <w:i/>
        </w:rPr>
        <w:t xml:space="preserve"> </w:t>
      </w:r>
      <w:r w:rsidRPr="00C54F84">
        <w:rPr>
          <w:i/>
        </w:rPr>
        <w:t>and November 2012; All PEAs surveyed in the 12 months to March 2014</w:t>
      </w:r>
    </w:p>
    <w:p w:rsidR="00D954A6" w:rsidRPr="00D954A6" w:rsidRDefault="00D954A6" w:rsidP="00C54F84">
      <w:pPr>
        <w:rPr>
          <w:b/>
          <w:bCs/>
        </w:rPr>
      </w:pPr>
    </w:p>
    <w:p w:rsidR="00D954A6" w:rsidRPr="00D954A6" w:rsidRDefault="00D954A6" w:rsidP="00C54F84">
      <w:r w:rsidRPr="00D954A6">
        <w:t>There was a higher average number of applicants per vacancy (9.0) compared with previous surveys (5.2 in November 2012). The average number of suitable applicants interviewed per vacancy (1.5) was similar to November 2012 (1.7) and all regions surveyed to March 2014 (1.5).</w:t>
      </w:r>
    </w:p>
    <w:p w:rsidR="00D954A6" w:rsidRPr="00D954A6" w:rsidRDefault="00D954A6">
      <w:pPr>
        <w:rPr>
          <w:rFonts w:cstheme="minorHAnsi"/>
          <w:sz w:val="20"/>
          <w:szCs w:val="20"/>
        </w:rPr>
      </w:pPr>
      <w:r w:rsidRPr="00D954A6">
        <w:rPr>
          <w:rFonts w:cstheme="minorHAnsi"/>
          <w:sz w:val="20"/>
          <w:szCs w:val="20"/>
        </w:rPr>
        <w:br w:type="page"/>
      </w:r>
    </w:p>
    <w:p w:rsidR="00E26937" w:rsidRPr="00D954A6" w:rsidRDefault="00D954A6" w:rsidP="00E26937">
      <w:pPr>
        <w:pStyle w:val="Heading1"/>
      </w:pPr>
      <w:r w:rsidRPr="00D954A6">
        <w:lastRenderedPageBreak/>
        <w:t>Slide 26</w:t>
      </w:r>
      <w:r w:rsidR="00E26937">
        <w:t xml:space="preserve"> </w:t>
      </w:r>
      <w:r w:rsidR="00E26937" w:rsidRPr="00D954A6">
        <w:t>Informal recruitment growing in popularity</w:t>
      </w:r>
    </w:p>
    <w:p w:rsidR="00D954A6" w:rsidRPr="00D954A6" w:rsidRDefault="00D954A6" w:rsidP="00D954A6">
      <w:pPr>
        <w:spacing w:line="360" w:lineRule="auto"/>
        <w:rPr>
          <w:rFonts w:cstheme="minorHAnsi"/>
          <w:sz w:val="20"/>
          <w:szCs w:val="20"/>
        </w:rPr>
      </w:pPr>
    </w:p>
    <w:p w:rsidR="00D954A6" w:rsidRPr="00D954A6" w:rsidRDefault="00BD4481" w:rsidP="00D954A6">
      <w:pPr>
        <w:spacing w:line="360" w:lineRule="auto"/>
        <w:rPr>
          <w:rFonts w:cstheme="minorHAnsi"/>
          <w:sz w:val="20"/>
          <w:szCs w:val="20"/>
        </w:rPr>
      </w:pPr>
      <w:r w:rsidRPr="00BD4481">
        <w:rPr>
          <w:noProof/>
        </w:rPr>
        <w:drawing>
          <wp:inline distT="0" distB="0" distL="0" distR="0" wp14:anchorId="4B469A47" wp14:editId="6E997613">
            <wp:extent cx="5400000" cy="4050000"/>
            <wp:effectExtent l="19050" t="19050" r="10795" b="27305"/>
            <wp:docPr id="51" name="Picture 51" descr="Formal method used by 56% of employers. These had an average of 14 applicants of which 4 were interviewed.&#10;&#10;When only informal methods were used by 44% of employers, there was an average of 4 applicants with 2 interviewed." title="Less competition for informal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00000" cy="4050000"/>
                    </a:xfrm>
                    <a:prstGeom prst="rect">
                      <a:avLst/>
                    </a:prstGeom>
                    <a:ln>
                      <a:solidFill>
                        <a:schemeClr val="tx1"/>
                      </a:solidFill>
                    </a:ln>
                  </pic:spPr>
                </pic:pic>
              </a:graphicData>
            </a:graphic>
          </wp:inline>
        </w:drawing>
      </w:r>
    </w:p>
    <w:p w:rsidR="00D954A6" w:rsidRPr="00BD4481" w:rsidRDefault="00D954A6" w:rsidP="00BD4481">
      <w:pPr>
        <w:rPr>
          <w:i/>
        </w:rPr>
      </w:pPr>
      <w:r w:rsidRPr="00BD4481">
        <w:rPr>
          <w:i/>
        </w:rPr>
        <w:t>Source: Department of Employment, Survey of Employers’ Recruitment Experiences Central Victoria Priority Employment Area, November 2013</w:t>
      </w:r>
    </w:p>
    <w:p w:rsidR="00D954A6" w:rsidRPr="00D954A6" w:rsidRDefault="00D954A6" w:rsidP="00BD4481"/>
    <w:p w:rsidR="00D954A6" w:rsidRPr="00D954A6" w:rsidRDefault="00D954A6" w:rsidP="00BD4481">
      <w:r w:rsidRPr="00D954A6">
        <w:t xml:space="preserve">Employers in the </w:t>
      </w:r>
      <w:r w:rsidRPr="00BD4481">
        <w:rPr>
          <w:bCs/>
        </w:rPr>
        <w:t>Central Victoria region</w:t>
      </w:r>
      <w:r w:rsidRPr="00D954A6">
        <w:rPr>
          <w:b/>
          <w:bCs/>
        </w:rPr>
        <w:t xml:space="preserve"> </w:t>
      </w:r>
      <w:r w:rsidRPr="00D954A6">
        <w:t xml:space="preserve">relied on informal recruitment methods only, such as word of mouth and being approached by job seekers, slightly less often than formal methods, such as newspapers, the internet and recruitment agencies. Nevertheless, vacancies for which employers used informal recruitment methods attracted less than one third the </w:t>
      </w:r>
      <w:proofErr w:type="gramStart"/>
      <w:r w:rsidRPr="00D954A6">
        <w:t>number</w:t>
      </w:r>
      <w:proofErr w:type="gramEnd"/>
      <w:r w:rsidRPr="00D954A6">
        <w:t xml:space="preserve"> of applicants than when the employers used formal methods. This highlights the value of job seekers actively approaching employers when looking for work.</w:t>
      </w:r>
    </w:p>
    <w:p w:rsidR="00D954A6" w:rsidRPr="00D954A6" w:rsidRDefault="00D954A6">
      <w:pPr>
        <w:rPr>
          <w:rFonts w:cstheme="minorHAnsi"/>
          <w:sz w:val="20"/>
          <w:szCs w:val="20"/>
        </w:rPr>
      </w:pPr>
      <w:r w:rsidRPr="00D954A6">
        <w:rPr>
          <w:rFonts w:cstheme="minorHAnsi"/>
          <w:sz w:val="20"/>
          <w:szCs w:val="20"/>
        </w:rPr>
        <w:br w:type="page"/>
      </w:r>
    </w:p>
    <w:p w:rsidR="00E26937" w:rsidRPr="00D954A6" w:rsidRDefault="00D954A6" w:rsidP="00E26937">
      <w:pPr>
        <w:pStyle w:val="Heading1"/>
      </w:pPr>
      <w:r w:rsidRPr="00D954A6">
        <w:lastRenderedPageBreak/>
        <w:t>Slide 27</w:t>
      </w:r>
      <w:r w:rsidR="00E26937">
        <w:t xml:space="preserve"> </w:t>
      </w:r>
      <w:r w:rsidR="00E26937" w:rsidRPr="00D954A6">
        <w:t xml:space="preserve">Personality Traits and Employability Skills employers in </w:t>
      </w:r>
      <w:r w:rsidR="00E26937" w:rsidRPr="00D954A6">
        <w:rPr>
          <w:kern w:val="24"/>
        </w:rPr>
        <w:t>Central Victoria</w:t>
      </w:r>
      <w:r w:rsidR="00E26937" w:rsidRPr="00D954A6">
        <w:t xml:space="preserve"> viewed as essential</w:t>
      </w:r>
    </w:p>
    <w:p w:rsidR="00D954A6" w:rsidRPr="00D954A6" w:rsidRDefault="00D954A6" w:rsidP="00D954A6">
      <w:pPr>
        <w:spacing w:line="360" w:lineRule="auto"/>
        <w:rPr>
          <w:rFonts w:cstheme="minorHAnsi"/>
          <w:sz w:val="20"/>
          <w:szCs w:val="20"/>
        </w:rPr>
      </w:pPr>
    </w:p>
    <w:p w:rsidR="00D954A6" w:rsidRPr="00D954A6" w:rsidRDefault="00BD4481" w:rsidP="00D954A6">
      <w:pPr>
        <w:spacing w:line="360" w:lineRule="auto"/>
        <w:rPr>
          <w:rFonts w:cstheme="minorHAnsi"/>
          <w:sz w:val="20"/>
          <w:szCs w:val="20"/>
        </w:rPr>
      </w:pPr>
      <w:r w:rsidRPr="00BD4481">
        <w:rPr>
          <w:noProof/>
        </w:rPr>
        <w:drawing>
          <wp:inline distT="0" distB="0" distL="0" distR="0" wp14:anchorId="1053A068" wp14:editId="733D5FAA">
            <wp:extent cx="5400000" cy="4050000"/>
            <wp:effectExtent l="19050" t="19050" r="10795" b="27305"/>
            <wp:docPr id="52" name="Picture 52" descr="Graph - Personality traits and employability skill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00000" cy="4050000"/>
                    </a:xfrm>
                    <a:prstGeom prst="rect">
                      <a:avLst/>
                    </a:prstGeom>
                    <a:ln>
                      <a:solidFill>
                        <a:schemeClr val="tx1"/>
                      </a:solidFill>
                    </a:ln>
                  </pic:spPr>
                </pic:pic>
              </a:graphicData>
            </a:graphic>
          </wp:inline>
        </w:drawing>
      </w:r>
    </w:p>
    <w:p w:rsidR="00D954A6" w:rsidRPr="00F54AF5" w:rsidRDefault="00D954A6" w:rsidP="00F54AF5">
      <w:pPr>
        <w:rPr>
          <w:i/>
        </w:rPr>
      </w:pPr>
      <w:r w:rsidRPr="00F54AF5">
        <w:rPr>
          <w:i/>
        </w:rPr>
        <w:t>Source: Department of Employment, Survey of Employers’</w:t>
      </w:r>
      <w:r w:rsidR="00F54AF5">
        <w:rPr>
          <w:i/>
        </w:rPr>
        <w:t>,</w:t>
      </w:r>
      <w:r w:rsidRPr="00F54AF5">
        <w:rPr>
          <w:i/>
        </w:rPr>
        <w:t xml:space="preserve"> Recruitment Experiences Central Victoria Priority Employment Area, </w:t>
      </w:r>
      <w:proofErr w:type="gramStart"/>
      <w:r w:rsidRPr="00F54AF5">
        <w:rPr>
          <w:i/>
        </w:rPr>
        <w:t>November</w:t>
      </w:r>
      <w:proofErr w:type="gramEnd"/>
      <w:r w:rsidRPr="00F54AF5">
        <w:rPr>
          <w:i/>
        </w:rPr>
        <w:t xml:space="preserve"> 2013</w:t>
      </w:r>
    </w:p>
    <w:p w:rsidR="00D954A6" w:rsidRPr="00D954A6" w:rsidRDefault="00D954A6" w:rsidP="00F54AF5"/>
    <w:p w:rsidR="00D954A6" w:rsidRPr="00D954A6" w:rsidRDefault="00D954A6" w:rsidP="00F54AF5">
      <w:r w:rsidRPr="00D954A6">
        <w:t xml:space="preserve">There were a range of general employability skills and personality traits that employers in the Central Victoria region commonly viewed as essential for the position they recently recruited for. </w:t>
      </w:r>
    </w:p>
    <w:p w:rsidR="00D954A6" w:rsidRPr="00D954A6" w:rsidRDefault="00D954A6" w:rsidP="00F54AF5"/>
    <w:p w:rsidR="00D954A6" w:rsidRPr="00D954A6" w:rsidRDefault="00D954A6" w:rsidP="00F54AF5">
      <w:r w:rsidRPr="00D954A6">
        <w:t>Employability skills commonly considered essential included:</w:t>
      </w:r>
    </w:p>
    <w:p w:rsidR="00D954A6" w:rsidRPr="00D954A6" w:rsidRDefault="00D954A6" w:rsidP="00F54AF5">
      <w:pPr>
        <w:pStyle w:val="ListParagraph"/>
        <w:numPr>
          <w:ilvl w:val="0"/>
          <w:numId w:val="14"/>
        </w:numPr>
      </w:pPr>
      <w:r w:rsidRPr="00D954A6">
        <w:t>Interpersonal/Social Skills</w:t>
      </w:r>
    </w:p>
    <w:p w:rsidR="00D954A6" w:rsidRPr="00D954A6" w:rsidRDefault="00D954A6" w:rsidP="00F54AF5">
      <w:pPr>
        <w:pStyle w:val="ListParagraph"/>
        <w:numPr>
          <w:ilvl w:val="0"/>
          <w:numId w:val="14"/>
        </w:numPr>
      </w:pPr>
      <w:r w:rsidRPr="00D954A6">
        <w:t>Customer Skills</w:t>
      </w:r>
    </w:p>
    <w:p w:rsidR="00D954A6" w:rsidRPr="00D954A6" w:rsidRDefault="00D954A6" w:rsidP="00F54AF5">
      <w:pPr>
        <w:pStyle w:val="ListParagraph"/>
        <w:numPr>
          <w:ilvl w:val="0"/>
          <w:numId w:val="14"/>
        </w:numPr>
      </w:pPr>
      <w:r w:rsidRPr="00D954A6">
        <w:t>Communication</w:t>
      </w:r>
    </w:p>
    <w:p w:rsidR="00D954A6" w:rsidRPr="00D954A6" w:rsidRDefault="00D954A6" w:rsidP="00F54AF5"/>
    <w:p w:rsidR="00D954A6" w:rsidRPr="00D954A6" w:rsidRDefault="00D954A6" w:rsidP="00F54AF5">
      <w:r w:rsidRPr="00D954A6">
        <w:t>Personality traits commonly considered essential included:</w:t>
      </w:r>
    </w:p>
    <w:p w:rsidR="00D954A6" w:rsidRPr="00D954A6" w:rsidRDefault="00D954A6" w:rsidP="00F54AF5">
      <w:pPr>
        <w:pStyle w:val="ListParagraph"/>
        <w:numPr>
          <w:ilvl w:val="0"/>
          <w:numId w:val="15"/>
        </w:numPr>
      </w:pPr>
      <w:r w:rsidRPr="00D954A6">
        <w:t>Attitude and Motivation</w:t>
      </w:r>
    </w:p>
    <w:p w:rsidR="00D954A6" w:rsidRPr="00D954A6" w:rsidRDefault="00D954A6" w:rsidP="00F54AF5">
      <w:pPr>
        <w:pStyle w:val="ListParagraph"/>
        <w:numPr>
          <w:ilvl w:val="0"/>
          <w:numId w:val="15"/>
        </w:numPr>
      </w:pPr>
      <w:r w:rsidRPr="00D954A6">
        <w:t>Reliability, Honesty and Work Ethic</w:t>
      </w:r>
    </w:p>
    <w:p w:rsidR="00D954A6" w:rsidRPr="00D954A6" w:rsidRDefault="00D954A6" w:rsidP="00F54AF5">
      <w:pPr>
        <w:pStyle w:val="ListParagraph"/>
        <w:numPr>
          <w:ilvl w:val="0"/>
          <w:numId w:val="15"/>
        </w:numPr>
      </w:pPr>
      <w:r w:rsidRPr="00D954A6">
        <w:t>Presentation</w:t>
      </w:r>
    </w:p>
    <w:p w:rsidR="00D954A6" w:rsidRPr="00D954A6" w:rsidRDefault="00D954A6">
      <w:pPr>
        <w:rPr>
          <w:rFonts w:cstheme="minorHAnsi"/>
          <w:sz w:val="20"/>
          <w:szCs w:val="20"/>
        </w:rPr>
      </w:pPr>
      <w:r w:rsidRPr="00D954A6">
        <w:rPr>
          <w:rFonts w:cstheme="minorHAnsi"/>
          <w:sz w:val="20"/>
          <w:szCs w:val="20"/>
        </w:rPr>
        <w:br w:type="page"/>
      </w:r>
    </w:p>
    <w:p w:rsidR="00E26937" w:rsidRPr="00D954A6" w:rsidRDefault="00D954A6" w:rsidP="00E26937">
      <w:pPr>
        <w:pStyle w:val="Heading1"/>
      </w:pPr>
      <w:r w:rsidRPr="00D954A6">
        <w:lastRenderedPageBreak/>
        <w:t>Slide 28</w:t>
      </w:r>
      <w:r w:rsidR="00E26937">
        <w:t xml:space="preserve"> </w:t>
      </w:r>
      <w:r w:rsidR="00E26937" w:rsidRPr="00D954A6">
        <w:t>Overall recruitment expectations</w:t>
      </w:r>
    </w:p>
    <w:p w:rsidR="00D954A6" w:rsidRPr="00D954A6" w:rsidRDefault="00D954A6" w:rsidP="00D954A6">
      <w:pPr>
        <w:spacing w:line="360" w:lineRule="auto"/>
        <w:rPr>
          <w:rFonts w:cstheme="minorHAnsi"/>
          <w:sz w:val="20"/>
          <w:szCs w:val="20"/>
        </w:rPr>
      </w:pPr>
    </w:p>
    <w:p w:rsidR="00D954A6" w:rsidRPr="00D954A6" w:rsidRDefault="00AA42A8" w:rsidP="00D954A6">
      <w:pPr>
        <w:spacing w:line="360" w:lineRule="auto"/>
        <w:rPr>
          <w:rFonts w:cstheme="minorHAnsi"/>
          <w:sz w:val="20"/>
          <w:szCs w:val="20"/>
        </w:rPr>
      </w:pPr>
      <w:r w:rsidRPr="00AA42A8">
        <w:rPr>
          <w:noProof/>
        </w:rPr>
        <w:drawing>
          <wp:inline distT="0" distB="0" distL="0" distR="0" wp14:anchorId="148BEB35" wp14:editId="56CAF9B0">
            <wp:extent cx="5400000" cy="4050000"/>
            <wp:effectExtent l="19050" t="19050" r="10795" b="27305"/>
            <wp:docPr id="53" name="Picture 53" descr="Graph - Average overall recruitment expectation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00000" cy="4050000"/>
                    </a:xfrm>
                    <a:prstGeom prst="rect">
                      <a:avLst/>
                    </a:prstGeom>
                    <a:ln>
                      <a:solidFill>
                        <a:schemeClr val="tx1"/>
                      </a:solidFill>
                    </a:ln>
                  </pic:spPr>
                </pic:pic>
              </a:graphicData>
            </a:graphic>
          </wp:inline>
        </w:drawing>
      </w:r>
    </w:p>
    <w:p w:rsidR="00D954A6" w:rsidRPr="00AA42A8" w:rsidRDefault="00D954A6" w:rsidP="00AA42A8">
      <w:pPr>
        <w:rPr>
          <w:i/>
        </w:rPr>
      </w:pPr>
      <w:r w:rsidRPr="00AA42A8">
        <w:rPr>
          <w:i/>
        </w:rPr>
        <w:t xml:space="preserve">Source:  Department of Employment, Survey of Employers’ Recruitment Experiences, Central Victoria PEA, November 2013; </w:t>
      </w:r>
      <w:proofErr w:type="gramStart"/>
      <w:r w:rsidRPr="00AA42A8">
        <w:rPr>
          <w:i/>
        </w:rPr>
        <w:t>All</w:t>
      </w:r>
      <w:proofErr w:type="gramEnd"/>
      <w:r w:rsidRPr="00AA42A8">
        <w:rPr>
          <w:i/>
        </w:rPr>
        <w:t xml:space="preserve"> regions surveyed in the 12 months to March 2014</w:t>
      </w:r>
    </w:p>
    <w:p w:rsidR="00D954A6" w:rsidRPr="00D954A6" w:rsidRDefault="00D954A6" w:rsidP="00AA42A8"/>
    <w:p w:rsidR="00D954A6" w:rsidRPr="00D954A6" w:rsidRDefault="00D954A6" w:rsidP="00AA42A8">
      <w:r w:rsidRPr="00D954A6">
        <w:t>One in five (20%) of employers in the Central Victoria region anticipated increasing staff numbers in the 12 months following the survey, while 7% anticipated decreasing staff numbers, comparable with the average for all regions surveyed (19% increase, 6% decrease).</w:t>
      </w:r>
    </w:p>
    <w:p w:rsidR="00D954A6" w:rsidRPr="00D954A6" w:rsidRDefault="00D954A6" w:rsidP="00AA42A8"/>
    <w:p w:rsidR="00D954A6" w:rsidRPr="00D954A6" w:rsidRDefault="00D954A6" w:rsidP="00AA42A8">
      <w:r w:rsidRPr="00D954A6">
        <w:t>The Education and Training and Construction industries were most likely to increase staff in the 12</w:t>
      </w:r>
      <w:r w:rsidR="005E4C4B">
        <w:t> </w:t>
      </w:r>
      <w:r w:rsidRPr="00D954A6">
        <w:t xml:space="preserve">months following the survey (35% and 25% respectively). </w:t>
      </w:r>
    </w:p>
    <w:p w:rsidR="00D954A6" w:rsidRPr="00D954A6" w:rsidRDefault="00D954A6" w:rsidP="00AA42A8"/>
    <w:p w:rsidR="00D954A6" w:rsidRPr="00D954A6" w:rsidRDefault="00D954A6" w:rsidP="00AA42A8">
      <w:r w:rsidRPr="00D954A6">
        <w:t>While 10% of employers in the Manufacturing industry expected decreasing staff numbers in the 12</w:t>
      </w:r>
      <w:r w:rsidR="005E4C4B">
        <w:t> </w:t>
      </w:r>
      <w:r w:rsidRPr="00D954A6">
        <w:t>months following the survey, there are still jobs in the industry with just over one in five employers expecting to increase staff numbers.</w:t>
      </w:r>
    </w:p>
    <w:p w:rsidR="00D954A6" w:rsidRPr="00D954A6" w:rsidRDefault="00D954A6">
      <w:pPr>
        <w:rPr>
          <w:rFonts w:cstheme="minorHAnsi"/>
          <w:sz w:val="20"/>
          <w:szCs w:val="20"/>
        </w:rPr>
      </w:pPr>
      <w:r w:rsidRPr="00D954A6">
        <w:rPr>
          <w:rFonts w:cstheme="minorHAnsi"/>
          <w:sz w:val="20"/>
          <w:szCs w:val="20"/>
        </w:rPr>
        <w:br w:type="page"/>
      </w:r>
    </w:p>
    <w:p w:rsidR="001334FB" w:rsidRPr="00D954A6" w:rsidRDefault="00D954A6" w:rsidP="001334FB">
      <w:pPr>
        <w:pStyle w:val="Heading1"/>
      </w:pPr>
      <w:r w:rsidRPr="00D954A6">
        <w:lastRenderedPageBreak/>
        <w:t>Slide 29</w:t>
      </w:r>
      <w:r w:rsidR="001334FB">
        <w:t xml:space="preserve"> </w:t>
      </w:r>
      <w:r w:rsidR="001334FB" w:rsidRPr="00D954A6">
        <w:t>Many opportunities exist across occupations- * Occupations Difficult to Fill</w:t>
      </w:r>
    </w:p>
    <w:p w:rsidR="00D954A6" w:rsidRPr="00D954A6" w:rsidRDefault="00D954A6" w:rsidP="00D954A6">
      <w:pPr>
        <w:spacing w:line="360" w:lineRule="auto"/>
        <w:rPr>
          <w:rFonts w:cstheme="minorHAnsi"/>
          <w:sz w:val="20"/>
          <w:szCs w:val="20"/>
        </w:rPr>
      </w:pPr>
    </w:p>
    <w:p w:rsidR="00C76095" w:rsidRDefault="00C76095" w:rsidP="00505D66">
      <w:r>
        <w:t>47 per cent of employers in Central Victoria anticipate recruiting in the 12 months following the survey most commonly for:</w:t>
      </w:r>
    </w:p>
    <w:tbl>
      <w:tblPr>
        <w:tblStyle w:val="MediumGrid1-Accent1"/>
        <w:tblW w:w="0" w:type="auto"/>
        <w:tblInd w:w="817" w:type="dxa"/>
        <w:tblLook w:val="04A0" w:firstRow="1" w:lastRow="0" w:firstColumn="1" w:lastColumn="0" w:noHBand="0" w:noVBand="1"/>
      </w:tblPr>
      <w:tblGrid>
        <w:gridCol w:w="6662"/>
      </w:tblGrid>
      <w:tr w:rsidR="007E6BC9" w:rsidRPr="00C76095" w:rsidTr="00E1514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pStyle w:val="Heading1"/>
              <w:jc w:val="center"/>
              <w:outlineLvl w:val="0"/>
              <w:rPr>
                <w:sz w:val="36"/>
              </w:rPr>
            </w:pPr>
            <w:r w:rsidRPr="007E6BC9">
              <w:rPr>
                <w:sz w:val="40"/>
              </w:rPr>
              <w:t>Future recruitment</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b w:val="0"/>
                <w:sz w:val="32"/>
              </w:rPr>
              <w:t>Sales Assistants (General)</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 xml:space="preserve">Motor Mechanics </w:t>
            </w:r>
            <w:r w:rsidRPr="007E6BC9">
              <w:rPr>
                <w:rFonts w:eastAsiaTheme="minorEastAsia" w:cstheme="minorBidi"/>
                <w:b w:val="0"/>
                <w:color w:val="FF0000"/>
                <w:sz w:val="32"/>
              </w:rPr>
              <w:t>*</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 xml:space="preserve">Structural Steel and Welding Trade Workers </w:t>
            </w:r>
            <w:r w:rsidRPr="007E6BC9">
              <w:rPr>
                <w:rFonts w:eastAsiaTheme="minorEastAsia" w:cstheme="minorBidi"/>
                <w:b w:val="0"/>
                <w:color w:val="FF0000"/>
                <w:sz w:val="32"/>
              </w:rPr>
              <w:t>*</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 xml:space="preserve">Truck Drivers </w:t>
            </w:r>
            <w:r w:rsidRPr="007E6BC9">
              <w:rPr>
                <w:rFonts w:eastAsiaTheme="minorEastAsia" w:cstheme="minorBidi"/>
                <w:b w:val="0"/>
                <w:color w:val="FF0000"/>
                <w:sz w:val="32"/>
              </w:rPr>
              <w:t>*</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Kitchenhands</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Real Estate Sales Agents</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cstheme="minorBidi"/>
                <w:b w:val="0"/>
                <w:sz w:val="32"/>
              </w:rPr>
              <w:t xml:space="preserve">Pharmacists </w:t>
            </w:r>
            <w:r w:rsidRPr="007E6BC9">
              <w:rPr>
                <w:rFonts w:eastAsiaTheme="minorEastAsia" w:cstheme="minorBidi"/>
                <w:b w:val="0"/>
                <w:color w:val="FF0000"/>
                <w:sz w:val="32"/>
              </w:rPr>
              <w:t>*</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Waiters</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Checkout Operators and Office Cashiers</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 xml:space="preserve">Child Carers </w:t>
            </w:r>
            <w:r w:rsidRPr="007E6BC9">
              <w:rPr>
                <w:rFonts w:eastAsiaTheme="minorEastAsia"/>
                <w:b w:val="0"/>
                <w:color w:val="FF0000"/>
                <w:sz w:val="32"/>
              </w:rPr>
              <w:t>*</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Bar Attendants and Baristas</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Nursing Support and Personal Care Workers</w:t>
            </w:r>
          </w:p>
        </w:tc>
      </w:tr>
      <w:tr w:rsidR="007E6BC9" w:rsidRPr="00C76095" w:rsidTr="00E151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Pharmacy Sales Assistants</w:t>
            </w:r>
          </w:p>
        </w:tc>
      </w:tr>
      <w:tr w:rsidR="007E6BC9" w:rsidRPr="00C76095" w:rsidTr="00E15141">
        <w:trPr>
          <w:trHeight w:val="567"/>
        </w:trPr>
        <w:tc>
          <w:tcPr>
            <w:cnfStyle w:val="001000000000" w:firstRow="0" w:lastRow="0" w:firstColumn="1" w:lastColumn="0" w:oddVBand="0" w:evenVBand="0" w:oddHBand="0" w:evenHBand="0" w:firstRowFirstColumn="0" w:firstRowLastColumn="0" w:lastRowFirstColumn="0" w:lastRowLastColumn="0"/>
            <w:tcW w:w="6662" w:type="dxa"/>
            <w:vAlign w:val="center"/>
          </w:tcPr>
          <w:p w:rsidR="007E6BC9" w:rsidRPr="007E6BC9" w:rsidRDefault="007E6BC9" w:rsidP="007E6BC9">
            <w:pPr>
              <w:jc w:val="left"/>
              <w:rPr>
                <w:rFonts w:ascii="Arial" w:hAnsi="Arial" w:cs="Arial"/>
                <w:b w:val="0"/>
                <w:sz w:val="32"/>
                <w:szCs w:val="36"/>
              </w:rPr>
            </w:pPr>
            <w:r w:rsidRPr="007E6BC9">
              <w:rPr>
                <w:rFonts w:eastAsiaTheme="minorEastAsia"/>
                <w:b w:val="0"/>
                <w:sz w:val="32"/>
              </w:rPr>
              <w:t xml:space="preserve">Registered Nurses </w:t>
            </w:r>
            <w:r w:rsidRPr="007E6BC9">
              <w:rPr>
                <w:rFonts w:eastAsiaTheme="minorEastAsia"/>
                <w:b w:val="0"/>
                <w:color w:val="FF0000"/>
                <w:sz w:val="32"/>
              </w:rPr>
              <w:t>*</w:t>
            </w:r>
          </w:p>
        </w:tc>
      </w:tr>
    </w:tbl>
    <w:p w:rsidR="007E6BC9" w:rsidRPr="007E6BC9" w:rsidRDefault="007E6BC9" w:rsidP="007E6BC9">
      <w:pPr>
        <w:jc w:val="left"/>
      </w:pPr>
      <w:r w:rsidRPr="007E6BC9">
        <w:rPr>
          <w:color w:val="FF0000"/>
        </w:rPr>
        <w:t>*</w:t>
      </w:r>
      <w:r w:rsidRPr="007E6BC9">
        <w:t xml:space="preserve"> Occupations that employers reported were difficult to fill in their last </w:t>
      </w:r>
      <w:r>
        <w:br/>
      </w:r>
      <w:r w:rsidRPr="007E6BC9">
        <w:t>recruitment round</w:t>
      </w:r>
    </w:p>
    <w:p w:rsidR="007E6BC9" w:rsidRDefault="007E6BC9" w:rsidP="007E6BC9"/>
    <w:p w:rsidR="007E6BC9" w:rsidRPr="00D954A6" w:rsidRDefault="007E6BC9" w:rsidP="007E6BC9">
      <w:r w:rsidRPr="00D954A6">
        <w:t>Source:  Department of Employment, Survey of Employers’ Recruitment Experiences, Central Victoria PEA, November 2013</w:t>
      </w:r>
    </w:p>
    <w:p w:rsidR="00C76095" w:rsidRPr="00D954A6" w:rsidRDefault="00C76095" w:rsidP="00C76095"/>
    <w:p w:rsidR="00D954A6" w:rsidRPr="00C76095" w:rsidRDefault="00D954A6" w:rsidP="00C76095">
      <w:pPr>
        <w:rPr>
          <w:bCs/>
          <w:u w:val="single"/>
        </w:rPr>
      </w:pPr>
      <w:r w:rsidRPr="00C76095">
        <w:rPr>
          <w:bCs/>
          <w:u w:val="single"/>
        </w:rPr>
        <w:t>Other occupations difficult to fill</w:t>
      </w:r>
    </w:p>
    <w:p w:rsidR="00D954A6" w:rsidRPr="00D954A6" w:rsidRDefault="00D954A6" w:rsidP="00C76095">
      <w:pPr>
        <w:pStyle w:val="ListParagraph"/>
        <w:numPr>
          <w:ilvl w:val="0"/>
          <w:numId w:val="16"/>
        </w:numPr>
      </w:pPr>
      <w:r w:rsidRPr="00D954A6">
        <w:t>Chefs</w:t>
      </w:r>
    </w:p>
    <w:p w:rsidR="00D954A6" w:rsidRPr="00D954A6" w:rsidRDefault="00D954A6" w:rsidP="00C76095">
      <w:pPr>
        <w:pStyle w:val="ListParagraph"/>
        <w:numPr>
          <w:ilvl w:val="0"/>
          <w:numId w:val="16"/>
        </w:numPr>
      </w:pPr>
      <w:r w:rsidRPr="00D954A6">
        <w:t xml:space="preserve">Motor Vehicle and Vehicle Parts Salespersons </w:t>
      </w:r>
    </w:p>
    <w:p w:rsidR="007E6BC9" w:rsidRDefault="00D954A6" w:rsidP="007E6BC9">
      <w:pPr>
        <w:pStyle w:val="ListParagraph"/>
        <w:numPr>
          <w:ilvl w:val="0"/>
          <w:numId w:val="16"/>
        </w:numPr>
      </w:pPr>
      <w:r w:rsidRPr="00D954A6">
        <w:t xml:space="preserve">Bakers and </w:t>
      </w:r>
      <w:proofErr w:type="spellStart"/>
      <w:r w:rsidRPr="00D954A6">
        <w:t>Pastrycooks</w:t>
      </w:r>
      <w:proofErr w:type="spellEnd"/>
      <w:r w:rsidRPr="00D954A6">
        <w:t xml:space="preserve"> </w:t>
      </w:r>
    </w:p>
    <w:p w:rsidR="001334FB" w:rsidRPr="00D954A6" w:rsidRDefault="00D954A6" w:rsidP="001334FB">
      <w:pPr>
        <w:pStyle w:val="Heading1"/>
      </w:pPr>
      <w:r w:rsidRPr="00D954A6">
        <w:lastRenderedPageBreak/>
        <w:t>Slide 30</w:t>
      </w:r>
      <w:r w:rsidR="001334FB">
        <w:t xml:space="preserve"> </w:t>
      </w:r>
      <w:r w:rsidR="001334FB" w:rsidRPr="00D954A6">
        <w:t>Employers’ concerns for the future</w:t>
      </w:r>
    </w:p>
    <w:p w:rsidR="00D954A6" w:rsidRPr="00D954A6" w:rsidRDefault="00D954A6" w:rsidP="00D954A6">
      <w:pPr>
        <w:spacing w:line="360" w:lineRule="auto"/>
        <w:rPr>
          <w:rFonts w:cstheme="minorHAnsi"/>
          <w:sz w:val="20"/>
          <w:szCs w:val="20"/>
        </w:rPr>
      </w:pPr>
    </w:p>
    <w:p w:rsidR="00D954A6" w:rsidRPr="00D954A6" w:rsidRDefault="00F731F3" w:rsidP="00D954A6">
      <w:pPr>
        <w:spacing w:line="360" w:lineRule="auto"/>
        <w:rPr>
          <w:rFonts w:cstheme="minorHAnsi"/>
          <w:sz w:val="20"/>
          <w:szCs w:val="20"/>
        </w:rPr>
      </w:pPr>
      <w:r w:rsidRPr="00F731F3">
        <w:rPr>
          <w:noProof/>
        </w:rPr>
        <w:drawing>
          <wp:inline distT="0" distB="0" distL="0" distR="0" wp14:anchorId="362CF61B" wp14:editId="75EA3B54">
            <wp:extent cx="5400000" cy="4050000"/>
            <wp:effectExtent l="19050" t="19050" r="10795" b="27305"/>
            <wp:docPr id="55" name="Picture 55" descr="Graph - Employers' concerns for the future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00000" cy="4050000"/>
                    </a:xfrm>
                    <a:prstGeom prst="rect">
                      <a:avLst/>
                    </a:prstGeom>
                    <a:ln>
                      <a:solidFill>
                        <a:schemeClr val="tx1"/>
                      </a:solidFill>
                    </a:ln>
                  </pic:spPr>
                </pic:pic>
              </a:graphicData>
            </a:graphic>
          </wp:inline>
        </w:drawing>
      </w:r>
    </w:p>
    <w:p w:rsidR="00D954A6" w:rsidRPr="00F731F3" w:rsidRDefault="00D954A6" w:rsidP="00F731F3">
      <w:pPr>
        <w:rPr>
          <w:i/>
        </w:rPr>
      </w:pPr>
      <w:r w:rsidRPr="00F731F3">
        <w:rPr>
          <w:i/>
        </w:rPr>
        <w:t xml:space="preserve">Source: Department of Employment, Survey of Employers’ Recruitment Experiences Central Victoria Priority Employment Area, November, 2013 </w:t>
      </w:r>
    </w:p>
    <w:p w:rsidR="00D954A6" w:rsidRPr="00D954A6" w:rsidRDefault="00D954A6" w:rsidP="00F731F3"/>
    <w:p w:rsidR="00D954A6" w:rsidRPr="00D954A6" w:rsidRDefault="00D954A6" w:rsidP="00F731F3">
      <w:r w:rsidRPr="00D954A6">
        <w:t>Two in five (41 per cent) employers surveyed considered demand and the economy to be their greatest concern. While some 11 per cent felt recruitment and staff retention difficulties to be of concern. One in five (19 per cent) employers felt they had no concerns at all.</w:t>
      </w:r>
    </w:p>
    <w:p w:rsidR="00D954A6" w:rsidRPr="00D954A6" w:rsidRDefault="00D954A6">
      <w:pPr>
        <w:rPr>
          <w:rFonts w:cstheme="minorHAnsi"/>
          <w:sz w:val="20"/>
          <w:szCs w:val="20"/>
        </w:rPr>
      </w:pPr>
      <w:r w:rsidRPr="00D954A6">
        <w:rPr>
          <w:rFonts w:cstheme="minorHAnsi"/>
          <w:sz w:val="20"/>
          <w:szCs w:val="20"/>
        </w:rPr>
        <w:br w:type="page"/>
      </w:r>
    </w:p>
    <w:p w:rsidR="001334FB" w:rsidRPr="00D954A6" w:rsidRDefault="00D954A6" w:rsidP="001334FB">
      <w:pPr>
        <w:pStyle w:val="Heading1"/>
      </w:pPr>
      <w:r w:rsidRPr="00D954A6">
        <w:lastRenderedPageBreak/>
        <w:t>Slide 31</w:t>
      </w:r>
      <w:r w:rsidR="001334FB">
        <w:t xml:space="preserve"> Conclusion</w:t>
      </w:r>
    </w:p>
    <w:p w:rsidR="00181354" w:rsidRDefault="00181354" w:rsidP="005E4C4B">
      <w:pPr>
        <w:autoSpaceDE w:val="0"/>
        <w:autoSpaceDN w:val="0"/>
        <w:adjustRightInd w:val="0"/>
        <w:rPr>
          <w:rFonts w:cstheme="minorHAnsi"/>
          <w:b/>
          <w:bCs/>
          <w:kern w:val="24"/>
          <w:sz w:val="20"/>
          <w:szCs w:val="20"/>
        </w:rPr>
      </w:pPr>
    </w:p>
    <w:p w:rsidR="00D954A6" w:rsidRPr="00D954A6" w:rsidRDefault="00D954A6" w:rsidP="00181354">
      <w:pPr>
        <w:pStyle w:val="ListParagraph"/>
        <w:numPr>
          <w:ilvl w:val="0"/>
          <w:numId w:val="17"/>
        </w:numPr>
        <w:ind w:left="284"/>
      </w:pPr>
      <w:r w:rsidRPr="00D954A6">
        <w:t>The labour market is mixed in the Ballarat region …</w:t>
      </w:r>
    </w:p>
    <w:p w:rsidR="00D954A6" w:rsidRPr="00D954A6" w:rsidRDefault="00D954A6" w:rsidP="00181354">
      <w:pPr>
        <w:pStyle w:val="ListParagraph"/>
        <w:numPr>
          <w:ilvl w:val="0"/>
          <w:numId w:val="18"/>
        </w:numPr>
      </w:pPr>
      <w:r w:rsidRPr="00D954A6">
        <w:t xml:space="preserve">Recent decline in unemployment, yet regional disparity </w:t>
      </w:r>
    </w:p>
    <w:p w:rsidR="00D954A6" w:rsidRPr="00D954A6" w:rsidRDefault="00D954A6" w:rsidP="00181354">
      <w:pPr>
        <w:pStyle w:val="ListParagraph"/>
        <w:numPr>
          <w:ilvl w:val="0"/>
          <w:numId w:val="18"/>
        </w:numPr>
      </w:pPr>
      <w:r w:rsidRPr="00D954A6">
        <w:t xml:space="preserve">Recruitment activity falling </w:t>
      </w:r>
    </w:p>
    <w:p w:rsidR="00D954A6" w:rsidRPr="00181354" w:rsidRDefault="00D954A6" w:rsidP="00181354">
      <w:pPr>
        <w:pStyle w:val="ListParagraph"/>
        <w:numPr>
          <w:ilvl w:val="0"/>
          <w:numId w:val="18"/>
        </w:numPr>
        <w:rPr>
          <w:lang w:val="en-US"/>
        </w:rPr>
      </w:pPr>
      <w:r w:rsidRPr="00181354">
        <w:rPr>
          <w:lang w:val="en-US"/>
        </w:rPr>
        <w:t>Overall decline in the Manufacturing industry</w:t>
      </w:r>
    </w:p>
    <w:p w:rsidR="00D954A6" w:rsidRPr="00181354" w:rsidRDefault="00D954A6" w:rsidP="00181354">
      <w:pPr>
        <w:pStyle w:val="ListParagraph"/>
        <w:numPr>
          <w:ilvl w:val="0"/>
          <w:numId w:val="18"/>
        </w:numPr>
        <w:rPr>
          <w:lang w:val="en-US"/>
        </w:rPr>
      </w:pPr>
      <w:r w:rsidRPr="00181354">
        <w:rPr>
          <w:lang w:val="en-US"/>
        </w:rPr>
        <w:t>Demographic change: ageing population, young people leaving the region</w:t>
      </w:r>
    </w:p>
    <w:p w:rsidR="00D954A6" w:rsidRPr="00181354" w:rsidRDefault="00D954A6" w:rsidP="00181354">
      <w:pPr>
        <w:pStyle w:val="ListParagraph"/>
        <w:numPr>
          <w:ilvl w:val="0"/>
          <w:numId w:val="18"/>
        </w:numPr>
        <w:rPr>
          <w:lang w:val="en-US"/>
        </w:rPr>
      </w:pPr>
      <w:r w:rsidRPr="00181354">
        <w:rPr>
          <w:lang w:val="en-US"/>
        </w:rPr>
        <w:t>Residents travelling to other regions for work - Melbourne and Geelong</w:t>
      </w:r>
    </w:p>
    <w:p w:rsidR="00D954A6" w:rsidRPr="00181354" w:rsidRDefault="00D954A6" w:rsidP="00181354">
      <w:pPr>
        <w:pStyle w:val="ListParagraph"/>
        <w:numPr>
          <w:ilvl w:val="0"/>
          <w:numId w:val="18"/>
        </w:numPr>
        <w:rPr>
          <w:lang w:val="en-US"/>
        </w:rPr>
      </w:pPr>
      <w:r w:rsidRPr="00181354">
        <w:rPr>
          <w:lang w:val="en-US"/>
        </w:rPr>
        <w:t>Future labour supply</w:t>
      </w:r>
    </w:p>
    <w:p w:rsidR="00D954A6" w:rsidRPr="00181354" w:rsidRDefault="00D954A6" w:rsidP="00181354">
      <w:pPr>
        <w:pStyle w:val="ListParagraph"/>
        <w:numPr>
          <w:ilvl w:val="0"/>
          <w:numId w:val="19"/>
        </w:numPr>
        <w:ind w:left="284"/>
        <w:rPr>
          <w:lang w:val="en-US"/>
        </w:rPr>
      </w:pPr>
      <w:r w:rsidRPr="00181354">
        <w:rPr>
          <w:lang w:val="en-US"/>
        </w:rPr>
        <w:t xml:space="preserve">Disadvantaged groups:  </w:t>
      </w:r>
    </w:p>
    <w:p w:rsidR="00D954A6" w:rsidRPr="00181354" w:rsidRDefault="00D954A6" w:rsidP="00181354">
      <w:pPr>
        <w:pStyle w:val="ListParagraph"/>
        <w:numPr>
          <w:ilvl w:val="0"/>
          <w:numId w:val="20"/>
        </w:numPr>
        <w:rPr>
          <w:lang w:val="en-US"/>
        </w:rPr>
      </w:pPr>
      <w:r w:rsidRPr="00181354">
        <w:rPr>
          <w:lang w:val="en-US"/>
        </w:rPr>
        <w:t>Vulnerable and disengaged youth, persons with lower levels of education, mature age population, high number of income support recipients</w:t>
      </w:r>
    </w:p>
    <w:p w:rsidR="00D954A6" w:rsidRPr="00181354" w:rsidRDefault="00D954A6" w:rsidP="00181354">
      <w:pPr>
        <w:pStyle w:val="ListParagraph"/>
        <w:numPr>
          <w:ilvl w:val="0"/>
          <w:numId w:val="21"/>
        </w:numPr>
        <w:ind w:left="284"/>
        <w:rPr>
          <w:lang w:val="en-US"/>
        </w:rPr>
      </w:pPr>
      <w:r w:rsidRPr="00181354">
        <w:rPr>
          <w:lang w:val="en-US"/>
        </w:rPr>
        <w:t>Opportunities exist</w:t>
      </w:r>
    </w:p>
    <w:p w:rsidR="00D954A6" w:rsidRPr="00181354" w:rsidRDefault="00D954A6" w:rsidP="00181354">
      <w:pPr>
        <w:pStyle w:val="ListParagraph"/>
        <w:numPr>
          <w:ilvl w:val="0"/>
          <w:numId w:val="26"/>
        </w:numPr>
        <w:rPr>
          <w:lang w:val="en-US"/>
        </w:rPr>
      </w:pPr>
      <w:r w:rsidRPr="00181354">
        <w:rPr>
          <w:lang w:val="en-US"/>
        </w:rPr>
        <w:t>Major growth industries (Health)</w:t>
      </w:r>
    </w:p>
    <w:p w:rsidR="00D954A6" w:rsidRPr="00181354" w:rsidRDefault="00D954A6" w:rsidP="00181354">
      <w:pPr>
        <w:pStyle w:val="ListParagraph"/>
        <w:numPr>
          <w:ilvl w:val="0"/>
          <w:numId w:val="26"/>
        </w:numPr>
        <w:rPr>
          <w:lang w:val="en-US"/>
        </w:rPr>
      </w:pPr>
      <w:r w:rsidRPr="00181354">
        <w:rPr>
          <w:lang w:val="en-US"/>
        </w:rPr>
        <w:t>Almost half of employers expect to recruit</w:t>
      </w:r>
    </w:p>
    <w:p w:rsidR="00D954A6" w:rsidRPr="00181354" w:rsidRDefault="00D954A6" w:rsidP="00181354">
      <w:pPr>
        <w:pStyle w:val="ListParagraph"/>
        <w:numPr>
          <w:ilvl w:val="0"/>
          <w:numId w:val="26"/>
        </w:numPr>
        <w:rPr>
          <w:lang w:val="en-US"/>
        </w:rPr>
      </w:pPr>
      <w:r w:rsidRPr="00181354">
        <w:rPr>
          <w:lang w:val="en-US"/>
        </w:rPr>
        <w:t xml:space="preserve">A broad range of occupations will be in demand </w:t>
      </w:r>
    </w:p>
    <w:p w:rsidR="00D954A6" w:rsidRPr="00181354" w:rsidRDefault="00D954A6" w:rsidP="00181354">
      <w:pPr>
        <w:pStyle w:val="ListParagraph"/>
        <w:numPr>
          <w:ilvl w:val="0"/>
          <w:numId w:val="26"/>
        </w:numPr>
        <w:rPr>
          <w:lang w:val="en-US"/>
        </w:rPr>
      </w:pPr>
      <w:r w:rsidRPr="00181354">
        <w:rPr>
          <w:lang w:val="en-US"/>
        </w:rPr>
        <w:t>Improved opportunities for job seekers who actively approach employers</w:t>
      </w:r>
    </w:p>
    <w:p w:rsidR="00D954A6" w:rsidRPr="00181354" w:rsidRDefault="00D954A6" w:rsidP="00181354">
      <w:pPr>
        <w:pStyle w:val="ListParagraph"/>
        <w:numPr>
          <w:ilvl w:val="0"/>
          <w:numId w:val="23"/>
        </w:numPr>
        <w:ind w:left="284"/>
        <w:rPr>
          <w:lang w:val="en-US"/>
        </w:rPr>
      </w:pPr>
      <w:r w:rsidRPr="00181354">
        <w:rPr>
          <w:lang w:val="en-US"/>
        </w:rPr>
        <w:t>Job seekers need to be engaged in the labour market</w:t>
      </w:r>
    </w:p>
    <w:p w:rsidR="00D954A6" w:rsidRPr="00181354" w:rsidRDefault="00D954A6" w:rsidP="00181354">
      <w:pPr>
        <w:pStyle w:val="ListParagraph"/>
        <w:numPr>
          <w:ilvl w:val="0"/>
          <w:numId w:val="24"/>
        </w:numPr>
        <w:rPr>
          <w:lang w:val="en-US"/>
        </w:rPr>
      </w:pPr>
      <w:r w:rsidRPr="00181354">
        <w:rPr>
          <w:lang w:val="en-US"/>
        </w:rPr>
        <w:t>Employability skills are a must</w:t>
      </w:r>
    </w:p>
    <w:p w:rsidR="00D954A6" w:rsidRPr="00181354" w:rsidRDefault="00D954A6" w:rsidP="00181354">
      <w:pPr>
        <w:pStyle w:val="ListParagraph"/>
        <w:numPr>
          <w:ilvl w:val="0"/>
          <w:numId w:val="25"/>
        </w:numPr>
        <w:ind w:left="284"/>
        <w:rPr>
          <w:lang w:val="en-US"/>
        </w:rPr>
      </w:pPr>
      <w:r w:rsidRPr="00181354">
        <w:rPr>
          <w:lang w:val="en-US"/>
        </w:rPr>
        <w:t>Continued stakeholder and employer engagement</w:t>
      </w:r>
    </w:p>
    <w:p w:rsidR="00D954A6" w:rsidRPr="00D954A6" w:rsidRDefault="00D954A6" w:rsidP="00D954A6">
      <w:pPr>
        <w:autoSpaceDE w:val="0"/>
        <w:autoSpaceDN w:val="0"/>
        <w:adjustRightInd w:val="0"/>
        <w:rPr>
          <w:rFonts w:cstheme="minorHAnsi"/>
          <w:sz w:val="20"/>
          <w:szCs w:val="20"/>
        </w:rPr>
      </w:pPr>
    </w:p>
    <w:p w:rsidR="00D954A6" w:rsidRPr="00D954A6" w:rsidRDefault="00D954A6" w:rsidP="00D954A6">
      <w:pPr>
        <w:spacing w:line="360" w:lineRule="auto"/>
        <w:rPr>
          <w:rFonts w:cstheme="minorHAnsi"/>
          <w:sz w:val="20"/>
          <w:szCs w:val="20"/>
        </w:rPr>
      </w:pPr>
    </w:p>
    <w:p w:rsidR="00D954A6" w:rsidRPr="00D954A6" w:rsidRDefault="00D954A6">
      <w:pPr>
        <w:rPr>
          <w:rFonts w:cstheme="minorHAnsi"/>
          <w:sz w:val="20"/>
          <w:szCs w:val="20"/>
        </w:rPr>
      </w:pPr>
      <w:r w:rsidRPr="00D954A6">
        <w:rPr>
          <w:rFonts w:cstheme="minorHAnsi"/>
          <w:sz w:val="20"/>
          <w:szCs w:val="20"/>
        </w:rPr>
        <w:br w:type="page"/>
      </w:r>
    </w:p>
    <w:p w:rsidR="00D954A6" w:rsidRPr="00D954A6" w:rsidRDefault="00D954A6" w:rsidP="001334FB">
      <w:pPr>
        <w:pStyle w:val="Heading1"/>
      </w:pPr>
      <w:r w:rsidRPr="00D954A6">
        <w:lastRenderedPageBreak/>
        <w:t>Slide 32</w:t>
      </w:r>
      <w:r w:rsidR="001334FB">
        <w:t xml:space="preserve"> Contacts</w:t>
      </w:r>
    </w:p>
    <w:p w:rsidR="00D954A6" w:rsidRPr="00D954A6" w:rsidRDefault="00D954A6" w:rsidP="00D954A6">
      <w:pPr>
        <w:autoSpaceDE w:val="0"/>
        <w:autoSpaceDN w:val="0"/>
        <w:adjustRightInd w:val="0"/>
        <w:rPr>
          <w:rFonts w:cstheme="minorHAnsi"/>
          <w:kern w:val="24"/>
          <w:sz w:val="20"/>
          <w:szCs w:val="20"/>
        </w:rPr>
      </w:pPr>
    </w:p>
    <w:p w:rsidR="006C5C47" w:rsidRPr="006C5C47" w:rsidRDefault="006C5C47" w:rsidP="006C5C47">
      <w:pPr>
        <w:rPr>
          <w:szCs w:val="28"/>
        </w:rPr>
      </w:pPr>
      <w:r w:rsidRPr="006C5C47">
        <w:rPr>
          <w:szCs w:val="28"/>
        </w:rPr>
        <w:t xml:space="preserve">If you have any questions about the presentation please contact the Employer Surveys Section or Recruitment Analysis Section on: </w:t>
      </w:r>
    </w:p>
    <w:p w:rsidR="006C5C47" w:rsidRPr="006C5C47" w:rsidRDefault="006C5C47" w:rsidP="006C5C47">
      <w:pPr>
        <w:rPr>
          <w:szCs w:val="28"/>
        </w:rPr>
      </w:pPr>
    </w:p>
    <w:p w:rsidR="006C5C47" w:rsidRPr="006C5C47" w:rsidRDefault="006C5C47" w:rsidP="006C5C47">
      <w:pPr>
        <w:rPr>
          <w:szCs w:val="28"/>
        </w:rPr>
      </w:pPr>
      <w:r w:rsidRPr="006C5C47">
        <w:rPr>
          <w:szCs w:val="28"/>
        </w:rPr>
        <w:t xml:space="preserve">Tel: </w:t>
      </w:r>
      <w:r w:rsidRPr="006C5C47">
        <w:rPr>
          <w:szCs w:val="28"/>
          <w:u w:val="single"/>
        </w:rPr>
        <w:t>1800 059 439</w:t>
      </w:r>
      <w:r w:rsidRPr="006C5C47">
        <w:rPr>
          <w:szCs w:val="28"/>
        </w:rPr>
        <w:t xml:space="preserve"> or </w:t>
      </w:r>
    </w:p>
    <w:p w:rsidR="006C5C47" w:rsidRPr="006C5C47" w:rsidRDefault="00512307" w:rsidP="006C5C47">
      <w:pPr>
        <w:rPr>
          <w:szCs w:val="28"/>
        </w:rPr>
      </w:pPr>
      <w:hyperlink r:id="rId30" w:history="1">
        <w:r w:rsidR="006C5C47" w:rsidRPr="006C5C47">
          <w:rPr>
            <w:rStyle w:val="Hyperlink"/>
            <w:szCs w:val="28"/>
          </w:rPr>
          <w:t>Email:</w:t>
        </w:r>
      </w:hyperlink>
      <w:r w:rsidR="006C5C47" w:rsidRPr="006C5C47">
        <w:rPr>
          <w:szCs w:val="28"/>
          <w:u w:val="single"/>
        </w:rPr>
        <w:t xml:space="preserve"> </w:t>
      </w:r>
      <w:r w:rsidR="006C5C47" w:rsidRPr="006C5C47">
        <w:rPr>
          <w:szCs w:val="28"/>
        </w:rPr>
        <w:t>recruitmentsurveys@employment.gov.au</w:t>
      </w:r>
    </w:p>
    <w:p w:rsidR="006C5C47" w:rsidRPr="006C5C47" w:rsidRDefault="006C5C47" w:rsidP="006C5C47">
      <w:pPr>
        <w:rPr>
          <w:szCs w:val="28"/>
        </w:rPr>
      </w:pPr>
    </w:p>
    <w:p w:rsidR="006C5C47" w:rsidRPr="006C5C47" w:rsidRDefault="006C5C47" w:rsidP="006C5C47">
      <w:pPr>
        <w:rPr>
          <w:szCs w:val="28"/>
        </w:rPr>
      </w:pPr>
      <w:r w:rsidRPr="006C5C47">
        <w:rPr>
          <w:szCs w:val="28"/>
        </w:rPr>
        <w:t>More information on labour market conditions and other research on small areas can be found on these web sites</w:t>
      </w:r>
    </w:p>
    <w:p w:rsidR="006C5C47" w:rsidRPr="006C5C47" w:rsidRDefault="006C5C47" w:rsidP="006C5C47">
      <w:pPr>
        <w:rPr>
          <w:szCs w:val="28"/>
        </w:rPr>
      </w:pPr>
    </w:p>
    <w:p w:rsidR="006C5C47" w:rsidRPr="006C5C47" w:rsidRDefault="00512307" w:rsidP="006C5C47">
      <w:pPr>
        <w:rPr>
          <w:szCs w:val="28"/>
        </w:rPr>
      </w:pPr>
      <w:hyperlink r:id="rId31" w:history="1">
        <w:r w:rsidR="006C5C47" w:rsidRPr="006C5C47">
          <w:rPr>
            <w:rStyle w:val="Hyperlink"/>
            <w:szCs w:val="28"/>
          </w:rPr>
          <w:t>LMIP</w:t>
        </w:r>
      </w:hyperlink>
      <w:r w:rsidR="006C5C47" w:rsidRPr="006C5C47">
        <w:rPr>
          <w:szCs w:val="28"/>
        </w:rPr>
        <w:t xml:space="preserve"> www.employment.gov.au/LMIP</w:t>
      </w:r>
    </w:p>
    <w:p w:rsidR="006C5C47" w:rsidRPr="006C5C47" w:rsidRDefault="00512307" w:rsidP="006C5C47">
      <w:pPr>
        <w:rPr>
          <w:szCs w:val="28"/>
        </w:rPr>
      </w:pPr>
      <w:hyperlink r:id="rId32" w:history="1">
        <w:r w:rsidR="006C5C47" w:rsidRPr="006C5C47">
          <w:rPr>
            <w:rStyle w:val="Hyperlink"/>
            <w:szCs w:val="28"/>
          </w:rPr>
          <w:t>Skill Shortages</w:t>
        </w:r>
      </w:hyperlink>
      <w:r w:rsidR="006C5C47" w:rsidRPr="006C5C47">
        <w:rPr>
          <w:szCs w:val="28"/>
        </w:rPr>
        <w:t xml:space="preserve"> www.employment.gov.au/SkillShortages</w:t>
      </w:r>
    </w:p>
    <w:p w:rsidR="006C5C47" w:rsidRPr="006C5C47" w:rsidRDefault="00512307" w:rsidP="006C5C47">
      <w:pPr>
        <w:rPr>
          <w:szCs w:val="28"/>
        </w:rPr>
      </w:pPr>
      <w:hyperlink r:id="rId33" w:history="1">
        <w:r w:rsidR="006C5C47" w:rsidRPr="006C5C47">
          <w:rPr>
            <w:rStyle w:val="Hyperlink"/>
            <w:szCs w:val="28"/>
          </w:rPr>
          <w:t>Regional Reports</w:t>
        </w:r>
      </w:hyperlink>
      <w:r w:rsidR="006C5C47" w:rsidRPr="006C5C47">
        <w:rPr>
          <w:szCs w:val="28"/>
        </w:rPr>
        <w:t xml:space="preserve"> www.employment.gov.au/RegionalReports</w:t>
      </w:r>
    </w:p>
    <w:p w:rsidR="006C5C47" w:rsidRPr="006C5C47" w:rsidRDefault="00512307" w:rsidP="006C5C47">
      <w:pPr>
        <w:rPr>
          <w:szCs w:val="28"/>
        </w:rPr>
      </w:pPr>
      <w:hyperlink r:id="rId34" w:history="1">
        <w:r w:rsidR="006C5C47" w:rsidRPr="006C5C47">
          <w:rPr>
            <w:rStyle w:val="Hyperlink"/>
            <w:szCs w:val="28"/>
          </w:rPr>
          <w:t>Australian Jobs</w:t>
        </w:r>
      </w:hyperlink>
      <w:r w:rsidR="006C5C47" w:rsidRPr="006C5C47">
        <w:rPr>
          <w:szCs w:val="28"/>
        </w:rPr>
        <w:t xml:space="preserve"> www.employment.gov.au/australianjobs</w:t>
      </w:r>
    </w:p>
    <w:p w:rsidR="006C5C47" w:rsidRPr="006C5C47" w:rsidRDefault="00512307" w:rsidP="006C5C47">
      <w:pPr>
        <w:rPr>
          <w:szCs w:val="28"/>
        </w:rPr>
      </w:pPr>
      <w:hyperlink r:id="rId35" w:history="1">
        <w:r w:rsidR="006C5C47" w:rsidRPr="006C5C47">
          <w:rPr>
            <w:rStyle w:val="Hyperlink"/>
            <w:szCs w:val="28"/>
          </w:rPr>
          <w:t>Job Outlook</w:t>
        </w:r>
      </w:hyperlink>
      <w:r w:rsidR="006C5C47" w:rsidRPr="006C5C47">
        <w:rPr>
          <w:szCs w:val="28"/>
        </w:rPr>
        <w:t xml:space="preserve"> www.joboutlook.gov.au</w:t>
      </w:r>
    </w:p>
    <w:p w:rsidR="006C5C47" w:rsidRPr="006C5C47" w:rsidRDefault="006C5C47" w:rsidP="006C5C47">
      <w:pPr>
        <w:rPr>
          <w:szCs w:val="28"/>
        </w:rPr>
      </w:pPr>
    </w:p>
    <w:p w:rsidR="006C5C47" w:rsidRPr="006C5C47" w:rsidRDefault="006C5C47" w:rsidP="006C5C47">
      <w:pPr>
        <w:rPr>
          <w:szCs w:val="28"/>
        </w:rPr>
      </w:pPr>
      <w:r w:rsidRPr="006C5C47">
        <w:rPr>
          <w:szCs w:val="28"/>
        </w:rPr>
        <w:t>Thank you.</w:t>
      </w:r>
    </w:p>
    <w:p w:rsidR="006C5C47" w:rsidRDefault="006C5C47" w:rsidP="006C5C47">
      <w:pPr>
        <w:rPr>
          <w:szCs w:val="28"/>
        </w:rPr>
      </w:pPr>
      <w:bookmarkStart w:id="0" w:name="_GoBack"/>
      <w:bookmarkEnd w:id="0"/>
    </w:p>
    <w:p w:rsidR="006C5C47" w:rsidRPr="006C5C47" w:rsidRDefault="006C5C47" w:rsidP="00E15141">
      <w:pPr>
        <w:jc w:val="center"/>
        <w:rPr>
          <w:szCs w:val="28"/>
        </w:rPr>
      </w:pPr>
      <w:r w:rsidRPr="006C5C47">
        <w:rPr>
          <w:noProof/>
        </w:rPr>
        <w:drawing>
          <wp:inline distT="0" distB="0" distL="0" distR="0" wp14:anchorId="42B5EB81" wp14:editId="58188A8E">
            <wp:extent cx="2342857" cy="580952"/>
            <wp:effectExtent l="0" t="0" r="635" b="0"/>
            <wp:docPr id="1" name="Picture 1" descr="Australian Governement Department of Employment and Australian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342857" cy="580952"/>
                    </a:xfrm>
                    <a:prstGeom prst="rect">
                      <a:avLst/>
                    </a:prstGeom>
                  </pic:spPr>
                </pic:pic>
              </a:graphicData>
            </a:graphic>
          </wp:inline>
        </w:drawing>
      </w:r>
    </w:p>
    <w:sectPr w:rsidR="006C5C47" w:rsidRPr="006C5C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CE66F2"/>
    <w:lvl w:ilvl="0">
      <w:numFmt w:val="bullet"/>
      <w:lvlText w:val="*"/>
      <w:lvlJc w:val="left"/>
    </w:lvl>
  </w:abstractNum>
  <w:abstractNum w:abstractNumId="1">
    <w:nsid w:val="01E97AFF"/>
    <w:multiLevelType w:val="hybridMultilevel"/>
    <w:tmpl w:val="27E6F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977646"/>
    <w:multiLevelType w:val="hybridMultilevel"/>
    <w:tmpl w:val="6A689E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C35067"/>
    <w:multiLevelType w:val="hybridMultilevel"/>
    <w:tmpl w:val="A862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D27FE9"/>
    <w:multiLevelType w:val="hybridMultilevel"/>
    <w:tmpl w:val="B17C791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9B2881"/>
    <w:multiLevelType w:val="hybridMultilevel"/>
    <w:tmpl w:val="4B1A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086D3D"/>
    <w:multiLevelType w:val="hybridMultilevel"/>
    <w:tmpl w:val="E660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F66870"/>
    <w:multiLevelType w:val="hybridMultilevel"/>
    <w:tmpl w:val="98E29F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0A78EC"/>
    <w:multiLevelType w:val="hybridMultilevel"/>
    <w:tmpl w:val="8FB0C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C5045E"/>
    <w:multiLevelType w:val="hybridMultilevel"/>
    <w:tmpl w:val="956A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306AAB"/>
    <w:multiLevelType w:val="hybridMultilevel"/>
    <w:tmpl w:val="DB90D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B7F1970"/>
    <w:multiLevelType w:val="hybridMultilevel"/>
    <w:tmpl w:val="3536B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FC138D"/>
    <w:multiLevelType w:val="hybridMultilevel"/>
    <w:tmpl w:val="A0148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2A544C4"/>
    <w:multiLevelType w:val="hybridMultilevel"/>
    <w:tmpl w:val="C384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C61BEA"/>
    <w:multiLevelType w:val="hybridMultilevel"/>
    <w:tmpl w:val="538E0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E057A7"/>
    <w:multiLevelType w:val="hybridMultilevel"/>
    <w:tmpl w:val="DE920C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914703"/>
    <w:multiLevelType w:val="hybridMultilevel"/>
    <w:tmpl w:val="EB582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694738"/>
    <w:multiLevelType w:val="hybridMultilevel"/>
    <w:tmpl w:val="E2CC5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657563"/>
    <w:multiLevelType w:val="hybridMultilevel"/>
    <w:tmpl w:val="A60E15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0F90EC4"/>
    <w:multiLevelType w:val="hybridMultilevel"/>
    <w:tmpl w:val="6246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7B64D3"/>
    <w:multiLevelType w:val="hybridMultilevel"/>
    <w:tmpl w:val="79427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E7262C1"/>
    <w:multiLevelType w:val="hybridMultilevel"/>
    <w:tmpl w:val="BE6A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7F301D"/>
    <w:multiLevelType w:val="hybridMultilevel"/>
    <w:tmpl w:val="FF923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1429A"/>
    <w:multiLevelType w:val="hybridMultilevel"/>
    <w:tmpl w:val="243A073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Calibri" w:hAnsi="Calibri" w:cs="Calibri" w:hint="default"/>
          <w:sz w:val="24"/>
        </w:rPr>
      </w:lvl>
    </w:lvlOverride>
  </w:num>
  <w:num w:numId="2">
    <w:abstractNumId w:val="0"/>
    <w:lvlOverride w:ilvl="0">
      <w:lvl w:ilvl="0">
        <w:numFmt w:val="bullet"/>
        <w:lvlText w:val="₋"/>
        <w:legacy w:legacy="1" w:legacySpace="0" w:legacyIndent="0"/>
        <w:lvlJc w:val="left"/>
        <w:rPr>
          <w:rFonts w:ascii="Calibri" w:hAnsi="Calibri" w:cs="Calibri" w:hint="default"/>
          <w:sz w:val="24"/>
        </w:rPr>
      </w:lvl>
    </w:lvlOverride>
  </w:num>
  <w:num w:numId="3">
    <w:abstractNumId w:val="0"/>
    <w:lvlOverride w:ilvl="0">
      <w:lvl w:ilvl="0">
        <w:numFmt w:val="bullet"/>
        <w:lvlText w:val="•"/>
        <w:legacy w:legacy="1" w:legacySpace="0" w:legacyIndent="0"/>
        <w:lvlJc w:val="left"/>
        <w:rPr>
          <w:rFonts w:ascii="Arial" w:hAnsi="Arial" w:cs="Arial" w:hint="default"/>
          <w:sz w:val="24"/>
        </w:rPr>
      </w:lvl>
    </w:lvlOverride>
  </w:num>
  <w:num w:numId="4">
    <w:abstractNumId w:val="0"/>
    <w:lvlOverride w:ilvl="0">
      <w:lvl w:ilvl="0">
        <w:numFmt w:val="bullet"/>
        <w:lvlText w:val="•"/>
        <w:legacy w:legacy="1" w:legacySpace="0" w:legacyIndent="0"/>
        <w:lvlJc w:val="left"/>
        <w:rPr>
          <w:rFonts w:asciiTheme="minorHAnsi" w:hAnsiTheme="minorHAnsi" w:cstheme="minorHAnsi" w:hint="default"/>
          <w:sz w:val="20"/>
          <w:szCs w:val="20"/>
        </w:rPr>
      </w:lvl>
    </w:lvlOverride>
  </w:num>
  <w:num w:numId="5">
    <w:abstractNumId w:val="19"/>
  </w:num>
  <w:num w:numId="6">
    <w:abstractNumId w:val="5"/>
  </w:num>
  <w:num w:numId="7">
    <w:abstractNumId w:val="14"/>
  </w:num>
  <w:num w:numId="8">
    <w:abstractNumId w:val="22"/>
  </w:num>
  <w:num w:numId="9">
    <w:abstractNumId w:val="20"/>
  </w:num>
  <w:num w:numId="10">
    <w:abstractNumId w:val="11"/>
  </w:num>
  <w:num w:numId="11">
    <w:abstractNumId w:val="1"/>
  </w:num>
  <w:num w:numId="12">
    <w:abstractNumId w:val="21"/>
  </w:num>
  <w:num w:numId="13">
    <w:abstractNumId w:val="3"/>
  </w:num>
  <w:num w:numId="14">
    <w:abstractNumId w:val="17"/>
  </w:num>
  <w:num w:numId="15">
    <w:abstractNumId w:val="13"/>
  </w:num>
  <w:num w:numId="16">
    <w:abstractNumId w:val="16"/>
  </w:num>
  <w:num w:numId="17">
    <w:abstractNumId w:val="23"/>
  </w:num>
  <w:num w:numId="18">
    <w:abstractNumId w:val="6"/>
  </w:num>
  <w:num w:numId="19">
    <w:abstractNumId w:val="2"/>
  </w:num>
  <w:num w:numId="20">
    <w:abstractNumId w:val="12"/>
  </w:num>
  <w:num w:numId="21">
    <w:abstractNumId w:val="15"/>
  </w:num>
  <w:num w:numId="22">
    <w:abstractNumId w:val="4"/>
  </w:num>
  <w:num w:numId="23">
    <w:abstractNumId w:val="7"/>
  </w:num>
  <w:num w:numId="24">
    <w:abstractNumId w:val="8"/>
  </w:num>
  <w:num w:numId="25">
    <w:abstractNumId w:val="18"/>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954A6"/>
    <w:rsid w:val="00060739"/>
    <w:rsid w:val="000749AD"/>
    <w:rsid w:val="000B1376"/>
    <w:rsid w:val="000C288B"/>
    <w:rsid w:val="000D7E39"/>
    <w:rsid w:val="000F019A"/>
    <w:rsid w:val="00113891"/>
    <w:rsid w:val="001334FB"/>
    <w:rsid w:val="0014668F"/>
    <w:rsid w:val="001520DA"/>
    <w:rsid w:val="00157B9E"/>
    <w:rsid w:val="00181354"/>
    <w:rsid w:val="00213F3F"/>
    <w:rsid w:val="0022312A"/>
    <w:rsid w:val="00287C6C"/>
    <w:rsid w:val="002971B5"/>
    <w:rsid w:val="002D539C"/>
    <w:rsid w:val="0031672F"/>
    <w:rsid w:val="00344116"/>
    <w:rsid w:val="00365E60"/>
    <w:rsid w:val="003E3921"/>
    <w:rsid w:val="0040022F"/>
    <w:rsid w:val="00434B1F"/>
    <w:rsid w:val="00434D3E"/>
    <w:rsid w:val="00442522"/>
    <w:rsid w:val="00446A0E"/>
    <w:rsid w:val="00503BC0"/>
    <w:rsid w:val="00505D66"/>
    <w:rsid w:val="00512307"/>
    <w:rsid w:val="005403E2"/>
    <w:rsid w:val="0058168C"/>
    <w:rsid w:val="00597A55"/>
    <w:rsid w:val="005E4C4B"/>
    <w:rsid w:val="00667307"/>
    <w:rsid w:val="006842B9"/>
    <w:rsid w:val="006A062C"/>
    <w:rsid w:val="006C5C47"/>
    <w:rsid w:val="00727F47"/>
    <w:rsid w:val="00757590"/>
    <w:rsid w:val="007E0C0F"/>
    <w:rsid w:val="007E6BC9"/>
    <w:rsid w:val="007F775C"/>
    <w:rsid w:val="008633F8"/>
    <w:rsid w:val="00A13816"/>
    <w:rsid w:val="00A31761"/>
    <w:rsid w:val="00A4179C"/>
    <w:rsid w:val="00A5057B"/>
    <w:rsid w:val="00A849B6"/>
    <w:rsid w:val="00AA42A8"/>
    <w:rsid w:val="00B405D6"/>
    <w:rsid w:val="00BD4481"/>
    <w:rsid w:val="00C07A07"/>
    <w:rsid w:val="00C54F84"/>
    <w:rsid w:val="00C76095"/>
    <w:rsid w:val="00D85A44"/>
    <w:rsid w:val="00D954A6"/>
    <w:rsid w:val="00DA6209"/>
    <w:rsid w:val="00DC470E"/>
    <w:rsid w:val="00E119B5"/>
    <w:rsid w:val="00E15141"/>
    <w:rsid w:val="00E26937"/>
    <w:rsid w:val="00E35A87"/>
    <w:rsid w:val="00E60AB8"/>
    <w:rsid w:val="00E90ABE"/>
    <w:rsid w:val="00ED4615"/>
    <w:rsid w:val="00EF0A17"/>
    <w:rsid w:val="00F2153E"/>
    <w:rsid w:val="00F54AF5"/>
    <w:rsid w:val="00F626BC"/>
    <w:rsid w:val="00F66FE2"/>
    <w:rsid w:val="00F731F3"/>
    <w:rsid w:val="00F83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816"/>
    <w:pPr>
      <w:jc w:val="both"/>
    </w:pPr>
    <w:rPr>
      <w:rFonts w:asciiTheme="minorHAnsi" w:hAnsiTheme="minorHAnsi"/>
      <w:sz w:val="24"/>
      <w:szCs w:val="24"/>
    </w:rPr>
  </w:style>
  <w:style w:type="paragraph" w:styleId="Heading1">
    <w:name w:val="heading 1"/>
    <w:basedOn w:val="Normal"/>
    <w:next w:val="Normal"/>
    <w:link w:val="Heading1Char"/>
    <w:autoRedefine/>
    <w:qFormat/>
    <w:rsid w:val="00B405D6"/>
    <w:pPr>
      <w:keepNext/>
      <w:keepLines/>
      <w:spacing w:before="480"/>
      <w:outlineLvl w:val="0"/>
    </w:pPr>
    <w:rPr>
      <w:rFonts w:ascii="Calibri" w:eastAsiaTheme="majorEastAsia" w:hAnsi="Calibri" w:cstheme="majorBidi"/>
      <w:bCs/>
      <w:color w:val="244061" w:themeColor="accent1" w:themeShade="80"/>
      <w:sz w:val="32"/>
      <w:szCs w:val="28"/>
    </w:rPr>
  </w:style>
  <w:style w:type="paragraph" w:styleId="Heading3">
    <w:name w:val="heading 3"/>
    <w:basedOn w:val="Normal"/>
    <w:next w:val="Normal"/>
    <w:link w:val="Heading3Char"/>
    <w:semiHidden/>
    <w:unhideWhenUsed/>
    <w:qFormat/>
    <w:rsid w:val="00F66F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5D6"/>
    <w:rPr>
      <w:rFonts w:ascii="Calibri" w:eastAsiaTheme="majorEastAsia" w:hAnsi="Calibri" w:cstheme="majorBidi"/>
      <w:bCs/>
      <w:color w:val="244061" w:themeColor="accent1" w:themeShade="80"/>
      <w:sz w:val="32"/>
      <w:szCs w:val="28"/>
    </w:rPr>
  </w:style>
  <w:style w:type="paragraph" w:styleId="BalloonText">
    <w:name w:val="Balloon Text"/>
    <w:basedOn w:val="Normal"/>
    <w:link w:val="BalloonTextChar"/>
    <w:rsid w:val="00287C6C"/>
    <w:rPr>
      <w:rFonts w:ascii="Tahoma" w:hAnsi="Tahoma" w:cs="Tahoma"/>
      <w:sz w:val="16"/>
      <w:szCs w:val="16"/>
    </w:rPr>
  </w:style>
  <w:style w:type="character" w:customStyle="1" w:styleId="BalloonTextChar">
    <w:name w:val="Balloon Text Char"/>
    <w:basedOn w:val="DefaultParagraphFont"/>
    <w:link w:val="BalloonText"/>
    <w:rsid w:val="00287C6C"/>
    <w:rPr>
      <w:rFonts w:ascii="Tahoma" w:hAnsi="Tahoma" w:cs="Tahoma"/>
      <w:sz w:val="16"/>
      <w:szCs w:val="16"/>
    </w:rPr>
  </w:style>
  <w:style w:type="paragraph" w:styleId="ListParagraph">
    <w:name w:val="List Paragraph"/>
    <w:basedOn w:val="Normal"/>
    <w:uiPriority w:val="34"/>
    <w:qFormat/>
    <w:rsid w:val="00667307"/>
    <w:pPr>
      <w:ind w:left="720"/>
      <w:contextualSpacing/>
    </w:pPr>
  </w:style>
  <w:style w:type="character" w:customStyle="1" w:styleId="Heading3Char">
    <w:name w:val="Heading 3 Char"/>
    <w:basedOn w:val="DefaultParagraphFont"/>
    <w:link w:val="Heading3"/>
    <w:semiHidden/>
    <w:rsid w:val="00F66FE2"/>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E119B5"/>
    <w:pPr>
      <w:spacing w:before="100" w:beforeAutospacing="1" w:after="100" w:afterAutospacing="1"/>
    </w:pPr>
  </w:style>
  <w:style w:type="table" w:styleId="TableGrid">
    <w:name w:val="Table Grid"/>
    <w:basedOn w:val="TableNormal"/>
    <w:rsid w:val="00434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0749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Grid-Accent1">
    <w:name w:val="Light Grid Accent 1"/>
    <w:basedOn w:val="TableNormal"/>
    <w:uiPriority w:val="62"/>
    <w:rsid w:val="00C760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C760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rsid w:val="006C5C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816"/>
    <w:pPr>
      <w:jc w:val="both"/>
    </w:pPr>
    <w:rPr>
      <w:rFonts w:asciiTheme="minorHAnsi" w:hAnsiTheme="minorHAnsi"/>
      <w:sz w:val="24"/>
      <w:szCs w:val="24"/>
    </w:rPr>
  </w:style>
  <w:style w:type="paragraph" w:styleId="Heading1">
    <w:name w:val="heading 1"/>
    <w:basedOn w:val="Normal"/>
    <w:next w:val="Normal"/>
    <w:link w:val="Heading1Char"/>
    <w:autoRedefine/>
    <w:qFormat/>
    <w:rsid w:val="00B405D6"/>
    <w:pPr>
      <w:keepNext/>
      <w:keepLines/>
      <w:spacing w:before="480"/>
      <w:outlineLvl w:val="0"/>
    </w:pPr>
    <w:rPr>
      <w:rFonts w:ascii="Calibri" w:eastAsiaTheme="majorEastAsia" w:hAnsi="Calibri" w:cstheme="majorBidi"/>
      <w:bCs/>
      <w:color w:val="244061" w:themeColor="accent1" w:themeShade="80"/>
      <w:sz w:val="32"/>
      <w:szCs w:val="28"/>
    </w:rPr>
  </w:style>
  <w:style w:type="paragraph" w:styleId="Heading3">
    <w:name w:val="heading 3"/>
    <w:basedOn w:val="Normal"/>
    <w:next w:val="Normal"/>
    <w:link w:val="Heading3Char"/>
    <w:semiHidden/>
    <w:unhideWhenUsed/>
    <w:qFormat/>
    <w:rsid w:val="00F66F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5D6"/>
    <w:rPr>
      <w:rFonts w:ascii="Calibri" w:eastAsiaTheme="majorEastAsia" w:hAnsi="Calibri" w:cstheme="majorBidi"/>
      <w:bCs/>
      <w:color w:val="244061" w:themeColor="accent1" w:themeShade="80"/>
      <w:sz w:val="32"/>
      <w:szCs w:val="28"/>
    </w:rPr>
  </w:style>
  <w:style w:type="paragraph" w:styleId="BalloonText">
    <w:name w:val="Balloon Text"/>
    <w:basedOn w:val="Normal"/>
    <w:link w:val="BalloonTextChar"/>
    <w:rsid w:val="00287C6C"/>
    <w:rPr>
      <w:rFonts w:ascii="Tahoma" w:hAnsi="Tahoma" w:cs="Tahoma"/>
      <w:sz w:val="16"/>
      <w:szCs w:val="16"/>
    </w:rPr>
  </w:style>
  <w:style w:type="character" w:customStyle="1" w:styleId="BalloonTextChar">
    <w:name w:val="Balloon Text Char"/>
    <w:basedOn w:val="DefaultParagraphFont"/>
    <w:link w:val="BalloonText"/>
    <w:rsid w:val="00287C6C"/>
    <w:rPr>
      <w:rFonts w:ascii="Tahoma" w:hAnsi="Tahoma" w:cs="Tahoma"/>
      <w:sz w:val="16"/>
      <w:szCs w:val="16"/>
    </w:rPr>
  </w:style>
  <w:style w:type="paragraph" w:styleId="ListParagraph">
    <w:name w:val="List Paragraph"/>
    <w:basedOn w:val="Normal"/>
    <w:uiPriority w:val="34"/>
    <w:qFormat/>
    <w:rsid w:val="00667307"/>
    <w:pPr>
      <w:ind w:left="720"/>
      <w:contextualSpacing/>
    </w:pPr>
  </w:style>
  <w:style w:type="character" w:customStyle="1" w:styleId="Heading3Char">
    <w:name w:val="Heading 3 Char"/>
    <w:basedOn w:val="DefaultParagraphFont"/>
    <w:link w:val="Heading3"/>
    <w:semiHidden/>
    <w:rsid w:val="00F66FE2"/>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E119B5"/>
    <w:pPr>
      <w:spacing w:before="100" w:beforeAutospacing="1" w:after="100" w:afterAutospacing="1"/>
    </w:pPr>
  </w:style>
  <w:style w:type="table" w:styleId="TableGrid">
    <w:name w:val="Table Grid"/>
    <w:basedOn w:val="TableNormal"/>
    <w:rsid w:val="00434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0749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Grid-Accent1">
    <w:name w:val="Light Grid Accent 1"/>
    <w:basedOn w:val="TableNormal"/>
    <w:uiPriority w:val="62"/>
    <w:rsid w:val="00C7609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C7609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rsid w:val="006C5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7257">
      <w:bodyDiv w:val="1"/>
      <w:marLeft w:val="0"/>
      <w:marRight w:val="0"/>
      <w:marTop w:val="0"/>
      <w:marBottom w:val="0"/>
      <w:divBdr>
        <w:top w:val="none" w:sz="0" w:space="0" w:color="auto"/>
        <w:left w:val="none" w:sz="0" w:space="0" w:color="auto"/>
        <w:bottom w:val="none" w:sz="0" w:space="0" w:color="auto"/>
        <w:right w:val="none" w:sz="0" w:space="0" w:color="auto"/>
      </w:divBdr>
    </w:div>
    <w:div w:id="299308842">
      <w:bodyDiv w:val="1"/>
      <w:marLeft w:val="0"/>
      <w:marRight w:val="0"/>
      <w:marTop w:val="0"/>
      <w:marBottom w:val="0"/>
      <w:divBdr>
        <w:top w:val="none" w:sz="0" w:space="0" w:color="auto"/>
        <w:left w:val="none" w:sz="0" w:space="0" w:color="auto"/>
        <w:bottom w:val="none" w:sz="0" w:space="0" w:color="auto"/>
        <w:right w:val="none" w:sz="0" w:space="0" w:color="auto"/>
      </w:divBdr>
    </w:div>
    <w:div w:id="399250701">
      <w:bodyDiv w:val="1"/>
      <w:marLeft w:val="0"/>
      <w:marRight w:val="0"/>
      <w:marTop w:val="0"/>
      <w:marBottom w:val="0"/>
      <w:divBdr>
        <w:top w:val="none" w:sz="0" w:space="0" w:color="auto"/>
        <w:left w:val="none" w:sz="0" w:space="0" w:color="auto"/>
        <w:bottom w:val="none" w:sz="0" w:space="0" w:color="auto"/>
        <w:right w:val="none" w:sz="0" w:space="0" w:color="auto"/>
      </w:divBdr>
    </w:div>
    <w:div w:id="448280361">
      <w:bodyDiv w:val="1"/>
      <w:marLeft w:val="0"/>
      <w:marRight w:val="0"/>
      <w:marTop w:val="0"/>
      <w:marBottom w:val="0"/>
      <w:divBdr>
        <w:top w:val="none" w:sz="0" w:space="0" w:color="auto"/>
        <w:left w:val="none" w:sz="0" w:space="0" w:color="auto"/>
        <w:bottom w:val="none" w:sz="0" w:space="0" w:color="auto"/>
        <w:right w:val="none" w:sz="0" w:space="0" w:color="auto"/>
      </w:divBdr>
    </w:div>
    <w:div w:id="596063150">
      <w:bodyDiv w:val="1"/>
      <w:marLeft w:val="0"/>
      <w:marRight w:val="0"/>
      <w:marTop w:val="0"/>
      <w:marBottom w:val="0"/>
      <w:divBdr>
        <w:top w:val="none" w:sz="0" w:space="0" w:color="auto"/>
        <w:left w:val="none" w:sz="0" w:space="0" w:color="auto"/>
        <w:bottom w:val="none" w:sz="0" w:space="0" w:color="auto"/>
        <w:right w:val="none" w:sz="0" w:space="0" w:color="auto"/>
      </w:divBdr>
    </w:div>
    <w:div w:id="979505435">
      <w:bodyDiv w:val="1"/>
      <w:marLeft w:val="0"/>
      <w:marRight w:val="0"/>
      <w:marTop w:val="0"/>
      <w:marBottom w:val="0"/>
      <w:divBdr>
        <w:top w:val="none" w:sz="0" w:space="0" w:color="auto"/>
        <w:left w:val="none" w:sz="0" w:space="0" w:color="auto"/>
        <w:bottom w:val="none" w:sz="0" w:space="0" w:color="auto"/>
        <w:right w:val="none" w:sz="0" w:space="0" w:color="auto"/>
      </w:divBdr>
    </w:div>
    <w:div w:id="1247569433">
      <w:bodyDiv w:val="1"/>
      <w:marLeft w:val="0"/>
      <w:marRight w:val="0"/>
      <w:marTop w:val="0"/>
      <w:marBottom w:val="0"/>
      <w:divBdr>
        <w:top w:val="none" w:sz="0" w:space="0" w:color="auto"/>
        <w:left w:val="none" w:sz="0" w:space="0" w:color="auto"/>
        <w:bottom w:val="none" w:sz="0" w:space="0" w:color="auto"/>
        <w:right w:val="none" w:sz="0" w:space="0" w:color="auto"/>
      </w:divBdr>
    </w:div>
    <w:div w:id="1713965028">
      <w:bodyDiv w:val="1"/>
      <w:marLeft w:val="0"/>
      <w:marRight w:val="0"/>
      <w:marTop w:val="0"/>
      <w:marBottom w:val="0"/>
      <w:divBdr>
        <w:top w:val="none" w:sz="0" w:space="0" w:color="auto"/>
        <w:left w:val="none" w:sz="0" w:space="0" w:color="auto"/>
        <w:bottom w:val="none" w:sz="0" w:space="0" w:color="auto"/>
        <w:right w:val="none" w:sz="0" w:space="0" w:color="auto"/>
      </w:divBdr>
    </w:div>
    <w:div w:id="1739356437">
      <w:bodyDiv w:val="1"/>
      <w:marLeft w:val="0"/>
      <w:marRight w:val="0"/>
      <w:marTop w:val="0"/>
      <w:marBottom w:val="0"/>
      <w:divBdr>
        <w:top w:val="none" w:sz="0" w:space="0" w:color="auto"/>
        <w:left w:val="none" w:sz="0" w:space="0" w:color="auto"/>
        <w:bottom w:val="none" w:sz="0" w:space="0" w:color="auto"/>
        <w:right w:val="none" w:sz="0" w:space="0" w:color="auto"/>
      </w:divBdr>
    </w:div>
    <w:div w:id="2030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ustomXml" Target="../customXml/item2.xml"/><Relationship Id="rId21" Type="http://schemas.openxmlformats.org/officeDocument/2006/relationships/image" Target="media/image15.png"/><Relationship Id="rId34" Type="http://schemas.openxmlformats.org/officeDocument/2006/relationships/hyperlink" Target="http://www.employment.gov.au/australian-jobs-publication" TargetMode="External"/><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www.employment.gov.au/skill-shortages"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employment.gov.au/labour-market-information-portal"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mailto:recruitmentsurveys@employment.gov.au" TargetMode="External"/><Relationship Id="rId35" Type="http://schemas.openxmlformats.org/officeDocument/2006/relationships/hyperlink" Target="http://joboutlook.gov.au/"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employment.gov.au/regionalreport"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108C2-D406-48F4-B084-5EFDE29F325D}"/>
</file>

<file path=customXml/itemProps2.xml><?xml version="1.0" encoding="utf-8"?>
<ds:datastoreItem xmlns:ds="http://schemas.openxmlformats.org/officeDocument/2006/customXml" ds:itemID="{432DB807-C317-49B0-827C-A8E55EC5E5E8}"/>
</file>

<file path=customXml/itemProps3.xml><?xml version="1.0" encoding="utf-8"?>
<ds:datastoreItem xmlns:ds="http://schemas.openxmlformats.org/officeDocument/2006/customXml" ds:itemID="{1F3DBEE4-860A-4038-AA84-C98BB12439DF}"/>
</file>

<file path=customXml/itemProps4.xml><?xml version="1.0" encoding="utf-8"?>
<ds:datastoreItem xmlns:ds="http://schemas.openxmlformats.org/officeDocument/2006/customXml" ds:itemID="{A1A31BF6-7AE7-40D3-A862-FF1FEF883196}"/>
</file>

<file path=docProps/app.xml><?xml version="1.0" encoding="utf-8"?>
<Properties xmlns="http://schemas.openxmlformats.org/officeDocument/2006/extended-properties" xmlns:vt="http://schemas.openxmlformats.org/officeDocument/2006/docPropsVTypes">
  <Template>A8A3FE78.dotm</Template>
  <TotalTime>612</TotalTime>
  <Pages>32</Pages>
  <Words>3619</Words>
  <Characters>19979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Cash</dc:creator>
  <cp:lastModifiedBy>Rebecca Cash</cp:lastModifiedBy>
  <cp:revision>32</cp:revision>
  <cp:lastPrinted>2014-06-16T02:04:00Z</cp:lastPrinted>
  <dcterms:created xsi:type="dcterms:W3CDTF">2014-06-12T03:29:00Z</dcterms:created>
  <dcterms:modified xsi:type="dcterms:W3CDTF">2014-09-03T04:53:00Z</dcterms:modified>
</cp:coreProperties>
</file>