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E06" w:rsidRPr="00EC2C4A" w:rsidRDefault="002B7E06" w:rsidP="002B7E06">
      <w:pPr>
        <w:pStyle w:val="Heading3"/>
        <w:rPr>
          <w:rStyle w:val="Heading1Char"/>
          <w:b w:val="0"/>
        </w:rPr>
      </w:pPr>
      <w:r w:rsidRPr="00BE2CA7">
        <w:rPr>
          <w:noProof/>
        </w:rPr>
        <w:drawing>
          <wp:inline distT="0" distB="0" distL="0" distR="0" wp14:anchorId="73AACF73" wp14:editId="7AE56EE7">
            <wp:extent cx="5760720" cy="507013"/>
            <wp:effectExtent l="0" t="0" r="0" b="7620"/>
            <wp:docPr id="21" name="Picture 21" descr="Australian Government Department of Employ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720" cy="507013"/>
                    </a:xfrm>
                    <a:prstGeom prst="rect">
                      <a:avLst/>
                    </a:prstGeom>
                    <a:noFill/>
                    <a:ln>
                      <a:noFill/>
                    </a:ln>
                  </pic:spPr>
                </pic:pic>
              </a:graphicData>
            </a:graphic>
          </wp:inline>
        </w:drawing>
      </w:r>
      <w:r w:rsidRPr="00EC2C4A">
        <w:rPr>
          <w:rStyle w:val="Heading1Char"/>
          <w:b w:val="0"/>
        </w:rPr>
        <w:t>Slide 1 Australian Government Department of Employment Central Victoria Priority Employment Area labour market overview – Bendigo presentation 13 June 2014.</w:t>
      </w:r>
    </w:p>
    <w:p w:rsidR="002B7E06" w:rsidRDefault="002B7E06" w:rsidP="002B7E06"/>
    <w:p w:rsidR="002B7E06" w:rsidRDefault="002B7E06" w:rsidP="002B7E06">
      <w:pPr>
        <w:rPr>
          <w:rFonts w:ascii="Calibri" w:hAnsi="Calibri" w:cs="Calibri"/>
          <w:kern w:val="24"/>
        </w:rPr>
      </w:pPr>
      <w:r w:rsidRPr="001F0AC8">
        <w:t xml:space="preserve">Presentation given by </w:t>
      </w:r>
      <w:r>
        <w:t xml:space="preserve">Ivan Neville Branch Manager </w:t>
      </w:r>
      <w:r w:rsidRPr="001F0AC8">
        <w:t xml:space="preserve">Labour Market Research and Analysis Branch based on survey </w:t>
      </w:r>
      <w:r>
        <w:rPr>
          <w:rFonts w:ascii="Calibri" w:hAnsi="Calibri" w:cs="Calibri"/>
          <w:kern w:val="24"/>
        </w:rPr>
        <w:t>of Central Victoria Priority Employment Area conducted November 2013</w:t>
      </w:r>
    </w:p>
    <w:p w:rsidR="002B7E06" w:rsidRPr="00D954A6" w:rsidRDefault="002B7E06" w:rsidP="002B7E06">
      <w:pPr>
        <w:rPr>
          <w:rFonts w:cstheme="minorHAnsi"/>
          <w:sz w:val="20"/>
          <w:szCs w:val="20"/>
        </w:rPr>
      </w:pPr>
      <w:r w:rsidRPr="00D954A6">
        <w:rPr>
          <w:rFonts w:cstheme="minorHAnsi"/>
          <w:sz w:val="20"/>
          <w:szCs w:val="20"/>
        </w:rPr>
        <w:br w:type="page"/>
      </w:r>
    </w:p>
    <w:p w:rsidR="00532F91" w:rsidRPr="00532F91" w:rsidRDefault="00532F91">
      <w:pPr>
        <w:rPr>
          <w:rFonts w:cstheme="minorHAnsi"/>
          <w:sz w:val="20"/>
          <w:szCs w:val="20"/>
        </w:rPr>
      </w:pPr>
    </w:p>
    <w:p w:rsidR="00532F91" w:rsidRPr="00A408C5" w:rsidRDefault="00532F91" w:rsidP="00A408C5">
      <w:pPr>
        <w:pStyle w:val="Heading1"/>
        <w:rPr>
          <w:lang w:val="es-CL"/>
        </w:rPr>
      </w:pPr>
      <w:proofErr w:type="spellStart"/>
      <w:r w:rsidRPr="00A408C5">
        <w:rPr>
          <w:lang w:val="es-CL"/>
        </w:rPr>
        <w:t>Slide</w:t>
      </w:r>
      <w:proofErr w:type="spellEnd"/>
      <w:r w:rsidRPr="00A408C5">
        <w:rPr>
          <w:lang w:val="es-CL"/>
        </w:rPr>
        <w:t xml:space="preserve"> 2</w:t>
      </w:r>
      <w:r w:rsidR="00115395" w:rsidRPr="00A408C5">
        <w:rPr>
          <w:lang w:val="es-CL"/>
        </w:rPr>
        <w:t xml:space="preserve"> Central Victoria – Bendigo </w:t>
      </w:r>
      <w:proofErr w:type="spellStart"/>
      <w:r w:rsidR="00115395" w:rsidRPr="00A408C5">
        <w:rPr>
          <w:lang w:val="es-CL"/>
        </w:rPr>
        <w:t>region</w:t>
      </w:r>
      <w:proofErr w:type="spellEnd"/>
    </w:p>
    <w:p w:rsidR="00532F91" w:rsidRPr="002B7E06" w:rsidRDefault="00532F91" w:rsidP="00532F91">
      <w:pPr>
        <w:spacing w:line="360" w:lineRule="auto"/>
        <w:rPr>
          <w:rFonts w:cstheme="minorHAnsi"/>
          <w:sz w:val="20"/>
          <w:szCs w:val="20"/>
          <w:lang w:val="es-CL"/>
        </w:rPr>
      </w:pPr>
    </w:p>
    <w:p w:rsidR="00532F91" w:rsidRPr="00532F91" w:rsidRDefault="002B7E06" w:rsidP="00115395">
      <w:pPr>
        <w:jc w:val="center"/>
      </w:pPr>
      <w:r w:rsidRPr="002B7E06">
        <w:rPr>
          <w:noProof/>
        </w:rPr>
        <w:drawing>
          <wp:inline distT="0" distB="0" distL="0" distR="0" wp14:anchorId="68127802" wp14:editId="2792CB28">
            <wp:extent cx="5400000" cy="4050000"/>
            <wp:effectExtent l="19050" t="19050" r="10795" b="27305"/>
            <wp:docPr id="1" name="Picture 1" descr="Map of the Central Victoria area highlighting the Bendigo reg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400000" cy="4050000"/>
                    </a:xfrm>
                    <a:prstGeom prst="rect">
                      <a:avLst/>
                    </a:prstGeom>
                    <a:ln>
                      <a:solidFill>
                        <a:schemeClr val="tx1"/>
                      </a:solidFill>
                    </a:ln>
                  </pic:spPr>
                </pic:pic>
              </a:graphicData>
            </a:graphic>
          </wp:inline>
        </w:drawing>
      </w:r>
    </w:p>
    <w:p w:rsidR="00532F91" w:rsidRPr="0019036B" w:rsidRDefault="00532F91" w:rsidP="0019036B">
      <w:pPr>
        <w:rPr>
          <w:i/>
        </w:rPr>
      </w:pPr>
      <w:r w:rsidRPr="0019036B">
        <w:rPr>
          <w:i/>
        </w:rPr>
        <w:t>Source: ABS (ASGC), 2006 LGA boundaries</w:t>
      </w:r>
    </w:p>
    <w:p w:rsidR="00532F91" w:rsidRPr="00532F91" w:rsidRDefault="00532F91" w:rsidP="00532F91">
      <w:pPr>
        <w:autoSpaceDE w:val="0"/>
        <w:autoSpaceDN w:val="0"/>
        <w:adjustRightInd w:val="0"/>
        <w:rPr>
          <w:rFonts w:cstheme="minorHAnsi"/>
          <w:b/>
          <w:bCs/>
          <w:kern w:val="24"/>
          <w:sz w:val="20"/>
          <w:szCs w:val="20"/>
        </w:rPr>
      </w:pPr>
    </w:p>
    <w:p w:rsidR="00532F91" w:rsidRPr="00532F91" w:rsidRDefault="00532F91" w:rsidP="002B7E06">
      <w:r w:rsidRPr="00532F91">
        <w:t>The Bendigo region includes the Local Government Areas (LGAs) of:</w:t>
      </w:r>
    </w:p>
    <w:p w:rsidR="00532F91" w:rsidRPr="00532F91" w:rsidRDefault="00532F91" w:rsidP="002B7E06">
      <w:pPr>
        <w:pStyle w:val="ListParagraph"/>
        <w:numPr>
          <w:ilvl w:val="0"/>
          <w:numId w:val="6"/>
        </w:numPr>
      </w:pPr>
      <w:r w:rsidRPr="00532F91">
        <w:t>Central Goldfields</w:t>
      </w:r>
    </w:p>
    <w:p w:rsidR="00532F91" w:rsidRPr="00532F91" w:rsidRDefault="00532F91" w:rsidP="002B7E06">
      <w:pPr>
        <w:pStyle w:val="ListParagraph"/>
        <w:numPr>
          <w:ilvl w:val="0"/>
          <w:numId w:val="6"/>
        </w:numPr>
      </w:pPr>
      <w:r w:rsidRPr="00532F91">
        <w:t>Mount Alexander</w:t>
      </w:r>
    </w:p>
    <w:p w:rsidR="00532F91" w:rsidRPr="00532F91" w:rsidRDefault="00532F91" w:rsidP="002B7E06">
      <w:pPr>
        <w:pStyle w:val="ListParagraph"/>
        <w:numPr>
          <w:ilvl w:val="0"/>
          <w:numId w:val="6"/>
        </w:numPr>
      </w:pPr>
      <w:r w:rsidRPr="00532F91">
        <w:t>Greater Bendigo</w:t>
      </w:r>
    </w:p>
    <w:p w:rsidR="00532F91" w:rsidRPr="00532F91" w:rsidRDefault="00532F91" w:rsidP="002B7E06"/>
    <w:p w:rsidR="00532F91" w:rsidRPr="00532F91" w:rsidRDefault="00532F91" w:rsidP="002B7E06">
      <w:r w:rsidRPr="00532F91">
        <w:t>The Central Victoria region includes the Bendigo region plus the following Local Government Areas (LGAs) of:</w:t>
      </w:r>
    </w:p>
    <w:p w:rsidR="00532F91" w:rsidRPr="00532F91" w:rsidRDefault="00532F91" w:rsidP="002B7E06">
      <w:pPr>
        <w:pStyle w:val="ListParagraph"/>
        <w:numPr>
          <w:ilvl w:val="0"/>
          <w:numId w:val="7"/>
        </w:numPr>
      </w:pPr>
      <w:r w:rsidRPr="00532F91">
        <w:t xml:space="preserve">Ararat </w:t>
      </w:r>
    </w:p>
    <w:p w:rsidR="00532F91" w:rsidRPr="00532F91" w:rsidRDefault="00532F91" w:rsidP="002B7E06">
      <w:pPr>
        <w:pStyle w:val="ListParagraph"/>
        <w:numPr>
          <w:ilvl w:val="0"/>
          <w:numId w:val="7"/>
        </w:numPr>
      </w:pPr>
      <w:r w:rsidRPr="00532F91">
        <w:t xml:space="preserve">Ballarat </w:t>
      </w:r>
    </w:p>
    <w:p w:rsidR="00532F91" w:rsidRPr="00532F91" w:rsidRDefault="00532F91" w:rsidP="002B7E06">
      <w:pPr>
        <w:pStyle w:val="ListParagraph"/>
        <w:numPr>
          <w:ilvl w:val="0"/>
          <w:numId w:val="7"/>
        </w:numPr>
      </w:pPr>
      <w:r w:rsidRPr="00532F91">
        <w:t>Hepburn</w:t>
      </w:r>
    </w:p>
    <w:p w:rsidR="00532F91" w:rsidRPr="00532F91" w:rsidRDefault="00532F91" w:rsidP="002B7E06">
      <w:pPr>
        <w:pStyle w:val="ListParagraph"/>
        <w:numPr>
          <w:ilvl w:val="0"/>
          <w:numId w:val="7"/>
        </w:numPr>
      </w:pPr>
      <w:r w:rsidRPr="00532F91">
        <w:t>Moorabool</w:t>
      </w:r>
    </w:p>
    <w:p w:rsidR="00532F91" w:rsidRPr="00532F91" w:rsidRDefault="00532F91" w:rsidP="002B7E06">
      <w:pPr>
        <w:pStyle w:val="ListParagraph"/>
        <w:numPr>
          <w:ilvl w:val="0"/>
          <w:numId w:val="7"/>
        </w:numPr>
      </w:pPr>
      <w:r w:rsidRPr="00532F91">
        <w:t>Northern Grampians</w:t>
      </w:r>
    </w:p>
    <w:p w:rsidR="00532F91" w:rsidRPr="00532F91" w:rsidRDefault="00532F91" w:rsidP="002B7E06">
      <w:pPr>
        <w:pStyle w:val="ListParagraph"/>
        <w:numPr>
          <w:ilvl w:val="0"/>
          <w:numId w:val="7"/>
        </w:numPr>
      </w:pPr>
      <w:r w:rsidRPr="00532F91">
        <w:t>Pyrenees</w:t>
      </w:r>
    </w:p>
    <w:p w:rsidR="00532F91" w:rsidRPr="00532F91" w:rsidRDefault="00532F91" w:rsidP="002B7E06"/>
    <w:p w:rsidR="00532F91" w:rsidRPr="00532F91" w:rsidRDefault="00532F91" w:rsidP="002B7E06">
      <w:r w:rsidRPr="00532F91">
        <w:t>87% of the Bendigo SA4 population lives in the Bendigo region.</w:t>
      </w:r>
    </w:p>
    <w:p w:rsidR="00532F91" w:rsidRPr="00532F91" w:rsidRDefault="00532F91">
      <w:pPr>
        <w:rPr>
          <w:rFonts w:cstheme="minorHAnsi"/>
          <w:sz w:val="20"/>
          <w:szCs w:val="20"/>
        </w:rPr>
      </w:pPr>
      <w:r w:rsidRPr="00532F91">
        <w:rPr>
          <w:rFonts w:cstheme="minorHAnsi"/>
          <w:sz w:val="20"/>
          <w:szCs w:val="20"/>
        </w:rPr>
        <w:br w:type="page"/>
      </w:r>
    </w:p>
    <w:p w:rsidR="00115395" w:rsidRDefault="00532F91" w:rsidP="00A408C5">
      <w:pPr>
        <w:pStyle w:val="Heading1"/>
      </w:pPr>
      <w:r w:rsidRPr="00EC2C4A">
        <w:lastRenderedPageBreak/>
        <w:t>Slide 3</w:t>
      </w:r>
      <w:r w:rsidR="00115395" w:rsidRPr="00EC2C4A">
        <w:t xml:space="preserve"> Labour market conditions have softened since 2012</w:t>
      </w:r>
    </w:p>
    <w:p w:rsidR="00CC420E" w:rsidRPr="00CC420E" w:rsidRDefault="00CC420E" w:rsidP="00CC420E"/>
    <w:tbl>
      <w:tblPr>
        <w:tblStyle w:val="TableGrid"/>
        <w:tblpPr w:leftFromText="180" w:rightFromText="180" w:vertAnchor="page" w:horzAnchor="margin" w:tblpY="2791"/>
        <w:tblW w:w="0" w:type="auto"/>
        <w:tblLook w:val="04A0" w:firstRow="1" w:lastRow="0" w:firstColumn="1" w:lastColumn="0" w:noHBand="0" w:noVBand="1"/>
      </w:tblPr>
      <w:tblGrid>
        <w:gridCol w:w="7479"/>
        <w:gridCol w:w="1043"/>
      </w:tblGrid>
      <w:tr w:rsidR="00CC420E" w:rsidTr="00CC420E">
        <w:trPr>
          <w:trHeight w:val="850"/>
        </w:trPr>
        <w:tc>
          <w:tcPr>
            <w:tcW w:w="7479" w:type="dxa"/>
            <w:vAlign w:val="center"/>
          </w:tcPr>
          <w:p w:rsidR="00CC420E" w:rsidRPr="00187C87" w:rsidRDefault="00CC420E" w:rsidP="00CC420E">
            <w:pPr>
              <w:rPr>
                <w:rFonts w:ascii="Arial" w:hAnsi="Arial" w:cs="Arial"/>
                <w:sz w:val="36"/>
                <w:szCs w:val="36"/>
              </w:rPr>
            </w:pPr>
            <w:r w:rsidRPr="00187C87">
              <w:rPr>
                <w:sz w:val="36"/>
              </w:rPr>
              <w:t>Unemployment rate</w:t>
            </w:r>
          </w:p>
        </w:tc>
        <w:tc>
          <w:tcPr>
            <w:tcW w:w="1043" w:type="dxa"/>
          </w:tcPr>
          <w:p w:rsidR="00CC420E" w:rsidRDefault="00CC420E" w:rsidP="00CC420E">
            <w:pPr>
              <w:spacing w:line="360" w:lineRule="auto"/>
              <w:jc w:val="center"/>
              <w:rPr>
                <w:rFonts w:cstheme="minorHAnsi"/>
                <w:sz w:val="20"/>
                <w:szCs w:val="20"/>
              </w:rPr>
            </w:pPr>
            <w:r w:rsidRPr="00187C87">
              <w:rPr>
                <w:rFonts w:cstheme="minorHAnsi"/>
                <w:noProof/>
                <w:sz w:val="20"/>
                <w:szCs w:val="20"/>
              </w:rPr>
              <mc:AlternateContent>
                <mc:Choice Requires="wps">
                  <w:drawing>
                    <wp:anchor distT="0" distB="0" distL="114300" distR="114300" simplePos="0" relativeHeight="251659264" behindDoc="0" locked="0" layoutInCell="1" allowOverlap="1" wp14:anchorId="45887C9F" wp14:editId="2021B75B">
                      <wp:simplePos x="0" y="0"/>
                      <wp:positionH relativeFrom="column">
                        <wp:posOffset>39689</wp:posOffset>
                      </wp:positionH>
                      <wp:positionV relativeFrom="paragraph">
                        <wp:posOffset>138112</wp:posOffset>
                      </wp:positionV>
                      <wp:extent cx="447390" cy="309600"/>
                      <wp:effectExtent l="0" t="26353" r="40958" b="21907"/>
                      <wp:wrapNone/>
                      <wp:docPr id="39" name="Right Arrow 18" descr="Rising"/>
                      <wp:cNvGraphicFramePr/>
                      <a:graphic xmlns:a="http://schemas.openxmlformats.org/drawingml/2006/main">
                        <a:graphicData uri="http://schemas.microsoft.com/office/word/2010/wordprocessingShape">
                          <wps:wsp>
                            <wps:cNvSpPr/>
                            <wps:spPr>
                              <a:xfrm rot="16200000">
                                <a:off x="0" y="0"/>
                                <a:ext cx="447390" cy="309600"/>
                              </a:xfrm>
                              <a:prstGeom prst="rightArrow">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8" o:spid="_x0000_s1026" type="#_x0000_t13" alt="Rising" style="position:absolute;margin-left:3.15pt;margin-top:10.85pt;width:35.25pt;height:24.4pt;rotation:-90;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" adj="14126" fillcolor="red" strokecolor="black [3213]" strokeweight="2pt"/>
                  </w:pict>
                </mc:Fallback>
              </mc:AlternateContent>
            </w:r>
          </w:p>
        </w:tc>
      </w:tr>
      <w:tr w:rsidR="00CC420E" w:rsidTr="00CC420E">
        <w:trPr>
          <w:trHeight w:val="850"/>
        </w:trPr>
        <w:tc>
          <w:tcPr>
            <w:tcW w:w="7479" w:type="dxa"/>
            <w:vAlign w:val="center"/>
          </w:tcPr>
          <w:p w:rsidR="00CC420E" w:rsidRPr="00187C87" w:rsidRDefault="00CC420E" w:rsidP="00CC420E">
            <w:pPr>
              <w:rPr>
                <w:rFonts w:ascii="Arial" w:hAnsi="Arial" w:cs="Arial"/>
                <w:sz w:val="36"/>
                <w:szCs w:val="36"/>
              </w:rPr>
            </w:pPr>
            <w:r w:rsidRPr="00187C87">
              <w:rPr>
                <w:sz w:val="36"/>
              </w:rPr>
              <w:t xml:space="preserve">Youth unemployment rate </w:t>
            </w:r>
          </w:p>
        </w:tc>
        <w:tc>
          <w:tcPr>
            <w:tcW w:w="1043" w:type="dxa"/>
          </w:tcPr>
          <w:p w:rsidR="00CC420E" w:rsidRDefault="00CC420E" w:rsidP="00CC420E">
            <w:pPr>
              <w:spacing w:line="360" w:lineRule="auto"/>
              <w:jc w:val="center"/>
              <w:rPr>
                <w:rFonts w:cstheme="minorHAnsi"/>
                <w:sz w:val="20"/>
                <w:szCs w:val="20"/>
              </w:rPr>
            </w:pPr>
            <w:r w:rsidRPr="00EC2C4A">
              <w:rPr>
                <w:rFonts w:cstheme="minorHAnsi"/>
                <w:i/>
                <w:iCs/>
                <w:noProof/>
                <w:kern w:val="24"/>
                <w:sz w:val="20"/>
                <w:szCs w:val="20"/>
              </w:rPr>
              <mc:AlternateContent>
                <mc:Choice Requires="wps">
                  <w:drawing>
                    <wp:anchor distT="0" distB="0" distL="114300" distR="114300" simplePos="0" relativeHeight="251665408" behindDoc="0" locked="0" layoutInCell="1" allowOverlap="1" wp14:anchorId="4883DE7F" wp14:editId="05FB9012">
                      <wp:simplePos x="0" y="0"/>
                      <wp:positionH relativeFrom="column">
                        <wp:posOffset>39370</wp:posOffset>
                      </wp:positionH>
                      <wp:positionV relativeFrom="paragraph">
                        <wp:posOffset>116840</wp:posOffset>
                      </wp:positionV>
                      <wp:extent cx="447040" cy="309245"/>
                      <wp:effectExtent l="11747" t="7303" r="40958" b="40957"/>
                      <wp:wrapNone/>
                      <wp:docPr id="50" name="Right Arrow 22" descr="Falling"/>
                      <wp:cNvGraphicFramePr/>
                      <a:graphic xmlns:a="http://schemas.openxmlformats.org/drawingml/2006/main">
                        <a:graphicData uri="http://schemas.microsoft.com/office/word/2010/wordprocessingShape">
                          <wps:wsp>
                            <wps:cNvSpPr/>
                            <wps:spPr>
                              <a:xfrm rot="5400000">
                                <a:off x="0" y="0"/>
                                <a:ext cx="447040" cy="309245"/>
                              </a:xfrm>
                              <a:prstGeom prst="rightArrow">
                                <a:avLst/>
                              </a:prstGeom>
                              <a:solidFill>
                                <a:srgbClr val="00B05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id="Right Arrow 22" o:spid="_x0000_s1026" type="#_x0000_t13" alt="Falling" style="position:absolute;margin-left:3.1pt;margin-top:9.2pt;width:35.2pt;height:24.35pt;rotation:90;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" adj="14129" fillcolor="#00b050" strokecolor="black [3213]" strokeweight="2pt"/>
                  </w:pict>
                </mc:Fallback>
              </mc:AlternateContent>
            </w:r>
          </w:p>
        </w:tc>
      </w:tr>
      <w:tr w:rsidR="00CC420E" w:rsidTr="00CC420E">
        <w:trPr>
          <w:trHeight w:val="850"/>
        </w:trPr>
        <w:tc>
          <w:tcPr>
            <w:tcW w:w="7479" w:type="dxa"/>
            <w:vAlign w:val="center"/>
          </w:tcPr>
          <w:p w:rsidR="00CC420E" w:rsidRPr="00187C87" w:rsidRDefault="00CC420E" w:rsidP="00CC420E">
            <w:pPr>
              <w:rPr>
                <w:rFonts w:ascii="Arial" w:hAnsi="Arial" w:cs="Arial"/>
                <w:sz w:val="36"/>
                <w:szCs w:val="36"/>
              </w:rPr>
            </w:pPr>
            <w:r w:rsidRPr="00187C87">
              <w:rPr>
                <w:sz w:val="36"/>
              </w:rPr>
              <w:t>Income support recipients</w:t>
            </w:r>
          </w:p>
        </w:tc>
        <w:tc>
          <w:tcPr>
            <w:tcW w:w="1043" w:type="dxa"/>
          </w:tcPr>
          <w:p w:rsidR="00CC420E" w:rsidRDefault="00CC420E" w:rsidP="00CC420E">
            <w:pPr>
              <w:spacing w:line="360" w:lineRule="auto"/>
              <w:jc w:val="center"/>
              <w:rPr>
                <w:rFonts w:cstheme="minorHAnsi"/>
                <w:sz w:val="20"/>
                <w:szCs w:val="20"/>
              </w:rPr>
            </w:pPr>
            <w:r w:rsidRPr="00EC2C4A">
              <w:rPr>
                <w:rFonts w:cstheme="minorHAnsi"/>
                <w:noProof/>
                <w:sz w:val="20"/>
                <w:szCs w:val="20"/>
              </w:rPr>
              <mc:AlternateContent>
                <mc:Choice Requires="wps">
                  <w:drawing>
                    <wp:anchor distT="0" distB="0" distL="114300" distR="114300" simplePos="0" relativeHeight="251662336" behindDoc="0" locked="0" layoutInCell="1" allowOverlap="1" wp14:anchorId="1ED2C587" wp14:editId="16F08E5B">
                      <wp:simplePos x="0" y="0"/>
                      <wp:positionH relativeFrom="column">
                        <wp:posOffset>39370</wp:posOffset>
                      </wp:positionH>
                      <wp:positionV relativeFrom="paragraph">
                        <wp:posOffset>142240</wp:posOffset>
                      </wp:positionV>
                      <wp:extent cx="447040" cy="309245"/>
                      <wp:effectExtent l="0" t="26353" r="40958" b="21907"/>
                      <wp:wrapNone/>
                      <wp:docPr id="45" name="Right Arrow 18" descr="Rising"/>
                      <wp:cNvGraphicFramePr/>
                      <a:graphic xmlns:a="http://schemas.openxmlformats.org/drawingml/2006/main">
                        <a:graphicData uri="http://schemas.microsoft.com/office/word/2010/wordprocessingShape">
                          <wps:wsp>
                            <wps:cNvSpPr/>
                            <wps:spPr>
                              <a:xfrm rot="16200000">
                                <a:off x="0" y="0"/>
                                <a:ext cx="447040" cy="309245"/>
                              </a:xfrm>
                              <a:prstGeom prst="rightArrow">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id="Right Arrow 18" o:spid="_x0000_s1026" type="#_x0000_t13" alt="Rising" style="position:absolute;margin-left:3.1pt;margin-top:11.2pt;width:35.2pt;height:24.35pt;rotation:-90;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" adj="14129" fillcolor="red" strokecolor="black [3213]" strokeweight="2pt"/>
                  </w:pict>
                </mc:Fallback>
              </mc:AlternateContent>
            </w:r>
          </w:p>
        </w:tc>
      </w:tr>
      <w:tr w:rsidR="00CC420E" w:rsidTr="00CC420E">
        <w:trPr>
          <w:trHeight w:val="850"/>
        </w:trPr>
        <w:tc>
          <w:tcPr>
            <w:tcW w:w="7479" w:type="dxa"/>
            <w:vAlign w:val="center"/>
          </w:tcPr>
          <w:p w:rsidR="00CC420E" w:rsidRPr="00187C87" w:rsidRDefault="00CC420E" w:rsidP="00CC420E">
            <w:pPr>
              <w:rPr>
                <w:rFonts w:ascii="Arial" w:hAnsi="Arial" w:cs="Arial"/>
                <w:sz w:val="36"/>
                <w:szCs w:val="36"/>
              </w:rPr>
            </w:pPr>
            <w:r w:rsidRPr="00187C87">
              <w:rPr>
                <w:sz w:val="36"/>
              </w:rPr>
              <w:t>Recruitment activity</w:t>
            </w:r>
          </w:p>
        </w:tc>
        <w:tc>
          <w:tcPr>
            <w:tcW w:w="1043" w:type="dxa"/>
          </w:tcPr>
          <w:p w:rsidR="00CC420E" w:rsidRDefault="00CC420E" w:rsidP="00CC420E">
            <w:pPr>
              <w:spacing w:line="360" w:lineRule="auto"/>
              <w:jc w:val="center"/>
              <w:rPr>
                <w:rFonts w:cstheme="minorHAnsi"/>
                <w:sz w:val="20"/>
                <w:szCs w:val="20"/>
              </w:rPr>
            </w:pPr>
            <w:r w:rsidRPr="00EC2C4A">
              <w:rPr>
                <w:rFonts w:cstheme="minorHAnsi"/>
                <w:noProof/>
                <w:sz w:val="20"/>
                <w:szCs w:val="20"/>
              </w:rPr>
              <mc:AlternateContent>
                <mc:Choice Requires="wps">
                  <w:drawing>
                    <wp:anchor distT="0" distB="0" distL="114300" distR="114300" simplePos="0" relativeHeight="251660288" behindDoc="0" locked="0" layoutInCell="1" allowOverlap="1" wp14:anchorId="25920962" wp14:editId="6E7EC3A6">
                      <wp:simplePos x="0" y="0"/>
                      <wp:positionH relativeFrom="column">
                        <wp:posOffset>39370</wp:posOffset>
                      </wp:positionH>
                      <wp:positionV relativeFrom="paragraph">
                        <wp:posOffset>129540</wp:posOffset>
                      </wp:positionV>
                      <wp:extent cx="447040" cy="309245"/>
                      <wp:effectExtent l="11747" t="7303" r="40958" b="40957"/>
                      <wp:wrapNone/>
                      <wp:docPr id="43" name="Right Arrow 18" descr="Falling"/>
                      <wp:cNvGraphicFramePr/>
                      <a:graphic xmlns:a="http://schemas.openxmlformats.org/drawingml/2006/main">
                        <a:graphicData uri="http://schemas.microsoft.com/office/word/2010/wordprocessingShape">
                          <wps:wsp>
                            <wps:cNvSpPr/>
                            <wps:spPr>
                              <a:xfrm rot="5400000">
                                <a:off x="0" y="0"/>
                                <a:ext cx="447040" cy="309245"/>
                              </a:xfrm>
                              <a:prstGeom prst="rightArrow">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id="Right Arrow 18" o:spid="_x0000_s1026" type="#_x0000_t13" alt="Falling" style="position:absolute;margin-left:3.1pt;margin-top:10.2pt;width:35.2pt;height:24.35pt;rotation:90;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" adj="14129" fillcolor="red" strokecolor="black [3213]" strokeweight="2pt"/>
                  </w:pict>
                </mc:Fallback>
              </mc:AlternateContent>
            </w:r>
          </w:p>
        </w:tc>
      </w:tr>
      <w:tr w:rsidR="00CC420E" w:rsidTr="00CC420E">
        <w:trPr>
          <w:trHeight w:val="850"/>
        </w:trPr>
        <w:tc>
          <w:tcPr>
            <w:tcW w:w="7479" w:type="dxa"/>
            <w:vAlign w:val="center"/>
          </w:tcPr>
          <w:p w:rsidR="00CC420E" w:rsidRPr="00187C87" w:rsidRDefault="00CC420E" w:rsidP="00CC420E">
            <w:pPr>
              <w:rPr>
                <w:rFonts w:ascii="Arial" w:hAnsi="Arial" w:cs="Arial"/>
                <w:sz w:val="36"/>
                <w:szCs w:val="36"/>
              </w:rPr>
            </w:pPr>
            <w:r w:rsidRPr="00187C87">
              <w:rPr>
                <w:color w:val="000000" w:themeColor="text1"/>
                <w:sz w:val="36"/>
              </w:rPr>
              <w:t>Competition for vacancies</w:t>
            </w:r>
          </w:p>
        </w:tc>
        <w:tc>
          <w:tcPr>
            <w:tcW w:w="1043" w:type="dxa"/>
          </w:tcPr>
          <w:p w:rsidR="00CC420E" w:rsidRDefault="00CC420E" w:rsidP="00CC420E">
            <w:pPr>
              <w:spacing w:line="360" w:lineRule="auto"/>
              <w:jc w:val="center"/>
              <w:rPr>
                <w:rFonts w:cstheme="minorHAnsi"/>
                <w:sz w:val="20"/>
                <w:szCs w:val="20"/>
              </w:rPr>
            </w:pPr>
            <w:r w:rsidRPr="00EC2C4A">
              <w:rPr>
                <w:rFonts w:cstheme="minorHAnsi"/>
                <w:noProof/>
                <w:sz w:val="20"/>
                <w:szCs w:val="20"/>
              </w:rPr>
              <mc:AlternateContent>
                <mc:Choice Requires="wps">
                  <w:drawing>
                    <wp:anchor distT="0" distB="0" distL="114300" distR="114300" simplePos="0" relativeHeight="251661312" behindDoc="0" locked="0" layoutInCell="1" allowOverlap="1" wp14:anchorId="1024A959" wp14:editId="69818057">
                      <wp:simplePos x="0" y="0"/>
                      <wp:positionH relativeFrom="column">
                        <wp:posOffset>39370</wp:posOffset>
                      </wp:positionH>
                      <wp:positionV relativeFrom="paragraph">
                        <wp:posOffset>135890</wp:posOffset>
                      </wp:positionV>
                      <wp:extent cx="447040" cy="309245"/>
                      <wp:effectExtent l="0" t="26353" r="40958" b="21907"/>
                      <wp:wrapNone/>
                      <wp:docPr id="44" name="Right Arrow 18" descr="Rising"/>
                      <wp:cNvGraphicFramePr/>
                      <a:graphic xmlns:a="http://schemas.openxmlformats.org/drawingml/2006/main">
                        <a:graphicData uri="http://schemas.microsoft.com/office/word/2010/wordprocessingShape">
                          <wps:wsp>
                            <wps:cNvSpPr/>
                            <wps:spPr>
                              <a:xfrm rot="16200000">
                                <a:off x="0" y="0"/>
                                <a:ext cx="447040" cy="309245"/>
                              </a:xfrm>
                              <a:prstGeom prst="rightArrow">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id="Right Arrow 18" o:spid="_x0000_s1026" type="#_x0000_t13" alt="Rising" style="position:absolute;margin-left:3.1pt;margin-top:10.7pt;width:35.2pt;height:24.35pt;rotation:-90;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" adj="14129" fillcolor="red" strokecolor="black [3213]" strokeweight="2pt"/>
                  </w:pict>
                </mc:Fallback>
              </mc:AlternateContent>
            </w:r>
          </w:p>
        </w:tc>
      </w:tr>
      <w:tr w:rsidR="00CC420E" w:rsidTr="00CC420E">
        <w:trPr>
          <w:trHeight w:val="850"/>
        </w:trPr>
        <w:tc>
          <w:tcPr>
            <w:tcW w:w="7479" w:type="dxa"/>
            <w:vAlign w:val="center"/>
          </w:tcPr>
          <w:p w:rsidR="00CC420E" w:rsidRPr="00187C87" w:rsidRDefault="00CC420E" w:rsidP="00CC420E">
            <w:pPr>
              <w:rPr>
                <w:rFonts w:ascii="Arial" w:hAnsi="Arial" w:cs="Arial"/>
                <w:sz w:val="36"/>
                <w:szCs w:val="36"/>
              </w:rPr>
            </w:pPr>
            <w:r w:rsidRPr="00187C87">
              <w:rPr>
                <w:bCs/>
                <w:sz w:val="36"/>
              </w:rPr>
              <w:t>Future recruitment expectations</w:t>
            </w:r>
          </w:p>
        </w:tc>
        <w:tc>
          <w:tcPr>
            <w:tcW w:w="1043" w:type="dxa"/>
          </w:tcPr>
          <w:p w:rsidR="00CC420E" w:rsidRDefault="00CC420E" w:rsidP="00CC420E">
            <w:pPr>
              <w:spacing w:line="360" w:lineRule="auto"/>
              <w:jc w:val="center"/>
              <w:rPr>
                <w:rFonts w:cstheme="minorHAnsi"/>
                <w:sz w:val="20"/>
                <w:szCs w:val="20"/>
              </w:rPr>
            </w:pPr>
            <w:r w:rsidRPr="00EC2C4A">
              <w:rPr>
                <w:rFonts w:cstheme="minorHAnsi"/>
                <w:noProof/>
                <w:sz w:val="20"/>
                <w:szCs w:val="20"/>
              </w:rPr>
              <mc:AlternateContent>
                <mc:Choice Requires="wps">
                  <w:drawing>
                    <wp:anchor distT="0" distB="0" distL="114300" distR="114300" simplePos="0" relativeHeight="251663360" behindDoc="0" locked="0" layoutInCell="1" allowOverlap="1" wp14:anchorId="28256E9C" wp14:editId="3F112AD1">
                      <wp:simplePos x="0" y="0"/>
                      <wp:positionH relativeFrom="column">
                        <wp:posOffset>3810</wp:posOffset>
                      </wp:positionH>
                      <wp:positionV relativeFrom="paragraph">
                        <wp:posOffset>101600</wp:posOffset>
                      </wp:positionV>
                      <wp:extent cx="500743" cy="347463"/>
                      <wp:effectExtent l="0" t="19050" r="33020" b="33655"/>
                      <wp:wrapNone/>
                      <wp:docPr id="48" name="Right Arrow 19" descr="Steady"/>
                      <wp:cNvGraphicFramePr/>
                      <a:graphic xmlns:a="http://schemas.openxmlformats.org/drawingml/2006/main">
                        <a:graphicData uri="http://schemas.microsoft.com/office/word/2010/wordprocessingShape">
                          <wps:wsp>
                            <wps:cNvSpPr/>
                            <wps:spPr>
                              <a:xfrm>
                                <a:off x="0" y="0"/>
                                <a:ext cx="500743" cy="347463"/>
                              </a:xfrm>
                              <a:prstGeom prst="rightArrow">
                                <a:avLst/>
                              </a:prstGeom>
                              <a:solidFill>
                                <a:srgbClr val="FFC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id="Right Arrow 19" o:spid="_x0000_s1026" type="#_x0000_t13" alt="Steady" style="position:absolute;margin-left:.3pt;margin-top:8pt;width:39.45pt;height:27.3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" adj="14106" fillcolor="#ffc000" strokecolor="black [3213]" strokeweight="2pt"/>
                  </w:pict>
                </mc:Fallback>
              </mc:AlternateContent>
            </w:r>
          </w:p>
        </w:tc>
      </w:tr>
      <w:tr w:rsidR="00CC420E" w:rsidTr="00CC420E">
        <w:trPr>
          <w:trHeight w:val="850"/>
        </w:trPr>
        <w:tc>
          <w:tcPr>
            <w:tcW w:w="7479" w:type="dxa"/>
            <w:vAlign w:val="center"/>
          </w:tcPr>
          <w:p w:rsidR="00CC420E" w:rsidRPr="00187C87" w:rsidRDefault="00CC420E" w:rsidP="00CC420E">
            <w:pPr>
              <w:rPr>
                <w:rFonts w:ascii="Arial" w:hAnsi="Arial" w:cs="Arial"/>
                <w:sz w:val="36"/>
                <w:szCs w:val="36"/>
              </w:rPr>
            </w:pPr>
            <w:r w:rsidRPr="00187C87">
              <w:rPr>
                <w:bCs/>
                <w:sz w:val="36"/>
              </w:rPr>
              <w:t>Overall labour market conditions for the region</w:t>
            </w:r>
          </w:p>
        </w:tc>
        <w:tc>
          <w:tcPr>
            <w:tcW w:w="1043" w:type="dxa"/>
          </w:tcPr>
          <w:p w:rsidR="00CC420E" w:rsidRDefault="00CC420E" w:rsidP="00CC420E">
            <w:pPr>
              <w:spacing w:line="360" w:lineRule="auto"/>
              <w:jc w:val="center"/>
              <w:rPr>
                <w:rFonts w:cstheme="minorHAnsi"/>
                <w:sz w:val="20"/>
                <w:szCs w:val="20"/>
              </w:rPr>
            </w:pPr>
            <w:r w:rsidRPr="00EC2C4A">
              <w:rPr>
                <w:rFonts w:cstheme="minorHAnsi"/>
                <w:i/>
                <w:iCs/>
                <w:noProof/>
                <w:kern w:val="24"/>
                <w:sz w:val="20"/>
                <w:szCs w:val="20"/>
              </w:rPr>
              <mc:AlternateContent>
                <mc:Choice Requires="wps">
                  <w:drawing>
                    <wp:anchor distT="0" distB="0" distL="114300" distR="114300" simplePos="0" relativeHeight="251664384" behindDoc="0" locked="0" layoutInCell="1" allowOverlap="1" wp14:anchorId="10A46D18" wp14:editId="0EF9EB0B">
                      <wp:simplePos x="0" y="0"/>
                      <wp:positionH relativeFrom="column">
                        <wp:posOffset>39370</wp:posOffset>
                      </wp:positionH>
                      <wp:positionV relativeFrom="paragraph">
                        <wp:posOffset>120015</wp:posOffset>
                      </wp:positionV>
                      <wp:extent cx="447040" cy="309245"/>
                      <wp:effectExtent l="11747" t="7303" r="40958" b="40957"/>
                      <wp:wrapNone/>
                      <wp:docPr id="49" name="Right Arrow 16" descr="Falling"/>
                      <wp:cNvGraphicFramePr/>
                      <a:graphic xmlns:a="http://schemas.openxmlformats.org/drawingml/2006/main">
                        <a:graphicData uri="http://schemas.microsoft.com/office/word/2010/wordprocessingShape">
                          <wps:wsp>
                            <wps:cNvSpPr/>
                            <wps:spPr>
                              <a:xfrm rot="5400000">
                                <a:off x="0" y="0"/>
                                <a:ext cx="447040" cy="309245"/>
                              </a:xfrm>
                              <a:prstGeom prst="rightArrow">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id="Right Arrow 16" o:spid="_x0000_s1026" type="#_x0000_t13" alt="Falling" style="position:absolute;margin-left:3.1pt;margin-top:9.45pt;width:35.2pt;height:24.35pt;rotation:90;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" adj="14129" fillcolor="red" strokecolor="black [3213]" strokeweight="2pt"/>
                  </w:pict>
                </mc:Fallback>
              </mc:AlternateContent>
            </w:r>
          </w:p>
        </w:tc>
      </w:tr>
    </w:tbl>
    <w:p w:rsidR="00532F91" w:rsidRPr="0019036B" w:rsidRDefault="00532F91" w:rsidP="000B11F9">
      <w:pPr>
        <w:rPr>
          <w:i/>
        </w:rPr>
      </w:pPr>
      <w:r w:rsidRPr="0019036B">
        <w:rPr>
          <w:i/>
        </w:rPr>
        <w:t>ABS, Labour Force Survey, April 2014; Department of Employment, Small Area Labour Markets, December 2013; Survey of Employers’ Recruitment Experiences, Central Victoria PEA, November 2012 and November 2013; Department of Employment, administrative data, March 2014</w:t>
      </w:r>
    </w:p>
    <w:p w:rsidR="00532F91" w:rsidRPr="00532F91" w:rsidRDefault="00532F91" w:rsidP="000B11F9"/>
    <w:p w:rsidR="00532F91" w:rsidRPr="005B182F" w:rsidRDefault="00532F91" w:rsidP="000B11F9">
      <w:pPr>
        <w:pStyle w:val="ListParagraph"/>
        <w:numPr>
          <w:ilvl w:val="0"/>
          <w:numId w:val="8"/>
        </w:numPr>
      </w:pPr>
      <w:r w:rsidRPr="005B182F">
        <w:t>Labour market conditions in the Bendigo region have softened since 2012.</w:t>
      </w:r>
    </w:p>
    <w:p w:rsidR="00532F91" w:rsidRPr="005B182F" w:rsidRDefault="00532F91" w:rsidP="000B11F9">
      <w:pPr>
        <w:pStyle w:val="ListParagraph"/>
        <w:numPr>
          <w:ilvl w:val="0"/>
          <w:numId w:val="8"/>
        </w:numPr>
      </w:pPr>
      <w:r w:rsidRPr="000B11F9">
        <w:rPr>
          <w:bCs/>
        </w:rPr>
        <w:t>The unemployment rate</w:t>
      </w:r>
      <w:r w:rsidRPr="000B11F9">
        <w:rPr>
          <w:b/>
          <w:bCs/>
        </w:rPr>
        <w:t xml:space="preserve"> </w:t>
      </w:r>
      <w:r w:rsidRPr="005B182F">
        <w:t>in the Bendigo region increased to 6.5 per cent in December 2013 from 5.8 per cent in December 2012 (SALM, December 2013).</w:t>
      </w:r>
    </w:p>
    <w:p w:rsidR="00532F91" w:rsidRPr="005B182F" w:rsidRDefault="00532F91" w:rsidP="000B11F9">
      <w:pPr>
        <w:pStyle w:val="ListParagraph"/>
        <w:numPr>
          <w:ilvl w:val="0"/>
          <w:numId w:val="8"/>
        </w:numPr>
      </w:pPr>
      <w:r w:rsidRPr="000B11F9">
        <w:rPr>
          <w:bCs/>
        </w:rPr>
        <w:t>The youth unemployment rate</w:t>
      </w:r>
      <w:r w:rsidRPr="000B11F9">
        <w:rPr>
          <w:b/>
          <w:bCs/>
        </w:rPr>
        <w:t xml:space="preserve"> </w:t>
      </w:r>
      <w:r w:rsidRPr="005B182F">
        <w:t>for the Bendigo region dropped from 13.9 per cent in April 2013 to 12.9 per cent in April 2014 (ABS LFS, April 2014).</w:t>
      </w:r>
    </w:p>
    <w:p w:rsidR="00532F91" w:rsidRPr="005B182F" w:rsidRDefault="00532F91" w:rsidP="000B11F9">
      <w:pPr>
        <w:pStyle w:val="ListParagraph"/>
        <w:numPr>
          <w:ilvl w:val="0"/>
          <w:numId w:val="8"/>
        </w:numPr>
      </w:pPr>
      <w:r w:rsidRPr="005B182F">
        <w:t xml:space="preserve">The proportion of people in receipt of </w:t>
      </w:r>
      <w:r w:rsidRPr="000B11F9">
        <w:rPr>
          <w:bCs/>
        </w:rPr>
        <w:t>income support</w:t>
      </w:r>
      <w:r w:rsidRPr="000B11F9">
        <w:rPr>
          <w:b/>
          <w:bCs/>
        </w:rPr>
        <w:t xml:space="preserve"> </w:t>
      </w:r>
      <w:r w:rsidRPr="005B182F">
        <w:t>increased slightly from 24 per cent to 25 per cent in the 12 months to March 2014 (Dept of Employment, March 2014)</w:t>
      </w:r>
    </w:p>
    <w:p w:rsidR="00532F91" w:rsidRPr="005B182F" w:rsidRDefault="00532F91" w:rsidP="000B11F9">
      <w:pPr>
        <w:pStyle w:val="ListParagraph"/>
        <w:numPr>
          <w:ilvl w:val="0"/>
          <w:numId w:val="8"/>
        </w:numPr>
      </w:pPr>
      <w:r w:rsidRPr="000B11F9">
        <w:rPr>
          <w:bCs/>
        </w:rPr>
        <w:t>Competition for vacancies</w:t>
      </w:r>
      <w:r w:rsidRPr="000B11F9">
        <w:rPr>
          <w:b/>
          <w:bCs/>
        </w:rPr>
        <w:t xml:space="preserve"> </w:t>
      </w:r>
      <w:r w:rsidRPr="005B182F">
        <w:t>increased substantially.</w:t>
      </w:r>
    </w:p>
    <w:p w:rsidR="00532F91" w:rsidRPr="005B182F" w:rsidRDefault="00532F91" w:rsidP="000B11F9">
      <w:pPr>
        <w:pStyle w:val="ListParagraph"/>
        <w:numPr>
          <w:ilvl w:val="0"/>
          <w:numId w:val="8"/>
        </w:numPr>
      </w:pPr>
      <w:r w:rsidRPr="005B182F">
        <w:t xml:space="preserve">The survey showed a </w:t>
      </w:r>
      <w:r w:rsidRPr="000B11F9">
        <w:rPr>
          <w:bCs/>
        </w:rPr>
        <w:t>decrease in recruitment activity</w:t>
      </w:r>
      <w:r w:rsidRPr="000B11F9">
        <w:rPr>
          <w:b/>
          <w:bCs/>
        </w:rPr>
        <w:t xml:space="preserve"> </w:t>
      </w:r>
      <w:r w:rsidRPr="005B182F">
        <w:t xml:space="preserve">but </w:t>
      </w:r>
      <w:r w:rsidRPr="000B11F9">
        <w:rPr>
          <w:bCs/>
        </w:rPr>
        <w:t>expectations of future recruitment</w:t>
      </w:r>
      <w:r w:rsidRPr="000B11F9">
        <w:rPr>
          <w:b/>
          <w:bCs/>
        </w:rPr>
        <w:t xml:space="preserve"> </w:t>
      </w:r>
      <w:r w:rsidRPr="005B182F">
        <w:t>were encouraging.</w:t>
      </w:r>
    </w:p>
    <w:p w:rsidR="00532F91" w:rsidRPr="00532F91" w:rsidRDefault="00532F91">
      <w:pPr>
        <w:rPr>
          <w:rFonts w:cstheme="minorHAnsi"/>
          <w:sz w:val="20"/>
          <w:szCs w:val="20"/>
        </w:rPr>
      </w:pPr>
      <w:r w:rsidRPr="00532F91">
        <w:rPr>
          <w:rFonts w:cstheme="minorHAnsi"/>
          <w:sz w:val="20"/>
          <w:szCs w:val="20"/>
        </w:rPr>
        <w:br w:type="page"/>
      </w:r>
    </w:p>
    <w:p w:rsidR="00115395" w:rsidRDefault="00532F91" w:rsidP="00A408C5">
      <w:pPr>
        <w:pStyle w:val="Heading1"/>
      </w:pPr>
      <w:r w:rsidRPr="00532F91">
        <w:lastRenderedPageBreak/>
        <w:t>Slide 4</w:t>
      </w:r>
      <w:r w:rsidR="00115395">
        <w:t xml:space="preserve"> </w:t>
      </w:r>
      <w:r w:rsidR="00115395" w:rsidRPr="00532F91">
        <w:t>Population profile for the Bendigo region:</w:t>
      </w:r>
    </w:p>
    <w:p w:rsidR="00560B34" w:rsidRPr="00560B34" w:rsidRDefault="00560B34" w:rsidP="00560B34"/>
    <w:tbl>
      <w:tblPr>
        <w:tblW w:w="8931" w:type="dxa"/>
        <w:tblLayout w:type="fixed"/>
        <w:tblCellMar>
          <w:left w:w="0" w:type="dxa"/>
          <w:right w:w="0" w:type="dxa"/>
        </w:tblCellMar>
        <w:tblLook w:val="0600" w:firstRow="0" w:lastRow="0" w:firstColumn="0" w:lastColumn="0" w:noHBand="1" w:noVBand="1"/>
      </w:tblPr>
      <w:tblGrid>
        <w:gridCol w:w="3120"/>
        <w:gridCol w:w="1452"/>
        <w:gridCol w:w="1453"/>
        <w:gridCol w:w="1453"/>
        <w:gridCol w:w="1453"/>
      </w:tblGrid>
      <w:tr w:rsidR="000B11F9" w:rsidRPr="005E7083" w:rsidTr="00560B34">
        <w:trPr>
          <w:trHeight w:val="1826"/>
        </w:trPr>
        <w:tc>
          <w:tcPr>
            <w:tcW w:w="3120" w:type="dxa"/>
            <w:tcBorders>
              <w:top w:val="single" w:sz="4" w:space="0" w:color="000000"/>
              <w:left w:val="single" w:sz="4" w:space="0" w:color="000000"/>
              <w:bottom w:val="single" w:sz="4" w:space="0" w:color="000000"/>
              <w:right w:val="single" w:sz="4" w:space="0" w:color="000000"/>
            </w:tcBorders>
            <w:shd w:val="clear" w:color="auto" w:fill="009288"/>
            <w:tcMar>
              <w:top w:w="15" w:type="dxa"/>
              <w:left w:w="113" w:type="dxa"/>
              <w:bottom w:w="0" w:type="dxa"/>
              <w:right w:w="57" w:type="dxa"/>
            </w:tcMar>
            <w:vAlign w:val="center"/>
            <w:hideMark/>
          </w:tcPr>
          <w:p w:rsidR="000B11F9" w:rsidRPr="005E7083" w:rsidRDefault="00A408C5" w:rsidP="00A408C5">
            <w:pPr>
              <w:pStyle w:val="Heading1"/>
              <w:jc w:val="center"/>
              <w:rPr>
                <w:color w:val="FFFFFF" w:themeColor="background1"/>
                <w:sz w:val="28"/>
                <w:u w:val="none"/>
              </w:rPr>
            </w:pPr>
            <w:r w:rsidRPr="005E7083">
              <w:rPr>
                <w:color w:val="FFFFFF" w:themeColor="background1"/>
                <w:sz w:val="28"/>
                <w:u w:val="none"/>
              </w:rPr>
              <w:t>Region</w:t>
            </w:r>
          </w:p>
        </w:tc>
        <w:tc>
          <w:tcPr>
            <w:tcW w:w="1452" w:type="dxa"/>
            <w:tcBorders>
              <w:top w:val="single" w:sz="4" w:space="0" w:color="000000"/>
              <w:left w:val="single" w:sz="4" w:space="0" w:color="000000"/>
              <w:bottom w:val="single" w:sz="4" w:space="0" w:color="000000"/>
              <w:right w:val="single" w:sz="4" w:space="0" w:color="000000"/>
            </w:tcBorders>
            <w:shd w:val="clear" w:color="auto" w:fill="009288"/>
            <w:tcMar>
              <w:top w:w="15" w:type="dxa"/>
              <w:left w:w="57" w:type="dxa"/>
              <w:bottom w:w="0" w:type="dxa"/>
              <w:right w:w="57" w:type="dxa"/>
            </w:tcMar>
            <w:vAlign w:val="center"/>
            <w:hideMark/>
          </w:tcPr>
          <w:p w:rsidR="00E063B5" w:rsidRPr="005E7083" w:rsidRDefault="000B11F9" w:rsidP="00A408C5">
            <w:pPr>
              <w:pStyle w:val="Heading1"/>
              <w:jc w:val="center"/>
              <w:rPr>
                <w:color w:val="FFFFFF" w:themeColor="background1"/>
                <w:sz w:val="28"/>
                <w:u w:val="none"/>
              </w:rPr>
            </w:pPr>
            <w:r w:rsidRPr="005E7083">
              <w:rPr>
                <w:color w:val="FFFFFF" w:themeColor="background1"/>
                <w:sz w:val="28"/>
                <w:u w:val="none"/>
              </w:rPr>
              <w:t>Adult</w:t>
            </w:r>
            <w:r w:rsidRPr="005E7083">
              <w:rPr>
                <w:color w:val="FFFFFF" w:themeColor="background1"/>
                <w:sz w:val="28"/>
                <w:u w:val="none"/>
              </w:rPr>
              <w:br/>
              <w:t xml:space="preserve">Population </w:t>
            </w:r>
            <w:r w:rsidRPr="005E7083">
              <w:rPr>
                <w:color w:val="FFFFFF" w:themeColor="background1"/>
                <w:sz w:val="28"/>
                <w:u w:val="none"/>
              </w:rPr>
              <w:br/>
              <w:t>(15 +)</w:t>
            </w:r>
          </w:p>
        </w:tc>
        <w:tc>
          <w:tcPr>
            <w:tcW w:w="1453" w:type="dxa"/>
            <w:tcBorders>
              <w:top w:val="single" w:sz="4" w:space="0" w:color="000000"/>
              <w:left w:val="single" w:sz="4" w:space="0" w:color="000000"/>
              <w:bottom w:val="single" w:sz="4" w:space="0" w:color="000000"/>
              <w:right w:val="single" w:sz="4" w:space="0" w:color="000000"/>
            </w:tcBorders>
            <w:shd w:val="clear" w:color="auto" w:fill="009288"/>
            <w:tcMar>
              <w:top w:w="15" w:type="dxa"/>
              <w:left w:w="57" w:type="dxa"/>
              <w:bottom w:w="0" w:type="dxa"/>
              <w:right w:w="57" w:type="dxa"/>
            </w:tcMar>
            <w:vAlign w:val="center"/>
            <w:hideMark/>
          </w:tcPr>
          <w:p w:rsidR="00E063B5" w:rsidRPr="005E7083" w:rsidRDefault="000B11F9" w:rsidP="00A408C5">
            <w:pPr>
              <w:pStyle w:val="Heading1"/>
              <w:jc w:val="center"/>
              <w:rPr>
                <w:color w:val="FFFFFF" w:themeColor="background1"/>
                <w:sz w:val="28"/>
                <w:u w:val="none"/>
              </w:rPr>
            </w:pPr>
            <w:r w:rsidRPr="005E7083">
              <w:rPr>
                <w:color w:val="FFFFFF" w:themeColor="background1"/>
                <w:sz w:val="28"/>
                <w:u w:val="none"/>
              </w:rPr>
              <w:t xml:space="preserve">Growth </w:t>
            </w:r>
            <w:r w:rsidRPr="005E7083">
              <w:rPr>
                <w:color w:val="FFFFFF" w:themeColor="background1"/>
                <w:sz w:val="28"/>
                <w:u w:val="none"/>
              </w:rPr>
              <w:br/>
              <w:t>2007 to 2012</w:t>
            </w:r>
          </w:p>
        </w:tc>
        <w:tc>
          <w:tcPr>
            <w:tcW w:w="1453" w:type="dxa"/>
            <w:tcBorders>
              <w:top w:val="single" w:sz="4" w:space="0" w:color="000000"/>
              <w:left w:val="single" w:sz="4" w:space="0" w:color="000000"/>
              <w:bottom w:val="single" w:sz="4" w:space="0" w:color="000000"/>
              <w:right w:val="single" w:sz="4" w:space="0" w:color="000000"/>
            </w:tcBorders>
            <w:shd w:val="clear" w:color="auto" w:fill="009288"/>
            <w:tcMar>
              <w:top w:w="15" w:type="dxa"/>
              <w:left w:w="57" w:type="dxa"/>
              <w:bottom w:w="0" w:type="dxa"/>
              <w:right w:w="57" w:type="dxa"/>
            </w:tcMar>
            <w:vAlign w:val="center"/>
            <w:hideMark/>
          </w:tcPr>
          <w:p w:rsidR="00E063B5" w:rsidRPr="005E7083" w:rsidRDefault="000B11F9" w:rsidP="00A408C5">
            <w:pPr>
              <w:pStyle w:val="Heading1"/>
              <w:jc w:val="center"/>
              <w:rPr>
                <w:color w:val="FFFFFF" w:themeColor="background1"/>
                <w:sz w:val="28"/>
                <w:u w:val="none"/>
              </w:rPr>
            </w:pPr>
            <w:r w:rsidRPr="005E7083">
              <w:rPr>
                <w:color w:val="FFFFFF" w:themeColor="background1"/>
                <w:sz w:val="28"/>
                <w:u w:val="none"/>
              </w:rPr>
              <w:t xml:space="preserve">Working Age </w:t>
            </w:r>
            <w:r w:rsidRPr="005E7083">
              <w:rPr>
                <w:color w:val="FFFFFF" w:themeColor="background1"/>
                <w:sz w:val="28"/>
                <w:u w:val="none"/>
              </w:rPr>
              <w:br/>
              <w:t>(15-64) Participation Rate (2011)</w:t>
            </w:r>
          </w:p>
        </w:tc>
        <w:tc>
          <w:tcPr>
            <w:tcW w:w="1453" w:type="dxa"/>
            <w:tcBorders>
              <w:top w:val="single" w:sz="4" w:space="0" w:color="000000"/>
              <w:left w:val="single" w:sz="4" w:space="0" w:color="000000"/>
              <w:bottom w:val="single" w:sz="4" w:space="0" w:color="000000"/>
              <w:right w:val="single" w:sz="4" w:space="0" w:color="000000"/>
            </w:tcBorders>
            <w:shd w:val="clear" w:color="auto" w:fill="009288"/>
            <w:tcMar>
              <w:top w:w="15" w:type="dxa"/>
              <w:left w:w="57" w:type="dxa"/>
              <w:bottom w:w="0" w:type="dxa"/>
              <w:right w:w="57" w:type="dxa"/>
            </w:tcMar>
            <w:vAlign w:val="center"/>
            <w:hideMark/>
          </w:tcPr>
          <w:p w:rsidR="00E063B5" w:rsidRPr="005E7083" w:rsidRDefault="000B11F9" w:rsidP="00A408C5">
            <w:pPr>
              <w:pStyle w:val="Heading1"/>
              <w:jc w:val="center"/>
              <w:rPr>
                <w:color w:val="FFFFFF" w:themeColor="background1"/>
                <w:sz w:val="28"/>
                <w:u w:val="none"/>
              </w:rPr>
            </w:pPr>
            <w:r w:rsidRPr="005E7083">
              <w:rPr>
                <w:color w:val="FFFFFF" w:themeColor="background1"/>
                <w:sz w:val="28"/>
                <w:u w:val="none"/>
              </w:rPr>
              <w:t xml:space="preserve">Median </w:t>
            </w:r>
            <w:proofErr w:type="gramStart"/>
            <w:r w:rsidRPr="005E7083">
              <w:rPr>
                <w:color w:val="FFFFFF" w:themeColor="background1"/>
                <w:sz w:val="28"/>
                <w:u w:val="none"/>
              </w:rPr>
              <w:t>Age</w:t>
            </w:r>
            <w:proofErr w:type="gramEnd"/>
            <w:r w:rsidRPr="005E7083">
              <w:rPr>
                <w:color w:val="FFFFFF" w:themeColor="background1"/>
                <w:sz w:val="28"/>
                <w:u w:val="none"/>
              </w:rPr>
              <w:br/>
              <w:t>(2011)</w:t>
            </w:r>
          </w:p>
        </w:tc>
      </w:tr>
      <w:tr w:rsidR="000B11F9" w:rsidRPr="000B11F9" w:rsidTr="0019036B">
        <w:trPr>
          <w:trHeight w:val="680"/>
        </w:trPr>
        <w:tc>
          <w:tcPr>
            <w:tcW w:w="3120" w:type="dxa"/>
            <w:tcBorders>
              <w:top w:val="single" w:sz="4" w:space="0" w:color="000000"/>
              <w:left w:val="single" w:sz="4" w:space="0" w:color="000000"/>
              <w:bottom w:val="single" w:sz="4" w:space="0" w:color="000000"/>
              <w:right w:val="single" w:sz="4" w:space="0" w:color="000000"/>
            </w:tcBorders>
            <w:shd w:val="clear" w:color="auto" w:fill="auto"/>
            <w:tcMar>
              <w:top w:w="57" w:type="dxa"/>
              <w:left w:w="113" w:type="dxa"/>
              <w:bottom w:w="57" w:type="dxa"/>
              <w:right w:w="57" w:type="dxa"/>
            </w:tcMar>
            <w:vAlign w:val="center"/>
            <w:hideMark/>
          </w:tcPr>
          <w:p w:rsidR="00E063B5" w:rsidRPr="00560B34" w:rsidRDefault="000B11F9" w:rsidP="000B11F9">
            <w:pPr>
              <w:jc w:val="left"/>
              <w:rPr>
                <w:sz w:val="28"/>
              </w:rPr>
            </w:pPr>
            <w:r w:rsidRPr="00560B34">
              <w:rPr>
                <w:sz w:val="28"/>
              </w:rPr>
              <w:t>Greater Bendigo LGA</w:t>
            </w:r>
          </w:p>
        </w:tc>
        <w:tc>
          <w:tcPr>
            <w:tcW w:w="14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E063B5" w:rsidRPr="00560B34" w:rsidRDefault="000B11F9" w:rsidP="00560B34">
            <w:pPr>
              <w:jc w:val="center"/>
              <w:rPr>
                <w:sz w:val="28"/>
              </w:rPr>
            </w:pPr>
            <w:r w:rsidRPr="00560B34">
              <w:rPr>
                <w:sz w:val="28"/>
              </w:rPr>
              <w:t>83,660</w:t>
            </w: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E063B5" w:rsidRPr="00560B34" w:rsidRDefault="000B11F9" w:rsidP="00560B34">
            <w:pPr>
              <w:jc w:val="center"/>
              <w:rPr>
                <w:sz w:val="28"/>
              </w:rPr>
            </w:pPr>
            <w:r w:rsidRPr="00560B34">
              <w:rPr>
                <w:sz w:val="28"/>
              </w:rPr>
              <w:t>9%</w:t>
            </w: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E063B5" w:rsidRPr="00560B34" w:rsidRDefault="000B11F9" w:rsidP="00560B34">
            <w:pPr>
              <w:jc w:val="center"/>
              <w:rPr>
                <w:sz w:val="28"/>
              </w:rPr>
            </w:pPr>
            <w:r w:rsidRPr="00560B34">
              <w:rPr>
                <w:sz w:val="28"/>
              </w:rPr>
              <w:t>74.9%</w:t>
            </w: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hideMark/>
          </w:tcPr>
          <w:p w:rsidR="00E063B5" w:rsidRPr="00560B34" w:rsidRDefault="000B11F9" w:rsidP="00560B34">
            <w:pPr>
              <w:jc w:val="center"/>
              <w:rPr>
                <w:sz w:val="28"/>
              </w:rPr>
            </w:pPr>
            <w:r w:rsidRPr="00560B34">
              <w:rPr>
                <w:sz w:val="28"/>
              </w:rPr>
              <w:t>37</w:t>
            </w:r>
          </w:p>
        </w:tc>
      </w:tr>
      <w:tr w:rsidR="000B11F9" w:rsidRPr="000B11F9" w:rsidTr="0019036B">
        <w:trPr>
          <w:trHeight w:val="680"/>
        </w:trPr>
        <w:tc>
          <w:tcPr>
            <w:tcW w:w="3120" w:type="dxa"/>
            <w:tcBorders>
              <w:top w:val="single" w:sz="4" w:space="0" w:color="000000"/>
              <w:left w:val="single" w:sz="4" w:space="0" w:color="000000"/>
              <w:bottom w:val="single" w:sz="4" w:space="0" w:color="000000"/>
              <w:right w:val="single" w:sz="4" w:space="0" w:color="000000"/>
            </w:tcBorders>
            <w:shd w:val="clear" w:color="auto" w:fill="auto"/>
            <w:tcMar>
              <w:top w:w="57" w:type="dxa"/>
              <w:left w:w="113" w:type="dxa"/>
              <w:bottom w:w="57" w:type="dxa"/>
              <w:right w:w="57" w:type="dxa"/>
            </w:tcMar>
            <w:vAlign w:val="center"/>
            <w:hideMark/>
          </w:tcPr>
          <w:p w:rsidR="00E063B5" w:rsidRPr="00560B34" w:rsidRDefault="000B11F9" w:rsidP="000B11F9">
            <w:pPr>
              <w:jc w:val="left"/>
              <w:rPr>
                <w:sz w:val="28"/>
              </w:rPr>
            </w:pPr>
            <w:r w:rsidRPr="00560B34">
              <w:rPr>
                <w:sz w:val="28"/>
              </w:rPr>
              <w:t>Central Goldfields LGA</w:t>
            </w:r>
          </w:p>
        </w:tc>
        <w:tc>
          <w:tcPr>
            <w:tcW w:w="14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E063B5" w:rsidRPr="00560B34" w:rsidRDefault="000B11F9" w:rsidP="00560B34">
            <w:pPr>
              <w:jc w:val="center"/>
              <w:rPr>
                <w:sz w:val="28"/>
              </w:rPr>
            </w:pPr>
            <w:r w:rsidRPr="00560B34">
              <w:rPr>
                <w:sz w:val="28"/>
              </w:rPr>
              <w:t>10,500</w:t>
            </w: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E063B5" w:rsidRPr="00560B34" w:rsidRDefault="000B11F9" w:rsidP="00560B34">
            <w:pPr>
              <w:jc w:val="center"/>
              <w:rPr>
                <w:sz w:val="28"/>
              </w:rPr>
            </w:pPr>
            <w:r w:rsidRPr="00560B34">
              <w:rPr>
                <w:sz w:val="28"/>
              </w:rPr>
              <w:t>3%</w:t>
            </w: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E063B5" w:rsidRPr="00560B34" w:rsidRDefault="000B11F9" w:rsidP="00560B34">
            <w:pPr>
              <w:jc w:val="center"/>
              <w:rPr>
                <w:sz w:val="28"/>
              </w:rPr>
            </w:pPr>
            <w:r w:rsidRPr="00560B34">
              <w:rPr>
                <w:sz w:val="28"/>
              </w:rPr>
              <w:t>64.5%</w:t>
            </w: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hideMark/>
          </w:tcPr>
          <w:p w:rsidR="00E063B5" w:rsidRPr="00560B34" w:rsidRDefault="000B11F9" w:rsidP="00560B34">
            <w:pPr>
              <w:jc w:val="center"/>
              <w:rPr>
                <w:sz w:val="28"/>
              </w:rPr>
            </w:pPr>
            <w:r w:rsidRPr="00560B34">
              <w:rPr>
                <w:sz w:val="28"/>
              </w:rPr>
              <w:t>46</w:t>
            </w:r>
          </w:p>
        </w:tc>
      </w:tr>
      <w:tr w:rsidR="000B11F9" w:rsidRPr="000B11F9" w:rsidTr="0019036B">
        <w:trPr>
          <w:trHeight w:val="680"/>
        </w:trPr>
        <w:tc>
          <w:tcPr>
            <w:tcW w:w="3120" w:type="dxa"/>
            <w:tcBorders>
              <w:top w:val="single" w:sz="4" w:space="0" w:color="000000"/>
              <w:left w:val="single" w:sz="4" w:space="0" w:color="000000"/>
              <w:bottom w:val="single" w:sz="4" w:space="0" w:color="000000"/>
              <w:right w:val="single" w:sz="4" w:space="0" w:color="000000"/>
            </w:tcBorders>
            <w:shd w:val="clear" w:color="auto" w:fill="auto"/>
            <w:tcMar>
              <w:top w:w="57" w:type="dxa"/>
              <w:left w:w="113" w:type="dxa"/>
              <w:bottom w:w="57" w:type="dxa"/>
              <w:right w:w="57" w:type="dxa"/>
            </w:tcMar>
            <w:vAlign w:val="center"/>
            <w:hideMark/>
          </w:tcPr>
          <w:p w:rsidR="00E063B5" w:rsidRPr="00560B34" w:rsidRDefault="000B11F9" w:rsidP="000B11F9">
            <w:pPr>
              <w:jc w:val="left"/>
              <w:rPr>
                <w:sz w:val="28"/>
              </w:rPr>
            </w:pPr>
            <w:r w:rsidRPr="00560B34">
              <w:rPr>
                <w:sz w:val="28"/>
              </w:rPr>
              <w:t>Mount Alexander LGA</w:t>
            </w:r>
          </w:p>
        </w:tc>
        <w:tc>
          <w:tcPr>
            <w:tcW w:w="14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E063B5" w:rsidRPr="00560B34" w:rsidRDefault="000B11F9" w:rsidP="00560B34">
            <w:pPr>
              <w:jc w:val="center"/>
              <w:rPr>
                <w:sz w:val="28"/>
              </w:rPr>
            </w:pPr>
            <w:r w:rsidRPr="00560B34">
              <w:rPr>
                <w:sz w:val="28"/>
              </w:rPr>
              <w:t>15,020</w:t>
            </w: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E063B5" w:rsidRPr="00560B34" w:rsidRDefault="000B11F9" w:rsidP="00560B34">
            <w:pPr>
              <w:jc w:val="center"/>
              <w:rPr>
                <w:sz w:val="28"/>
              </w:rPr>
            </w:pPr>
            <w:r w:rsidRPr="00560B34">
              <w:rPr>
                <w:sz w:val="28"/>
              </w:rPr>
              <w:t>5%</w:t>
            </w: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E063B5" w:rsidRPr="00560B34" w:rsidRDefault="000B11F9" w:rsidP="00560B34">
            <w:pPr>
              <w:jc w:val="center"/>
              <w:rPr>
                <w:sz w:val="28"/>
              </w:rPr>
            </w:pPr>
            <w:r w:rsidRPr="00560B34">
              <w:rPr>
                <w:sz w:val="28"/>
              </w:rPr>
              <w:t>69.7%</w:t>
            </w: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hideMark/>
          </w:tcPr>
          <w:p w:rsidR="00E063B5" w:rsidRPr="00560B34" w:rsidRDefault="000B11F9" w:rsidP="00560B34">
            <w:pPr>
              <w:jc w:val="center"/>
              <w:rPr>
                <w:sz w:val="28"/>
              </w:rPr>
            </w:pPr>
            <w:r w:rsidRPr="00560B34">
              <w:rPr>
                <w:sz w:val="28"/>
              </w:rPr>
              <w:t>44</w:t>
            </w:r>
          </w:p>
        </w:tc>
      </w:tr>
      <w:tr w:rsidR="000B11F9" w:rsidRPr="000B11F9" w:rsidTr="0019036B">
        <w:trPr>
          <w:trHeight w:val="680"/>
        </w:trPr>
        <w:tc>
          <w:tcPr>
            <w:tcW w:w="3120" w:type="dxa"/>
            <w:tcBorders>
              <w:top w:val="single" w:sz="4" w:space="0" w:color="000000"/>
              <w:left w:val="single" w:sz="4" w:space="0" w:color="000000"/>
              <w:bottom w:val="single" w:sz="4" w:space="0" w:color="000000"/>
              <w:right w:val="single" w:sz="4" w:space="0" w:color="000000"/>
            </w:tcBorders>
            <w:shd w:val="clear" w:color="auto" w:fill="E1EAE9"/>
            <w:tcMar>
              <w:top w:w="57" w:type="dxa"/>
              <w:left w:w="113" w:type="dxa"/>
              <w:bottom w:w="57" w:type="dxa"/>
              <w:right w:w="57" w:type="dxa"/>
            </w:tcMar>
            <w:vAlign w:val="center"/>
            <w:hideMark/>
          </w:tcPr>
          <w:p w:rsidR="00E063B5" w:rsidRPr="00560B34" w:rsidRDefault="000B11F9" w:rsidP="000B11F9">
            <w:pPr>
              <w:jc w:val="left"/>
              <w:rPr>
                <w:sz w:val="28"/>
              </w:rPr>
            </w:pPr>
            <w:r w:rsidRPr="00560B34">
              <w:rPr>
                <w:sz w:val="28"/>
              </w:rPr>
              <w:t>Bendigo region</w:t>
            </w:r>
          </w:p>
        </w:tc>
        <w:tc>
          <w:tcPr>
            <w:tcW w:w="1452" w:type="dxa"/>
            <w:tcBorders>
              <w:top w:val="single" w:sz="4" w:space="0" w:color="000000"/>
              <w:left w:val="single" w:sz="4" w:space="0" w:color="000000"/>
              <w:bottom w:val="single" w:sz="4" w:space="0" w:color="000000"/>
              <w:right w:val="single" w:sz="4" w:space="0" w:color="000000"/>
            </w:tcBorders>
            <w:shd w:val="clear" w:color="auto" w:fill="E1EAE9"/>
            <w:tcMar>
              <w:top w:w="15" w:type="dxa"/>
              <w:left w:w="15" w:type="dxa"/>
              <w:bottom w:w="0" w:type="dxa"/>
              <w:right w:w="15" w:type="dxa"/>
            </w:tcMar>
            <w:vAlign w:val="center"/>
            <w:hideMark/>
          </w:tcPr>
          <w:p w:rsidR="00E063B5" w:rsidRPr="00560B34" w:rsidRDefault="000B11F9" w:rsidP="00560B34">
            <w:pPr>
              <w:jc w:val="center"/>
              <w:rPr>
                <w:sz w:val="28"/>
              </w:rPr>
            </w:pPr>
            <w:r w:rsidRPr="00560B34">
              <w:rPr>
                <w:sz w:val="28"/>
              </w:rPr>
              <w:t>109,180</w:t>
            </w:r>
          </w:p>
        </w:tc>
        <w:tc>
          <w:tcPr>
            <w:tcW w:w="1453" w:type="dxa"/>
            <w:tcBorders>
              <w:top w:val="single" w:sz="4" w:space="0" w:color="000000"/>
              <w:left w:val="single" w:sz="4" w:space="0" w:color="000000"/>
              <w:bottom w:val="single" w:sz="4" w:space="0" w:color="000000"/>
              <w:right w:val="single" w:sz="4" w:space="0" w:color="000000"/>
            </w:tcBorders>
            <w:shd w:val="clear" w:color="auto" w:fill="E1EAE9"/>
            <w:tcMar>
              <w:top w:w="15" w:type="dxa"/>
              <w:left w:w="15" w:type="dxa"/>
              <w:bottom w:w="0" w:type="dxa"/>
              <w:right w:w="15" w:type="dxa"/>
            </w:tcMar>
            <w:vAlign w:val="center"/>
            <w:hideMark/>
          </w:tcPr>
          <w:p w:rsidR="00E063B5" w:rsidRPr="00560B34" w:rsidRDefault="000B11F9" w:rsidP="00560B34">
            <w:pPr>
              <w:jc w:val="center"/>
              <w:rPr>
                <w:sz w:val="28"/>
              </w:rPr>
            </w:pPr>
            <w:r w:rsidRPr="00560B34">
              <w:rPr>
                <w:sz w:val="28"/>
              </w:rPr>
              <w:t>8%</w:t>
            </w:r>
          </w:p>
        </w:tc>
        <w:tc>
          <w:tcPr>
            <w:tcW w:w="1453" w:type="dxa"/>
            <w:tcBorders>
              <w:top w:val="single" w:sz="4" w:space="0" w:color="000000"/>
              <w:left w:val="single" w:sz="4" w:space="0" w:color="000000"/>
              <w:bottom w:val="single" w:sz="4" w:space="0" w:color="000000"/>
              <w:right w:val="single" w:sz="4" w:space="0" w:color="000000"/>
            </w:tcBorders>
            <w:shd w:val="clear" w:color="auto" w:fill="E1EAE9"/>
            <w:tcMar>
              <w:top w:w="15" w:type="dxa"/>
              <w:left w:w="15" w:type="dxa"/>
              <w:bottom w:w="0" w:type="dxa"/>
              <w:right w:w="15" w:type="dxa"/>
            </w:tcMar>
            <w:vAlign w:val="center"/>
            <w:hideMark/>
          </w:tcPr>
          <w:p w:rsidR="00E063B5" w:rsidRPr="00560B34" w:rsidRDefault="000B11F9" w:rsidP="00560B34">
            <w:pPr>
              <w:jc w:val="center"/>
              <w:rPr>
                <w:sz w:val="28"/>
              </w:rPr>
            </w:pPr>
            <w:r w:rsidRPr="00560B34">
              <w:rPr>
                <w:sz w:val="28"/>
              </w:rPr>
              <w:t>73.3%</w:t>
            </w:r>
          </w:p>
        </w:tc>
        <w:tc>
          <w:tcPr>
            <w:tcW w:w="1453" w:type="dxa"/>
            <w:tcBorders>
              <w:top w:val="single" w:sz="4" w:space="0" w:color="000000"/>
              <w:left w:val="single" w:sz="4" w:space="0" w:color="000000"/>
              <w:bottom w:val="single" w:sz="4" w:space="0" w:color="000000"/>
              <w:right w:val="single" w:sz="4" w:space="0" w:color="000000"/>
            </w:tcBorders>
            <w:shd w:val="clear" w:color="auto" w:fill="E1EAE9"/>
            <w:tcMar>
              <w:top w:w="57" w:type="dxa"/>
              <w:left w:w="57" w:type="dxa"/>
              <w:bottom w:w="57" w:type="dxa"/>
              <w:right w:w="57" w:type="dxa"/>
            </w:tcMar>
            <w:vAlign w:val="center"/>
            <w:hideMark/>
          </w:tcPr>
          <w:p w:rsidR="00E063B5" w:rsidRPr="00560B34" w:rsidRDefault="000B11F9" w:rsidP="00560B34">
            <w:pPr>
              <w:jc w:val="center"/>
              <w:rPr>
                <w:sz w:val="28"/>
              </w:rPr>
            </w:pPr>
            <w:r w:rsidRPr="00560B34">
              <w:rPr>
                <w:sz w:val="28"/>
              </w:rPr>
              <w:t>40</w:t>
            </w:r>
          </w:p>
        </w:tc>
      </w:tr>
      <w:tr w:rsidR="000B11F9" w:rsidRPr="000B11F9" w:rsidTr="0019036B">
        <w:trPr>
          <w:trHeight w:val="680"/>
        </w:trPr>
        <w:tc>
          <w:tcPr>
            <w:tcW w:w="3120" w:type="dxa"/>
            <w:tcBorders>
              <w:top w:val="single" w:sz="4" w:space="0" w:color="000000"/>
              <w:left w:val="single" w:sz="4" w:space="0" w:color="000000"/>
              <w:bottom w:val="single" w:sz="4" w:space="0" w:color="000000"/>
              <w:right w:val="single" w:sz="4" w:space="0" w:color="000000"/>
            </w:tcBorders>
            <w:shd w:val="clear" w:color="auto" w:fill="DDD9C3"/>
            <w:tcMar>
              <w:top w:w="57" w:type="dxa"/>
              <w:left w:w="113" w:type="dxa"/>
              <w:bottom w:w="57" w:type="dxa"/>
              <w:right w:w="57" w:type="dxa"/>
            </w:tcMar>
            <w:vAlign w:val="center"/>
            <w:hideMark/>
          </w:tcPr>
          <w:p w:rsidR="00E063B5" w:rsidRPr="00560B34" w:rsidRDefault="000B11F9" w:rsidP="000B11F9">
            <w:pPr>
              <w:jc w:val="left"/>
              <w:rPr>
                <w:sz w:val="28"/>
              </w:rPr>
            </w:pPr>
            <w:r w:rsidRPr="00560B34">
              <w:rPr>
                <w:sz w:val="28"/>
              </w:rPr>
              <w:t>Central Victoria region</w:t>
            </w:r>
          </w:p>
        </w:tc>
        <w:tc>
          <w:tcPr>
            <w:tcW w:w="1452" w:type="dxa"/>
            <w:tcBorders>
              <w:top w:val="single" w:sz="4" w:space="0" w:color="000000"/>
              <w:left w:val="single" w:sz="4" w:space="0" w:color="000000"/>
              <w:bottom w:val="single" w:sz="4" w:space="0" w:color="000000"/>
              <w:right w:val="single" w:sz="4" w:space="0" w:color="000000"/>
            </w:tcBorders>
            <w:shd w:val="clear" w:color="auto" w:fill="DDD9C3"/>
            <w:tcMar>
              <w:top w:w="15" w:type="dxa"/>
              <w:left w:w="15" w:type="dxa"/>
              <w:bottom w:w="0" w:type="dxa"/>
              <w:right w:w="15" w:type="dxa"/>
            </w:tcMar>
            <w:vAlign w:val="center"/>
            <w:hideMark/>
          </w:tcPr>
          <w:p w:rsidR="00E063B5" w:rsidRPr="00560B34" w:rsidRDefault="000B11F9" w:rsidP="00560B34">
            <w:pPr>
              <w:jc w:val="center"/>
              <w:rPr>
                <w:sz w:val="28"/>
              </w:rPr>
            </w:pPr>
            <w:r w:rsidRPr="00560B34">
              <w:rPr>
                <w:sz w:val="28"/>
              </w:rPr>
              <w:t>247,940</w:t>
            </w:r>
          </w:p>
        </w:tc>
        <w:tc>
          <w:tcPr>
            <w:tcW w:w="1453" w:type="dxa"/>
            <w:tcBorders>
              <w:top w:val="single" w:sz="4" w:space="0" w:color="000000"/>
              <w:left w:val="single" w:sz="4" w:space="0" w:color="000000"/>
              <w:bottom w:val="single" w:sz="4" w:space="0" w:color="000000"/>
              <w:right w:val="single" w:sz="4" w:space="0" w:color="000000"/>
            </w:tcBorders>
            <w:shd w:val="clear" w:color="auto" w:fill="DDD9C3"/>
            <w:tcMar>
              <w:top w:w="15" w:type="dxa"/>
              <w:left w:w="15" w:type="dxa"/>
              <w:bottom w:w="0" w:type="dxa"/>
              <w:right w:w="15" w:type="dxa"/>
            </w:tcMar>
            <w:vAlign w:val="center"/>
            <w:hideMark/>
          </w:tcPr>
          <w:p w:rsidR="00E063B5" w:rsidRPr="00560B34" w:rsidRDefault="000B11F9" w:rsidP="00560B34">
            <w:pPr>
              <w:jc w:val="center"/>
              <w:rPr>
                <w:sz w:val="28"/>
              </w:rPr>
            </w:pPr>
            <w:r w:rsidRPr="00560B34">
              <w:rPr>
                <w:sz w:val="28"/>
              </w:rPr>
              <w:t>8%</w:t>
            </w:r>
          </w:p>
        </w:tc>
        <w:tc>
          <w:tcPr>
            <w:tcW w:w="1453" w:type="dxa"/>
            <w:tcBorders>
              <w:top w:val="single" w:sz="4" w:space="0" w:color="000000"/>
              <w:left w:val="single" w:sz="4" w:space="0" w:color="000000"/>
              <w:bottom w:val="single" w:sz="4" w:space="0" w:color="000000"/>
              <w:right w:val="single" w:sz="4" w:space="0" w:color="000000"/>
            </w:tcBorders>
            <w:shd w:val="clear" w:color="auto" w:fill="DDD9C3"/>
            <w:tcMar>
              <w:top w:w="15" w:type="dxa"/>
              <w:left w:w="15" w:type="dxa"/>
              <w:bottom w:w="0" w:type="dxa"/>
              <w:right w:w="15" w:type="dxa"/>
            </w:tcMar>
            <w:vAlign w:val="center"/>
            <w:hideMark/>
          </w:tcPr>
          <w:p w:rsidR="00E063B5" w:rsidRPr="00560B34" w:rsidRDefault="000B11F9" w:rsidP="00560B34">
            <w:pPr>
              <w:jc w:val="center"/>
              <w:rPr>
                <w:sz w:val="28"/>
              </w:rPr>
            </w:pPr>
            <w:r w:rsidRPr="00560B34">
              <w:rPr>
                <w:sz w:val="28"/>
              </w:rPr>
              <w:t>73.5%</w:t>
            </w:r>
          </w:p>
        </w:tc>
        <w:tc>
          <w:tcPr>
            <w:tcW w:w="1453" w:type="dxa"/>
            <w:tcBorders>
              <w:top w:val="single" w:sz="4" w:space="0" w:color="000000"/>
              <w:left w:val="single" w:sz="4" w:space="0" w:color="000000"/>
              <w:bottom w:val="single" w:sz="4" w:space="0" w:color="000000"/>
              <w:right w:val="single" w:sz="4" w:space="0" w:color="000000"/>
            </w:tcBorders>
            <w:shd w:val="clear" w:color="auto" w:fill="DDD9C3"/>
            <w:tcMar>
              <w:top w:w="57" w:type="dxa"/>
              <w:left w:w="57" w:type="dxa"/>
              <w:bottom w:w="57" w:type="dxa"/>
              <w:right w:w="57" w:type="dxa"/>
            </w:tcMar>
            <w:vAlign w:val="center"/>
            <w:hideMark/>
          </w:tcPr>
          <w:p w:rsidR="00E063B5" w:rsidRPr="00560B34" w:rsidRDefault="000B11F9" w:rsidP="00560B34">
            <w:pPr>
              <w:jc w:val="center"/>
              <w:rPr>
                <w:sz w:val="28"/>
              </w:rPr>
            </w:pPr>
            <w:r w:rsidRPr="00560B34">
              <w:rPr>
                <w:sz w:val="28"/>
              </w:rPr>
              <w:t>40</w:t>
            </w:r>
          </w:p>
        </w:tc>
      </w:tr>
      <w:tr w:rsidR="000B11F9" w:rsidRPr="000B11F9" w:rsidTr="0019036B">
        <w:trPr>
          <w:trHeight w:val="680"/>
        </w:trPr>
        <w:tc>
          <w:tcPr>
            <w:tcW w:w="3120" w:type="dxa"/>
            <w:tcBorders>
              <w:top w:val="single" w:sz="4" w:space="0" w:color="000000"/>
              <w:left w:val="single" w:sz="4" w:space="0" w:color="000000"/>
              <w:bottom w:val="single" w:sz="4" w:space="0" w:color="000000"/>
              <w:right w:val="single" w:sz="4" w:space="0" w:color="000000"/>
            </w:tcBorders>
            <w:shd w:val="clear" w:color="auto" w:fill="auto"/>
            <w:tcMar>
              <w:top w:w="57" w:type="dxa"/>
              <w:left w:w="113" w:type="dxa"/>
              <w:bottom w:w="57" w:type="dxa"/>
              <w:right w:w="57" w:type="dxa"/>
            </w:tcMar>
            <w:vAlign w:val="center"/>
            <w:hideMark/>
          </w:tcPr>
          <w:p w:rsidR="00E063B5" w:rsidRPr="00560B34" w:rsidRDefault="000B11F9" w:rsidP="000B11F9">
            <w:pPr>
              <w:jc w:val="left"/>
              <w:rPr>
                <w:sz w:val="28"/>
              </w:rPr>
            </w:pPr>
            <w:r w:rsidRPr="00560B34">
              <w:rPr>
                <w:sz w:val="28"/>
              </w:rPr>
              <w:t>Victoria</w:t>
            </w:r>
          </w:p>
        </w:tc>
        <w:tc>
          <w:tcPr>
            <w:tcW w:w="14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E063B5" w:rsidRPr="00560B34" w:rsidRDefault="000B11F9" w:rsidP="00560B34">
            <w:pPr>
              <w:jc w:val="center"/>
              <w:rPr>
                <w:sz w:val="28"/>
              </w:rPr>
            </w:pPr>
            <w:r w:rsidRPr="00560B34">
              <w:rPr>
                <w:sz w:val="28"/>
              </w:rPr>
              <w:t>4,599,100</w:t>
            </w: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E063B5" w:rsidRPr="00560B34" w:rsidRDefault="000B11F9" w:rsidP="00560B34">
            <w:pPr>
              <w:jc w:val="center"/>
              <w:rPr>
                <w:sz w:val="28"/>
              </w:rPr>
            </w:pPr>
            <w:r w:rsidRPr="00560B34">
              <w:rPr>
                <w:sz w:val="28"/>
              </w:rPr>
              <w:t>10%</w:t>
            </w: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hideMark/>
          </w:tcPr>
          <w:p w:rsidR="00E063B5" w:rsidRPr="00560B34" w:rsidRDefault="000B11F9" w:rsidP="00560B34">
            <w:pPr>
              <w:jc w:val="center"/>
              <w:rPr>
                <w:sz w:val="28"/>
              </w:rPr>
            </w:pPr>
            <w:r w:rsidRPr="00560B34">
              <w:rPr>
                <w:sz w:val="28"/>
              </w:rPr>
              <w:t>75.6%</w:t>
            </w: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hideMark/>
          </w:tcPr>
          <w:p w:rsidR="00E063B5" w:rsidRPr="00560B34" w:rsidRDefault="000B11F9" w:rsidP="00560B34">
            <w:pPr>
              <w:jc w:val="center"/>
              <w:rPr>
                <w:sz w:val="28"/>
              </w:rPr>
            </w:pPr>
            <w:r w:rsidRPr="00560B34">
              <w:rPr>
                <w:sz w:val="28"/>
              </w:rPr>
              <w:t>37</w:t>
            </w:r>
          </w:p>
        </w:tc>
      </w:tr>
      <w:tr w:rsidR="000B11F9" w:rsidRPr="000B11F9" w:rsidTr="0019036B">
        <w:trPr>
          <w:trHeight w:val="680"/>
        </w:trPr>
        <w:tc>
          <w:tcPr>
            <w:tcW w:w="3120" w:type="dxa"/>
            <w:tcBorders>
              <w:top w:val="single" w:sz="4" w:space="0" w:color="000000"/>
              <w:left w:val="single" w:sz="4" w:space="0" w:color="000000"/>
              <w:bottom w:val="single" w:sz="4" w:space="0" w:color="000000"/>
              <w:right w:val="single" w:sz="4" w:space="0" w:color="000000"/>
            </w:tcBorders>
            <w:shd w:val="clear" w:color="auto" w:fill="auto"/>
            <w:tcMar>
              <w:top w:w="57" w:type="dxa"/>
              <w:left w:w="113" w:type="dxa"/>
              <w:bottom w:w="57" w:type="dxa"/>
              <w:right w:w="57" w:type="dxa"/>
            </w:tcMar>
            <w:vAlign w:val="center"/>
            <w:hideMark/>
          </w:tcPr>
          <w:p w:rsidR="00E063B5" w:rsidRPr="00560B34" w:rsidRDefault="000B11F9" w:rsidP="000B11F9">
            <w:pPr>
              <w:jc w:val="left"/>
              <w:rPr>
                <w:sz w:val="28"/>
              </w:rPr>
            </w:pPr>
            <w:r w:rsidRPr="00560B34">
              <w:rPr>
                <w:sz w:val="28"/>
              </w:rPr>
              <w:t>Australia</w:t>
            </w:r>
          </w:p>
        </w:tc>
        <w:tc>
          <w:tcPr>
            <w:tcW w:w="14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E063B5" w:rsidRPr="00560B34" w:rsidRDefault="000B11F9" w:rsidP="00560B34">
            <w:pPr>
              <w:jc w:val="center"/>
              <w:rPr>
                <w:sz w:val="28"/>
              </w:rPr>
            </w:pPr>
            <w:r w:rsidRPr="00560B34">
              <w:rPr>
                <w:sz w:val="28"/>
              </w:rPr>
              <w:t>18,419,630</w:t>
            </w: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E063B5" w:rsidRPr="00560B34" w:rsidRDefault="000B11F9" w:rsidP="00560B34">
            <w:pPr>
              <w:jc w:val="center"/>
              <w:rPr>
                <w:sz w:val="28"/>
              </w:rPr>
            </w:pPr>
            <w:r w:rsidRPr="00560B34">
              <w:rPr>
                <w:sz w:val="28"/>
              </w:rPr>
              <w:t>10%</w:t>
            </w: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hideMark/>
          </w:tcPr>
          <w:p w:rsidR="00E063B5" w:rsidRPr="00560B34" w:rsidRDefault="000B11F9" w:rsidP="00560B34">
            <w:pPr>
              <w:jc w:val="center"/>
              <w:rPr>
                <w:sz w:val="28"/>
              </w:rPr>
            </w:pPr>
            <w:r w:rsidRPr="00560B34">
              <w:rPr>
                <w:sz w:val="28"/>
              </w:rPr>
              <w:t>75.8%</w:t>
            </w: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hideMark/>
          </w:tcPr>
          <w:p w:rsidR="00E063B5" w:rsidRPr="00560B34" w:rsidRDefault="000B11F9" w:rsidP="00560B34">
            <w:pPr>
              <w:jc w:val="center"/>
              <w:rPr>
                <w:sz w:val="28"/>
              </w:rPr>
            </w:pPr>
            <w:r w:rsidRPr="00560B34">
              <w:rPr>
                <w:sz w:val="28"/>
              </w:rPr>
              <w:t>37</w:t>
            </w:r>
          </w:p>
        </w:tc>
      </w:tr>
    </w:tbl>
    <w:p w:rsidR="00532F91" w:rsidRPr="0019036B" w:rsidRDefault="00532F91" w:rsidP="00560B34">
      <w:pPr>
        <w:rPr>
          <w:i/>
        </w:rPr>
      </w:pPr>
      <w:r w:rsidRPr="0019036B">
        <w:rPr>
          <w:i/>
        </w:rPr>
        <w:t>Source: ABS Estimated Resident Population, 2007 and 2012; ABS Census of Population and Housing, 2011</w:t>
      </w:r>
    </w:p>
    <w:p w:rsidR="00532F91" w:rsidRPr="00532F91" w:rsidRDefault="00532F91" w:rsidP="00560B34"/>
    <w:p w:rsidR="00532F91" w:rsidRPr="00532F91" w:rsidRDefault="00532F91" w:rsidP="00560B34">
      <w:r w:rsidRPr="00532F91">
        <w:t>The adult population (15 years+) in the Central Victoria region (247,940) has increased by 8 per cent in the five years to 2012. Similarly, the adult population for Victoria and Australia have both increased in the same period by 10 per cent. The Bendigo region has an adult population of 109,180.</w:t>
      </w:r>
    </w:p>
    <w:p w:rsidR="00532F91" w:rsidRPr="00532F91" w:rsidRDefault="00532F91" w:rsidP="00560B34"/>
    <w:p w:rsidR="00532F91" w:rsidRPr="00532F91" w:rsidRDefault="00532F91" w:rsidP="00560B34">
      <w:r w:rsidRPr="00532F91">
        <w:t xml:space="preserve">At the time of the 2011 Census, the Working Age Population (15-64 years) participation rate for the region was 73.5 per cent, lower to that of Victoria </w:t>
      </w:r>
      <w:r w:rsidR="00560B34">
        <w:br/>
      </w:r>
      <w:r w:rsidRPr="00532F91">
        <w:t>(75.6 per cent) and Australia (75.8 per cent).</w:t>
      </w:r>
    </w:p>
    <w:p w:rsidR="00532F91" w:rsidRPr="00532F91" w:rsidRDefault="00532F91" w:rsidP="00560B34"/>
    <w:p w:rsidR="0019036B" w:rsidRDefault="00532F91" w:rsidP="00560B34">
      <w:r w:rsidRPr="00532F91">
        <w:t>The median age in the region was 40 years at the time of the 2011 Census, a slightly higher age compared with Victoria and Australia (both 37 years).</w:t>
      </w:r>
    </w:p>
    <w:p w:rsidR="0019036B" w:rsidRDefault="0019036B" w:rsidP="0019036B">
      <w:r>
        <w:br w:type="page"/>
      </w:r>
    </w:p>
    <w:p w:rsidR="00532F91" w:rsidRPr="00532F91" w:rsidRDefault="00532F91" w:rsidP="00560B34"/>
    <w:p w:rsidR="00115395" w:rsidRPr="00532F91" w:rsidRDefault="00532F91" w:rsidP="00A408C5">
      <w:pPr>
        <w:pStyle w:val="Heading1"/>
      </w:pPr>
      <w:r w:rsidRPr="00532F91">
        <w:t>Slide 5</w:t>
      </w:r>
      <w:r w:rsidR="00115395">
        <w:t xml:space="preserve"> </w:t>
      </w:r>
      <w:r w:rsidR="00115395" w:rsidRPr="00532F91">
        <w:t>Age distribution — Bendigo region</w:t>
      </w:r>
    </w:p>
    <w:p w:rsidR="00532F91" w:rsidRPr="00532F91" w:rsidRDefault="00532F91" w:rsidP="00532F91">
      <w:pPr>
        <w:spacing w:line="360" w:lineRule="auto"/>
        <w:rPr>
          <w:rFonts w:cstheme="minorHAnsi"/>
          <w:sz w:val="20"/>
          <w:szCs w:val="20"/>
        </w:rPr>
      </w:pPr>
    </w:p>
    <w:p w:rsidR="00532F91" w:rsidRPr="00532F91" w:rsidRDefault="00560B34" w:rsidP="00532F91">
      <w:pPr>
        <w:spacing w:line="360" w:lineRule="auto"/>
        <w:rPr>
          <w:rFonts w:cstheme="minorHAnsi"/>
          <w:sz w:val="20"/>
          <w:szCs w:val="20"/>
        </w:rPr>
      </w:pPr>
      <w:r w:rsidRPr="00560B34">
        <w:rPr>
          <w:noProof/>
        </w:rPr>
        <w:drawing>
          <wp:inline distT="0" distB="0" distL="0" distR="0" wp14:anchorId="24BAB6C0" wp14:editId="2A01AE9B">
            <wp:extent cx="5400000" cy="4050000"/>
            <wp:effectExtent l="19050" t="19050" r="10795" b="27305"/>
            <wp:docPr id="51" name="Picture 51" descr="Graph - Age distribution - decription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400000" cy="4050000"/>
                    </a:xfrm>
                    <a:prstGeom prst="rect">
                      <a:avLst/>
                    </a:prstGeom>
                    <a:ln>
                      <a:solidFill>
                        <a:schemeClr val="tx1"/>
                      </a:solidFill>
                    </a:ln>
                  </pic:spPr>
                </pic:pic>
              </a:graphicData>
            </a:graphic>
          </wp:inline>
        </w:drawing>
      </w:r>
    </w:p>
    <w:p w:rsidR="00532F91" w:rsidRPr="0019036B" w:rsidRDefault="00532F91" w:rsidP="00560B34">
      <w:pPr>
        <w:rPr>
          <w:i/>
          <w:color w:val="FFFFFF"/>
        </w:rPr>
      </w:pPr>
      <w:r w:rsidRPr="0019036B">
        <w:rPr>
          <w:i/>
        </w:rPr>
        <w:t xml:space="preserve">Source: ABS, Estimated Resident Population, </w:t>
      </w:r>
      <w:r w:rsidRPr="0019036B">
        <w:rPr>
          <w:i/>
          <w:color w:val="FFFFFF"/>
        </w:rPr>
        <w:t>1991, 1996, 2002, 2007 and 2012</w:t>
      </w:r>
    </w:p>
    <w:p w:rsidR="00532F91" w:rsidRPr="00532F91" w:rsidRDefault="00532F91" w:rsidP="00560B34"/>
    <w:p w:rsidR="00532F91" w:rsidRPr="00532F91" w:rsidRDefault="00532F91" w:rsidP="00560B34">
      <w:r w:rsidRPr="00532F91">
        <w:t xml:space="preserve">Between 1991 and 2011 the largest growth in population in the Bendigo region has been to the 50 years plus age group. This has coincided with a slight decline in adults aged between 25 to 40 years. </w:t>
      </w:r>
    </w:p>
    <w:p w:rsidR="00532F91" w:rsidRPr="00532F91" w:rsidRDefault="00532F91">
      <w:pPr>
        <w:rPr>
          <w:rFonts w:cstheme="minorHAnsi"/>
          <w:sz w:val="20"/>
          <w:szCs w:val="20"/>
        </w:rPr>
      </w:pPr>
      <w:r w:rsidRPr="00532F91">
        <w:rPr>
          <w:rFonts w:cstheme="minorHAnsi"/>
          <w:sz w:val="20"/>
          <w:szCs w:val="20"/>
        </w:rPr>
        <w:br w:type="page"/>
      </w:r>
    </w:p>
    <w:p w:rsidR="00115395" w:rsidRPr="00532F91" w:rsidRDefault="00532F91" w:rsidP="00A408C5">
      <w:pPr>
        <w:pStyle w:val="Heading1"/>
      </w:pPr>
      <w:r w:rsidRPr="00532F91">
        <w:lastRenderedPageBreak/>
        <w:t>Slide 6</w:t>
      </w:r>
      <w:r w:rsidR="00115395">
        <w:t xml:space="preserve"> </w:t>
      </w:r>
      <w:r w:rsidR="00115395" w:rsidRPr="00532F91">
        <w:t>More people moving in to the region over the past 5 years</w:t>
      </w:r>
    </w:p>
    <w:p w:rsidR="00532F91" w:rsidRPr="00532F91" w:rsidRDefault="00532F91" w:rsidP="00532F91">
      <w:pPr>
        <w:spacing w:line="360" w:lineRule="auto"/>
        <w:rPr>
          <w:rFonts w:cstheme="minorHAnsi"/>
          <w:sz w:val="20"/>
          <w:szCs w:val="20"/>
        </w:rPr>
      </w:pPr>
    </w:p>
    <w:p w:rsidR="00532F91" w:rsidRPr="00532F91" w:rsidRDefault="00560B34" w:rsidP="00532F91">
      <w:pPr>
        <w:spacing w:line="360" w:lineRule="auto"/>
        <w:rPr>
          <w:rFonts w:cstheme="minorHAnsi"/>
          <w:sz w:val="20"/>
          <w:szCs w:val="20"/>
        </w:rPr>
      </w:pPr>
      <w:r w:rsidRPr="00560B34">
        <w:rPr>
          <w:noProof/>
        </w:rPr>
        <w:drawing>
          <wp:inline distT="0" distB="0" distL="0" distR="0" wp14:anchorId="1D943565" wp14:editId="59D1294C">
            <wp:extent cx="5400000" cy="4050000"/>
            <wp:effectExtent l="19050" t="19050" r="10795" b="27305"/>
            <wp:docPr id="52" name="Picture 52" descr="Graph - More people moving into the region over the past 5 years - description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400000" cy="4050000"/>
                    </a:xfrm>
                    <a:prstGeom prst="rect">
                      <a:avLst/>
                    </a:prstGeom>
                    <a:ln>
                      <a:solidFill>
                        <a:schemeClr val="tx1"/>
                      </a:solidFill>
                    </a:ln>
                  </pic:spPr>
                </pic:pic>
              </a:graphicData>
            </a:graphic>
          </wp:inline>
        </w:drawing>
      </w:r>
    </w:p>
    <w:p w:rsidR="00532F91" w:rsidRPr="0019036B" w:rsidRDefault="00532F91" w:rsidP="0019036B">
      <w:pPr>
        <w:rPr>
          <w:i/>
        </w:rPr>
      </w:pPr>
      <w:r w:rsidRPr="0019036B">
        <w:rPr>
          <w:i/>
        </w:rPr>
        <w:t>Source: ABS, Census of Population and Housing, 2011</w:t>
      </w:r>
    </w:p>
    <w:p w:rsidR="00532F91" w:rsidRPr="00532F91" w:rsidRDefault="00532F91" w:rsidP="0019036B"/>
    <w:p w:rsidR="00532F91" w:rsidRPr="00532F91" w:rsidRDefault="00532F91" w:rsidP="0019036B">
      <w:r w:rsidRPr="00532F91">
        <w:t>In the five years to the 2011 Census, 14,200 people aged from 15 to 64 have moved to the Bendigo region and 10,100 have moved out of the region.  This gives a net migration of 4</w:t>
      </w:r>
      <w:r w:rsidR="0019036B">
        <w:t>,</w:t>
      </w:r>
      <w:r w:rsidRPr="00532F91">
        <w:t>100 working age persons moving into the region</w:t>
      </w:r>
    </w:p>
    <w:p w:rsidR="00532F91" w:rsidRPr="00532F91" w:rsidRDefault="00532F91" w:rsidP="0019036B"/>
    <w:p w:rsidR="00532F91" w:rsidRPr="00532F91" w:rsidRDefault="00532F91" w:rsidP="0019036B">
      <w:r w:rsidRPr="00532F91">
        <w:t>The majority of people came from the following localities:</w:t>
      </w:r>
    </w:p>
    <w:p w:rsidR="00532F91" w:rsidRPr="00532F91" w:rsidRDefault="00532F91" w:rsidP="0019036B"/>
    <w:tbl>
      <w:tblPr>
        <w:tblStyle w:val="LightList-Accent1"/>
        <w:tblW w:w="0" w:type="auto"/>
        <w:tblLook w:val="04A0" w:firstRow="1" w:lastRow="0" w:firstColumn="1" w:lastColumn="0" w:noHBand="0" w:noVBand="1"/>
      </w:tblPr>
      <w:tblGrid>
        <w:gridCol w:w="3227"/>
        <w:gridCol w:w="1276"/>
        <w:gridCol w:w="4019"/>
      </w:tblGrid>
      <w:tr w:rsidR="0019036B" w:rsidRPr="005E7083" w:rsidTr="001903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tcBorders>
              <w:bottom w:val="nil"/>
            </w:tcBorders>
            <w:shd w:val="clear" w:color="auto" w:fill="244061" w:themeFill="accent1" w:themeFillShade="80"/>
          </w:tcPr>
          <w:p w:rsidR="0019036B" w:rsidRPr="005E7083" w:rsidRDefault="0019036B" w:rsidP="005E7083">
            <w:pPr>
              <w:pStyle w:val="Heading1"/>
              <w:outlineLvl w:val="0"/>
              <w:rPr>
                <w:bCs/>
                <w:color w:val="FFFFFF" w:themeColor="background1"/>
                <w:sz w:val="28"/>
              </w:rPr>
            </w:pPr>
            <w:r w:rsidRPr="005E7083">
              <w:rPr>
                <w:bCs/>
                <w:color w:val="FFFFFF" w:themeColor="background1"/>
                <w:sz w:val="28"/>
              </w:rPr>
              <w:t>Region</w:t>
            </w:r>
          </w:p>
        </w:tc>
        <w:tc>
          <w:tcPr>
            <w:tcW w:w="1276" w:type="dxa"/>
            <w:tcBorders>
              <w:bottom w:val="nil"/>
            </w:tcBorders>
            <w:shd w:val="clear" w:color="auto" w:fill="244061" w:themeFill="accent1" w:themeFillShade="80"/>
          </w:tcPr>
          <w:p w:rsidR="0019036B" w:rsidRPr="005E7083" w:rsidRDefault="0019036B" w:rsidP="005E7083">
            <w:pPr>
              <w:pStyle w:val="Heading1"/>
              <w:jc w:val="center"/>
              <w:outlineLvl w:val="0"/>
              <w:cnfStyle w:val="100000000000" w:firstRow="1" w:lastRow="0" w:firstColumn="0" w:lastColumn="0" w:oddVBand="0" w:evenVBand="0" w:oddHBand="0" w:evenHBand="0" w:firstRowFirstColumn="0" w:firstRowLastColumn="0" w:lastRowFirstColumn="0" w:lastRowLastColumn="0"/>
              <w:rPr>
                <w:bCs/>
                <w:color w:val="FFFFFF" w:themeColor="background1"/>
                <w:sz w:val="28"/>
              </w:rPr>
            </w:pPr>
            <w:r w:rsidRPr="005E7083">
              <w:rPr>
                <w:bCs/>
                <w:color w:val="FFFFFF" w:themeColor="background1"/>
                <w:sz w:val="28"/>
              </w:rPr>
              <w:t>People</w:t>
            </w:r>
          </w:p>
        </w:tc>
        <w:tc>
          <w:tcPr>
            <w:tcW w:w="4019" w:type="dxa"/>
            <w:tcBorders>
              <w:bottom w:val="nil"/>
            </w:tcBorders>
            <w:shd w:val="clear" w:color="auto" w:fill="244061" w:themeFill="accent1" w:themeFillShade="80"/>
          </w:tcPr>
          <w:p w:rsidR="0019036B" w:rsidRPr="005E7083" w:rsidRDefault="0019036B" w:rsidP="005E7083">
            <w:pPr>
              <w:pStyle w:val="Heading1"/>
              <w:jc w:val="center"/>
              <w:outlineLvl w:val="0"/>
              <w:cnfStyle w:val="100000000000" w:firstRow="1" w:lastRow="0" w:firstColumn="0" w:lastColumn="0" w:oddVBand="0" w:evenVBand="0" w:oddHBand="0" w:evenHBand="0" w:firstRowFirstColumn="0" w:firstRowLastColumn="0" w:lastRowFirstColumn="0" w:lastRowLastColumn="0"/>
              <w:rPr>
                <w:bCs/>
                <w:color w:val="FFFFFF" w:themeColor="background1"/>
                <w:sz w:val="28"/>
              </w:rPr>
            </w:pPr>
            <w:r w:rsidRPr="005E7083">
              <w:rPr>
                <w:bCs/>
                <w:color w:val="FFFFFF" w:themeColor="background1"/>
                <w:sz w:val="28"/>
              </w:rPr>
              <w:t>% of people who moved to the region</w:t>
            </w:r>
          </w:p>
        </w:tc>
      </w:tr>
      <w:tr w:rsidR="0019036B" w:rsidRPr="0019036B" w:rsidTr="001903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tcBorders>
              <w:top w:val="nil"/>
              <w:left w:val="nil"/>
              <w:bottom w:val="nil"/>
            </w:tcBorders>
          </w:tcPr>
          <w:p w:rsidR="0019036B" w:rsidRPr="0019036B" w:rsidRDefault="0019036B" w:rsidP="00E063B5">
            <w:pPr>
              <w:rPr>
                <w:b w:val="0"/>
              </w:rPr>
            </w:pPr>
            <w:r w:rsidRPr="0019036B">
              <w:rPr>
                <w:b w:val="0"/>
              </w:rPr>
              <w:t>Greater Melbourne region</w:t>
            </w:r>
          </w:p>
        </w:tc>
        <w:tc>
          <w:tcPr>
            <w:tcW w:w="1276" w:type="dxa"/>
            <w:tcBorders>
              <w:top w:val="nil"/>
              <w:bottom w:val="nil"/>
            </w:tcBorders>
            <w:vAlign w:val="center"/>
          </w:tcPr>
          <w:p w:rsidR="0019036B" w:rsidRPr="0019036B" w:rsidRDefault="0019036B" w:rsidP="0019036B">
            <w:pPr>
              <w:jc w:val="center"/>
              <w:cnfStyle w:val="000000100000" w:firstRow="0" w:lastRow="0" w:firstColumn="0" w:lastColumn="0" w:oddVBand="0" w:evenVBand="0" w:oddHBand="1" w:evenHBand="0" w:firstRowFirstColumn="0" w:firstRowLastColumn="0" w:lastRowFirstColumn="0" w:lastRowLastColumn="0"/>
            </w:pPr>
            <w:r w:rsidRPr="0019036B">
              <w:t>5,350</w:t>
            </w:r>
          </w:p>
        </w:tc>
        <w:tc>
          <w:tcPr>
            <w:tcW w:w="4019" w:type="dxa"/>
            <w:tcBorders>
              <w:top w:val="nil"/>
              <w:bottom w:val="nil"/>
              <w:right w:val="nil"/>
            </w:tcBorders>
            <w:vAlign w:val="center"/>
          </w:tcPr>
          <w:p w:rsidR="0019036B" w:rsidRPr="0019036B" w:rsidRDefault="0019036B" w:rsidP="0019036B">
            <w:pPr>
              <w:jc w:val="center"/>
              <w:cnfStyle w:val="000000100000" w:firstRow="0" w:lastRow="0" w:firstColumn="0" w:lastColumn="0" w:oddVBand="0" w:evenVBand="0" w:oddHBand="1" w:evenHBand="0" w:firstRowFirstColumn="0" w:firstRowLastColumn="0" w:lastRowFirstColumn="0" w:lastRowLastColumn="0"/>
            </w:pPr>
            <w:r w:rsidRPr="0019036B">
              <w:t>(38%)</w:t>
            </w:r>
          </w:p>
        </w:tc>
      </w:tr>
      <w:tr w:rsidR="0019036B" w:rsidRPr="0019036B" w:rsidTr="0019036B">
        <w:tc>
          <w:tcPr>
            <w:cnfStyle w:val="001000000000" w:firstRow="0" w:lastRow="0" w:firstColumn="1" w:lastColumn="0" w:oddVBand="0" w:evenVBand="0" w:oddHBand="0" w:evenHBand="0" w:firstRowFirstColumn="0" w:firstRowLastColumn="0" w:lastRowFirstColumn="0" w:lastRowLastColumn="0"/>
            <w:tcW w:w="3227" w:type="dxa"/>
            <w:tcBorders>
              <w:top w:val="nil"/>
              <w:left w:val="nil"/>
              <w:bottom w:val="nil"/>
            </w:tcBorders>
          </w:tcPr>
          <w:p w:rsidR="0019036B" w:rsidRPr="0019036B" w:rsidRDefault="0019036B" w:rsidP="00E063B5">
            <w:pPr>
              <w:rPr>
                <w:b w:val="0"/>
              </w:rPr>
            </w:pPr>
            <w:r w:rsidRPr="0019036B">
              <w:rPr>
                <w:b w:val="0"/>
              </w:rPr>
              <w:t>Overseas</w:t>
            </w:r>
          </w:p>
        </w:tc>
        <w:tc>
          <w:tcPr>
            <w:tcW w:w="1276" w:type="dxa"/>
            <w:tcBorders>
              <w:top w:val="nil"/>
              <w:bottom w:val="nil"/>
            </w:tcBorders>
            <w:vAlign w:val="center"/>
          </w:tcPr>
          <w:p w:rsidR="0019036B" w:rsidRPr="0019036B" w:rsidRDefault="0019036B" w:rsidP="0019036B">
            <w:pPr>
              <w:jc w:val="center"/>
              <w:cnfStyle w:val="000000000000" w:firstRow="0" w:lastRow="0" w:firstColumn="0" w:lastColumn="0" w:oddVBand="0" w:evenVBand="0" w:oddHBand="0" w:evenHBand="0" w:firstRowFirstColumn="0" w:firstRowLastColumn="0" w:lastRowFirstColumn="0" w:lastRowLastColumn="0"/>
            </w:pPr>
            <w:r w:rsidRPr="0019036B">
              <w:t>1,600</w:t>
            </w:r>
          </w:p>
        </w:tc>
        <w:tc>
          <w:tcPr>
            <w:tcW w:w="4019" w:type="dxa"/>
            <w:tcBorders>
              <w:top w:val="nil"/>
              <w:bottom w:val="nil"/>
              <w:right w:val="nil"/>
            </w:tcBorders>
            <w:vAlign w:val="center"/>
          </w:tcPr>
          <w:p w:rsidR="0019036B" w:rsidRPr="0019036B" w:rsidRDefault="0019036B" w:rsidP="0019036B">
            <w:pPr>
              <w:jc w:val="center"/>
              <w:cnfStyle w:val="000000000000" w:firstRow="0" w:lastRow="0" w:firstColumn="0" w:lastColumn="0" w:oddVBand="0" w:evenVBand="0" w:oddHBand="0" w:evenHBand="0" w:firstRowFirstColumn="0" w:firstRowLastColumn="0" w:lastRowFirstColumn="0" w:lastRowLastColumn="0"/>
            </w:pPr>
            <w:r w:rsidRPr="0019036B">
              <w:t>(11%)</w:t>
            </w:r>
          </w:p>
        </w:tc>
      </w:tr>
      <w:tr w:rsidR="0019036B" w:rsidRPr="0019036B" w:rsidTr="001903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tcBorders>
              <w:top w:val="nil"/>
              <w:left w:val="nil"/>
              <w:bottom w:val="nil"/>
            </w:tcBorders>
          </w:tcPr>
          <w:p w:rsidR="0019036B" w:rsidRPr="0019036B" w:rsidRDefault="0019036B" w:rsidP="00E063B5">
            <w:pPr>
              <w:rPr>
                <w:b w:val="0"/>
              </w:rPr>
            </w:pPr>
            <w:r w:rsidRPr="0019036B">
              <w:rPr>
                <w:b w:val="0"/>
              </w:rPr>
              <w:t>New South Wales</w:t>
            </w:r>
          </w:p>
        </w:tc>
        <w:tc>
          <w:tcPr>
            <w:tcW w:w="1276" w:type="dxa"/>
            <w:tcBorders>
              <w:top w:val="nil"/>
              <w:bottom w:val="nil"/>
            </w:tcBorders>
            <w:vAlign w:val="center"/>
          </w:tcPr>
          <w:p w:rsidR="0019036B" w:rsidRPr="0019036B" w:rsidRDefault="0019036B" w:rsidP="0019036B">
            <w:pPr>
              <w:jc w:val="center"/>
              <w:cnfStyle w:val="000000100000" w:firstRow="0" w:lastRow="0" w:firstColumn="0" w:lastColumn="0" w:oddVBand="0" w:evenVBand="0" w:oddHBand="1" w:evenHBand="0" w:firstRowFirstColumn="0" w:firstRowLastColumn="0" w:lastRowFirstColumn="0" w:lastRowLastColumn="0"/>
            </w:pPr>
            <w:r w:rsidRPr="0019036B">
              <w:t>1,000</w:t>
            </w:r>
          </w:p>
        </w:tc>
        <w:tc>
          <w:tcPr>
            <w:tcW w:w="4019" w:type="dxa"/>
            <w:tcBorders>
              <w:top w:val="nil"/>
              <w:bottom w:val="nil"/>
              <w:right w:val="nil"/>
            </w:tcBorders>
            <w:vAlign w:val="center"/>
          </w:tcPr>
          <w:p w:rsidR="0019036B" w:rsidRPr="0019036B" w:rsidRDefault="0019036B" w:rsidP="0019036B">
            <w:pPr>
              <w:jc w:val="center"/>
              <w:cnfStyle w:val="000000100000" w:firstRow="0" w:lastRow="0" w:firstColumn="0" w:lastColumn="0" w:oddVBand="0" w:evenVBand="0" w:oddHBand="1" w:evenHBand="0" w:firstRowFirstColumn="0" w:firstRowLastColumn="0" w:lastRowFirstColumn="0" w:lastRowLastColumn="0"/>
            </w:pPr>
            <w:r w:rsidRPr="0019036B">
              <w:t>(7%)</w:t>
            </w:r>
          </w:p>
        </w:tc>
      </w:tr>
      <w:tr w:rsidR="0019036B" w:rsidRPr="0019036B" w:rsidTr="0019036B">
        <w:tc>
          <w:tcPr>
            <w:cnfStyle w:val="001000000000" w:firstRow="0" w:lastRow="0" w:firstColumn="1" w:lastColumn="0" w:oddVBand="0" w:evenVBand="0" w:oddHBand="0" w:evenHBand="0" w:firstRowFirstColumn="0" w:firstRowLastColumn="0" w:lastRowFirstColumn="0" w:lastRowLastColumn="0"/>
            <w:tcW w:w="3227" w:type="dxa"/>
            <w:tcBorders>
              <w:top w:val="nil"/>
              <w:left w:val="nil"/>
              <w:bottom w:val="nil"/>
            </w:tcBorders>
          </w:tcPr>
          <w:p w:rsidR="0019036B" w:rsidRPr="0019036B" w:rsidRDefault="0019036B" w:rsidP="00E063B5">
            <w:pPr>
              <w:rPr>
                <w:b w:val="0"/>
              </w:rPr>
            </w:pPr>
            <w:r w:rsidRPr="0019036B">
              <w:rPr>
                <w:b w:val="0"/>
              </w:rPr>
              <w:t>Queensland</w:t>
            </w:r>
          </w:p>
        </w:tc>
        <w:tc>
          <w:tcPr>
            <w:tcW w:w="1276" w:type="dxa"/>
            <w:tcBorders>
              <w:top w:val="nil"/>
              <w:bottom w:val="nil"/>
            </w:tcBorders>
            <w:vAlign w:val="center"/>
          </w:tcPr>
          <w:p w:rsidR="0019036B" w:rsidRPr="0019036B" w:rsidRDefault="0019036B" w:rsidP="0019036B">
            <w:pPr>
              <w:jc w:val="center"/>
              <w:cnfStyle w:val="000000000000" w:firstRow="0" w:lastRow="0" w:firstColumn="0" w:lastColumn="0" w:oddVBand="0" w:evenVBand="0" w:oddHBand="0" w:evenHBand="0" w:firstRowFirstColumn="0" w:firstRowLastColumn="0" w:lastRowFirstColumn="0" w:lastRowLastColumn="0"/>
            </w:pPr>
            <w:r w:rsidRPr="0019036B">
              <w:t>800</w:t>
            </w:r>
          </w:p>
        </w:tc>
        <w:tc>
          <w:tcPr>
            <w:tcW w:w="4019" w:type="dxa"/>
            <w:tcBorders>
              <w:top w:val="nil"/>
              <w:bottom w:val="nil"/>
              <w:right w:val="nil"/>
            </w:tcBorders>
            <w:vAlign w:val="center"/>
          </w:tcPr>
          <w:p w:rsidR="0019036B" w:rsidRPr="0019036B" w:rsidRDefault="0019036B" w:rsidP="0019036B">
            <w:pPr>
              <w:jc w:val="center"/>
              <w:cnfStyle w:val="000000000000" w:firstRow="0" w:lastRow="0" w:firstColumn="0" w:lastColumn="0" w:oddVBand="0" w:evenVBand="0" w:oddHBand="0" w:evenHBand="0" w:firstRowFirstColumn="0" w:firstRowLastColumn="0" w:lastRowFirstColumn="0" w:lastRowLastColumn="0"/>
            </w:pPr>
            <w:r w:rsidRPr="0019036B">
              <w:t>(6%)</w:t>
            </w:r>
          </w:p>
        </w:tc>
      </w:tr>
      <w:tr w:rsidR="0019036B" w:rsidRPr="0019036B" w:rsidTr="001903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tcBorders>
              <w:top w:val="nil"/>
              <w:left w:val="nil"/>
              <w:bottom w:val="nil"/>
            </w:tcBorders>
          </w:tcPr>
          <w:p w:rsidR="0019036B" w:rsidRPr="0019036B" w:rsidRDefault="0019036B" w:rsidP="00E063B5">
            <w:pPr>
              <w:rPr>
                <w:b w:val="0"/>
              </w:rPr>
            </w:pPr>
            <w:r w:rsidRPr="0019036B">
              <w:rPr>
                <w:b w:val="0"/>
              </w:rPr>
              <w:t xml:space="preserve">Ballarat region </w:t>
            </w:r>
          </w:p>
        </w:tc>
        <w:tc>
          <w:tcPr>
            <w:tcW w:w="1276" w:type="dxa"/>
            <w:tcBorders>
              <w:top w:val="nil"/>
              <w:bottom w:val="nil"/>
            </w:tcBorders>
            <w:vAlign w:val="center"/>
          </w:tcPr>
          <w:p w:rsidR="0019036B" w:rsidRPr="0019036B" w:rsidRDefault="0019036B" w:rsidP="0019036B">
            <w:pPr>
              <w:jc w:val="center"/>
              <w:cnfStyle w:val="000000100000" w:firstRow="0" w:lastRow="0" w:firstColumn="0" w:lastColumn="0" w:oddVBand="0" w:evenVBand="0" w:oddHBand="1" w:evenHBand="0" w:firstRowFirstColumn="0" w:firstRowLastColumn="0" w:lastRowFirstColumn="0" w:lastRowLastColumn="0"/>
            </w:pPr>
            <w:r w:rsidRPr="0019036B">
              <w:t>700</w:t>
            </w:r>
          </w:p>
        </w:tc>
        <w:tc>
          <w:tcPr>
            <w:tcW w:w="4019" w:type="dxa"/>
            <w:tcBorders>
              <w:top w:val="nil"/>
              <w:bottom w:val="nil"/>
              <w:right w:val="nil"/>
            </w:tcBorders>
            <w:vAlign w:val="center"/>
          </w:tcPr>
          <w:p w:rsidR="0019036B" w:rsidRPr="0019036B" w:rsidRDefault="0019036B" w:rsidP="0019036B">
            <w:pPr>
              <w:jc w:val="center"/>
              <w:cnfStyle w:val="000000100000" w:firstRow="0" w:lastRow="0" w:firstColumn="0" w:lastColumn="0" w:oddVBand="0" w:evenVBand="0" w:oddHBand="1" w:evenHBand="0" w:firstRowFirstColumn="0" w:firstRowLastColumn="0" w:lastRowFirstColumn="0" w:lastRowLastColumn="0"/>
            </w:pPr>
            <w:r w:rsidRPr="0019036B">
              <w:t>(5%)</w:t>
            </w:r>
          </w:p>
        </w:tc>
      </w:tr>
    </w:tbl>
    <w:p w:rsidR="00532F91" w:rsidRPr="00532F91" w:rsidRDefault="00532F91">
      <w:pPr>
        <w:rPr>
          <w:rFonts w:cstheme="minorHAnsi"/>
          <w:sz w:val="20"/>
          <w:szCs w:val="20"/>
        </w:rPr>
      </w:pPr>
      <w:r w:rsidRPr="00532F91">
        <w:rPr>
          <w:rFonts w:cstheme="minorHAnsi"/>
          <w:sz w:val="20"/>
          <w:szCs w:val="20"/>
        </w:rPr>
        <w:br w:type="page"/>
      </w:r>
    </w:p>
    <w:p w:rsidR="00115395" w:rsidRPr="00532F91" w:rsidRDefault="00532F91" w:rsidP="00A408C5">
      <w:pPr>
        <w:pStyle w:val="Heading1"/>
      </w:pPr>
      <w:r w:rsidRPr="00532F91">
        <w:lastRenderedPageBreak/>
        <w:t>Slide 7</w:t>
      </w:r>
      <w:r w:rsidR="00115395">
        <w:t xml:space="preserve"> </w:t>
      </w:r>
      <w:r w:rsidR="00115395" w:rsidRPr="00532F91">
        <w:t>Residents on the move</w:t>
      </w:r>
    </w:p>
    <w:p w:rsidR="00532F91" w:rsidRPr="00532F91" w:rsidRDefault="00532F91" w:rsidP="00532F91">
      <w:pPr>
        <w:spacing w:line="360" w:lineRule="auto"/>
        <w:rPr>
          <w:rFonts w:cstheme="minorHAnsi"/>
          <w:sz w:val="20"/>
          <w:szCs w:val="20"/>
        </w:rPr>
      </w:pPr>
    </w:p>
    <w:p w:rsidR="00532F91" w:rsidRPr="00532F91" w:rsidRDefault="0019036B" w:rsidP="00532F91">
      <w:pPr>
        <w:spacing w:line="360" w:lineRule="auto"/>
        <w:rPr>
          <w:rFonts w:cstheme="minorHAnsi"/>
          <w:sz w:val="20"/>
          <w:szCs w:val="20"/>
        </w:rPr>
      </w:pPr>
      <w:r w:rsidRPr="0019036B">
        <w:rPr>
          <w:noProof/>
        </w:rPr>
        <w:drawing>
          <wp:inline distT="0" distB="0" distL="0" distR="0" wp14:anchorId="482A3EFF" wp14:editId="17BF962E">
            <wp:extent cx="5400000" cy="4050000"/>
            <wp:effectExtent l="19050" t="19050" r="10795" b="27305"/>
            <wp:docPr id="53" name="Picture 53" descr="Bar graph - Residents on the move&#10;&#10;15 to 24 years 3,270 out 3,470 in&#10;25 to 34 years 2,850 out 3,480 in&#10;35 to 44 years 1,640 out 3,200 in&#10;45 to 54 years 1,240 out 2,100 in&#10;55 to 64 years 1,100 out 2,000 in&#10;65+ 980 out 1,790 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400000" cy="4050000"/>
                    </a:xfrm>
                    <a:prstGeom prst="rect">
                      <a:avLst/>
                    </a:prstGeom>
                    <a:ln>
                      <a:solidFill>
                        <a:schemeClr val="tx1"/>
                      </a:solidFill>
                    </a:ln>
                  </pic:spPr>
                </pic:pic>
              </a:graphicData>
            </a:graphic>
          </wp:inline>
        </w:drawing>
      </w:r>
    </w:p>
    <w:p w:rsidR="00532F91" w:rsidRPr="0019036B" w:rsidRDefault="00532F91" w:rsidP="0019036B">
      <w:pPr>
        <w:rPr>
          <w:i/>
        </w:rPr>
      </w:pPr>
      <w:r w:rsidRPr="0019036B">
        <w:rPr>
          <w:i/>
        </w:rPr>
        <w:t xml:space="preserve">Source: ABS, Census of Population and Housing, 2011 </w:t>
      </w:r>
    </w:p>
    <w:p w:rsidR="00532F91" w:rsidRPr="00532F91" w:rsidRDefault="00532F91" w:rsidP="0019036B"/>
    <w:p w:rsidR="00532F91" w:rsidRPr="00532F91" w:rsidRDefault="00532F91" w:rsidP="0019036B">
      <w:r w:rsidRPr="00532F91">
        <w:t>There was a net migration of 200 15 to 24 year olds moving into the Bendigo region in the five years to 2011. This number is a lot smaller compared to 35 to 44 year olds where there is a net migration of 1</w:t>
      </w:r>
      <w:r w:rsidR="00E063B5">
        <w:t>,</w:t>
      </w:r>
      <w:r w:rsidRPr="00532F91">
        <w:t>560 moving into the region.</w:t>
      </w:r>
    </w:p>
    <w:p w:rsidR="00532F91" w:rsidRPr="00532F91" w:rsidRDefault="00532F91">
      <w:pPr>
        <w:rPr>
          <w:rFonts w:cstheme="minorHAnsi"/>
          <w:sz w:val="20"/>
          <w:szCs w:val="20"/>
        </w:rPr>
      </w:pPr>
      <w:r w:rsidRPr="00532F91">
        <w:rPr>
          <w:rFonts w:cstheme="minorHAnsi"/>
          <w:sz w:val="20"/>
          <w:szCs w:val="20"/>
        </w:rPr>
        <w:br w:type="page"/>
      </w:r>
    </w:p>
    <w:p w:rsidR="00115395" w:rsidRDefault="00532F91" w:rsidP="00A408C5">
      <w:pPr>
        <w:pStyle w:val="Heading1"/>
      </w:pPr>
      <w:r w:rsidRPr="00532F91">
        <w:lastRenderedPageBreak/>
        <w:t>Slide 8</w:t>
      </w:r>
      <w:r w:rsidR="00115395">
        <w:t xml:space="preserve"> </w:t>
      </w:r>
      <w:r w:rsidR="00115395" w:rsidRPr="00532F91">
        <w:t>Migrating with a job into the Bendigo region?</w:t>
      </w:r>
    </w:p>
    <w:p w:rsidR="00E063B5" w:rsidRPr="00E063B5" w:rsidRDefault="00E063B5" w:rsidP="00E063B5"/>
    <w:tbl>
      <w:tblPr>
        <w:tblW w:w="8933" w:type="dxa"/>
        <w:tblLayout w:type="fixed"/>
        <w:tblCellMar>
          <w:left w:w="0" w:type="dxa"/>
          <w:right w:w="0" w:type="dxa"/>
        </w:tblCellMar>
        <w:tblLook w:val="0420" w:firstRow="1" w:lastRow="0" w:firstColumn="0" w:lastColumn="0" w:noHBand="0" w:noVBand="1"/>
      </w:tblPr>
      <w:tblGrid>
        <w:gridCol w:w="1845"/>
        <w:gridCol w:w="1772"/>
        <w:gridCol w:w="1772"/>
        <w:gridCol w:w="1772"/>
        <w:gridCol w:w="1772"/>
      </w:tblGrid>
      <w:tr w:rsidR="00E063B5" w:rsidRPr="005E7083" w:rsidTr="00A408C5">
        <w:trPr>
          <w:trHeight w:val="1152"/>
        </w:trPr>
        <w:tc>
          <w:tcPr>
            <w:tcW w:w="1845" w:type="dxa"/>
            <w:tcBorders>
              <w:top w:val="single" w:sz="8" w:space="0" w:color="000000"/>
              <w:left w:val="single" w:sz="8" w:space="0" w:color="000000"/>
              <w:bottom w:val="single" w:sz="8" w:space="0" w:color="000000"/>
              <w:right w:val="single" w:sz="8" w:space="0" w:color="000000"/>
            </w:tcBorders>
            <w:shd w:val="clear" w:color="auto" w:fill="008279"/>
            <w:tcMar>
              <w:top w:w="72" w:type="dxa"/>
              <w:left w:w="144" w:type="dxa"/>
              <w:bottom w:w="72" w:type="dxa"/>
              <w:right w:w="144" w:type="dxa"/>
            </w:tcMar>
            <w:vAlign w:val="center"/>
            <w:hideMark/>
          </w:tcPr>
          <w:p w:rsidR="00E063B5" w:rsidRPr="005E7083" w:rsidRDefault="00E063B5" w:rsidP="00A408C5">
            <w:pPr>
              <w:pStyle w:val="Heading1"/>
              <w:jc w:val="center"/>
              <w:rPr>
                <w:rFonts w:ascii="Arial" w:hAnsi="Arial" w:cs="Arial"/>
                <w:color w:val="FFFFFF" w:themeColor="background1"/>
                <w:sz w:val="28"/>
                <w:szCs w:val="36"/>
                <w:u w:val="none"/>
              </w:rPr>
            </w:pPr>
            <w:proofErr w:type="gramStart"/>
            <w:r w:rsidRPr="005E7083">
              <w:rPr>
                <w:color w:val="FFFFFF" w:themeColor="background1"/>
                <w:sz w:val="28"/>
                <w:u w:val="none"/>
              </w:rPr>
              <w:t>Group</w:t>
            </w:r>
            <w:proofErr w:type="gramEnd"/>
            <w:r w:rsidRPr="005E7083">
              <w:rPr>
                <w:color w:val="FFFFFF" w:themeColor="background1"/>
                <w:sz w:val="28"/>
                <w:u w:val="none"/>
              </w:rPr>
              <w:br/>
              <w:t>(age at 2011)</w:t>
            </w:r>
          </w:p>
        </w:tc>
        <w:tc>
          <w:tcPr>
            <w:tcW w:w="1772" w:type="dxa"/>
            <w:tcBorders>
              <w:top w:val="single" w:sz="8" w:space="0" w:color="000000"/>
              <w:left w:val="single" w:sz="8" w:space="0" w:color="000000"/>
              <w:bottom w:val="single" w:sz="8" w:space="0" w:color="000000"/>
              <w:right w:val="single" w:sz="8" w:space="0" w:color="000000"/>
            </w:tcBorders>
            <w:shd w:val="clear" w:color="auto" w:fill="008279"/>
            <w:tcMar>
              <w:top w:w="72" w:type="dxa"/>
              <w:left w:w="144" w:type="dxa"/>
              <w:bottom w:w="72" w:type="dxa"/>
              <w:right w:w="144" w:type="dxa"/>
            </w:tcMar>
            <w:vAlign w:val="center"/>
            <w:hideMark/>
          </w:tcPr>
          <w:p w:rsidR="00E063B5" w:rsidRPr="005E7083" w:rsidRDefault="00E063B5" w:rsidP="00A408C5">
            <w:pPr>
              <w:pStyle w:val="Heading1"/>
              <w:jc w:val="center"/>
              <w:rPr>
                <w:rFonts w:ascii="Arial" w:hAnsi="Arial" w:cs="Arial"/>
                <w:color w:val="FFFFFF" w:themeColor="background1"/>
                <w:sz w:val="28"/>
                <w:szCs w:val="36"/>
                <w:u w:val="none"/>
              </w:rPr>
            </w:pPr>
            <w:r w:rsidRPr="005E7083">
              <w:rPr>
                <w:color w:val="FFFFFF" w:themeColor="background1"/>
                <w:sz w:val="28"/>
                <w:u w:val="none"/>
              </w:rPr>
              <w:t>Number of People</w:t>
            </w:r>
          </w:p>
        </w:tc>
        <w:tc>
          <w:tcPr>
            <w:tcW w:w="1772" w:type="dxa"/>
            <w:tcBorders>
              <w:top w:val="single" w:sz="8" w:space="0" w:color="000000"/>
              <w:left w:val="single" w:sz="8" w:space="0" w:color="000000"/>
              <w:bottom w:val="single" w:sz="8" w:space="0" w:color="000000"/>
              <w:right w:val="single" w:sz="8" w:space="0" w:color="000000"/>
            </w:tcBorders>
            <w:shd w:val="clear" w:color="auto" w:fill="008279"/>
            <w:tcMar>
              <w:top w:w="72" w:type="dxa"/>
              <w:left w:w="144" w:type="dxa"/>
              <w:bottom w:w="72" w:type="dxa"/>
              <w:right w:w="144" w:type="dxa"/>
            </w:tcMar>
            <w:vAlign w:val="center"/>
            <w:hideMark/>
          </w:tcPr>
          <w:p w:rsidR="00E063B5" w:rsidRPr="005E7083" w:rsidRDefault="00E063B5" w:rsidP="00A408C5">
            <w:pPr>
              <w:pStyle w:val="Heading1"/>
              <w:jc w:val="center"/>
              <w:rPr>
                <w:rFonts w:ascii="Arial" w:hAnsi="Arial" w:cs="Arial"/>
                <w:color w:val="FFFFFF" w:themeColor="background1"/>
                <w:sz w:val="28"/>
                <w:szCs w:val="36"/>
                <w:u w:val="none"/>
              </w:rPr>
            </w:pPr>
            <w:r w:rsidRPr="005E7083">
              <w:rPr>
                <w:color w:val="FFFFFF" w:themeColor="background1"/>
                <w:sz w:val="28"/>
                <w:u w:val="none"/>
              </w:rPr>
              <w:t>Employed</w:t>
            </w:r>
          </w:p>
        </w:tc>
        <w:tc>
          <w:tcPr>
            <w:tcW w:w="1772" w:type="dxa"/>
            <w:tcBorders>
              <w:top w:val="single" w:sz="8" w:space="0" w:color="000000"/>
              <w:left w:val="single" w:sz="8" w:space="0" w:color="000000"/>
              <w:bottom w:val="single" w:sz="8" w:space="0" w:color="000000"/>
              <w:right w:val="single" w:sz="8" w:space="0" w:color="000000"/>
            </w:tcBorders>
            <w:shd w:val="clear" w:color="auto" w:fill="008279"/>
            <w:tcMar>
              <w:top w:w="72" w:type="dxa"/>
              <w:left w:w="144" w:type="dxa"/>
              <w:bottom w:w="72" w:type="dxa"/>
              <w:right w:w="144" w:type="dxa"/>
            </w:tcMar>
            <w:vAlign w:val="center"/>
            <w:hideMark/>
          </w:tcPr>
          <w:p w:rsidR="00E063B5" w:rsidRPr="005E7083" w:rsidRDefault="00E063B5" w:rsidP="00A408C5">
            <w:pPr>
              <w:pStyle w:val="Heading1"/>
              <w:jc w:val="center"/>
              <w:rPr>
                <w:rFonts w:ascii="Arial" w:hAnsi="Arial" w:cs="Arial"/>
                <w:color w:val="FFFFFF" w:themeColor="background1"/>
                <w:sz w:val="28"/>
                <w:szCs w:val="36"/>
                <w:u w:val="none"/>
              </w:rPr>
            </w:pPr>
            <w:r w:rsidRPr="005E7083">
              <w:rPr>
                <w:color w:val="FFFFFF" w:themeColor="background1"/>
                <w:sz w:val="28"/>
                <w:u w:val="none"/>
              </w:rPr>
              <w:t>Unemployed</w:t>
            </w:r>
          </w:p>
        </w:tc>
        <w:tc>
          <w:tcPr>
            <w:tcW w:w="1772" w:type="dxa"/>
            <w:tcBorders>
              <w:top w:val="single" w:sz="8" w:space="0" w:color="000000"/>
              <w:left w:val="single" w:sz="8" w:space="0" w:color="000000"/>
              <w:bottom w:val="single" w:sz="8" w:space="0" w:color="000000"/>
              <w:right w:val="single" w:sz="8" w:space="0" w:color="000000"/>
            </w:tcBorders>
            <w:shd w:val="clear" w:color="auto" w:fill="008279"/>
            <w:tcMar>
              <w:top w:w="72" w:type="dxa"/>
              <w:left w:w="144" w:type="dxa"/>
              <w:bottom w:w="72" w:type="dxa"/>
              <w:right w:w="144" w:type="dxa"/>
            </w:tcMar>
            <w:vAlign w:val="center"/>
            <w:hideMark/>
          </w:tcPr>
          <w:p w:rsidR="00E063B5" w:rsidRPr="005E7083" w:rsidRDefault="00E063B5" w:rsidP="00A408C5">
            <w:pPr>
              <w:pStyle w:val="Heading1"/>
              <w:jc w:val="center"/>
              <w:rPr>
                <w:rFonts w:ascii="Arial" w:hAnsi="Arial" w:cs="Arial"/>
                <w:color w:val="FFFFFF" w:themeColor="background1"/>
                <w:sz w:val="28"/>
                <w:szCs w:val="36"/>
                <w:u w:val="none"/>
              </w:rPr>
            </w:pPr>
            <w:r w:rsidRPr="005E7083">
              <w:rPr>
                <w:color w:val="FFFFFF" w:themeColor="background1"/>
                <w:sz w:val="28"/>
                <w:u w:val="none"/>
              </w:rPr>
              <w:t>Not in the labour force</w:t>
            </w:r>
          </w:p>
        </w:tc>
      </w:tr>
      <w:tr w:rsidR="00E063B5" w:rsidRPr="00E063B5" w:rsidTr="00E063B5">
        <w:trPr>
          <w:trHeight w:val="842"/>
        </w:trPr>
        <w:tc>
          <w:tcPr>
            <w:tcW w:w="1845" w:type="dxa"/>
            <w:tcBorders>
              <w:top w:val="single" w:sz="8" w:space="0" w:color="000000"/>
              <w:left w:val="single" w:sz="8" w:space="0" w:color="000000"/>
              <w:bottom w:val="single" w:sz="48" w:space="0" w:color="000000"/>
              <w:right w:val="single" w:sz="8" w:space="0" w:color="000000"/>
            </w:tcBorders>
            <w:shd w:val="clear" w:color="auto" w:fill="auto"/>
            <w:tcMar>
              <w:top w:w="72" w:type="dxa"/>
              <w:left w:w="144" w:type="dxa"/>
              <w:bottom w:w="72" w:type="dxa"/>
              <w:right w:w="144" w:type="dxa"/>
            </w:tcMar>
            <w:vAlign w:val="center"/>
            <w:hideMark/>
          </w:tcPr>
          <w:p w:rsidR="00E063B5" w:rsidRPr="00E063B5" w:rsidRDefault="00E063B5" w:rsidP="00E063B5">
            <w:pPr>
              <w:rPr>
                <w:rFonts w:ascii="Arial" w:hAnsi="Arial" w:cs="Arial"/>
                <w:sz w:val="28"/>
              </w:rPr>
            </w:pPr>
            <w:r w:rsidRPr="00E063B5">
              <w:rPr>
                <w:sz w:val="28"/>
              </w:rPr>
              <w:t>WAP</w:t>
            </w:r>
          </w:p>
        </w:tc>
        <w:tc>
          <w:tcPr>
            <w:tcW w:w="1772" w:type="dxa"/>
            <w:tcBorders>
              <w:top w:val="single" w:sz="8" w:space="0" w:color="000000"/>
              <w:left w:val="single" w:sz="8" w:space="0" w:color="000000"/>
              <w:bottom w:val="single" w:sz="48" w:space="0" w:color="000000"/>
              <w:right w:val="single" w:sz="8" w:space="0" w:color="000000"/>
            </w:tcBorders>
            <w:shd w:val="clear" w:color="auto" w:fill="auto"/>
            <w:tcMar>
              <w:top w:w="72" w:type="dxa"/>
              <w:left w:w="144" w:type="dxa"/>
              <w:bottom w:w="72" w:type="dxa"/>
              <w:right w:w="144" w:type="dxa"/>
            </w:tcMar>
            <w:vAlign w:val="center"/>
            <w:hideMark/>
          </w:tcPr>
          <w:p w:rsidR="00E063B5" w:rsidRPr="00E063B5" w:rsidRDefault="00E063B5" w:rsidP="00E063B5">
            <w:pPr>
              <w:jc w:val="center"/>
              <w:rPr>
                <w:rFonts w:ascii="Arial" w:hAnsi="Arial" w:cs="Arial"/>
              </w:rPr>
            </w:pPr>
            <w:r w:rsidRPr="00E063B5">
              <w:t>14,180</w:t>
            </w:r>
            <w:r w:rsidRPr="00E063B5">
              <w:rPr>
                <w:color w:val="00B0F0"/>
              </w:rPr>
              <w:t>*</w:t>
            </w:r>
          </w:p>
        </w:tc>
        <w:tc>
          <w:tcPr>
            <w:tcW w:w="1772" w:type="dxa"/>
            <w:tcBorders>
              <w:top w:val="single" w:sz="8" w:space="0" w:color="000000"/>
              <w:left w:val="single" w:sz="8" w:space="0" w:color="000000"/>
              <w:bottom w:val="single" w:sz="48" w:space="0" w:color="000000"/>
              <w:right w:val="single" w:sz="8" w:space="0" w:color="000000"/>
            </w:tcBorders>
            <w:shd w:val="clear" w:color="auto" w:fill="auto"/>
            <w:tcMar>
              <w:top w:w="72" w:type="dxa"/>
              <w:left w:w="144" w:type="dxa"/>
              <w:bottom w:w="72" w:type="dxa"/>
              <w:right w:w="144" w:type="dxa"/>
            </w:tcMar>
            <w:vAlign w:val="center"/>
            <w:hideMark/>
          </w:tcPr>
          <w:p w:rsidR="00E063B5" w:rsidRPr="00E063B5" w:rsidRDefault="00E063B5" w:rsidP="00E063B5">
            <w:pPr>
              <w:jc w:val="center"/>
              <w:rPr>
                <w:rFonts w:ascii="Arial" w:hAnsi="Arial" w:cs="Arial"/>
              </w:rPr>
            </w:pPr>
            <w:r w:rsidRPr="00E063B5">
              <w:t>65%</w:t>
            </w:r>
            <w:r w:rsidRPr="00E063B5">
              <w:rPr>
                <w:color w:val="E36C0A" w:themeColor="accent6" w:themeShade="BF"/>
              </w:rPr>
              <w:t xml:space="preserve"> </w:t>
            </w:r>
            <w:r w:rsidRPr="00E063B5">
              <w:rPr>
                <w:b/>
                <w:bCs/>
                <w:color w:val="FF0000"/>
              </w:rPr>
              <w:t>(69%)*</w:t>
            </w:r>
          </w:p>
        </w:tc>
        <w:tc>
          <w:tcPr>
            <w:tcW w:w="1772" w:type="dxa"/>
            <w:tcBorders>
              <w:top w:val="single" w:sz="8" w:space="0" w:color="000000"/>
              <w:left w:val="single" w:sz="8" w:space="0" w:color="000000"/>
              <w:bottom w:val="single" w:sz="48" w:space="0" w:color="000000"/>
              <w:right w:val="single" w:sz="8" w:space="0" w:color="000000"/>
            </w:tcBorders>
            <w:shd w:val="clear" w:color="auto" w:fill="auto"/>
            <w:tcMar>
              <w:top w:w="72" w:type="dxa"/>
              <w:left w:w="144" w:type="dxa"/>
              <w:bottom w:w="72" w:type="dxa"/>
              <w:right w:w="144" w:type="dxa"/>
            </w:tcMar>
            <w:vAlign w:val="center"/>
            <w:hideMark/>
          </w:tcPr>
          <w:p w:rsidR="00E063B5" w:rsidRPr="00E063B5" w:rsidRDefault="00E063B5" w:rsidP="00E063B5">
            <w:pPr>
              <w:jc w:val="center"/>
              <w:rPr>
                <w:rFonts w:ascii="Arial" w:hAnsi="Arial" w:cs="Arial"/>
              </w:rPr>
            </w:pPr>
            <w:r w:rsidRPr="00E063B5">
              <w:t>6%</w:t>
            </w:r>
            <w:r w:rsidRPr="00E063B5">
              <w:rPr>
                <w:b/>
                <w:bCs/>
                <w:color w:val="E36C0A" w:themeColor="accent6" w:themeShade="BF"/>
              </w:rPr>
              <w:t xml:space="preserve"> </w:t>
            </w:r>
            <w:r w:rsidRPr="00E063B5">
              <w:rPr>
                <w:b/>
                <w:bCs/>
                <w:color w:val="FF0000"/>
              </w:rPr>
              <w:t>(4%)*</w:t>
            </w:r>
          </w:p>
        </w:tc>
        <w:tc>
          <w:tcPr>
            <w:tcW w:w="1772" w:type="dxa"/>
            <w:tcBorders>
              <w:top w:val="single" w:sz="8" w:space="0" w:color="000000"/>
              <w:left w:val="single" w:sz="8" w:space="0" w:color="000000"/>
              <w:bottom w:val="single" w:sz="48" w:space="0" w:color="000000"/>
              <w:right w:val="single" w:sz="8" w:space="0" w:color="000000"/>
            </w:tcBorders>
            <w:shd w:val="clear" w:color="auto" w:fill="auto"/>
            <w:tcMar>
              <w:top w:w="72" w:type="dxa"/>
              <w:left w:w="144" w:type="dxa"/>
              <w:bottom w:w="72" w:type="dxa"/>
              <w:right w:w="144" w:type="dxa"/>
            </w:tcMar>
            <w:vAlign w:val="center"/>
            <w:hideMark/>
          </w:tcPr>
          <w:p w:rsidR="00E063B5" w:rsidRPr="00E063B5" w:rsidRDefault="00E063B5" w:rsidP="00E063B5">
            <w:pPr>
              <w:jc w:val="center"/>
              <w:rPr>
                <w:rFonts w:ascii="Arial" w:hAnsi="Arial" w:cs="Arial"/>
              </w:rPr>
            </w:pPr>
            <w:r w:rsidRPr="00E063B5">
              <w:t xml:space="preserve">29% </w:t>
            </w:r>
            <w:r w:rsidRPr="00E063B5">
              <w:rPr>
                <w:b/>
                <w:bCs/>
                <w:color w:val="FF0000"/>
              </w:rPr>
              <w:t>(27%)*</w:t>
            </w:r>
          </w:p>
        </w:tc>
      </w:tr>
      <w:tr w:rsidR="00E063B5" w:rsidRPr="00E063B5" w:rsidTr="00E063B5">
        <w:trPr>
          <w:trHeight w:val="842"/>
        </w:trPr>
        <w:tc>
          <w:tcPr>
            <w:tcW w:w="1845" w:type="dxa"/>
            <w:tcBorders>
              <w:top w:val="single" w:sz="4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E063B5" w:rsidRPr="00E063B5" w:rsidRDefault="00E063B5" w:rsidP="00E063B5">
            <w:pPr>
              <w:rPr>
                <w:rFonts w:ascii="Arial" w:hAnsi="Arial" w:cs="Arial"/>
                <w:sz w:val="28"/>
              </w:rPr>
            </w:pPr>
            <w:r w:rsidRPr="00E063B5">
              <w:rPr>
                <w:sz w:val="28"/>
              </w:rPr>
              <w:t>15-24</w:t>
            </w:r>
            <w:r>
              <w:rPr>
                <w:sz w:val="28"/>
              </w:rPr>
              <w:t xml:space="preserve"> years</w:t>
            </w:r>
          </w:p>
        </w:tc>
        <w:tc>
          <w:tcPr>
            <w:tcW w:w="1772" w:type="dxa"/>
            <w:tcBorders>
              <w:top w:val="single" w:sz="4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E063B5" w:rsidRPr="00E063B5" w:rsidRDefault="00E063B5" w:rsidP="00E063B5">
            <w:pPr>
              <w:jc w:val="center"/>
              <w:rPr>
                <w:rFonts w:ascii="Arial" w:hAnsi="Arial" w:cs="Arial"/>
              </w:rPr>
            </w:pPr>
            <w:r w:rsidRPr="00E063B5">
              <w:t>3</w:t>
            </w:r>
            <w:r>
              <w:t>,</w:t>
            </w:r>
            <w:r w:rsidRPr="00E063B5">
              <w:t>460</w:t>
            </w:r>
          </w:p>
        </w:tc>
        <w:tc>
          <w:tcPr>
            <w:tcW w:w="1772" w:type="dxa"/>
            <w:tcBorders>
              <w:top w:val="single" w:sz="4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E063B5" w:rsidRPr="00E063B5" w:rsidRDefault="00E063B5" w:rsidP="00E063B5">
            <w:pPr>
              <w:jc w:val="center"/>
              <w:rPr>
                <w:rFonts w:ascii="Arial" w:hAnsi="Arial" w:cs="Arial"/>
              </w:rPr>
            </w:pPr>
            <w:r w:rsidRPr="00E063B5">
              <w:t>55%</w:t>
            </w:r>
          </w:p>
        </w:tc>
        <w:tc>
          <w:tcPr>
            <w:tcW w:w="1772" w:type="dxa"/>
            <w:tcBorders>
              <w:top w:val="single" w:sz="4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E063B5" w:rsidRPr="00E063B5" w:rsidRDefault="00E063B5" w:rsidP="00E063B5">
            <w:pPr>
              <w:jc w:val="center"/>
              <w:rPr>
                <w:rFonts w:ascii="Arial" w:hAnsi="Arial" w:cs="Arial"/>
              </w:rPr>
            </w:pPr>
            <w:r w:rsidRPr="00E063B5">
              <w:t>8%</w:t>
            </w:r>
          </w:p>
        </w:tc>
        <w:tc>
          <w:tcPr>
            <w:tcW w:w="1772" w:type="dxa"/>
            <w:tcBorders>
              <w:top w:val="single" w:sz="4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E063B5" w:rsidRPr="00E063B5" w:rsidRDefault="00E063B5" w:rsidP="00E063B5">
            <w:pPr>
              <w:jc w:val="center"/>
              <w:rPr>
                <w:rFonts w:ascii="Arial" w:hAnsi="Arial" w:cs="Arial"/>
              </w:rPr>
            </w:pPr>
            <w:r w:rsidRPr="00E063B5">
              <w:t>37%</w:t>
            </w:r>
          </w:p>
        </w:tc>
      </w:tr>
      <w:tr w:rsidR="00E063B5" w:rsidRPr="00E063B5" w:rsidTr="00E063B5">
        <w:trPr>
          <w:trHeight w:val="842"/>
        </w:trPr>
        <w:tc>
          <w:tcPr>
            <w:tcW w:w="184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E063B5" w:rsidRPr="00E063B5" w:rsidRDefault="00E063B5" w:rsidP="00E063B5">
            <w:pPr>
              <w:rPr>
                <w:rFonts w:ascii="Arial" w:hAnsi="Arial" w:cs="Arial"/>
                <w:sz w:val="28"/>
              </w:rPr>
            </w:pPr>
            <w:r w:rsidRPr="00E063B5">
              <w:rPr>
                <w:sz w:val="28"/>
              </w:rPr>
              <w:t>25-44</w:t>
            </w:r>
            <w:r>
              <w:rPr>
                <w:sz w:val="28"/>
              </w:rPr>
              <w:t xml:space="preserve"> years</w:t>
            </w:r>
          </w:p>
        </w:tc>
        <w:tc>
          <w:tcPr>
            <w:tcW w:w="177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E063B5" w:rsidRPr="00E063B5" w:rsidRDefault="00E063B5" w:rsidP="00E063B5">
            <w:pPr>
              <w:jc w:val="center"/>
              <w:rPr>
                <w:rFonts w:ascii="Arial" w:hAnsi="Arial" w:cs="Arial"/>
              </w:rPr>
            </w:pPr>
            <w:r w:rsidRPr="00E063B5">
              <w:t>6</w:t>
            </w:r>
            <w:r>
              <w:t>,</w:t>
            </w:r>
            <w:r w:rsidRPr="00E063B5">
              <w:t>660</w:t>
            </w:r>
          </w:p>
        </w:tc>
        <w:tc>
          <w:tcPr>
            <w:tcW w:w="177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E063B5" w:rsidRPr="00E063B5" w:rsidRDefault="00E063B5" w:rsidP="00E063B5">
            <w:pPr>
              <w:jc w:val="center"/>
              <w:rPr>
                <w:rFonts w:ascii="Arial" w:hAnsi="Arial" w:cs="Arial"/>
              </w:rPr>
            </w:pPr>
            <w:r w:rsidRPr="00E063B5">
              <w:t>74%</w:t>
            </w:r>
          </w:p>
        </w:tc>
        <w:tc>
          <w:tcPr>
            <w:tcW w:w="177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E063B5" w:rsidRPr="00E063B5" w:rsidRDefault="00E063B5" w:rsidP="00E063B5">
            <w:pPr>
              <w:jc w:val="center"/>
              <w:rPr>
                <w:rFonts w:ascii="Arial" w:hAnsi="Arial" w:cs="Arial"/>
              </w:rPr>
            </w:pPr>
            <w:r w:rsidRPr="00E063B5">
              <w:t>5%</w:t>
            </w:r>
          </w:p>
        </w:tc>
        <w:tc>
          <w:tcPr>
            <w:tcW w:w="177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E063B5" w:rsidRPr="00E063B5" w:rsidRDefault="00E063B5" w:rsidP="00E063B5">
            <w:pPr>
              <w:jc w:val="center"/>
              <w:rPr>
                <w:rFonts w:ascii="Arial" w:hAnsi="Arial" w:cs="Arial"/>
              </w:rPr>
            </w:pPr>
            <w:r w:rsidRPr="00E063B5">
              <w:t>21%</w:t>
            </w:r>
          </w:p>
        </w:tc>
      </w:tr>
      <w:tr w:rsidR="00E063B5" w:rsidRPr="00E063B5" w:rsidTr="00E063B5">
        <w:trPr>
          <w:trHeight w:val="842"/>
        </w:trPr>
        <w:tc>
          <w:tcPr>
            <w:tcW w:w="184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E063B5" w:rsidRPr="00E063B5" w:rsidRDefault="00E063B5" w:rsidP="00E063B5">
            <w:pPr>
              <w:rPr>
                <w:rFonts w:ascii="Arial" w:hAnsi="Arial" w:cs="Arial"/>
                <w:sz w:val="28"/>
              </w:rPr>
            </w:pPr>
            <w:r w:rsidRPr="00E063B5">
              <w:rPr>
                <w:sz w:val="28"/>
              </w:rPr>
              <w:t>45-54</w:t>
            </w:r>
            <w:r>
              <w:rPr>
                <w:sz w:val="28"/>
              </w:rPr>
              <w:t xml:space="preserve"> years</w:t>
            </w:r>
          </w:p>
        </w:tc>
        <w:tc>
          <w:tcPr>
            <w:tcW w:w="177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E063B5" w:rsidRPr="00E063B5" w:rsidRDefault="00E063B5" w:rsidP="00E063B5">
            <w:pPr>
              <w:jc w:val="center"/>
              <w:rPr>
                <w:rFonts w:ascii="Arial" w:hAnsi="Arial" w:cs="Arial"/>
              </w:rPr>
            </w:pPr>
            <w:r w:rsidRPr="00E063B5">
              <w:t>2</w:t>
            </w:r>
            <w:r>
              <w:t>,</w:t>
            </w:r>
            <w:r w:rsidRPr="00E063B5">
              <w:t>090</w:t>
            </w:r>
          </w:p>
        </w:tc>
        <w:tc>
          <w:tcPr>
            <w:tcW w:w="1772" w:type="dxa"/>
            <w:tcBorders>
              <w:top w:val="single" w:sz="8" w:space="0" w:color="000000"/>
              <w:left w:val="single" w:sz="8" w:space="0" w:color="000000"/>
              <w:bottom w:val="single" w:sz="8" w:space="0" w:color="000000"/>
              <w:right w:val="single" w:sz="8" w:space="0" w:color="000000"/>
            </w:tcBorders>
            <w:shd w:val="clear" w:color="auto" w:fill="FFE2BC"/>
            <w:tcMar>
              <w:top w:w="72" w:type="dxa"/>
              <w:left w:w="144" w:type="dxa"/>
              <w:bottom w:w="72" w:type="dxa"/>
              <w:right w:w="144" w:type="dxa"/>
            </w:tcMar>
            <w:vAlign w:val="center"/>
            <w:hideMark/>
          </w:tcPr>
          <w:p w:rsidR="00E063B5" w:rsidRPr="00E063B5" w:rsidRDefault="00E063B5" w:rsidP="00E063B5">
            <w:pPr>
              <w:jc w:val="center"/>
              <w:rPr>
                <w:rFonts w:ascii="Arial" w:hAnsi="Arial" w:cs="Arial"/>
              </w:rPr>
            </w:pPr>
            <w:r w:rsidRPr="00E063B5">
              <w:t>71%</w:t>
            </w:r>
            <w:r w:rsidRPr="00E063B5">
              <w:rPr>
                <w:b/>
                <w:bCs/>
                <w:color w:val="E36C0A" w:themeColor="accent6" w:themeShade="BF"/>
              </w:rPr>
              <w:t xml:space="preserve"> </w:t>
            </w:r>
            <w:r w:rsidRPr="00E063B5">
              <w:rPr>
                <w:b/>
                <w:bCs/>
                <w:color w:val="FF0000"/>
              </w:rPr>
              <w:t>(79%)</w:t>
            </w:r>
          </w:p>
        </w:tc>
        <w:tc>
          <w:tcPr>
            <w:tcW w:w="1772" w:type="dxa"/>
            <w:tcBorders>
              <w:top w:val="single" w:sz="8" w:space="0" w:color="000000"/>
              <w:left w:val="single" w:sz="8" w:space="0" w:color="000000"/>
              <w:bottom w:val="single" w:sz="8" w:space="0" w:color="000000"/>
              <w:right w:val="single" w:sz="8" w:space="0" w:color="000000"/>
            </w:tcBorders>
            <w:shd w:val="clear" w:color="auto" w:fill="FFE2BC"/>
            <w:tcMar>
              <w:top w:w="72" w:type="dxa"/>
              <w:left w:w="144" w:type="dxa"/>
              <w:bottom w:w="72" w:type="dxa"/>
              <w:right w:w="144" w:type="dxa"/>
            </w:tcMar>
            <w:vAlign w:val="center"/>
            <w:hideMark/>
          </w:tcPr>
          <w:p w:rsidR="00E063B5" w:rsidRPr="00E063B5" w:rsidRDefault="00E063B5" w:rsidP="00E063B5">
            <w:pPr>
              <w:jc w:val="center"/>
              <w:rPr>
                <w:rFonts w:ascii="Arial" w:hAnsi="Arial" w:cs="Arial"/>
              </w:rPr>
            </w:pPr>
            <w:r w:rsidRPr="00E063B5">
              <w:t xml:space="preserve">6% </w:t>
            </w:r>
            <w:r w:rsidRPr="00E063B5">
              <w:rPr>
                <w:rFonts w:eastAsiaTheme="minorEastAsia" w:cstheme="minorBidi"/>
                <w:b/>
                <w:bCs/>
                <w:color w:val="FF0000"/>
              </w:rPr>
              <w:t>(3%)</w:t>
            </w:r>
          </w:p>
        </w:tc>
        <w:tc>
          <w:tcPr>
            <w:tcW w:w="1772" w:type="dxa"/>
            <w:tcBorders>
              <w:top w:val="single" w:sz="8" w:space="0" w:color="000000"/>
              <w:left w:val="single" w:sz="8" w:space="0" w:color="000000"/>
              <w:bottom w:val="single" w:sz="8" w:space="0" w:color="000000"/>
              <w:right w:val="single" w:sz="8" w:space="0" w:color="000000"/>
            </w:tcBorders>
            <w:shd w:val="clear" w:color="auto" w:fill="FFE2BC"/>
            <w:tcMar>
              <w:top w:w="72" w:type="dxa"/>
              <w:left w:w="144" w:type="dxa"/>
              <w:bottom w:w="72" w:type="dxa"/>
              <w:right w:w="144" w:type="dxa"/>
            </w:tcMar>
            <w:vAlign w:val="center"/>
            <w:hideMark/>
          </w:tcPr>
          <w:p w:rsidR="00E063B5" w:rsidRPr="00E063B5" w:rsidRDefault="00E063B5" w:rsidP="00E063B5">
            <w:pPr>
              <w:jc w:val="center"/>
              <w:rPr>
                <w:rFonts w:ascii="Arial" w:hAnsi="Arial" w:cs="Arial"/>
              </w:rPr>
            </w:pPr>
            <w:r w:rsidRPr="00E063B5">
              <w:t xml:space="preserve">23% </w:t>
            </w:r>
            <w:r w:rsidRPr="00E063B5">
              <w:rPr>
                <w:rFonts w:eastAsiaTheme="minorEastAsia" w:cstheme="minorBidi"/>
                <w:b/>
                <w:bCs/>
                <w:color w:val="FF0000"/>
              </w:rPr>
              <w:t>(18%)</w:t>
            </w:r>
          </w:p>
        </w:tc>
      </w:tr>
      <w:tr w:rsidR="00E063B5" w:rsidRPr="00E063B5" w:rsidTr="00E063B5">
        <w:trPr>
          <w:trHeight w:val="842"/>
        </w:trPr>
        <w:tc>
          <w:tcPr>
            <w:tcW w:w="1845" w:type="dxa"/>
            <w:tcBorders>
              <w:top w:val="single" w:sz="8" w:space="0" w:color="000000"/>
              <w:left w:val="single" w:sz="8" w:space="0" w:color="000000"/>
              <w:bottom w:val="single" w:sz="36" w:space="0" w:color="000000"/>
              <w:right w:val="single" w:sz="8" w:space="0" w:color="000000"/>
            </w:tcBorders>
            <w:shd w:val="clear" w:color="auto" w:fill="auto"/>
            <w:tcMar>
              <w:top w:w="72" w:type="dxa"/>
              <w:left w:w="144" w:type="dxa"/>
              <w:bottom w:w="72" w:type="dxa"/>
              <w:right w:w="144" w:type="dxa"/>
            </w:tcMar>
            <w:vAlign w:val="center"/>
            <w:hideMark/>
          </w:tcPr>
          <w:p w:rsidR="00E063B5" w:rsidRPr="00E063B5" w:rsidRDefault="00E063B5" w:rsidP="00E063B5">
            <w:pPr>
              <w:rPr>
                <w:rFonts w:ascii="Arial" w:hAnsi="Arial" w:cs="Arial"/>
                <w:sz w:val="28"/>
              </w:rPr>
            </w:pPr>
            <w:r w:rsidRPr="00E063B5">
              <w:rPr>
                <w:sz w:val="28"/>
              </w:rPr>
              <w:t>55-64</w:t>
            </w:r>
            <w:r>
              <w:rPr>
                <w:sz w:val="28"/>
              </w:rPr>
              <w:t xml:space="preserve"> years</w:t>
            </w:r>
          </w:p>
        </w:tc>
        <w:tc>
          <w:tcPr>
            <w:tcW w:w="1772" w:type="dxa"/>
            <w:tcBorders>
              <w:top w:val="single" w:sz="8" w:space="0" w:color="000000"/>
              <w:left w:val="single" w:sz="8" w:space="0" w:color="000000"/>
              <w:bottom w:val="single" w:sz="36" w:space="0" w:color="000000"/>
              <w:right w:val="single" w:sz="8" w:space="0" w:color="000000"/>
            </w:tcBorders>
            <w:shd w:val="clear" w:color="auto" w:fill="auto"/>
            <w:tcMar>
              <w:top w:w="72" w:type="dxa"/>
              <w:left w:w="144" w:type="dxa"/>
              <w:bottom w:w="72" w:type="dxa"/>
              <w:right w:w="144" w:type="dxa"/>
            </w:tcMar>
            <w:vAlign w:val="center"/>
            <w:hideMark/>
          </w:tcPr>
          <w:p w:rsidR="00E063B5" w:rsidRPr="00E063B5" w:rsidRDefault="00E063B5" w:rsidP="00E063B5">
            <w:pPr>
              <w:jc w:val="center"/>
              <w:rPr>
                <w:rFonts w:ascii="Arial" w:hAnsi="Arial" w:cs="Arial"/>
              </w:rPr>
            </w:pPr>
            <w:r w:rsidRPr="00E063B5">
              <w:t>1</w:t>
            </w:r>
            <w:r>
              <w:t>,</w:t>
            </w:r>
            <w:r w:rsidRPr="00E063B5">
              <w:t>970</w:t>
            </w:r>
          </w:p>
        </w:tc>
        <w:tc>
          <w:tcPr>
            <w:tcW w:w="1772" w:type="dxa"/>
            <w:tcBorders>
              <w:top w:val="single" w:sz="8" w:space="0" w:color="000000"/>
              <w:left w:val="single" w:sz="8" w:space="0" w:color="000000"/>
              <w:bottom w:val="single" w:sz="36" w:space="0" w:color="000000"/>
              <w:right w:val="single" w:sz="8" w:space="0" w:color="000000"/>
            </w:tcBorders>
            <w:shd w:val="clear" w:color="auto" w:fill="FFE2BC"/>
            <w:tcMar>
              <w:top w:w="72" w:type="dxa"/>
              <w:left w:w="144" w:type="dxa"/>
              <w:bottom w:w="72" w:type="dxa"/>
              <w:right w:w="144" w:type="dxa"/>
            </w:tcMar>
            <w:vAlign w:val="center"/>
            <w:hideMark/>
          </w:tcPr>
          <w:p w:rsidR="00E063B5" w:rsidRPr="00E063B5" w:rsidRDefault="00E063B5" w:rsidP="00E063B5">
            <w:pPr>
              <w:jc w:val="center"/>
              <w:rPr>
                <w:rFonts w:ascii="Arial" w:hAnsi="Arial" w:cs="Arial"/>
              </w:rPr>
            </w:pPr>
            <w:r w:rsidRPr="00E063B5">
              <w:t>45%</w:t>
            </w:r>
            <w:r w:rsidRPr="00E063B5">
              <w:rPr>
                <w:b/>
                <w:bCs/>
              </w:rPr>
              <w:t xml:space="preserve"> </w:t>
            </w:r>
            <w:r w:rsidRPr="00E063B5">
              <w:rPr>
                <w:b/>
                <w:bCs/>
                <w:color w:val="FF0000"/>
              </w:rPr>
              <w:t>(56%)</w:t>
            </w:r>
          </w:p>
        </w:tc>
        <w:tc>
          <w:tcPr>
            <w:tcW w:w="1772" w:type="dxa"/>
            <w:tcBorders>
              <w:top w:val="single" w:sz="8" w:space="0" w:color="000000"/>
              <w:left w:val="single" w:sz="8" w:space="0" w:color="000000"/>
              <w:bottom w:val="single" w:sz="36" w:space="0" w:color="000000"/>
              <w:right w:val="single" w:sz="8" w:space="0" w:color="000000"/>
            </w:tcBorders>
            <w:shd w:val="clear" w:color="auto" w:fill="auto"/>
            <w:tcMar>
              <w:top w:w="72" w:type="dxa"/>
              <w:left w:w="144" w:type="dxa"/>
              <w:bottom w:w="72" w:type="dxa"/>
              <w:right w:w="144" w:type="dxa"/>
            </w:tcMar>
            <w:vAlign w:val="center"/>
            <w:hideMark/>
          </w:tcPr>
          <w:p w:rsidR="00E063B5" w:rsidRPr="00E063B5" w:rsidRDefault="00E063B5" w:rsidP="00E063B5">
            <w:pPr>
              <w:jc w:val="center"/>
              <w:rPr>
                <w:rFonts w:ascii="Arial" w:hAnsi="Arial" w:cs="Arial"/>
              </w:rPr>
            </w:pPr>
            <w:r w:rsidRPr="00E063B5">
              <w:t xml:space="preserve">5% </w:t>
            </w:r>
            <w:r w:rsidRPr="00E063B5">
              <w:rPr>
                <w:b/>
                <w:bCs/>
                <w:color w:val="FF0000"/>
              </w:rPr>
              <w:t>(2%)</w:t>
            </w:r>
          </w:p>
        </w:tc>
        <w:tc>
          <w:tcPr>
            <w:tcW w:w="1772" w:type="dxa"/>
            <w:tcBorders>
              <w:top w:val="single" w:sz="8" w:space="0" w:color="000000"/>
              <w:left w:val="single" w:sz="8" w:space="0" w:color="000000"/>
              <w:bottom w:val="single" w:sz="36" w:space="0" w:color="000000"/>
              <w:right w:val="single" w:sz="8" w:space="0" w:color="000000"/>
            </w:tcBorders>
            <w:shd w:val="clear" w:color="auto" w:fill="FFE2BC"/>
            <w:tcMar>
              <w:top w:w="72" w:type="dxa"/>
              <w:left w:w="144" w:type="dxa"/>
              <w:bottom w:w="72" w:type="dxa"/>
              <w:right w:w="144" w:type="dxa"/>
            </w:tcMar>
            <w:vAlign w:val="center"/>
            <w:hideMark/>
          </w:tcPr>
          <w:p w:rsidR="00E063B5" w:rsidRPr="00E063B5" w:rsidRDefault="00E063B5" w:rsidP="00E063B5">
            <w:pPr>
              <w:jc w:val="center"/>
              <w:rPr>
                <w:rFonts w:ascii="Arial" w:hAnsi="Arial" w:cs="Arial"/>
              </w:rPr>
            </w:pPr>
            <w:r w:rsidRPr="00E063B5">
              <w:t>49%</w:t>
            </w:r>
            <w:r w:rsidRPr="00E063B5">
              <w:rPr>
                <w:b/>
                <w:bCs/>
                <w:color w:val="E36C0A" w:themeColor="accent6" w:themeShade="BF"/>
              </w:rPr>
              <w:t xml:space="preserve"> </w:t>
            </w:r>
            <w:r w:rsidRPr="00E063B5">
              <w:rPr>
                <w:b/>
                <w:bCs/>
                <w:color w:val="FF0000"/>
              </w:rPr>
              <w:t>(41%)</w:t>
            </w:r>
          </w:p>
        </w:tc>
      </w:tr>
      <w:tr w:rsidR="00E063B5" w:rsidRPr="00E063B5" w:rsidTr="00E063B5">
        <w:trPr>
          <w:trHeight w:val="1263"/>
        </w:trPr>
        <w:tc>
          <w:tcPr>
            <w:tcW w:w="1845" w:type="dxa"/>
            <w:tcBorders>
              <w:top w:val="single" w:sz="36"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E063B5" w:rsidRPr="00E063B5" w:rsidRDefault="00E063B5" w:rsidP="00E063B5">
            <w:pPr>
              <w:rPr>
                <w:rFonts w:ascii="Arial" w:hAnsi="Arial" w:cs="Arial"/>
                <w:sz w:val="28"/>
              </w:rPr>
            </w:pPr>
            <w:r w:rsidRPr="00E063B5">
              <w:rPr>
                <w:sz w:val="28"/>
              </w:rPr>
              <w:t>Migrating from Overseas</w:t>
            </w:r>
          </w:p>
        </w:tc>
        <w:tc>
          <w:tcPr>
            <w:tcW w:w="1772" w:type="dxa"/>
            <w:tcBorders>
              <w:top w:val="single" w:sz="36"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E063B5" w:rsidRPr="00E063B5" w:rsidRDefault="00E063B5" w:rsidP="00E063B5">
            <w:pPr>
              <w:jc w:val="center"/>
              <w:rPr>
                <w:rFonts w:ascii="Arial" w:hAnsi="Arial" w:cs="Arial"/>
              </w:rPr>
            </w:pPr>
            <w:r w:rsidRPr="00E063B5">
              <w:t>1</w:t>
            </w:r>
            <w:r>
              <w:t>,</w:t>
            </w:r>
            <w:r w:rsidRPr="00E063B5">
              <w:t>570</w:t>
            </w:r>
          </w:p>
        </w:tc>
        <w:tc>
          <w:tcPr>
            <w:tcW w:w="1772" w:type="dxa"/>
            <w:tcBorders>
              <w:top w:val="single" w:sz="36"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E063B5" w:rsidRPr="00E063B5" w:rsidRDefault="00E063B5" w:rsidP="00E063B5">
            <w:pPr>
              <w:jc w:val="center"/>
              <w:rPr>
                <w:rFonts w:ascii="Arial" w:hAnsi="Arial" w:cs="Arial"/>
              </w:rPr>
            </w:pPr>
            <w:r w:rsidRPr="00E063B5">
              <w:t>64%</w:t>
            </w:r>
          </w:p>
        </w:tc>
        <w:tc>
          <w:tcPr>
            <w:tcW w:w="1772" w:type="dxa"/>
            <w:tcBorders>
              <w:top w:val="single" w:sz="36"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E063B5" w:rsidRPr="00E063B5" w:rsidRDefault="00E063B5" w:rsidP="00E063B5">
            <w:pPr>
              <w:jc w:val="center"/>
              <w:rPr>
                <w:rFonts w:ascii="Arial" w:hAnsi="Arial" w:cs="Arial"/>
              </w:rPr>
            </w:pPr>
            <w:r w:rsidRPr="00E063B5">
              <w:t>6%</w:t>
            </w:r>
          </w:p>
        </w:tc>
        <w:tc>
          <w:tcPr>
            <w:tcW w:w="1772" w:type="dxa"/>
            <w:tcBorders>
              <w:top w:val="single" w:sz="36"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E063B5" w:rsidRPr="00E063B5" w:rsidRDefault="00E063B5" w:rsidP="00E063B5">
            <w:pPr>
              <w:jc w:val="center"/>
              <w:rPr>
                <w:rFonts w:ascii="Arial" w:hAnsi="Arial" w:cs="Arial"/>
              </w:rPr>
            </w:pPr>
            <w:r w:rsidRPr="00E063B5">
              <w:t>30%</w:t>
            </w:r>
          </w:p>
        </w:tc>
      </w:tr>
    </w:tbl>
    <w:p w:rsidR="00532F91" w:rsidRPr="00E063B5" w:rsidRDefault="00532F91" w:rsidP="00E063B5">
      <w:pPr>
        <w:rPr>
          <w:i/>
        </w:rPr>
      </w:pPr>
      <w:r w:rsidRPr="00E063B5">
        <w:rPr>
          <w:i/>
        </w:rPr>
        <w:t xml:space="preserve">Source: ABS, Census of Population and Housing, 2011 </w:t>
      </w:r>
    </w:p>
    <w:p w:rsidR="00532F91" w:rsidRPr="00532F91" w:rsidRDefault="00532F91" w:rsidP="00E063B5"/>
    <w:p w:rsidR="00532F91" w:rsidRPr="00532F91" w:rsidRDefault="00532F91" w:rsidP="00E063B5">
      <w:r w:rsidRPr="00532F91">
        <w:t>People of working age (age at 2011) who had migrated into Bendigo region between 2006 and 2011 (14,180 persons) were more likely to be unemployed (6 per cent compared with 4 per cent overall) and not in the labour force (29 per cent, compared with 27 per cent overall).</w:t>
      </w:r>
    </w:p>
    <w:p w:rsidR="00532F91" w:rsidRPr="00532F91" w:rsidRDefault="00532F91">
      <w:pPr>
        <w:rPr>
          <w:rFonts w:cstheme="minorHAnsi"/>
          <w:sz w:val="20"/>
          <w:szCs w:val="20"/>
        </w:rPr>
      </w:pPr>
      <w:r w:rsidRPr="00532F91">
        <w:rPr>
          <w:rFonts w:cstheme="minorHAnsi"/>
          <w:sz w:val="20"/>
          <w:szCs w:val="20"/>
        </w:rPr>
        <w:br w:type="page"/>
      </w:r>
    </w:p>
    <w:p w:rsidR="00115395" w:rsidRPr="00532F91" w:rsidRDefault="00532F91" w:rsidP="00A408C5">
      <w:pPr>
        <w:pStyle w:val="Heading1"/>
      </w:pPr>
      <w:r w:rsidRPr="00532F91">
        <w:lastRenderedPageBreak/>
        <w:t>Slide 9</w:t>
      </w:r>
      <w:r w:rsidR="00115395">
        <w:t xml:space="preserve"> </w:t>
      </w:r>
      <w:r w:rsidR="00115395" w:rsidRPr="00532F91">
        <w:t>Where else do Bendigo residents work?</w:t>
      </w:r>
    </w:p>
    <w:p w:rsidR="00532F91" w:rsidRPr="00532F91" w:rsidRDefault="00532F91" w:rsidP="00532F91">
      <w:pPr>
        <w:spacing w:line="360" w:lineRule="auto"/>
        <w:rPr>
          <w:rFonts w:cstheme="minorHAnsi"/>
          <w:sz w:val="20"/>
          <w:szCs w:val="20"/>
        </w:rPr>
      </w:pPr>
    </w:p>
    <w:p w:rsidR="00532F91" w:rsidRPr="00532F91" w:rsidRDefault="00602890" w:rsidP="00532F91">
      <w:pPr>
        <w:spacing w:line="360" w:lineRule="auto"/>
        <w:rPr>
          <w:rFonts w:cstheme="minorHAnsi"/>
          <w:sz w:val="20"/>
          <w:szCs w:val="20"/>
        </w:rPr>
      </w:pPr>
      <w:r w:rsidRPr="00602890">
        <w:rPr>
          <w:noProof/>
        </w:rPr>
        <w:drawing>
          <wp:inline distT="0" distB="0" distL="0" distR="0" wp14:anchorId="2BF11883" wp14:editId="5B461D19">
            <wp:extent cx="5400000" cy="4050000"/>
            <wp:effectExtent l="19050" t="19050" r="10795" b="27305"/>
            <wp:docPr id="55" name="Picture 55" descr="Pie graphs - Where else do Bendigo residents work? - description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400000" cy="4050000"/>
                    </a:xfrm>
                    <a:prstGeom prst="rect">
                      <a:avLst/>
                    </a:prstGeom>
                    <a:ln>
                      <a:solidFill>
                        <a:schemeClr val="tx1"/>
                      </a:solidFill>
                    </a:ln>
                  </pic:spPr>
                </pic:pic>
              </a:graphicData>
            </a:graphic>
          </wp:inline>
        </w:drawing>
      </w:r>
    </w:p>
    <w:p w:rsidR="00532F91" w:rsidRPr="00467DC2" w:rsidRDefault="00532F91" w:rsidP="00467DC2">
      <w:pPr>
        <w:rPr>
          <w:i/>
        </w:rPr>
      </w:pPr>
      <w:r w:rsidRPr="00467DC2">
        <w:rPr>
          <w:i/>
        </w:rPr>
        <w:t xml:space="preserve">Source: ABS, Census of Population and Housing, 2011 </w:t>
      </w:r>
    </w:p>
    <w:p w:rsidR="00532F91" w:rsidRPr="00532F91" w:rsidRDefault="00532F91" w:rsidP="00467DC2"/>
    <w:p w:rsidR="00532F91" w:rsidRPr="00532F91" w:rsidRDefault="00532F91" w:rsidP="00467DC2">
      <w:pPr>
        <w:rPr>
          <w:b/>
          <w:bCs/>
        </w:rPr>
      </w:pPr>
      <w:r w:rsidRPr="00532F91">
        <w:t>Of those who defined their place of work, 83 per cent (44,500) work locally and 17 per</w:t>
      </w:r>
      <w:r w:rsidR="00744484">
        <w:t xml:space="preserve"> </w:t>
      </w:r>
      <w:r w:rsidRPr="00532F91">
        <w:t>cent (4</w:t>
      </w:r>
      <w:r w:rsidR="00602890">
        <w:t>,</w:t>
      </w:r>
      <w:r w:rsidRPr="00532F91">
        <w:t>800) work outside the Bendigo region. Those who work outside were more likely to be employed as Professionals (25 per cent compared with 21 per cent for those who live and work locally).</w:t>
      </w:r>
    </w:p>
    <w:p w:rsidR="00532F91" w:rsidRPr="00532F91" w:rsidRDefault="00532F91" w:rsidP="00467DC2"/>
    <w:p w:rsidR="00532F91" w:rsidRPr="00532F91" w:rsidRDefault="00532F91" w:rsidP="00467DC2">
      <w:r w:rsidRPr="00532F91">
        <w:t>Melbourne is by far the most common destination for Bendigo residents who work outside the region (2</w:t>
      </w:r>
      <w:r w:rsidR="00602890">
        <w:t>,</w:t>
      </w:r>
      <w:r w:rsidRPr="00532F91">
        <w:t>800 persons or 58 per cent of those who work elsewhere), followed by the Ballarat region (540 persons or 11 per cent of those who work elsewhere). Loddon and Campaspe are also important working destinations.</w:t>
      </w:r>
    </w:p>
    <w:p w:rsidR="00532F91" w:rsidRPr="00532F91" w:rsidRDefault="00532F91">
      <w:pPr>
        <w:rPr>
          <w:rFonts w:cstheme="minorHAnsi"/>
          <w:sz w:val="20"/>
          <w:szCs w:val="20"/>
        </w:rPr>
      </w:pPr>
      <w:r w:rsidRPr="00532F91">
        <w:rPr>
          <w:rFonts w:cstheme="minorHAnsi"/>
          <w:sz w:val="20"/>
          <w:szCs w:val="20"/>
        </w:rPr>
        <w:br w:type="page"/>
      </w:r>
    </w:p>
    <w:p w:rsidR="004D19C6" w:rsidRDefault="00532F91" w:rsidP="00A408C5">
      <w:pPr>
        <w:pStyle w:val="Heading1"/>
      </w:pPr>
      <w:r w:rsidRPr="00532F91">
        <w:lastRenderedPageBreak/>
        <w:t>Slide 10</w:t>
      </w:r>
      <w:r w:rsidR="004D19C6">
        <w:t xml:space="preserve"> </w:t>
      </w:r>
      <w:r w:rsidR="004D19C6" w:rsidRPr="00532F91">
        <w:t>Unemployment rate rising…</w:t>
      </w:r>
    </w:p>
    <w:p w:rsidR="00602890" w:rsidRPr="00602890" w:rsidRDefault="00602890" w:rsidP="00602890"/>
    <w:p w:rsidR="00532F91" w:rsidRPr="00532F91" w:rsidRDefault="00602890" w:rsidP="00532F91">
      <w:pPr>
        <w:spacing w:line="360" w:lineRule="auto"/>
        <w:rPr>
          <w:rFonts w:cstheme="minorHAnsi"/>
          <w:sz w:val="20"/>
          <w:szCs w:val="20"/>
        </w:rPr>
      </w:pPr>
      <w:r w:rsidRPr="00602890">
        <w:rPr>
          <w:noProof/>
        </w:rPr>
        <w:drawing>
          <wp:inline distT="0" distB="0" distL="0" distR="0" wp14:anchorId="2BD73B2C" wp14:editId="7B05E0D2">
            <wp:extent cx="5400000" cy="4050000"/>
            <wp:effectExtent l="19050" t="19050" r="10795" b="27305"/>
            <wp:docPr id="56" name="Picture 56" descr="Graph - Unemployment rate rising... - description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400000" cy="4050000"/>
                    </a:xfrm>
                    <a:prstGeom prst="rect">
                      <a:avLst/>
                    </a:prstGeom>
                    <a:ln>
                      <a:solidFill>
                        <a:schemeClr val="tx1"/>
                      </a:solidFill>
                    </a:ln>
                  </pic:spPr>
                </pic:pic>
              </a:graphicData>
            </a:graphic>
          </wp:inline>
        </w:drawing>
      </w:r>
    </w:p>
    <w:p w:rsidR="00532F91" w:rsidRPr="00602890" w:rsidRDefault="00532F91" w:rsidP="00602890">
      <w:pPr>
        <w:rPr>
          <w:i/>
        </w:rPr>
      </w:pPr>
      <w:r w:rsidRPr="00602890">
        <w:rPr>
          <w:i/>
        </w:rPr>
        <w:t>Source: Department of Employment, Small Area Labour Markets, December 2013</w:t>
      </w:r>
    </w:p>
    <w:p w:rsidR="00532F91" w:rsidRPr="00532F91" w:rsidRDefault="00532F91" w:rsidP="00602890"/>
    <w:p w:rsidR="00532F91" w:rsidRPr="00532F91" w:rsidRDefault="00532F91" w:rsidP="00602890">
      <w:r w:rsidRPr="00532F91">
        <w:t>In December 2013, the unemployment rate for the Bendigo region was 6.5 per cent, higher compared with Victoria (5.8 per cent).</w:t>
      </w:r>
    </w:p>
    <w:p w:rsidR="00532F91" w:rsidRPr="00532F91" w:rsidRDefault="00532F91">
      <w:pPr>
        <w:rPr>
          <w:rFonts w:cstheme="minorHAnsi"/>
          <w:sz w:val="20"/>
          <w:szCs w:val="20"/>
        </w:rPr>
      </w:pPr>
      <w:r w:rsidRPr="00532F91">
        <w:rPr>
          <w:rFonts w:cstheme="minorHAnsi"/>
          <w:sz w:val="20"/>
          <w:szCs w:val="20"/>
        </w:rPr>
        <w:br w:type="page"/>
      </w:r>
    </w:p>
    <w:p w:rsidR="00FB7A41" w:rsidRPr="00532F91" w:rsidRDefault="00532F91" w:rsidP="00A408C5">
      <w:pPr>
        <w:pStyle w:val="Heading1"/>
      </w:pPr>
      <w:r w:rsidRPr="00532F91">
        <w:lastRenderedPageBreak/>
        <w:t>Slide 11</w:t>
      </w:r>
      <w:r w:rsidR="00FB7A41">
        <w:t xml:space="preserve"> </w:t>
      </w:r>
      <w:r w:rsidR="00FB7A41" w:rsidRPr="00532F91">
        <w:t>…across all Local Government Areas</w:t>
      </w:r>
    </w:p>
    <w:p w:rsidR="00532F91" w:rsidRPr="00532F91" w:rsidRDefault="00532F91" w:rsidP="00532F91">
      <w:pPr>
        <w:spacing w:line="360" w:lineRule="auto"/>
        <w:rPr>
          <w:rFonts w:cstheme="minorHAnsi"/>
          <w:sz w:val="20"/>
          <w:szCs w:val="20"/>
        </w:rPr>
      </w:pPr>
    </w:p>
    <w:tbl>
      <w:tblPr>
        <w:tblW w:w="8534" w:type="dxa"/>
        <w:tblCellMar>
          <w:left w:w="0" w:type="dxa"/>
          <w:right w:w="0" w:type="dxa"/>
        </w:tblCellMar>
        <w:tblLook w:val="0600" w:firstRow="0" w:lastRow="0" w:firstColumn="0" w:lastColumn="0" w:noHBand="1" w:noVBand="1"/>
      </w:tblPr>
      <w:tblGrid>
        <w:gridCol w:w="2722"/>
        <w:gridCol w:w="1937"/>
        <w:gridCol w:w="1937"/>
        <w:gridCol w:w="1938"/>
      </w:tblGrid>
      <w:tr w:rsidR="008F0A55" w:rsidRPr="005E7083" w:rsidTr="008F0A55">
        <w:trPr>
          <w:trHeight w:val="1291"/>
        </w:trPr>
        <w:tc>
          <w:tcPr>
            <w:tcW w:w="2722" w:type="dxa"/>
            <w:tcBorders>
              <w:top w:val="single" w:sz="4" w:space="0" w:color="000000"/>
              <w:left w:val="single" w:sz="4" w:space="0" w:color="000000"/>
              <w:bottom w:val="single" w:sz="4" w:space="0" w:color="000000"/>
              <w:right w:val="single" w:sz="4" w:space="0" w:color="000000"/>
            </w:tcBorders>
            <w:shd w:val="clear" w:color="auto" w:fill="009288"/>
            <w:tcMar>
              <w:top w:w="15" w:type="dxa"/>
              <w:left w:w="170" w:type="dxa"/>
              <w:bottom w:w="0" w:type="dxa"/>
              <w:right w:w="15" w:type="dxa"/>
            </w:tcMar>
            <w:vAlign w:val="center"/>
            <w:hideMark/>
          </w:tcPr>
          <w:p w:rsidR="008F0A55" w:rsidRPr="005E7083" w:rsidRDefault="00A408C5" w:rsidP="00A408C5">
            <w:pPr>
              <w:pStyle w:val="Heading1"/>
              <w:jc w:val="center"/>
              <w:rPr>
                <w:rFonts w:ascii="Arial" w:hAnsi="Arial" w:cs="Arial"/>
                <w:color w:val="FFFFFF" w:themeColor="background1"/>
                <w:sz w:val="32"/>
                <w:u w:val="none"/>
              </w:rPr>
            </w:pPr>
            <w:r w:rsidRPr="005E7083">
              <w:rPr>
                <w:color w:val="FFFFFF" w:themeColor="background1"/>
                <w:sz w:val="32"/>
                <w:u w:val="none"/>
              </w:rPr>
              <w:t>R</w:t>
            </w:r>
            <w:r w:rsidR="008F0A55" w:rsidRPr="005E7083">
              <w:rPr>
                <w:color w:val="FFFFFF" w:themeColor="background1"/>
                <w:sz w:val="32"/>
                <w:u w:val="none"/>
              </w:rPr>
              <w:t>egion</w:t>
            </w:r>
          </w:p>
        </w:tc>
        <w:tc>
          <w:tcPr>
            <w:tcW w:w="1937" w:type="dxa"/>
            <w:tcBorders>
              <w:top w:val="single" w:sz="4" w:space="0" w:color="000000"/>
              <w:left w:val="single" w:sz="4" w:space="0" w:color="000000"/>
              <w:bottom w:val="single" w:sz="4" w:space="0" w:color="000000"/>
              <w:right w:val="single" w:sz="4" w:space="0" w:color="000000"/>
            </w:tcBorders>
            <w:shd w:val="clear" w:color="auto" w:fill="009288"/>
            <w:tcMar>
              <w:top w:w="15" w:type="dxa"/>
              <w:left w:w="15" w:type="dxa"/>
              <w:bottom w:w="0" w:type="dxa"/>
              <w:right w:w="15" w:type="dxa"/>
            </w:tcMar>
            <w:vAlign w:val="center"/>
            <w:hideMark/>
          </w:tcPr>
          <w:p w:rsidR="008F0A55" w:rsidRPr="005E7083" w:rsidRDefault="008F0A55" w:rsidP="00A408C5">
            <w:pPr>
              <w:pStyle w:val="Heading1"/>
              <w:jc w:val="center"/>
              <w:rPr>
                <w:rFonts w:ascii="Arial" w:hAnsi="Arial" w:cs="Arial"/>
                <w:color w:val="FFFFFF" w:themeColor="background1"/>
                <w:sz w:val="32"/>
                <w:u w:val="none"/>
              </w:rPr>
            </w:pPr>
            <w:r w:rsidRPr="005E7083">
              <w:rPr>
                <w:color w:val="FFFFFF" w:themeColor="background1"/>
                <w:sz w:val="32"/>
                <w:u w:val="none"/>
              </w:rPr>
              <w:t>December 2012</w:t>
            </w:r>
          </w:p>
        </w:tc>
        <w:tc>
          <w:tcPr>
            <w:tcW w:w="1937" w:type="dxa"/>
            <w:tcBorders>
              <w:top w:val="single" w:sz="4" w:space="0" w:color="000000"/>
              <w:left w:val="single" w:sz="4" w:space="0" w:color="000000"/>
              <w:bottom w:val="single" w:sz="4" w:space="0" w:color="000000"/>
              <w:right w:val="single" w:sz="4" w:space="0" w:color="000000"/>
            </w:tcBorders>
            <w:shd w:val="clear" w:color="auto" w:fill="009288"/>
            <w:tcMar>
              <w:top w:w="15" w:type="dxa"/>
              <w:left w:w="15" w:type="dxa"/>
              <w:bottom w:w="0" w:type="dxa"/>
              <w:right w:w="15" w:type="dxa"/>
            </w:tcMar>
            <w:vAlign w:val="center"/>
            <w:hideMark/>
          </w:tcPr>
          <w:p w:rsidR="008F0A55" w:rsidRPr="005E7083" w:rsidRDefault="008F0A55" w:rsidP="00A408C5">
            <w:pPr>
              <w:pStyle w:val="Heading1"/>
              <w:jc w:val="center"/>
              <w:rPr>
                <w:rFonts w:ascii="Arial" w:hAnsi="Arial" w:cs="Arial"/>
                <w:color w:val="FFFFFF" w:themeColor="background1"/>
                <w:sz w:val="32"/>
                <w:u w:val="none"/>
              </w:rPr>
            </w:pPr>
            <w:r w:rsidRPr="005E7083">
              <w:rPr>
                <w:color w:val="FFFFFF" w:themeColor="background1"/>
                <w:sz w:val="32"/>
                <w:u w:val="none"/>
              </w:rPr>
              <w:t>December 2013</w:t>
            </w:r>
          </w:p>
        </w:tc>
        <w:tc>
          <w:tcPr>
            <w:tcW w:w="1938" w:type="dxa"/>
            <w:tcBorders>
              <w:top w:val="single" w:sz="4" w:space="0" w:color="000000"/>
              <w:left w:val="single" w:sz="4" w:space="0" w:color="000000"/>
              <w:bottom w:val="single" w:sz="4" w:space="0" w:color="000000"/>
              <w:right w:val="single" w:sz="4" w:space="0" w:color="000000"/>
            </w:tcBorders>
            <w:shd w:val="clear" w:color="auto" w:fill="009288"/>
            <w:tcMar>
              <w:top w:w="15" w:type="dxa"/>
              <w:left w:w="15" w:type="dxa"/>
              <w:bottom w:w="0" w:type="dxa"/>
              <w:right w:w="15" w:type="dxa"/>
            </w:tcMar>
            <w:vAlign w:val="center"/>
            <w:hideMark/>
          </w:tcPr>
          <w:p w:rsidR="008F0A55" w:rsidRPr="005E7083" w:rsidRDefault="008F0A55" w:rsidP="00A408C5">
            <w:pPr>
              <w:pStyle w:val="Heading1"/>
              <w:jc w:val="center"/>
              <w:rPr>
                <w:rFonts w:ascii="Arial" w:hAnsi="Arial" w:cs="Arial"/>
                <w:color w:val="FFFFFF" w:themeColor="background1"/>
                <w:sz w:val="32"/>
                <w:u w:val="none"/>
              </w:rPr>
            </w:pPr>
            <w:r w:rsidRPr="005E7083">
              <w:rPr>
                <w:color w:val="FFFFFF" w:themeColor="background1"/>
                <w:sz w:val="32"/>
                <w:u w:val="none"/>
              </w:rPr>
              <w:t>Annual Change</w:t>
            </w:r>
          </w:p>
        </w:tc>
      </w:tr>
      <w:tr w:rsidR="008F0A55" w:rsidRPr="008F0A55" w:rsidTr="008F0A55">
        <w:trPr>
          <w:trHeight w:val="877"/>
        </w:trPr>
        <w:tc>
          <w:tcPr>
            <w:tcW w:w="27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8F0A55" w:rsidRPr="008F0A55" w:rsidRDefault="008F0A55" w:rsidP="008F0A55">
            <w:pPr>
              <w:rPr>
                <w:rFonts w:ascii="Arial" w:hAnsi="Arial" w:cs="Arial"/>
                <w:sz w:val="28"/>
                <w:szCs w:val="36"/>
              </w:rPr>
            </w:pPr>
            <w:r w:rsidRPr="008F0A55">
              <w:rPr>
                <w:rFonts w:eastAsiaTheme="minorEastAsia"/>
                <w:sz w:val="28"/>
              </w:rPr>
              <w:t>Greater Bendigo LGA</w:t>
            </w:r>
          </w:p>
        </w:tc>
        <w:tc>
          <w:tcPr>
            <w:tcW w:w="1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8F0A55" w:rsidRPr="008F0A55" w:rsidRDefault="008F0A55" w:rsidP="008F0A55">
            <w:pPr>
              <w:jc w:val="center"/>
              <w:rPr>
                <w:rFonts w:ascii="Arial" w:hAnsi="Arial" w:cs="Arial"/>
                <w:sz w:val="36"/>
                <w:szCs w:val="36"/>
              </w:rPr>
            </w:pPr>
            <w:r w:rsidRPr="008F0A55">
              <w:rPr>
                <w:color w:val="000000" w:themeColor="text1"/>
              </w:rPr>
              <w:t>5.5%</w:t>
            </w:r>
          </w:p>
        </w:tc>
        <w:tc>
          <w:tcPr>
            <w:tcW w:w="1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8F0A55" w:rsidRPr="008F0A55" w:rsidRDefault="008F0A55" w:rsidP="008F0A55">
            <w:pPr>
              <w:jc w:val="center"/>
              <w:rPr>
                <w:rFonts w:ascii="Arial" w:hAnsi="Arial" w:cs="Arial"/>
                <w:sz w:val="36"/>
                <w:szCs w:val="36"/>
              </w:rPr>
            </w:pPr>
            <w:r w:rsidRPr="008F0A55">
              <w:rPr>
                <w:color w:val="000000" w:themeColor="text1"/>
              </w:rPr>
              <w:t>6.3%</w:t>
            </w:r>
          </w:p>
        </w:tc>
        <w:tc>
          <w:tcPr>
            <w:tcW w:w="1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8F0A55" w:rsidRPr="008F0A55" w:rsidRDefault="008F0A55" w:rsidP="008F0A55">
            <w:pPr>
              <w:jc w:val="center"/>
              <w:rPr>
                <w:rFonts w:ascii="Arial" w:hAnsi="Arial" w:cs="Arial"/>
                <w:sz w:val="36"/>
                <w:szCs w:val="36"/>
              </w:rPr>
            </w:pPr>
            <w:r w:rsidRPr="008F0A55">
              <w:rPr>
                <w:color w:val="000000" w:themeColor="text1"/>
              </w:rPr>
              <w:t>0.8% pts</w:t>
            </w:r>
          </w:p>
        </w:tc>
      </w:tr>
      <w:tr w:rsidR="008F0A55" w:rsidRPr="008F0A55" w:rsidTr="008F0A55">
        <w:trPr>
          <w:trHeight w:val="877"/>
        </w:trPr>
        <w:tc>
          <w:tcPr>
            <w:tcW w:w="27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8F0A55" w:rsidRPr="008F0A55" w:rsidRDefault="008F0A55" w:rsidP="008F0A55">
            <w:pPr>
              <w:rPr>
                <w:rFonts w:ascii="Arial" w:hAnsi="Arial" w:cs="Arial"/>
                <w:sz w:val="28"/>
                <w:szCs w:val="36"/>
              </w:rPr>
            </w:pPr>
            <w:r w:rsidRPr="008F0A55">
              <w:rPr>
                <w:rFonts w:eastAsiaTheme="minorEastAsia"/>
                <w:sz w:val="28"/>
              </w:rPr>
              <w:t>Central Goldfields LGA</w:t>
            </w:r>
          </w:p>
        </w:tc>
        <w:tc>
          <w:tcPr>
            <w:tcW w:w="1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8F0A55" w:rsidRPr="008F0A55" w:rsidRDefault="008F0A55" w:rsidP="008F0A55">
            <w:pPr>
              <w:jc w:val="center"/>
              <w:rPr>
                <w:rFonts w:ascii="Arial" w:hAnsi="Arial" w:cs="Arial"/>
                <w:sz w:val="36"/>
                <w:szCs w:val="36"/>
              </w:rPr>
            </w:pPr>
            <w:r w:rsidRPr="008F0A55">
              <w:rPr>
                <w:color w:val="000000" w:themeColor="text1"/>
              </w:rPr>
              <w:t>9.5%</w:t>
            </w:r>
          </w:p>
        </w:tc>
        <w:tc>
          <w:tcPr>
            <w:tcW w:w="1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8F0A55" w:rsidRPr="008F0A55" w:rsidRDefault="008F0A55" w:rsidP="008F0A55">
            <w:pPr>
              <w:jc w:val="center"/>
              <w:rPr>
                <w:rFonts w:ascii="Arial" w:hAnsi="Arial" w:cs="Arial"/>
                <w:sz w:val="36"/>
                <w:szCs w:val="36"/>
              </w:rPr>
            </w:pPr>
            <w:r w:rsidRPr="008F0A55">
              <w:rPr>
                <w:color w:val="000000" w:themeColor="text1"/>
              </w:rPr>
              <w:t>10.0%</w:t>
            </w:r>
          </w:p>
        </w:tc>
        <w:tc>
          <w:tcPr>
            <w:tcW w:w="1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8F0A55" w:rsidRPr="008F0A55" w:rsidRDefault="008F0A55" w:rsidP="008F0A55">
            <w:pPr>
              <w:jc w:val="center"/>
              <w:rPr>
                <w:rFonts w:ascii="Arial" w:hAnsi="Arial" w:cs="Arial"/>
                <w:sz w:val="36"/>
                <w:szCs w:val="36"/>
              </w:rPr>
            </w:pPr>
            <w:r w:rsidRPr="008F0A55">
              <w:rPr>
                <w:color w:val="000000" w:themeColor="text1"/>
              </w:rPr>
              <w:t>0.5% pts</w:t>
            </w:r>
          </w:p>
        </w:tc>
      </w:tr>
      <w:tr w:rsidR="008F0A55" w:rsidRPr="008F0A55" w:rsidTr="008F0A55">
        <w:trPr>
          <w:trHeight w:val="877"/>
        </w:trPr>
        <w:tc>
          <w:tcPr>
            <w:tcW w:w="27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8F0A55" w:rsidRPr="008F0A55" w:rsidRDefault="008F0A55" w:rsidP="008F0A55">
            <w:pPr>
              <w:rPr>
                <w:rFonts w:ascii="Arial" w:hAnsi="Arial" w:cs="Arial"/>
                <w:sz w:val="28"/>
                <w:szCs w:val="36"/>
              </w:rPr>
            </w:pPr>
            <w:r w:rsidRPr="008F0A55">
              <w:rPr>
                <w:rFonts w:eastAsiaTheme="minorEastAsia"/>
                <w:sz w:val="28"/>
              </w:rPr>
              <w:t>Mount Alexander LGA</w:t>
            </w:r>
          </w:p>
        </w:tc>
        <w:tc>
          <w:tcPr>
            <w:tcW w:w="1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8F0A55" w:rsidRPr="008F0A55" w:rsidRDefault="008F0A55" w:rsidP="008F0A55">
            <w:pPr>
              <w:jc w:val="center"/>
              <w:rPr>
                <w:rFonts w:ascii="Arial" w:hAnsi="Arial" w:cs="Arial"/>
                <w:sz w:val="36"/>
                <w:szCs w:val="36"/>
              </w:rPr>
            </w:pPr>
            <w:r w:rsidRPr="008F0A55">
              <w:rPr>
                <w:color w:val="000000" w:themeColor="text1"/>
              </w:rPr>
              <w:t>5.3%</w:t>
            </w:r>
          </w:p>
        </w:tc>
        <w:tc>
          <w:tcPr>
            <w:tcW w:w="1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8F0A55" w:rsidRPr="008F0A55" w:rsidRDefault="008F0A55" w:rsidP="008F0A55">
            <w:pPr>
              <w:jc w:val="center"/>
              <w:rPr>
                <w:rFonts w:ascii="Arial" w:hAnsi="Arial" w:cs="Arial"/>
                <w:sz w:val="36"/>
                <w:szCs w:val="36"/>
              </w:rPr>
            </w:pPr>
            <w:r w:rsidRPr="008F0A55">
              <w:rPr>
                <w:color w:val="000000" w:themeColor="text1"/>
              </w:rPr>
              <w:t>5.8%</w:t>
            </w:r>
          </w:p>
        </w:tc>
        <w:tc>
          <w:tcPr>
            <w:tcW w:w="1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8F0A55" w:rsidRPr="008F0A55" w:rsidRDefault="008F0A55" w:rsidP="008F0A55">
            <w:pPr>
              <w:jc w:val="center"/>
              <w:rPr>
                <w:rFonts w:ascii="Arial" w:hAnsi="Arial" w:cs="Arial"/>
                <w:sz w:val="36"/>
                <w:szCs w:val="36"/>
              </w:rPr>
            </w:pPr>
            <w:r w:rsidRPr="008F0A55">
              <w:rPr>
                <w:color w:val="000000" w:themeColor="text1"/>
              </w:rPr>
              <w:t>0.5% pts</w:t>
            </w:r>
          </w:p>
        </w:tc>
      </w:tr>
      <w:tr w:rsidR="008F0A55" w:rsidRPr="008F0A55" w:rsidTr="008F0A55">
        <w:trPr>
          <w:trHeight w:val="877"/>
        </w:trPr>
        <w:tc>
          <w:tcPr>
            <w:tcW w:w="2722" w:type="dxa"/>
            <w:tcBorders>
              <w:top w:val="single" w:sz="4" w:space="0" w:color="000000"/>
              <w:left w:val="single" w:sz="4" w:space="0" w:color="000000"/>
              <w:bottom w:val="single" w:sz="4" w:space="0" w:color="000000"/>
              <w:right w:val="single" w:sz="4" w:space="0" w:color="000000"/>
            </w:tcBorders>
            <w:shd w:val="clear" w:color="auto" w:fill="E1EAE9"/>
            <w:tcMar>
              <w:top w:w="15" w:type="dxa"/>
              <w:left w:w="15" w:type="dxa"/>
              <w:bottom w:w="0" w:type="dxa"/>
              <w:right w:w="15" w:type="dxa"/>
            </w:tcMar>
            <w:vAlign w:val="center"/>
            <w:hideMark/>
          </w:tcPr>
          <w:p w:rsidR="008F0A55" w:rsidRPr="008F0A55" w:rsidRDefault="008F0A55" w:rsidP="008F0A55">
            <w:pPr>
              <w:rPr>
                <w:rFonts w:ascii="Arial" w:hAnsi="Arial" w:cs="Arial"/>
                <w:sz w:val="28"/>
                <w:szCs w:val="36"/>
              </w:rPr>
            </w:pPr>
            <w:r w:rsidRPr="008F0A55">
              <w:rPr>
                <w:rFonts w:eastAsiaTheme="minorEastAsia"/>
                <w:sz w:val="28"/>
              </w:rPr>
              <w:t>Bendigo region</w:t>
            </w:r>
          </w:p>
        </w:tc>
        <w:tc>
          <w:tcPr>
            <w:tcW w:w="1937" w:type="dxa"/>
            <w:tcBorders>
              <w:top w:val="single" w:sz="4" w:space="0" w:color="000000"/>
              <w:left w:val="single" w:sz="4" w:space="0" w:color="000000"/>
              <w:bottom w:val="single" w:sz="4" w:space="0" w:color="000000"/>
              <w:right w:val="single" w:sz="4" w:space="0" w:color="000000"/>
            </w:tcBorders>
            <w:shd w:val="clear" w:color="auto" w:fill="E1EAE9"/>
            <w:tcMar>
              <w:top w:w="15" w:type="dxa"/>
              <w:left w:w="15" w:type="dxa"/>
              <w:bottom w:w="0" w:type="dxa"/>
              <w:right w:w="15" w:type="dxa"/>
            </w:tcMar>
            <w:vAlign w:val="center"/>
            <w:hideMark/>
          </w:tcPr>
          <w:p w:rsidR="008F0A55" w:rsidRPr="008F0A55" w:rsidRDefault="008F0A55" w:rsidP="008F0A55">
            <w:pPr>
              <w:jc w:val="center"/>
              <w:rPr>
                <w:rFonts w:ascii="Arial" w:hAnsi="Arial" w:cs="Arial"/>
                <w:sz w:val="36"/>
                <w:szCs w:val="36"/>
              </w:rPr>
            </w:pPr>
            <w:r w:rsidRPr="008F0A55">
              <w:rPr>
                <w:color w:val="000000" w:themeColor="text1"/>
              </w:rPr>
              <w:t>5.8%</w:t>
            </w:r>
          </w:p>
        </w:tc>
        <w:tc>
          <w:tcPr>
            <w:tcW w:w="1937" w:type="dxa"/>
            <w:tcBorders>
              <w:top w:val="single" w:sz="4" w:space="0" w:color="000000"/>
              <w:left w:val="single" w:sz="4" w:space="0" w:color="000000"/>
              <w:bottom w:val="single" w:sz="4" w:space="0" w:color="000000"/>
              <w:right w:val="single" w:sz="4" w:space="0" w:color="000000"/>
            </w:tcBorders>
            <w:shd w:val="clear" w:color="auto" w:fill="E1EAE9"/>
            <w:tcMar>
              <w:top w:w="15" w:type="dxa"/>
              <w:left w:w="15" w:type="dxa"/>
              <w:bottom w:w="0" w:type="dxa"/>
              <w:right w:w="15" w:type="dxa"/>
            </w:tcMar>
            <w:vAlign w:val="center"/>
            <w:hideMark/>
          </w:tcPr>
          <w:p w:rsidR="008F0A55" w:rsidRPr="008F0A55" w:rsidRDefault="008F0A55" w:rsidP="008F0A55">
            <w:pPr>
              <w:jc w:val="center"/>
              <w:rPr>
                <w:rFonts w:ascii="Arial" w:hAnsi="Arial" w:cs="Arial"/>
                <w:sz w:val="36"/>
                <w:szCs w:val="36"/>
              </w:rPr>
            </w:pPr>
            <w:r w:rsidRPr="008F0A55">
              <w:rPr>
                <w:color w:val="000000" w:themeColor="text1"/>
              </w:rPr>
              <w:t>6.5%</w:t>
            </w:r>
          </w:p>
        </w:tc>
        <w:tc>
          <w:tcPr>
            <w:tcW w:w="1938" w:type="dxa"/>
            <w:tcBorders>
              <w:top w:val="single" w:sz="4" w:space="0" w:color="000000"/>
              <w:left w:val="single" w:sz="4" w:space="0" w:color="000000"/>
              <w:bottom w:val="single" w:sz="4" w:space="0" w:color="000000"/>
              <w:right w:val="single" w:sz="4" w:space="0" w:color="000000"/>
            </w:tcBorders>
            <w:shd w:val="clear" w:color="auto" w:fill="E1EAE9"/>
            <w:tcMar>
              <w:top w:w="15" w:type="dxa"/>
              <w:left w:w="15" w:type="dxa"/>
              <w:bottom w:w="0" w:type="dxa"/>
              <w:right w:w="15" w:type="dxa"/>
            </w:tcMar>
            <w:vAlign w:val="center"/>
            <w:hideMark/>
          </w:tcPr>
          <w:p w:rsidR="008F0A55" w:rsidRPr="008F0A55" w:rsidRDefault="008F0A55" w:rsidP="008F0A55">
            <w:pPr>
              <w:jc w:val="center"/>
              <w:rPr>
                <w:rFonts w:ascii="Arial" w:hAnsi="Arial" w:cs="Arial"/>
                <w:sz w:val="36"/>
                <w:szCs w:val="36"/>
              </w:rPr>
            </w:pPr>
            <w:r w:rsidRPr="008F0A55">
              <w:rPr>
                <w:color w:val="000000" w:themeColor="text1"/>
              </w:rPr>
              <w:t>0.7% pts</w:t>
            </w:r>
          </w:p>
        </w:tc>
      </w:tr>
      <w:tr w:rsidR="008F0A55" w:rsidRPr="008F0A55" w:rsidTr="008F0A55">
        <w:trPr>
          <w:trHeight w:val="877"/>
        </w:trPr>
        <w:tc>
          <w:tcPr>
            <w:tcW w:w="2722" w:type="dxa"/>
            <w:tcBorders>
              <w:top w:val="single" w:sz="4" w:space="0" w:color="000000"/>
              <w:left w:val="single" w:sz="4" w:space="0" w:color="000000"/>
              <w:bottom w:val="single" w:sz="4" w:space="0" w:color="000000"/>
              <w:right w:val="single" w:sz="4" w:space="0" w:color="000000"/>
            </w:tcBorders>
            <w:shd w:val="clear" w:color="auto" w:fill="DDD9C3"/>
            <w:tcMar>
              <w:top w:w="15" w:type="dxa"/>
              <w:left w:w="15" w:type="dxa"/>
              <w:bottom w:w="0" w:type="dxa"/>
              <w:right w:w="15" w:type="dxa"/>
            </w:tcMar>
            <w:vAlign w:val="center"/>
            <w:hideMark/>
          </w:tcPr>
          <w:p w:rsidR="008F0A55" w:rsidRPr="008F0A55" w:rsidRDefault="008F0A55" w:rsidP="008F0A55">
            <w:pPr>
              <w:rPr>
                <w:rFonts w:ascii="Arial" w:hAnsi="Arial" w:cs="Arial"/>
                <w:sz w:val="28"/>
                <w:szCs w:val="36"/>
              </w:rPr>
            </w:pPr>
            <w:r w:rsidRPr="008F0A55">
              <w:rPr>
                <w:rFonts w:eastAsiaTheme="minorEastAsia"/>
                <w:sz w:val="28"/>
              </w:rPr>
              <w:t>Central Victoria region</w:t>
            </w:r>
          </w:p>
        </w:tc>
        <w:tc>
          <w:tcPr>
            <w:tcW w:w="1937" w:type="dxa"/>
            <w:tcBorders>
              <w:top w:val="single" w:sz="4" w:space="0" w:color="000000"/>
              <w:left w:val="single" w:sz="4" w:space="0" w:color="000000"/>
              <w:bottom w:val="single" w:sz="4" w:space="0" w:color="000000"/>
              <w:right w:val="single" w:sz="4" w:space="0" w:color="000000"/>
            </w:tcBorders>
            <w:shd w:val="clear" w:color="auto" w:fill="DDD9C3"/>
            <w:tcMar>
              <w:top w:w="15" w:type="dxa"/>
              <w:left w:w="15" w:type="dxa"/>
              <w:bottom w:w="0" w:type="dxa"/>
              <w:right w:w="15" w:type="dxa"/>
            </w:tcMar>
            <w:vAlign w:val="center"/>
            <w:hideMark/>
          </w:tcPr>
          <w:p w:rsidR="008F0A55" w:rsidRPr="008F0A55" w:rsidRDefault="008F0A55" w:rsidP="008F0A55">
            <w:pPr>
              <w:jc w:val="center"/>
              <w:rPr>
                <w:rFonts w:ascii="Arial" w:hAnsi="Arial" w:cs="Arial"/>
                <w:sz w:val="36"/>
                <w:szCs w:val="36"/>
              </w:rPr>
            </w:pPr>
            <w:r w:rsidRPr="008F0A55">
              <w:rPr>
                <w:color w:val="000000" w:themeColor="text1"/>
              </w:rPr>
              <w:t>5.9%</w:t>
            </w:r>
          </w:p>
        </w:tc>
        <w:tc>
          <w:tcPr>
            <w:tcW w:w="1937" w:type="dxa"/>
            <w:tcBorders>
              <w:top w:val="single" w:sz="4" w:space="0" w:color="000000"/>
              <w:left w:val="single" w:sz="4" w:space="0" w:color="000000"/>
              <w:bottom w:val="single" w:sz="4" w:space="0" w:color="000000"/>
              <w:right w:val="single" w:sz="4" w:space="0" w:color="000000"/>
            </w:tcBorders>
            <w:shd w:val="clear" w:color="auto" w:fill="DDD9C3"/>
            <w:tcMar>
              <w:top w:w="15" w:type="dxa"/>
              <w:left w:w="15" w:type="dxa"/>
              <w:bottom w:w="0" w:type="dxa"/>
              <w:right w:w="15" w:type="dxa"/>
            </w:tcMar>
            <w:vAlign w:val="center"/>
            <w:hideMark/>
          </w:tcPr>
          <w:p w:rsidR="008F0A55" w:rsidRPr="008F0A55" w:rsidRDefault="008F0A55" w:rsidP="008F0A55">
            <w:pPr>
              <w:jc w:val="center"/>
              <w:rPr>
                <w:rFonts w:ascii="Arial" w:hAnsi="Arial" w:cs="Arial"/>
                <w:sz w:val="36"/>
                <w:szCs w:val="36"/>
              </w:rPr>
            </w:pPr>
            <w:r w:rsidRPr="008F0A55">
              <w:rPr>
                <w:color w:val="000000" w:themeColor="text1"/>
              </w:rPr>
              <w:t>5.8%</w:t>
            </w:r>
          </w:p>
        </w:tc>
        <w:tc>
          <w:tcPr>
            <w:tcW w:w="1938" w:type="dxa"/>
            <w:tcBorders>
              <w:top w:val="single" w:sz="4" w:space="0" w:color="000000"/>
              <w:left w:val="single" w:sz="4" w:space="0" w:color="000000"/>
              <w:bottom w:val="single" w:sz="4" w:space="0" w:color="000000"/>
              <w:right w:val="single" w:sz="4" w:space="0" w:color="000000"/>
            </w:tcBorders>
            <w:shd w:val="clear" w:color="auto" w:fill="DDD9C3"/>
            <w:tcMar>
              <w:top w:w="15" w:type="dxa"/>
              <w:left w:w="15" w:type="dxa"/>
              <w:bottom w:w="0" w:type="dxa"/>
              <w:right w:w="15" w:type="dxa"/>
            </w:tcMar>
            <w:vAlign w:val="center"/>
            <w:hideMark/>
          </w:tcPr>
          <w:p w:rsidR="008F0A55" w:rsidRPr="008F0A55" w:rsidRDefault="008F0A55" w:rsidP="008F0A55">
            <w:pPr>
              <w:jc w:val="center"/>
              <w:rPr>
                <w:rFonts w:ascii="Arial" w:hAnsi="Arial" w:cs="Arial"/>
                <w:sz w:val="36"/>
                <w:szCs w:val="36"/>
              </w:rPr>
            </w:pPr>
            <w:r w:rsidRPr="008F0A55">
              <w:rPr>
                <w:color w:val="000000" w:themeColor="text1"/>
              </w:rPr>
              <w:t>-0.1% pts</w:t>
            </w:r>
          </w:p>
        </w:tc>
      </w:tr>
      <w:tr w:rsidR="008F0A55" w:rsidRPr="008F0A55" w:rsidTr="008F0A55">
        <w:trPr>
          <w:trHeight w:val="877"/>
        </w:trPr>
        <w:tc>
          <w:tcPr>
            <w:tcW w:w="27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8F0A55" w:rsidRPr="008F0A55" w:rsidRDefault="008F0A55" w:rsidP="008F0A55">
            <w:pPr>
              <w:rPr>
                <w:rFonts w:ascii="Arial" w:hAnsi="Arial" w:cs="Arial"/>
                <w:sz w:val="28"/>
                <w:szCs w:val="36"/>
              </w:rPr>
            </w:pPr>
            <w:r w:rsidRPr="008F0A55">
              <w:rPr>
                <w:rFonts w:eastAsiaTheme="minorEastAsia"/>
                <w:sz w:val="28"/>
              </w:rPr>
              <w:t xml:space="preserve">Victoria * </w:t>
            </w:r>
          </w:p>
        </w:tc>
        <w:tc>
          <w:tcPr>
            <w:tcW w:w="1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8F0A55" w:rsidRPr="008F0A55" w:rsidRDefault="008F0A55" w:rsidP="008F0A55">
            <w:pPr>
              <w:jc w:val="center"/>
              <w:rPr>
                <w:rFonts w:ascii="Arial" w:hAnsi="Arial" w:cs="Arial"/>
                <w:sz w:val="36"/>
                <w:szCs w:val="36"/>
              </w:rPr>
            </w:pPr>
            <w:r w:rsidRPr="008F0A55">
              <w:rPr>
                <w:color w:val="000000" w:themeColor="text1"/>
              </w:rPr>
              <w:t>5.8%</w:t>
            </w:r>
          </w:p>
          <w:p w:rsidR="008F0A55" w:rsidRPr="008F0A55" w:rsidRDefault="008F0A55" w:rsidP="008F0A55">
            <w:pPr>
              <w:jc w:val="center"/>
              <w:rPr>
                <w:rFonts w:ascii="Arial" w:hAnsi="Arial" w:cs="Arial"/>
                <w:sz w:val="36"/>
                <w:szCs w:val="36"/>
              </w:rPr>
            </w:pPr>
            <w:r w:rsidRPr="008F0A55">
              <w:rPr>
                <w:color w:val="000000" w:themeColor="text1"/>
              </w:rPr>
              <w:t>April 2013</w:t>
            </w:r>
          </w:p>
        </w:tc>
        <w:tc>
          <w:tcPr>
            <w:tcW w:w="19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8F0A55" w:rsidRPr="008F0A55" w:rsidRDefault="008F0A55" w:rsidP="008F0A55">
            <w:pPr>
              <w:jc w:val="center"/>
              <w:rPr>
                <w:rFonts w:ascii="Arial" w:hAnsi="Arial" w:cs="Arial"/>
                <w:sz w:val="36"/>
                <w:szCs w:val="36"/>
              </w:rPr>
            </w:pPr>
            <w:r w:rsidRPr="008F0A55">
              <w:rPr>
                <w:color w:val="000000" w:themeColor="text1"/>
              </w:rPr>
              <w:t>6.4%</w:t>
            </w:r>
          </w:p>
          <w:p w:rsidR="008F0A55" w:rsidRPr="008F0A55" w:rsidRDefault="008F0A55" w:rsidP="008F0A55">
            <w:pPr>
              <w:jc w:val="center"/>
              <w:rPr>
                <w:rFonts w:ascii="Arial" w:hAnsi="Arial" w:cs="Arial"/>
                <w:sz w:val="36"/>
                <w:szCs w:val="36"/>
              </w:rPr>
            </w:pPr>
            <w:r w:rsidRPr="008F0A55">
              <w:rPr>
                <w:color w:val="000000" w:themeColor="text1"/>
              </w:rPr>
              <w:t>April 2014</w:t>
            </w:r>
          </w:p>
        </w:tc>
        <w:tc>
          <w:tcPr>
            <w:tcW w:w="1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8F0A55" w:rsidRPr="008F0A55" w:rsidRDefault="008F0A55" w:rsidP="008F0A55">
            <w:pPr>
              <w:jc w:val="center"/>
              <w:rPr>
                <w:rFonts w:ascii="Arial" w:hAnsi="Arial" w:cs="Arial"/>
                <w:sz w:val="36"/>
                <w:szCs w:val="36"/>
              </w:rPr>
            </w:pPr>
            <w:r w:rsidRPr="008F0A55">
              <w:rPr>
                <w:color w:val="000000" w:themeColor="text1"/>
              </w:rPr>
              <w:t>0.6% pts</w:t>
            </w:r>
          </w:p>
        </w:tc>
      </w:tr>
    </w:tbl>
    <w:p w:rsidR="00532F91" w:rsidRPr="008F0A55" w:rsidRDefault="00532F91" w:rsidP="008F0A55">
      <w:pPr>
        <w:rPr>
          <w:i/>
        </w:rPr>
      </w:pPr>
      <w:r w:rsidRPr="008F0A55">
        <w:rPr>
          <w:i/>
        </w:rPr>
        <w:t>Source: Department of Employment, Small Area Labour Markets, December 2013 </w:t>
      </w:r>
    </w:p>
    <w:p w:rsidR="008F0A55" w:rsidRDefault="008F0A55" w:rsidP="008F0A55"/>
    <w:p w:rsidR="00532F91" w:rsidRPr="00532F91" w:rsidRDefault="00532F91" w:rsidP="008F0A55">
      <w:r w:rsidRPr="00532F91">
        <w:t>In the 12 months to December 2013, the unemployment rate in the Bendigo region rose by 0.7</w:t>
      </w:r>
      <w:r>
        <w:t> </w:t>
      </w:r>
      <w:r w:rsidRPr="00532F91">
        <w:t xml:space="preserve">percentage points to 6.5 per cent, slightly higher compared with the state (6.4 per cent). </w:t>
      </w:r>
    </w:p>
    <w:p w:rsidR="00532F91" w:rsidRPr="00532F91" w:rsidRDefault="00532F91" w:rsidP="008F0A55"/>
    <w:p w:rsidR="00532F91" w:rsidRPr="00532F91" w:rsidRDefault="00532F91" w:rsidP="008F0A55">
      <w:r w:rsidRPr="00532F91">
        <w:t>The Central Goldfields LGA reported the highest unemployment rate in the Bendigo region (10.0</w:t>
      </w:r>
      <w:r>
        <w:t> </w:t>
      </w:r>
      <w:r w:rsidRPr="00532F91">
        <w:t>per</w:t>
      </w:r>
      <w:r>
        <w:t> </w:t>
      </w:r>
      <w:r w:rsidRPr="00532F91">
        <w:t>cent), significantly more than the LGAs of Greater Bendigo and Mount Alexander (6.3</w:t>
      </w:r>
      <w:r>
        <w:t> </w:t>
      </w:r>
      <w:r w:rsidRPr="00532F91">
        <w:t>per</w:t>
      </w:r>
      <w:r>
        <w:t> </w:t>
      </w:r>
      <w:r w:rsidRPr="00532F91">
        <w:t xml:space="preserve">cent and 5.8 per cent respectively). </w:t>
      </w:r>
    </w:p>
    <w:p w:rsidR="00532F91" w:rsidRPr="00532F91" w:rsidRDefault="00532F91" w:rsidP="008F0A55"/>
    <w:p w:rsidR="00532F91" w:rsidRPr="00532F91" w:rsidRDefault="00532F91" w:rsidP="008F0A55">
      <w:pPr>
        <w:rPr>
          <w:strike/>
        </w:rPr>
      </w:pPr>
      <w:r w:rsidRPr="00532F91">
        <w:t>In the 12 months to December 2013, the unemployment rate in Central Victoria has decreased (by</w:t>
      </w:r>
      <w:r>
        <w:t> </w:t>
      </w:r>
      <w:r w:rsidRPr="00532F91">
        <w:t>0.1</w:t>
      </w:r>
      <w:r>
        <w:t> </w:t>
      </w:r>
      <w:r w:rsidRPr="00532F91">
        <w:t>percentage point) while Victoria has increased by 0.6 percentage points.</w:t>
      </w:r>
    </w:p>
    <w:p w:rsidR="00532F91" w:rsidRPr="00532F91" w:rsidRDefault="00532F91">
      <w:pPr>
        <w:rPr>
          <w:rFonts w:cstheme="minorHAnsi"/>
          <w:sz w:val="20"/>
          <w:szCs w:val="20"/>
        </w:rPr>
      </w:pPr>
      <w:r w:rsidRPr="00532F91">
        <w:rPr>
          <w:rFonts w:cstheme="minorHAnsi"/>
          <w:sz w:val="20"/>
          <w:szCs w:val="20"/>
        </w:rPr>
        <w:br w:type="page"/>
      </w:r>
    </w:p>
    <w:p w:rsidR="00FB7A41" w:rsidRDefault="00532F91" w:rsidP="00A408C5">
      <w:pPr>
        <w:pStyle w:val="Heading1"/>
      </w:pPr>
      <w:r w:rsidRPr="00532F91">
        <w:lastRenderedPageBreak/>
        <w:t>Slide 12</w:t>
      </w:r>
      <w:r w:rsidR="00FB7A41">
        <w:t xml:space="preserve"> </w:t>
      </w:r>
      <w:proofErr w:type="gramStart"/>
      <w:r w:rsidR="00FB7A41" w:rsidRPr="00532F91">
        <w:t>Below</w:t>
      </w:r>
      <w:proofErr w:type="gramEnd"/>
      <w:r w:rsidR="00FB7A41" w:rsidRPr="00532F91">
        <w:t xml:space="preserve"> average participation in most age groups</w:t>
      </w:r>
    </w:p>
    <w:p w:rsidR="008F0A55" w:rsidRPr="008F0A55" w:rsidRDefault="008F0A55" w:rsidP="008F0A55"/>
    <w:p w:rsidR="00532F91" w:rsidRPr="00532F91" w:rsidRDefault="008F0A55" w:rsidP="00532F91">
      <w:pPr>
        <w:spacing w:line="360" w:lineRule="auto"/>
        <w:rPr>
          <w:rFonts w:cstheme="minorHAnsi"/>
          <w:sz w:val="20"/>
          <w:szCs w:val="20"/>
        </w:rPr>
      </w:pPr>
      <w:r w:rsidRPr="008F0A55">
        <w:rPr>
          <w:noProof/>
        </w:rPr>
        <w:drawing>
          <wp:inline distT="0" distB="0" distL="0" distR="0" wp14:anchorId="2B8ED053" wp14:editId="20DAD98B">
            <wp:extent cx="5400000" cy="4050000"/>
            <wp:effectExtent l="19050" t="19050" r="10795" b="27305"/>
            <wp:docPr id="57" name="Picture 57" descr="Bar graph - Below average participation rate in most age groups.  Difference to national average (%pts) - description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400000" cy="4050000"/>
                    </a:xfrm>
                    <a:prstGeom prst="rect">
                      <a:avLst/>
                    </a:prstGeom>
                    <a:ln>
                      <a:solidFill>
                        <a:schemeClr val="tx1"/>
                      </a:solidFill>
                    </a:ln>
                  </pic:spPr>
                </pic:pic>
              </a:graphicData>
            </a:graphic>
          </wp:inline>
        </w:drawing>
      </w:r>
    </w:p>
    <w:p w:rsidR="00532F91" w:rsidRPr="008F0A55" w:rsidRDefault="00532F91" w:rsidP="008F0A55">
      <w:pPr>
        <w:rPr>
          <w:i/>
        </w:rPr>
      </w:pPr>
      <w:r w:rsidRPr="008F0A55">
        <w:rPr>
          <w:i/>
        </w:rPr>
        <w:t>Source: ABS, Census of Population and Housing, 2011</w:t>
      </w:r>
    </w:p>
    <w:p w:rsidR="00532F91" w:rsidRPr="00532F91" w:rsidRDefault="00532F91" w:rsidP="008F0A55">
      <w:pPr>
        <w:rPr>
          <w:b/>
          <w:bCs/>
        </w:rPr>
      </w:pPr>
    </w:p>
    <w:p w:rsidR="00532F91" w:rsidRPr="00532F91" w:rsidRDefault="00532F91" w:rsidP="008F0A55">
      <w:r w:rsidRPr="00532F91">
        <w:t xml:space="preserve">The participation rate for males aged 15 to 19 years (53.9 per cent) </w:t>
      </w:r>
      <w:r w:rsidR="00970914">
        <w:t>was</w:t>
      </w:r>
      <w:r w:rsidRPr="00532F91">
        <w:t xml:space="preserve"> relatively high compared with the national rate (48.3 per cent). The participation rate for females in the same cohort (57.4 per cent) was also high compared with the national rate (52.4 per cent). The participation rate for males aged 61 to 64 years had the lowest comparative rate with the Australia (55.6 per cent compared with 61.7 per cent), while females aged 25 to 29 years had the lowest comparative rate with Australia (72.1 per cent compared with 77.0 per cent).</w:t>
      </w:r>
    </w:p>
    <w:p w:rsidR="008F0A55" w:rsidRDefault="008F0A55">
      <w:pPr>
        <w:jc w:val="left"/>
        <w:rPr>
          <w:rFonts w:cstheme="minorHAnsi"/>
          <w:i/>
          <w:iCs/>
          <w:kern w:val="24"/>
          <w:sz w:val="20"/>
          <w:szCs w:val="20"/>
        </w:rPr>
      </w:pPr>
      <w:r>
        <w:rPr>
          <w:rFonts w:cstheme="minorHAnsi"/>
          <w:i/>
          <w:iCs/>
          <w:kern w:val="24"/>
          <w:sz w:val="20"/>
          <w:szCs w:val="20"/>
        </w:rPr>
        <w:br w:type="page"/>
      </w:r>
    </w:p>
    <w:p w:rsidR="00FB7A41" w:rsidRPr="00532F91" w:rsidRDefault="00532F91" w:rsidP="00A408C5">
      <w:pPr>
        <w:pStyle w:val="Heading1"/>
      </w:pPr>
      <w:r>
        <w:lastRenderedPageBreak/>
        <w:t>S</w:t>
      </w:r>
      <w:r w:rsidRPr="00532F91">
        <w:t>lide 13</w:t>
      </w:r>
      <w:r w:rsidR="00FB7A41">
        <w:t xml:space="preserve"> </w:t>
      </w:r>
      <w:r w:rsidR="00FB7A41" w:rsidRPr="00532F91">
        <w:t>Part-time employment increasing</w:t>
      </w:r>
    </w:p>
    <w:p w:rsidR="00532F91" w:rsidRPr="00532F91" w:rsidRDefault="00532F91" w:rsidP="00532F91">
      <w:pPr>
        <w:spacing w:line="360" w:lineRule="auto"/>
        <w:rPr>
          <w:rFonts w:cstheme="minorHAnsi"/>
          <w:sz w:val="20"/>
          <w:szCs w:val="20"/>
        </w:rPr>
      </w:pPr>
    </w:p>
    <w:p w:rsidR="00532F91" w:rsidRPr="00532F91" w:rsidRDefault="008F0A55" w:rsidP="00532F91">
      <w:pPr>
        <w:spacing w:line="360" w:lineRule="auto"/>
        <w:rPr>
          <w:rFonts w:cstheme="minorHAnsi"/>
          <w:sz w:val="20"/>
          <w:szCs w:val="20"/>
        </w:rPr>
      </w:pPr>
      <w:r w:rsidRPr="008F0A55">
        <w:rPr>
          <w:noProof/>
        </w:rPr>
        <w:drawing>
          <wp:inline distT="0" distB="0" distL="0" distR="0" wp14:anchorId="06D877BA" wp14:editId="3975BFF6">
            <wp:extent cx="5400000" cy="4050000"/>
            <wp:effectExtent l="19050" t="19050" r="10795" b="27305"/>
            <wp:docPr id="58" name="Picture 58" descr="Bar graph - Part-time employment increasing - growth over 5 years (2009 to 2014)&#10;&#10;Full time Employment Male 100, Female -600&#10;Part-time Employment Male 3,300, Female 2,700&#10;Total Employment Male 3,400, Female 2,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400000" cy="4050000"/>
                    </a:xfrm>
                    <a:prstGeom prst="rect">
                      <a:avLst/>
                    </a:prstGeom>
                    <a:ln>
                      <a:solidFill>
                        <a:schemeClr val="tx1"/>
                      </a:solidFill>
                    </a:ln>
                  </pic:spPr>
                </pic:pic>
              </a:graphicData>
            </a:graphic>
          </wp:inline>
        </w:drawing>
      </w:r>
    </w:p>
    <w:p w:rsidR="00532F91" w:rsidRPr="008F0A55" w:rsidRDefault="00532F91" w:rsidP="008F0A55">
      <w:pPr>
        <w:rPr>
          <w:i/>
        </w:rPr>
      </w:pPr>
      <w:r w:rsidRPr="008F0A55">
        <w:rPr>
          <w:i/>
        </w:rPr>
        <w:t xml:space="preserve">Source: ABS Labour Force data, April 2014 (12 month averages) </w:t>
      </w:r>
    </w:p>
    <w:p w:rsidR="00532F91" w:rsidRPr="00532F91" w:rsidRDefault="00532F91" w:rsidP="008F0A55"/>
    <w:p w:rsidR="00532F91" w:rsidRPr="00532F91" w:rsidRDefault="00532F91" w:rsidP="008F0A55">
      <w:r w:rsidRPr="00532F91">
        <w:t>Over the five years to 2014, employment has grown by 5</w:t>
      </w:r>
      <w:r w:rsidR="008F0A55">
        <w:t>,</w:t>
      </w:r>
      <w:r w:rsidRPr="00532F91">
        <w:t>500 jobs across Bendigo SA4s. This growth was driven by part-time employment (up 6</w:t>
      </w:r>
      <w:r w:rsidR="008F0A55">
        <w:t>,</w:t>
      </w:r>
      <w:r w:rsidRPr="00532F91">
        <w:t>000 jobs) and was slightly offset by a fall in full-time employment (down 500 jobs). The jobs growth for males (3400 jobs) was slightly stronger than that for females (2</w:t>
      </w:r>
      <w:r w:rsidR="008F0A55">
        <w:t>,</w:t>
      </w:r>
      <w:r w:rsidRPr="00532F91">
        <w:t>100 jobs). However, there was a fall in full-time jobs for females (down 600 jobs) and a very small growth for male full-time employment (up 100 jobs).</w:t>
      </w:r>
    </w:p>
    <w:p w:rsidR="00532F91" w:rsidRPr="00532F91" w:rsidRDefault="00532F91" w:rsidP="008F0A55"/>
    <w:p w:rsidR="00532F91" w:rsidRPr="008F0A55" w:rsidRDefault="00532F91" w:rsidP="008F0A55">
      <w:pPr>
        <w:rPr>
          <w:bCs/>
          <w:u w:val="single"/>
        </w:rPr>
      </w:pPr>
      <w:r w:rsidRPr="008F0A55">
        <w:rPr>
          <w:bCs/>
          <w:u w:val="single"/>
        </w:rPr>
        <w:t>Industries in which growth occurred</w:t>
      </w:r>
    </w:p>
    <w:p w:rsidR="00532F91" w:rsidRPr="00532F91" w:rsidRDefault="00532F91" w:rsidP="008F0A55"/>
    <w:p w:rsidR="00532F91" w:rsidRPr="00532F91" w:rsidRDefault="00532F91" w:rsidP="008F0A55">
      <w:r w:rsidRPr="00532F91">
        <w:rPr>
          <w:u w:val="single"/>
        </w:rPr>
        <w:t>Male full-time employment growth</w:t>
      </w:r>
    </w:p>
    <w:p w:rsidR="00371529" w:rsidRPr="00532F91" w:rsidRDefault="00532F91" w:rsidP="00AC36EE">
      <w:r w:rsidRPr="00532F91">
        <w:t>Manufacturing</w:t>
      </w:r>
      <w:r>
        <w:t xml:space="preserve">, </w:t>
      </w:r>
      <w:r w:rsidRPr="00532F91">
        <w:t>Accommodation and Food Services</w:t>
      </w:r>
      <w:r w:rsidR="00371529">
        <w:t xml:space="preserve">, </w:t>
      </w:r>
      <w:r w:rsidR="00371529" w:rsidRPr="00532F91">
        <w:t>Mining</w:t>
      </w:r>
      <w:r w:rsidR="00371529">
        <w:t xml:space="preserve"> and </w:t>
      </w:r>
      <w:r w:rsidR="00371529" w:rsidRPr="00532F91">
        <w:t>Construction</w:t>
      </w:r>
    </w:p>
    <w:p w:rsidR="00532F91" w:rsidRPr="00532F91" w:rsidRDefault="00532F91" w:rsidP="008F0A55">
      <w:pPr>
        <w:rPr>
          <w:u w:val="single"/>
        </w:rPr>
      </w:pPr>
      <w:r w:rsidRPr="00532F91">
        <w:rPr>
          <w:u w:val="single"/>
        </w:rPr>
        <w:t>Male part-time employment growth</w:t>
      </w:r>
    </w:p>
    <w:p w:rsidR="00532F91" w:rsidRPr="00371529" w:rsidRDefault="00532F91" w:rsidP="008F0A55">
      <w:r w:rsidRPr="00371529">
        <w:t>Retail</w:t>
      </w:r>
      <w:r w:rsidR="00371529" w:rsidRPr="00371529">
        <w:t>, Manufacturing, Accommodation and Food Services and Health Care and Social Assistance</w:t>
      </w:r>
    </w:p>
    <w:p w:rsidR="00532F91" w:rsidRPr="00532F91" w:rsidRDefault="00532F91" w:rsidP="008F0A55"/>
    <w:p w:rsidR="00532F91" w:rsidRPr="00532F91" w:rsidRDefault="00532F91" w:rsidP="008F0A55">
      <w:pPr>
        <w:rPr>
          <w:u w:val="single"/>
        </w:rPr>
      </w:pPr>
      <w:r w:rsidRPr="00532F91">
        <w:rPr>
          <w:u w:val="single"/>
        </w:rPr>
        <w:t>Female full-time employment growth</w:t>
      </w:r>
    </w:p>
    <w:p w:rsidR="00532F91" w:rsidRPr="00532F91" w:rsidRDefault="00532F91" w:rsidP="008F0A55">
      <w:r w:rsidRPr="00371529">
        <w:t>Increase</w:t>
      </w:r>
      <w:r w:rsidRPr="00532F91">
        <w:t>- Retail</w:t>
      </w:r>
      <w:r w:rsidR="00371529">
        <w:t xml:space="preserve">, </w:t>
      </w:r>
      <w:r w:rsidR="00371529" w:rsidRPr="00532F91">
        <w:t>Manufacturing</w:t>
      </w:r>
      <w:r w:rsidR="00371529">
        <w:t xml:space="preserve">, </w:t>
      </w:r>
      <w:r w:rsidR="00371529" w:rsidRPr="00532F91">
        <w:t>Accommodation and Food Services</w:t>
      </w:r>
      <w:r w:rsidR="00371529">
        <w:t xml:space="preserve"> and </w:t>
      </w:r>
      <w:r w:rsidR="00371529" w:rsidRPr="00532F91">
        <w:t>Education</w:t>
      </w:r>
    </w:p>
    <w:p w:rsidR="00532F91" w:rsidRPr="00532F91" w:rsidRDefault="00AC36EE" w:rsidP="008F0A55">
      <w:r>
        <w:t>Decrease</w:t>
      </w:r>
      <w:r w:rsidR="00532F91" w:rsidRPr="00532F91">
        <w:t>- Health Care and Social Assistance</w:t>
      </w:r>
    </w:p>
    <w:p w:rsidR="00532F91" w:rsidRPr="00532F91" w:rsidRDefault="00532F91" w:rsidP="008F0A55">
      <w:pPr>
        <w:rPr>
          <w:u w:val="single"/>
        </w:rPr>
      </w:pPr>
      <w:r w:rsidRPr="00532F91">
        <w:rPr>
          <w:u w:val="single"/>
        </w:rPr>
        <w:t>Female part-time employment growth</w:t>
      </w:r>
    </w:p>
    <w:p w:rsidR="00AC36EE" w:rsidRDefault="00532F91" w:rsidP="00AC36EE">
      <w:r w:rsidRPr="00532F91">
        <w:t>Retail</w:t>
      </w:r>
      <w:r w:rsidR="00371529">
        <w:t xml:space="preserve">, </w:t>
      </w:r>
      <w:r w:rsidR="00371529" w:rsidRPr="00532F91">
        <w:t>Manufacturing</w:t>
      </w:r>
      <w:r w:rsidR="00371529">
        <w:t xml:space="preserve"> and </w:t>
      </w:r>
      <w:r w:rsidR="00371529" w:rsidRPr="00532F91">
        <w:t>Education</w:t>
      </w:r>
    </w:p>
    <w:p w:rsidR="00FB7A41" w:rsidRPr="00532F91" w:rsidRDefault="00532F91" w:rsidP="00A408C5">
      <w:pPr>
        <w:pStyle w:val="Heading1"/>
      </w:pPr>
      <w:r w:rsidRPr="00532F91">
        <w:lastRenderedPageBreak/>
        <w:t>Slide 14</w:t>
      </w:r>
      <w:r w:rsidR="00FB7A41">
        <w:t xml:space="preserve"> </w:t>
      </w:r>
      <w:r w:rsidR="00FB7A41" w:rsidRPr="00532F91">
        <w:t>Retail and Health largest employment industries</w:t>
      </w:r>
    </w:p>
    <w:p w:rsidR="00532F91" w:rsidRPr="00532F91" w:rsidRDefault="00532F91" w:rsidP="00532F91">
      <w:pPr>
        <w:spacing w:line="360" w:lineRule="auto"/>
        <w:rPr>
          <w:rFonts w:cstheme="minorHAnsi"/>
          <w:sz w:val="20"/>
          <w:szCs w:val="20"/>
        </w:rPr>
      </w:pPr>
    </w:p>
    <w:p w:rsidR="00532F91" w:rsidRPr="00532F91" w:rsidRDefault="00AC36EE" w:rsidP="00532F91">
      <w:pPr>
        <w:spacing w:line="360" w:lineRule="auto"/>
        <w:jc w:val="center"/>
        <w:rPr>
          <w:rFonts w:cstheme="minorHAnsi"/>
          <w:sz w:val="20"/>
          <w:szCs w:val="20"/>
        </w:rPr>
      </w:pPr>
      <w:r w:rsidRPr="00AC36EE">
        <w:rPr>
          <w:noProof/>
        </w:rPr>
        <w:drawing>
          <wp:inline distT="0" distB="0" distL="0" distR="0" wp14:anchorId="75520C57" wp14:editId="67B06CD9">
            <wp:extent cx="5400000" cy="4050000"/>
            <wp:effectExtent l="19050" t="19050" r="10795" b="27305"/>
            <wp:docPr id="59" name="Picture 59" descr="Bar graph - Retail and Health largest employing industries&#10;&#10;Industry Bendigo/Australia&#10;Retail Trade 16%/11%&#10;Health are and Social Assistance 14%/12%&#10;Manufacturing 13%/10%&#10;Construction 10%/9%&#10;Education and Training 8%/8%&#10;Accomodation and Fodd Services 6%/6%&#10;Public Adminstration and safety 5%/5%&#10;Professional, Scientific and Technical Services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400000" cy="4050000"/>
                    </a:xfrm>
                    <a:prstGeom prst="rect">
                      <a:avLst/>
                    </a:prstGeom>
                    <a:ln>
                      <a:solidFill>
                        <a:schemeClr val="tx1"/>
                      </a:solidFill>
                    </a:ln>
                  </pic:spPr>
                </pic:pic>
              </a:graphicData>
            </a:graphic>
          </wp:inline>
        </w:drawing>
      </w:r>
    </w:p>
    <w:p w:rsidR="00532F91" w:rsidRPr="00AC36EE" w:rsidRDefault="00532F91" w:rsidP="00AC36EE">
      <w:pPr>
        <w:rPr>
          <w:i/>
        </w:rPr>
      </w:pPr>
      <w:r w:rsidRPr="00AC36EE">
        <w:rPr>
          <w:i/>
        </w:rPr>
        <w:t>Source: ABS, Labour Force data, February Quarter 2014 (4 quarter averages)</w:t>
      </w:r>
    </w:p>
    <w:p w:rsidR="00532F91" w:rsidRPr="00532F91" w:rsidRDefault="00532F91" w:rsidP="00AC36EE"/>
    <w:p w:rsidR="00532F91" w:rsidRPr="00532F91" w:rsidRDefault="00532F91" w:rsidP="00AC36EE">
      <w:r w:rsidRPr="00532F91">
        <w:t xml:space="preserve">Employment in the Bendigo region was highest in the Retail Trade (16 per cent of all employed), Health Care and Social Assistance (14 per cent) and Manufacturing </w:t>
      </w:r>
      <w:r w:rsidR="00AC36EE">
        <w:br/>
      </w:r>
      <w:r w:rsidRPr="00532F91">
        <w:t>(13 per cent) industries.</w:t>
      </w:r>
    </w:p>
    <w:p w:rsidR="00532F91" w:rsidRPr="00532F91" w:rsidRDefault="00532F91">
      <w:pPr>
        <w:rPr>
          <w:rFonts w:cstheme="minorHAnsi"/>
          <w:sz w:val="20"/>
          <w:szCs w:val="20"/>
        </w:rPr>
      </w:pPr>
      <w:r w:rsidRPr="00532F91">
        <w:rPr>
          <w:rFonts w:cstheme="minorHAnsi"/>
          <w:sz w:val="20"/>
          <w:szCs w:val="20"/>
        </w:rPr>
        <w:br w:type="page"/>
      </w:r>
    </w:p>
    <w:p w:rsidR="00FB7A41" w:rsidRPr="00532F91" w:rsidRDefault="00532F91" w:rsidP="00A408C5">
      <w:pPr>
        <w:pStyle w:val="Heading1"/>
      </w:pPr>
      <w:r w:rsidRPr="00532F91">
        <w:lastRenderedPageBreak/>
        <w:t>Slide 15</w:t>
      </w:r>
      <w:r w:rsidR="00FB7A41">
        <w:t xml:space="preserve"> </w:t>
      </w:r>
      <w:r w:rsidR="00FB7A41" w:rsidRPr="00532F91">
        <w:t>Structural change in industry employment</w:t>
      </w:r>
    </w:p>
    <w:p w:rsidR="00532F91" w:rsidRPr="00532F91" w:rsidRDefault="00532F91" w:rsidP="00532F91">
      <w:pPr>
        <w:spacing w:line="360" w:lineRule="auto"/>
        <w:rPr>
          <w:rFonts w:cstheme="minorHAnsi"/>
          <w:sz w:val="20"/>
          <w:szCs w:val="20"/>
        </w:rPr>
      </w:pPr>
    </w:p>
    <w:p w:rsidR="00532F91" w:rsidRPr="00532F91" w:rsidRDefault="00CA2F9F" w:rsidP="00532F91">
      <w:pPr>
        <w:spacing w:line="360" w:lineRule="auto"/>
        <w:rPr>
          <w:rFonts w:cstheme="minorHAnsi"/>
          <w:sz w:val="20"/>
          <w:szCs w:val="20"/>
        </w:rPr>
      </w:pPr>
      <w:r w:rsidRPr="00CA2F9F">
        <w:rPr>
          <w:noProof/>
        </w:rPr>
        <w:drawing>
          <wp:inline distT="0" distB="0" distL="0" distR="0" wp14:anchorId="764CBBC9" wp14:editId="78CD10FE">
            <wp:extent cx="5400000" cy="4050000"/>
            <wp:effectExtent l="19050" t="19050" r="10795" b="27305"/>
            <wp:docPr id="3" name="Picture 3" descr="Bar graph - Structural change in industry employment. Percentage of total employment February quarter 2004 to February Quarter 2014 for Bendigo SA4&#10;&#10;Education and Training 11% - 8%&#10;Accommodation and Food Services 8% - 6%&#10;Public Administration and Safety 7% - 5%&#10;Professional, Scientific and Technical Services 7% - 4%&#10;Construction 6% - 10%&#10;Manufacturing 11% -13%&#10;Health Care and Social Assistance 10% - 14%&#10;Retail Trade 12% -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400000" cy="4050000"/>
                    </a:xfrm>
                    <a:prstGeom prst="rect">
                      <a:avLst/>
                    </a:prstGeom>
                    <a:ln>
                      <a:solidFill>
                        <a:schemeClr val="tx1"/>
                      </a:solidFill>
                    </a:ln>
                  </pic:spPr>
                </pic:pic>
              </a:graphicData>
            </a:graphic>
          </wp:inline>
        </w:drawing>
      </w:r>
    </w:p>
    <w:p w:rsidR="00532F91" w:rsidRPr="00CA2F9F" w:rsidRDefault="00532F91" w:rsidP="00CA2F9F">
      <w:pPr>
        <w:rPr>
          <w:i/>
        </w:rPr>
      </w:pPr>
      <w:r w:rsidRPr="00CA2F9F">
        <w:rPr>
          <w:i/>
        </w:rPr>
        <w:t xml:space="preserve">Source: ABS, Labour Force data, February Quarter 2014 (4 quarter averages) </w:t>
      </w:r>
    </w:p>
    <w:p w:rsidR="00532F91" w:rsidRPr="00532F91" w:rsidRDefault="00532F91" w:rsidP="00CA2F9F"/>
    <w:p w:rsidR="00532F91" w:rsidRPr="00532F91" w:rsidRDefault="00532F91" w:rsidP="00CA2F9F">
      <w:r w:rsidRPr="00532F91">
        <w:t>In the 10 years from 2004, industries have changed quite substantially in the Bendigo region. The reliance on the Education and Training industry has lessened, reducing from 11 per cent to 8 per</w:t>
      </w:r>
      <w:r w:rsidR="00371529">
        <w:t xml:space="preserve"> </w:t>
      </w:r>
      <w:r w:rsidRPr="00532F91">
        <w:t xml:space="preserve">cent of all employment.  </w:t>
      </w:r>
      <w:proofErr w:type="gramStart"/>
      <w:r w:rsidRPr="00532F91">
        <w:t>Whereas</w:t>
      </w:r>
      <w:r w:rsidR="00CA2F9F">
        <w:t>,</w:t>
      </w:r>
      <w:r w:rsidRPr="00532F91">
        <w:t xml:space="preserve"> the importance of the Retail Trade is very evident</w:t>
      </w:r>
      <w:r w:rsidR="00371529">
        <w:t>,</w:t>
      </w:r>
      <w:r w:rsidRPr="00532F91">
        <w:t xml:space="preserve"> having grown from 12</w:t>
      </w:r>
      <w:r w:rsidR="00371529">
        <w:t> </w:t>
      </w:r>
      <w:r w:rsidRPr="00532F91">
        <w:t>per</w:t>
      </w:r>
      <w:r w:rsidR="00371529">
        <w:t xml:space="preserve"> </w:t>
      </w:r>
      <w:r w:rsidRPr="00532F91">
        <w:t>cent to 16 per cent of all employment in the region.</w:t>
      </w:r>
      <w:proofErr w:type="gramEnd"/>
      <w:r w:rsidRPr="00532F91">
        <w:t xml:space="preserve"> Reliance on the Construction, Manufacturing, Health Care and Social Assistance industries has also increased.</w:t>
      </w:r>
    </w:p>
    <w:p w:rsidR="00532F91" w:rsidRPr="00532F91" w:rsidRDefault="00532F91">
      <w:pPr>
        <w:rPr>
          <w:rFonts w:cstheme="minorHAnsi"/>
          <w:sz w:val="20"/>
          <w:szCs w:val="20"/>
        </w:rPr>
      </w:pPr>
      <w:r w:rsidRPr="00532F91">
        <w:rPr>
          <w:rFonts w:cstheme="minorHAnsi"/>
          <w:sz w:val="20"/>
          <w:szCs w:val="20"/>
        </w:rPr>
        <w:br w:type="page"/>
      </w:r>
    </w:p>
    <w:p w:rsidR="00FB7A41" w:rsidRDefault="00532F91" w:rsidP="00A408C5">
      <w:pPr>
        <w:pStyle w:val="Heading1"/>
      </w:pPr>
      <w:r w:rsidRPr="00532F91">
        <w:lastRenderedPageBreak/>
        <w:t>Slide 16</w:t>
      </w:r>
      <w:r w:rsidR="00FB7A41">
        <w:t xml:space="preserve"> </w:t>
      </w:r>
      <w:r w:rsidR="00FB7A41" w:rsidRPr="00532F91">
        <w:t>Long-term unemployment</w:t>
      </w:r>
    </w:p>
    <w:p w:rsidR="00CA2F9F" w:rsidRPr="00CA2F9F" w:rsidRDefault="00CA2F9F" w:rsidP="00CA2F9F"/>
    <w:tbl>
      <w:tblPr>
        <w:tblW w:w="8898" w:type="dxa"/>
        <w:tblCellMar>
          <w:left w:w="0" w:type="dxa"/>
          <w:right w:w="0" w:type="dxa"/>
        </w:tblCellMar>
        <w:tblLook w:val="0600" w:firstRow="0" w:lastRow="0" w:firstColumn="0" w:lastColumn="0" w:noHBand="1" w:noVBand="1"/>
      </w:tblPr>
      <w:tblGrid>
        <w:gridCol w:w="2271"/>
        <w:gridCol w:w="2126"/>
        <w:gridCol w:w="2126"/>
        <w:gridCol w:w="2375"/>
      </w:tblGrid>
      <w:tr w:rsidR="00CA2F9F" w:rsidRPr="00A408C5" w:rsidTr="00A408C5">
        <w:trPr>
          <w:trHeight w:val="1010"/>
        </w:trPr>
        <w:tc>
          <w:tcPr>
            <w:tcW w:w="2271" w:type="dxa"/>
            <w:vMerge w:val="restart"/>
            <w:tcBorders>
              <w:top w:val="single" w:sz="8" w:space="0" w:color="000000"/>
              <w:left w:val="single" w:sz="8" w:space="0" w:color="000000"/>
              <w:bottom w:val="single" w:sz="8" w:space="0" w:color="000000"/>
              <w:right w:val="single" w:sz="8" w:space="0" w:color="000000"/>
            </w:tcBorders>
            <w:shd w:val="clear" w:color="auto" w:fill="009288"/>
            <w:tcMar>
              <w:top w:w="72" w:type="dxa"/>
              <w:left w:w="144" w:type="dxa"/>
              <w:bottom w:w="72" w:type="dxa"/>
              <w:right w:w="144" w:type="dxa"/>
            </w:tcMar>
            <w:vAlign w:val="center"/>
            <w:hideMark/>
          </w:tcPr>
          <w:p w:rsidR="00CA2F9F" w:rsidRPr="005E7083" w:rsidRDefault="00A408C5" w:rsidP="00A408C5">
            <w:pPr>
              <w:pStyle w:val="Heading1"/>
              <w:jc w:val="center"/>
              <w:rPr>
                <w:rFonts w:ascii="Arial" w:hAnsi="Arial" w:cs="Arial"/>
                <w:color w:val="FFFFFF" w:themeColor="background1"/>
                <w:sz w:val="32"/>
                <w:szCs w:val="36"/>
                <w:u w:val="none"/>
              </w:rPr>
            </w:pPr>
            <w:r w:rsidRPr="005E7083">
              <w:rPr>
                <w:color w:val="FFFFFF" w:themeColor="background1"/>
                <w:sz w:val="32"/>
                <w:u w:val="none"/>
                <w:lang w:val="en-US"/>
              </w:rPr>
              <w:t>R</w:t>
            </w:r>
            <w:r w:rsidR="00CA2F9F" w:rsidRPr="005E7083">
              <w:rPr>
                <w:color w:val="FFFFFF" w:themeColor="background1"/>
                <w:sz w:val="32"/>
                <w:u w:val="none"/>
                <w:lang w:val="en-US"/>
              </w:rPr>
              <w:t>egion</w:t>
            </w:r>
          </w:p>
        </w:tc>
        <w:tc>
          <w:tcPr>
            <w:tcW w:w="4252" w:type="dxa"/>
            <w:gridSpan w:val="2"/>
            <w:tcBorders>
              <w:top w:val="single" w:sz="8" w:space="0" w:color="000000"/>
              <w:left w:val="single" w:sz="8" w:space="0" w:color="000000"/>
              <w:bottom w:val="single" w:sz="8" w:space="0" w:color="000000"/>
              <w:right w:val="single" w:sz="8" w:space="0" w:color="000000"/>
            </w:tcBorders>
            <w:shd w:val="clear" w:color="auto" w:fill="009288"/>
            <w:tcMar>
              <w:top w:w="72" w:type="dxa"/>
              <w:left w:w="144" w:type="dxa"/>
              <w:bottom w:w="72" w:type="dxa"/>
              <w:right w:w="144" w:type="dxa"/>
            </w:tcMar>
            <w:vAlign w:val="center"/>
            <w:hideMark/>
          </w:tcPr>
          <w:p w:rsidR="00CA2F9F" w:rsidRPr="005E7083" w:rsidRDefault="00CA2F9F" w:rsidP="00A408C5">
            <w:pPr>
              <w:pStyle w:val="Heading1"/>
              <w:jc w:val="center"/>
              <w:rPr>
                <w:rFonts w:ascii="Arial" w:hAnsi="Arial" w:cs="Arial"/>
                <w:color w:val="FFFFFF" w:themeColor="background1"/>
                <w:sz w:val="32"/>
                <w:szCs w:val="36"/>
                <w:u w:val="none"/>
              </w:rPr>
            </w:pPr>
            <w:r w:rsidRPr="005E7083">
              <w:rPr>
                <w:color w:val="FFFFFF" w:themeColor="background1"/>
                <w:sz w:val="32"/>
                <w:u w:val="none"/>
              </w:rPr>
              <w:t>Long-term unemployed</w:t>
            </w:r>
          </w:p>
          <w:p w:rsidR="00CA2F9F" w:rsidRPr="005E7083" w:rsidRDefault="00CA2F9F" w:rsidP="00A408C5">
            <w:pPr>
              <w:pStyle w:val="Heading1"/>
              <w:jc w:val="center"/>
              <w:rPr>
                <w:rFonts w:ascii="Arial" w:hAnsi="Arial" w:cs="Arial"/>
                <w:color w:val="FFFFFF" w:themeColor="background1"/>
                <w:sz w:val="32"/>
                <w:szCs w:val="36"/>
                <w:u w:val="none"/>
              </w:rPr>
            </w:pPr>
            <w:r w:rsidRPr="005E7083">
              <w:rPr>
                <w:color w:val="FFFFFF" w:themeColor="background1"/>
                <w:sz w:val="32"/>
                <w:u w:val="none"/>
              </w:rPr>
              <w:t>(52 weeks or more)</w:t>
            </w:r>
          </w:p>
        </w:tc>
        <w:tc>
          <w:tcPr>
            <w:tcW w:w="2375" w:type="dxa"/>
            <w:vMerge w:val="restart"/>
            <w:tcBorders>
              <w:top w:val="single" w:sz="8" w:space="0" w:color="000000"/>
              <w:left w:val="single" w:sz="8" w:space="0" w:color="000000"/>
              <w:bottom w:val="single" w:sz="8" w:space="0" w:color="000000"/>
              <w:right w:val="single" w:sz="8" w:space="0" w:color="000000"/>
            </w:tcBorders>
            <w:shd w:val="clear" w:color="auto" w:fill="009288"/>
            <w:tcMar>
              <w:top w:w="72" w:type="dxa"/>
              <w:left w:w="144" w:type="dxa"/>
              <w:bottom w:w="72" w:type="dxa"/>
              <w:right w:w="144" w:type="dxa"/>
            </w:tcMar>
            <w:vAlign w:val="center"/>
            <w:hideMark/>
          </w:tcPr>
          <w:p w:rsidR="00CA2F9F" w:rsidRPr="005E7083" w:rsidRDefault="00CA2F9F" w:rsidP="00A408C5">
            <w:pPr>
              <w:pStyle w:val="Heading1"/>
              <w:jc w:val="center"/>
              <w:rPr>
                <w:rFonts w:ascii="Arial" w:hAnsi="Arial" w:cs="Arial"/>
                <w:color w:val="FFFFFF" w:themeColor="background1"/>
                <w:sz w:val="32"/>
                <w:szCs w:val="36"/>
                <w:u w:val="none"/>
              </w:rPr>
            </w:pPr>
            <w:r w:rsidRPr="005E7083">
              <w:rPr>
                <w:color w:val="FFFFFF" w:themeColor="background1"/>
                <w:sz w:val="32"/>
                <w:u w:val="none"/>
              </w:rPr>
              <w:t>Average number of weeks unemployed</w:t>
            </w:r>
          </w:p>
        </w:tc>
      </w:tr>
      <w:tr w:rsidR="00A408C5" w:rsidRPr="00CA2F9F" w:rsidTr="00A408C5">
        <w:trPr>
          <w:trHeight w:val="983"/>
        </w:trPr>
        <w:tc>
          <w:tcPr>
            <w:tcW w:w="2271" w:type="dxa"/>
            <w:vMerge/>
            <w:tcBorders>
              <w:top w:val="single" w:sz="8" w:space="0" w:color="000000"/>
              <w:left w:val="single" w:sz="8" w:space="0" w:color="000000"/>
              <w:bottom w:val="single" w:sz="8" w:space="0" w:color="000000"/>
              <w:right w:val="single" w:sz="8" w:space="0" w:color="000000"/>
            </w:tcBorders>
            <w:vAlign w:val="center"/>
            <w:hideMark/>
          </w:tcPr>
          <w:p w:rsidR="00CA2F9F" w:rsidRPr="005E7083" w:rsidRDefault="00CA2F9F" w:rsidP="00A408C5">
            <w:pPr>
              <w:pStyle w:val="Heading1"/>
              <w:rPr>
                <w:u w:val="none"/>
              </w:rPr>
            </w:pPr>
          </w:p>
        </w:tc>
        <w:tc>
          <w:tcPr>
            <w:tcW w:w="2126" w:type="dxa"/>
            <w:tcBorders>
              <w:top w:val="single" w:sz="8" w:space="0" w:color="000000"/>
              <w:left w:val="single" w:sz="8" w:space="0" w:color="000000"/>
              <w:bottom w:val="single" w:sz="8" w:space="0" w:color="000000"/>
              <w:right w:val="single" w:sz="8" w:space="0" w:color="000000"/>
            </w:tcBorders>
            <w:shd w:val="clear" w:color="auto" w:fill="009288"/>
            <w:tcMar>
              <w:top w:w="72" w:type="dxa"/>
              <w:left w:w="144" w:type="dxa"/>
              <w:bottom w:w="72" w:type="dxa"/>
              <w:right w:w="144" w:type="dxa"/>
            </w:tcMar>
            <w:vAlign w:val="center"/>
            <w:hideMark/>
          </w:tcPr>
          <w:p w:rsidR="00CA2F9F" w:rsidRPr="005E7083" w:rsidRDefault="00CA2F9F" w:rsidP="00A408C5">
            <w:pPr>
              <w:pStyle w:val="Heading1"/>
              <w:jc w:val="center"/>
              <w:rPr>
                <w:rFonts w:ascii="Arial" w:hAnsi="Arial" w:cs="Arial"/>
                <w:color w:val="FFFFFF" w:themeColor="background1"/>
                <w:sz w:val="32"/>
                <w:szCs w:val="36"/>
                <w:u w:val="none"/>
              </w:rPr>
            </w:pPr>
            <w:r w:rsidRPr="005E7083">
              <w:rPr>
                <w:color w:val="FFFFFF" w:themeColor="background1"/>
                <w:sz w:val="32"/>
                <w:u w:val="none"/>
              </w:rPr>
              <w:t>Persons</w:t>
            </w:r>
          </w:p>
          <w:p w:rsidR="00CA2F9F" w:rsidRPr="005E7083" w:rsidRDefault="00CA2F9F" w:rsidP="00A408C5">
            <w:pPr>
              <w:pStyle w:val="Heading1"/>
              <w:jc w:val="center"/>
              <w:rPr>
                <w:rFonts w:ascii="Arial" w:hAnsi="Arial" w:cs="Arial"/>
                <w:color w:val="FFFFFF" w:themeColor="background1"/>
                <w:sz w:val="32"/>
                <w:szCs w:val="36"/>
                <w:u w:val="none"/>
              </w:rPr>
            </w:pPr>
            <w:r w:rsidRPr="005E7083">
              <w:rPr>
                <w:color w:val="FFFFFF" w:themeColor="background1"/>
                <w:sz w:val="32"/>
                <w:u w:val="none"/>
              </w:rPr>
              <w:t>(‘000)</w:t>
            </w:r>
          </w:p>
        </w:tc>
        <w:tc>
          <w:tcPr>
            <w:tcW w:w="2126" w:type="dxa"/>
            <w:tcBorders>
              <w:top w:val="single" w:sz="8" w:space="0" w:color="000000"/>
              <w:left w:val="single" w:sz="8" w:space="0" w:color="000000"/>
              <w:bottom w:val="single" w:sz="8" w:space="0" w:color="000000"/>
              <w:right w:val="single" w:sz="8" w:space="0" w:color="000000"/>
            </w:tcBorders>
            <w:shd w:val="clear" w:color="auto" w:fill="009288"/>
            <w:tcMar>
              <w:top w:w="72" w:type="dxa"/>
              <w:left w:w="144" w:type="dxa"/>
              <w:bottom w:w="72" w:type="dxa"/>
              <w:right w:w="144" w:type="dxa"/>
            </w:tcMar>
            <w:vAlign w:val="center"/>
            <w:hideMark/>
          </w:tcPr>
          <w:p w:rsidR="00CA2F9F" w:rsidRPr="005E7083" w:rsidRDefault="00CA2F9F" w:rsidP="00A408C5">
            <w:pPr>
              <w:pStyle w:val="Heading1"/>
              <w:jc w:val="center"/>
              <w:rPr>
                <w:rFonts w:ascii="Arial" w:hAnsi="Arial" w:cs="Arial"/>
                <w:color w:val="FFFFFF" w:themeColor="background1"/>
                <w:sz w:val="32"/>
                <w:szCs w:val="36"/>
                <w:u w:val="none"/>
              </w:rPr>
            </w:pPr>
            <w:r w:rsidRPr="005E7083">
              <w:rPr>
                <w:color w:val="FFFFFF" w:themeColor="background1"/>
                <w:sz w:val="32"/>
                <w:u w:val="none"/>
              </w:rPr>
              <w:t>Per cent of all unemployed</w:t>
            </w:r>
          </w:p>
        </w:tc>
        <w:tc>
          <w:tcPr>
            <w:tcW w:w="2375" w:type="dxa"/>
            <w:vMerge/>
            <w:tcBorders>
              <w:top w:val="single" w:sz="8" w:space="0" w:color="000000"/>
              <w:left w:val="single" w:sz="8" w:space="0" w:color="000000"/>
              <w:bottom w:val="single" w:sz="8" w:space="0" w:color="000000"/>
              <w:right w:val="single" w:sz="8" w:space="0" w:color="000000"/>
            </w:tcBorders>
            <w:vAlign w:val="center"/>
            <w:hideMark/>
          </w:tcPr>
          <w:p w:rsidR="00CA2F9F" w:rsidRPr="00CA2F9F" w:rsidRDefault="00CA2F9F" w:rsidP="00CA2F9F">
            <w:pPr>
              <w:jc w:val="left"/>
              <w:rPr>
                <w:rFonts w:ascii="Arial" w:hAnsi="Arial" w:cs="Arial"/>
                <w:sz w:val="36"/>
                <w:szCs w:val="36"/>
              </w:rPr>
            </w:pPr>
          </w:p>
        </w:tc>
      </w:tr>
      <w:tr w:rsidR="00CA2F9F" w:rsidRPr="00CA2F9F" w:rsidTr="00A408C5">
        <w:trPr>
          <w:trHeight w:val="880"/>
        </w:trPr>
        <w:tc>
          <w:tcPr>
            <w:tcW w:w="2271" w:type="dxa"/>
            <w:tcBorders>
              <w:top w:val="single" w:sz="8" w:space="0" w:color="000000"/>
              <w:left w:val="single" w:sz="8" w:space="0" w:color="000000"/>
              <w:bottom w:val="single" w:sz="8" w:space="0" w:color="000000"/>
              <w:right w:val="single" w:sz="8" w:space="0" w:color="000000"/>
            </w:tcBorders>
            <w:shd w:val="clear" w:color="auto" w:fill="DDD9C3"/>
            <w:tcMar>
              <w:top w:w="72" w:type="dxa"/>
              <w:left w:w="144" w:type="dxa"/>
              <w:bottom w:w="72" w:type="dxa"/>
              <w:right w:w="144" w:type="dxa"/>
            </w:tcMar>
            <w:vAlign w:val="center"/>
            <w:hideMark/>
          </w:tcPr>
          <w:p w:rsidR="00CA2F9F" w:rsidRPr="00A408C5" w:rsidRDefault="00CA2F9F" w:rsidP="00CA2F9F">
            <w:pPr>
              <w:rPr>
                <w:rFonts w:ascii="Arial" w:hAnsi="Arial" w:cs="Arial"/>
                <w:sz w:val="28"/>
                <w:szCs w:val="36"/>
              </w:rPr>
            </w:pPr>
            <w:r w:rsidRPr="00A408C5">
              <w:rPr>
                <w:sz w:val="28"/>
              </w:rPr>
              <w:t>Bendigo SA4</w:t>
            </w:r>
          </w:p>
        </w:tc>
        <w:tc>
          <w:tcPr>
            <w:tcW w:w="2126" w:type="dxa"/>
            <w:tcBorders>
              <w:top w:val="single" w:sz="8" w:space="0" w:color="000000"/>
              <w:left w:val="single" w:sz="8" w:space="0" w:color="000000"/>
              <w:bottom w:val="single" w:sz="8" w:space="0" w:color="000000"/>
              <w:right w:val="single" w:sz="8" w:space="0" w:color="000000"/>
            </w:tcBorders>
            <w:shd w:val="clear" w:color="auto" w:fill="DDD9C3"/>
            <w:tcMar>
              <w:top w:w="72" w:type="dxa"/>
              <w:left w:w="144" w:type="dxa"/>
              <w:bottom w:w="72" w:type="dxa"/>
              <w:right w:w="144" w:type="dxa"/>
            </w:tcMar>
            <w:vAlign w:val="center"/>
            <w:hideMark/>
          </w:tcPr>
          <w:p w:rsidR="00CA2F9F" w:rsidRPr="00A408C5" w:rsidRDefault="00CA2F9F" w:rsidP="00A408C5">
            <w:pPr>
              <w:jc w:val="center"/>
              <w:rPr>
                <w:rFonts w:ascii="Arial" w:hAnsi="Arial" w:cs="Arial"/>
                <w:sz w:val="28"/>
                <w:szCs w:val="36"/>
              </w:rPr>
            </w:pPr>
            <w:r w:rsidRPr="00A408C5">
              <w:rPr>
                <w:sz w:val="28"/>
              </w:rPr>
              <w:t>1.2</w:t>
            </w:r>
          </w:p>
        </w:tc>
        <w:tc>
          <w:tcPr>
            <w:tcW w:w="2126" w:type="dxa"/>
            <w:tcBorders>
              <w:top w:val="single" w:sz="8" w:space="0" w:color="000000"/>
              <w:left w:val="single" w:sz="8" w:space="0" w:color="000000"/>
              <w:bottom w:val="single" w:sz="8" w:space="0" w:color="000000"/>
              <w:right w:val="single" w:sz="8" w:space="0" w:color="000000"/>
            </w:tcBorders>
            <w:shd w:val="clear" w:color="auto" w:fill="DDD9C3"/>
            <w:tcMar>
              <w:top w:w="72" w:type="dxa"/>
              <w:left w:w="144" w:type="dxa"/>
              <w:bottom w:w="72" w:type="dxa"/>
              <w:right w:w="144" w:type="dxa"/>
            </w:tcMar>
            <w:vAlign w:val="center"/>
            <w:hideMark/>
          </w:tcPr>
          <w:p w:rsidR="00CA2F9F" w:rsidRPr="00A408C5" w:rsidRDefault="00CA2F9F" w:rsidP="00A408C5">
            <w:pPr>
              <w:jc w:val="center"/>
              <w:rPr>
                <w:rFonts w:ascii="Arial" w:hAnsi="Arial" w:cs="Arial"/>
                <w:sz w:val="28"/>
                <w:szCs w:val="36"/>
              </w:rPr>
            </w:pPr>
            <w:r w:rsidRPr="00A408C5">
              <w:rPr>
                <w:sz w:val="28"/>
              </w:rPr>
              <w:t>23.6%</w:t>
            </w:r>
          </w:p>
        </w:tc>
        <w:tc>
          <w:tcPr>
            <w:tcW w:w="2375" w:type="dxa"/>
            <w:tcBorders>
              <w:top w:val="single" w:sz="8" w:space="0" w:color="000000"/>
              <w:left w:val="single" w:sz="8" w:space="0" w:color="000000"/>
              <w:bottom w:val="single" w:sz="8" w:space="0" w:color="000000"/>
              <w:right w:val="single" w:sz="8" w:space="0" w:color="000000"/>
            </w:tcBorders>
            <w:shd w:val="clear" w:color="auto" w:fill="DDD9C3"/>
            <w:tcMar>
              <w:top w:w="72" w:type="dxa"/>
              <w:left w:w="144" w:type="dxa"/>
              <w:bottom w:w="72" w:type="dxa"/>
              <w:right w:w="144" w:type="dxa"/>
            </w:tcMar>
            <w:vAlign w:val="center"/>
            <w:hideMark/>
          </w:tcPr>
          <w:p w:rsidR="00CA2F9F" w:rsidRPr="00A408C5" w:rsidRDefault="00CA2F9F" w:rsidP="00A408C5">
            <w:pPr>
              <w:jc w:val="center"/>
              <w:rPr>
                <w:rFonts w:ascii="Arial" w:hAnsi="Arial" w:cs="Arial"/>
                <w:sz w:val="28"/>
                <w:szCs w:val="36"/>
              </w:rPr>
            </w:pPr>
            <w:r w:rsidRPr="00A408C5">
              <w:rPr>
                <w:sz w:val="28"/>
              </w:rPr>
              <w:t>34.4</w:t>
            </w:r>
          </w:p>
        </w:tc>
      </w:tr>
      <w:tr w:rsidR="00CA2F9F" w:rsidRPr="00CA2F9F" w:rsidTr="00A408C5">
        <w:trPr>
          <w:trHeight w:val="880"/>
        </w:trPr>
        <w:tc>
          <w:tcPr>
            <w:tcW w:w="227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A2F9F" w:rsidRPr="00A408C5" w:rsidRDefault="00CA2F9F" w:rsidP="00CA2F9F">
            <w:pPr>
              <w:rPr>
                <w:rFonts w:ascii="Arial" w:hAnsi="Arial" w:cs="Arial"/>
                <w:sz w:val="28"/>
                <w:szCs w:val="36"/>
              </w:rPr>
            </w:pPr>
            <w:r w:rsidRPr="00A408C5">
              <w:rPr>
                <w:sz w:val="28"/>
              </w:rPr>
              <w:t>Victoria</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A2F9F" w:rsidRPr="00A408C5" w:rsidRDefault="00CA2F9F" w:rsidP="00A408C5">
            <w:pPr>
              <w:jc w:val="center"/>
              <w:rPr>
                <w:rFonts w:ascii="Arial" w:hAnsi="Arial" w:cs="Arial"/>
                <w:sz w:val="28"/>
                <w:szCs w:val="36"/>
              </w:rPr>
            </w:pPr>
            <w:r w:rsidRPr="00A408C5">
              <w:rPr>
                <w:sz w:val="28"/>
              </w:rPr>
              <w:t>34.6</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A2F9F" w:rsidRPr="00A408C5" w:rsidRDefault="00CA2F9F" w:rsidP="00A408C5">
            <w:pPr>
              <w:jc w:val="center"/>
              <w:rPr>
                <w:rFonts w:ascii="Arial" w:hAnsi="Arial" w:cs="Arial"/>
                <w:sz w:val="28"/>
                <w:szCs w:val="36"/>
              </w:rPr>
            </w:pPr>
            <w:r w:rsidRPr="00A408C5">
              <w:rPr>
                <w:sz w:val="28"/>
              </w:rPr>
              <w:t>18.6%</w:t>
            </w:r>
          </w:p>
        </w:tc>
        <w:tc>
          <w:tcPr>
            <w:tcW w:w="237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A2F9F" w:rsidRPr="00A408C5" w:rsidRDefault="00CA2F9F" w:rsidP="00A408C5">
            <w:pPr>
              <w:jc w:val="center"/>
              <w:rPr>
                <w:rFonts w:ascii="Arial" w:hAnsi="Arial" w:cs="Arial"/>
                <w:sz w:val="28"/>
                <w:szCs w:val="36"/>
              </w:rPr>
            </w:pPr>
            <w:r w:rsidRPr="00A408C5">
              <w:rPr>
                <w:sz w:val="28"/>
              </w:rPr>
              <w:t>35.9</w:t>
            </w:r>
          </w:p>
        </w:tc>
      </w:tr>
      <w:tr w:rsidR="00CA2F9F" w:rsidRPr="00CA2F9F" w:rsidTr="00A408C5">
        <w:trPr>
          <w:trHeight w:val="880"/>
        </w:trPr>
        <w:tc>
          <w:tcPr>
            <w:tcW w:w="227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A2F9F" w:rsidRPr="00A408C5" w:rsidRDefault="00CA2F9F" w:rsidP="00CA2F9F">
            <w:pPr>
              <w:rPr>
                <w:rFonts w:ascii="Arial" w:hAnsi="Arial" w:cs="Arial"/>
                <w:sz w:val="28"/>
                <w:szCs w:val="36"/>
              </w:rPr>
            </w:pPr>
            <w:r w:rsidRPr="00A408C5">
              <w:rPr>
                <w:sz w:val="28"/>
              </w:rPr>
              <w:t>Australia</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A2F9F" w:rsidRPr="00A408C5" w:rsidRDefault="00CA2F9F" w:rsidP="00A408C5">
            <w:pPr>
              <w:jc w:val="center"/>
              <w:rPr>
                <w:rFonts w:ascii="Arial" w:hAnsi="Arial" w:cs="Arial"/>
                <w:sz w:val="28"/>
                <w:szCs w:val="36"/>
              </w:rPr>
            </w:pPr>
            <w:r w:rsidRPr="00A408C5">
              <w:rPr>
                <w:sz w:val="28"/>
              </w:rPr>
              <w:t>144.9</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A2F9F" w:rsidRPr="00A408C5" w:rsidRDefault="00CA2F9F" w:rsidP="00A408C5">
            <w:pPr>
              <w:jc w:val="center"/>
              <w:rPr>
                <w:rFonts w:ascii="Arial" w:hAnsi="Arial" w:cs="Arial"/>
                <w:sz w:val="28"/>
                <w:szCs w:val="36"/>
              </w:rPr>
            </w:pPr>
            <w:r w:rsidRPr="00A408C5">
              <w:rPr>
                <w:sz w:val="28"/>
              </w:rPr>
              <w:t>20.5%</w:t>
            </w:r>
          </w:p>
        </w:tc>
        <w:tc>
          <w:tcPr>
            <w:tcW w:w="237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A2F9F" w:rsidRPr="00A408C5" w:rsidRDefault="00CA2F9F" w:rsidP="00A408C5">
            <w:pPr>
              <w:jc w:val="center"/>
              <w:rPr>
                <w:rFonts w:ascii="Arial" w:hAnsi="Arial" w:cs="Arial"/>
                <w:sz w:val="28"/>
                <w:szCs w:val="36"/>
              </w:rPr>
            </w:pPr>
            <w:r w:rsidRPr="00A408C5">
              <w:rPr>
                <w:sz w:val="28"/>
              </w:rPr>
              <w:t>38.3</w:t>
            </w:r>
          </w:p>
        </w:tc>
      </w:tr>
    </w:tbl>
    <w:p w:rsidR="00532F91" w:rsidRPr="00A408C5" w:rsidRDefault="00532F91" w:rsidP="00A408C5">
      <w:pPr>
        <w:rPr>
          <w:i/>
        </w:rPr>
      </w:pPr>
      <w:r w:rsidRPr="00A408C5">
        <w:rPr>
          <w:i/>
        </w:rPr>
        <w:t>Source: ABS, Labour Force data, April 2014 (12 month averages)</w:t>
      </w:r>
    </w:p>
    <w:p w:rsidR="00532F91" w:rsidRPr="00532F91" w:rsidRDefault="00532F91" w:rsidP="00A408C5"/>
    <w:p w:rsidR="00532F91" w:rsidRPr="00532F91" w:rsidRDefault="00532F91" w:rsidP="00A408C5">
      <w:r w:rsidRPr="00532F91">
        <w:t xml:space="preserve">Long-term unemployed are those who have been unemployed and looking for work for 52 weeks or more. </w:t>
      </w:r>
    </w:p>
    <w:p w:rsidR="00532F91" w:rsidRPr="00532F91" w:rsidRDefault="00532F91" w:rsidP="00A408C5">
      <w:pPr>
        <w:rPr>
          <w:strike/>
        </w:rPr>
      </w:pPr>
    </w:p>
    <w:p w:rsidR="00532F91" w:rsidRPr="00532F91" w:rsidRDefault="00532F91" w:rsidP="00A408C5">
      <w:pPr>
        <w:rPr>
          <w:strike/>
        </w:rPr>
      </w:pPr>
      <w:r w:rsidRPr="00532F91">
        <w:t>The proportion of unemployed persons who are long-term unemployed in the Bendigo SA4 (23.6%) was higher than both Victoria (18.6%) and Australia (20.5%). However, the average number of weeks unemployed was less than the state and national average.</w:t>
      </w:r>
    </w:p>
    <w:p w:rsidR="00532F91" w:rsidRPr="00532F91" w:rsidRDefault="00532F91">
      <w:pPr>
        <w:rPr>
          <w:rFonts w:cstheme="minorHAnsi"/>
          <w:sz w:val="20"/>
          <w:szCs w:val="20"/>
        </w:rPr>
      </w:pPr>
      <w:r w:rsidRPr="00532F91">
        <w:rPr>
          <w:rFonts w:cstheme="minorHAnsi"/>
          <w:sz w:val="20"/>
          <w:szCs w:val="20"/>
        </w:rPr>
        <w:br w:type="page"/>
      </w:r>
    </w:p>
    <w:p w:rsidR="00FB7A41" w:rsidRPr="00532F91" w:rsidRDefault="00532F91" w:rsidP="00A408C5">
      <w:pPr>
        <w:pStyle w:val="Heading1"/>
      </w:pPr>
      <w:r w:rsidRPr="00532F91">
        <w:lastRenderedPageBreak/>
        <w:t>Slide 17</w:t>
      </w:r>
      <w:r w:rsidR="00FB7A41">
        <w:t xml:space="preserve"> </w:t>
      </w:r>
      <w:r w:rsidR="00FB7A41" w:rsidRPr="00532F91">
        <w:t>One in four receive income support</w:t>
      </w:r>
    </w:p>
    <w:p w:rsidR="00532F91" w:rsidRPr="00532F91" w:rsidRDefault="00532F91" w:rsidP="00532F91">
      <w:pPr>
        <w:spacing w:line="360" w:lineRule="auto"/>
        <w:rPr>
          <w:rFonts w:cstheme="minorHAnsi"/>
          <w:sz w:val="20"/>
          <w:szCs w:val="20"/>
        </w:rPr>
      </w:pPr>
    </w:p>
    <w:tbl>
      <w:tblPr>
        <w:tblW w:w="8846" w:type="dxa"/>
        <w:tblLayout w:type="fixed"/>
        <w:tblCellMar>
          <w:left w:w="0" w:type="dxa"/>
          <w:right w:w="0" w:type="dxa"/>
        </w:tblCellMar>
        <w:tblLook w:val="0600" w:firstRow="0" w:lastRow="0" w:firstColumn="0" w:lastColumn="0" w:noHBand="1" w:noVBand="1"/>
      </w:tblPr>
      <w:tblGrid>
        <w:gridCol w:w="3034"/>
        <w:gridCol w:w="1937"/>
        <w:gridCol w:w="1937"/>
        <w:gridCol w:w="1938"/>
      </w:tblGrid>
      <w:tr w:rsidR="00A408C5" w:rsidRPr="00A408C5" w:rsidTr="00A408C5">
        <w:trPr>
          <w:trHeight w:val="1216"/>
        </w:trPr>
        <w:tc>
          <w:tcPr>
            <w:tcW w:w="3034" w:type="dxa"/>
            <w:vMerge w:val="restart"/>
            <w:tcBorders>
              <w:top w:val="single" w:sz="4" w:space="0" w:color="000000"/>
              <w:left w:val="single" w:sz="4" w:space="0" w:color="000000"/>
              <w:bottom w:val="single" w:sz="4" w:space="0" w:color="000000"/>
              <w:right w:val="single" w:sz="4" w:space="0" w:color="000000"/>
            </w:tcBorders>
            <w:shd w:val="clear" w:color="auto" w:fill="009288"/>
            <w:tcMar>
              <w:top w:w="10" w:type="dxa"/>
              <w:left w:w="57" w:type="dxa"/>
              <w:bottom w:w="0" w:type="dxa"/>
              <w:right w:w="10" w:type="dxa"/>
            </w:tcMar>
            <w:vAlign w:val="center"/>
            <w:hideMark/>
          </w:tcPr>
          <w:p w:rsidR="00A408C5" w:rsidRPr="005E7083" w:rsidRDefault="00A408C5" w:rsidP="00A55B66">
            <w:pPr>
              <w:pStyle w:val="Heading1"/>
              <w:jc w:val="center"/>
              <w:rPr>
                <w:color w:val="FFFFFF" w:themeColor="background1"/>
                <w:sz w:val="28"/>
                <w:u w:val="none"/>
              </w:rPr>
            </w:pPr>
            <w:r w:rsidRPr="005E7083">
              <w:rPr>
                <w:color w:val="FFFFFF" w:themeColor="background1"/>
                <w:sz w:val="28"/>
                <w:u w:val="none"/>
              </w:rPr>
              <w:t>Region</w:t>
            </w:r>
          </w:p>
        </w:tc>
        <w:tc>
          <w:tcPr>
            <w:tcW w:w="5812" w:type="dxa"/>
            <w:gridSpan w:val="3"/>
            <w:tcBorders>
              <w:top w:val="single" w:sz="4" w:space="0" w:color="000000"/>
              <w:left w:val="single" w:sz="4" w:space="0" w:color="000000"/>
              <w:bottom w:val="single" w:sz="4" w:space="0" w:color="000000"/>
              <w:right w:val="single" w:sz="4" w:space="0" w:color="000000"/>
            </w:tcBorders>
            <w:shd w:val="clear" w:color="auto" w:fill="009288"/>
            <w:tcMar>
              <w:top w:w="10" w:type="dxa"/>
              <w:left w:w="10" w:type="dxa"/>
              <w:bottom w:w="0" w:type="dxa"/>
              <w:right w:w="10" w:type="dxa"/>
            </w:tcMar>
            <w:vAlign w:val="center"/>
            <w:hideMark/>
          </w:tcPr>
          <w:p w:rsidR="00A408C5" w:rsidRPr="005E7083" w:rsidRDefault="00A408C5" w:rsidP="00A55B66">
            <w:pPr>
              <w:pStyle w:val="Heading1"/>
              <w:jc w:val="center"/>
              <w:rPr>
                <w:color w:val="FFFFFF" w:themeColor="background1"/>
                <w:sz w:val="28"/>
                <w:u w:val="none"/>
              </w:rPr>
            </w:pPr>
            <w:r w:rsidRPr="005E7083">
              <w:rPr>
                <w:color w:val="FFFFFF" w:themeColor="background1"/>
                <w:sz w:val="28"/>
                <w:u w:val="none"/>
              </w:rPr>
              <w:t>Propo</w:t>
            </w:r>
            <w:r w:rsidR="00467DC2" w:rsidRPr="005E7083">
              <w:rPr>
                <w:color w:val="FFFFFF" w:themeColor="background1"/>
                <w:sz w:val="28"/>
                <w:u w:val="none"/>
              </w:rPr>
              <w:t>rtion of working age population</w:t>
            </w:r>
            <w:r w:rsidR="00467DC2" w:rsidRPr="005E7083">
              <w:rPr>
                <w:color w:val="FFFFFF" w:themeColor="background1"/>
                <w:sz w:val="28"/>
                <w:u w:val="none"/>
              </w:rPr>
              <w:br/>
            </w:r>
            <w:r w:rsidRPr="005E7083">
              <w:rPr>
                <w:color w:val="FFFFFF" w:themeColor="background1"/>
                <w:sz w:val="28"/>
                <w:u w:val="none"/>
              </w:rPr>
              <w:t>in receipt of a benefit</w:t>
            </w:r>
          </w:p>
        </w:tc>
      </w:tr>
      <w:tr w:rsidR="00A408C5" w:rsidRPr="00A408C5" w:rsidTr="00A408C5">
        <w:trPr>
          <w:trHeight w:val="936"/>
        </w:trPr>
        <w:tc>
          <w:tcPr>
            <w:tcW w:w="3034" w:type="dxa"/>
            <w:vMerge/>
            <w:tcBorders>
              <w:top w:val="single" w:sz="4" w:space="0" w:color="000000"/>
              <w:left w:val="single" w:sz="4" w:space="0" w:color="000000"/>
              <w:bottom w:val="single" w:sz="4" w:space="0" w:color="000000"/>
              <w:right w:val="single" w:sz="4" w:space="0" w:color="000000"/>
            </w:tcBorders>
            <w:vAlign w:val="center"/>
            <w:hideMark/>
          </w:tcPr>
          <w:p w:rsidR="00A408C5" w:rsidRPr="005E7083" w:rsidRDefault="00A408C5" w:rsidP="00A55B66">
            <w:pPr>
              <w:pStyle w:val="Heading1"/>
              <w:jc w:val="center"/>
              <w:rPr>
                <w:color w:val="FFFFFF" w:themeColor="background1"/>
                <w:sz w:val="28"/>
                <w:u w:val="none"/>
              </w:rPr>
            </w:pPr>
          </w:p>
        </w:tc>
        <w:tc>
          <w:tcPr>
            <w:tcW w:w="1937" w:type="dxa"/>
            <w:tcBorders>
              <w:top w:val="single" w:sz="4" w:space="0" w:color="000000"/>
              <w:left w:val="single" w:sz="4" w:space="0" w:color="000000"/>
              <w:bottom w:val="single" w:sz="4" w:space="0" w:color="000000"/>
              <w:right w:val="single" w:sz="4" w:space="0" w:color="000000"/>
            </w:tcBorders>
            <w:shd w:val="clear" w:color="auto" w:fill="009288"/>
            <w:tcMar>
              <w:top w:w="10" w:type="dxa"/>
              <w:left w:w="10" w:type="dxa"/>
              <w:bottom w:w="0" w:type="dxa"/>
              <w:right w:w="10" w:type="dxa"/>
            </w:tcMar>
            <w:vAlign w:val="center"/>
            <w:hideMark/>
          </w:tcPr>
          <w:p w:rsidR="00A408C5" w:rsidRPr="005E7083" w:rsidRDefault="00A408C5" w:rsidP="00A55B66">
            <w:pPr>
              <w:pStyle w:val="Heading1"/>
              <w:jc w:val="center"/>
              <w:rPr>
                <w:color w:val="FFFFFF" w:themeColor="background1"/>
                <w:sz w:val="28"/>
                <w:u w:val="none"/>
              </w:rPr>
            </w:pPr>
            <w:r w:rsidRPr="005E7083">
              <w:rPr>
                <w:color w:val="FFFFFF" w:themeColor="background1"/>
                <w:sz w:val="28"/>
                <w:u w:val="none"/>
              </w:rPr>
              <w:t>Income Support benefits</w:t>
            </w:r>
          </w:p>
        </w:tc>
        <w:tc>
          <w:tcPr>
            <w:tcW w:w="1937" w:type="dxa"/>
            <w:tcBorders>
              <w:top w:val="single" w:sz="4" w:space="0" w:color="000000"/>
              <w:left w:val="single" w:sz="4" w:space="0" w:color="000000"/>
              <w:bottom w:val="single" w:sz="4" w:space="0" w:color="000000"/>
              <w:right w:val="single" w:sz="4" w:space="0" w:color="000000"/>
            </w:tcBorders>
            <w:shd w:val="clear" w:color="auto" w:fill="009288"/>
            <w:tcMar>
              <w:top w:w="10" w:type="dxa"/>
              <w:left w:w="10" w:type="dxa"/>
              <w:bottom w:w="0" w:type="dxa"/>
              <w:right w:w="10" w:type="dxa"/>
            </w:tcMar>
            <w:vAlign w:val="center"/>
            <w:hideMark/>
          </w:tcPr>
          <w:p w:rsidR="00A408C5" w:rsidRPr="005E7083" w:rsidRDefault="00A408C5" w:rsidP="00A55B66">
            <w:pPr>
              <w:pStyle w:val="Heading1"/>
              <w:jc w:val="center"/>
              <w:rPr>
                <w:color w:val="FFFFFF" w:themeColor="background1"/>
                <w:sz w:val="28"/>
                <w:u w:val="none"/>
              </w:rPr>
            </w:pPr>
            <w:r w:rsidRPr="005E7083">
              <w:rPr>
                <w:color w:val="FFFFFF" w:themeColor="background1"/>
                <w:sz w:val="28"/>
                <w:u w:val="none"/>
              </w:rPr>
              <w:t>Unemployment benefits</w:t>
            </w:r>
          </w:p>
        </w:tc>
        <w:tc>
          <w:tcPr>
            <w:tcW w:w="1938" w:type="dxa"/>
            <w:tcBorders>
              <w:top w:val="single" w:sz="4" w:space="0" w:color="000000"/>
              <w:left w:val="single" w:sz="4" w:space="0" w:color="000000"/>
              <w:bottom w:val="single" w:sz="4" w:space="0" w:color="000000"/>
              <w:right w:val="single" w:sz="4" w:space="0" w:color="000000"/>
            </w:tcBorders>
            <w:shd w:val="clear" w:color="auto" w:fill="009288"/>
            <w:tcMar>
              <w:top w:w="10" w:type="dxa"/>
              <w:left w:w="10" w:type="dxa"/>
              <w:bottom w:w="0" w:type="dxa"/>
              <w:right w:w="10" w:type="dxa"/>
            </w:tcMar>
            <w:vAlign w:val="center"/>
            <w:hideMark/>
          </w:tcPr>
          <w:p w:rsidR="00A408C5" w:rsidRPr="005E7083" w:rsidRDefault="00A408C5" w:rsidP="00A55B66">
            <w:pPr>
              <w:pStyle w:val="Heading1"/>
              <w:jc w:val="center"/>
              <w:rPr>
                <w:color w:val="FFFFFF" w:themeColor="background1"/>
                <w:sz w:val="28"/>
                <w:u w:val="none"/>
              </w:rPr>
            </w:pPr>
            <w:r w:rsidRPr="005E7083">
              <w:rPr>
                <w:color w:val="FFFFFF" w:themeColor="background1"/>
                <w:sz w:val="28"/>
                <w:u w:val="none"/>
              </w:rPr>
              <w:t>Disability Support Payments</w:t>
            </w:r>
          </w:p>
        </w:tc>
      </w:tr>
      <w:tr w:rsidR="00A408C5" w:rsidRPr="00A408C5" w:rsidTr="00A408C5">
        <w:trPr>
          <w:trHeight w:val="697"/>
        </w:trPr>
        <w:tc>
          <w:tcPr>
            <w:tcW w:w="3034" w:type="dxa"/>
            <w:tcBorders>
              <w:top w:val="single" w:sz="4" w:space="0" w:color="000000"/>
              <w:left w:val="single" w:sz="4" w:space="0" w:color="000000"/>
              <w:bottom w:val="single" w:sz="4" w:space="0" w:color="000000"/>
              <w:right w:val="single" w:sz="4" w:space="0" w:color="000000"/>
            </w:tcBorders>
            <w:shd w:val="clear" w:color="auto" w:fill="auto"/>
            <w:tcMar>
              <w:top w:w="10" w:type="dxa"/>
              <w:left w:w="57" w:type="dxa"/>
              <w:bottom w:w="0" w:type="dxa"/>
              <w:right w:w="10" w:type="dxa"/>
            </w:tcMar>
            <w:vAlign w:val="center"/>
            <w:hideMark/>
          </w:tcPr>
          <w:p w:rsidR="00A408C5" w:rsidRPr="00A408C5" w:rsidRDefault="00A408C5" w:rsidP="00A408C5">
            <w:pPr>
              <w:rPr>
                <w:rFonts w:ascii="Arial" w:hAnsi="Arial" w:cs="Arial"/>
                <w:sz w:val="28"/>
              </w:rPr>
            </w:pPr>
            <w:r w:rsidRPr="00A408C5">
              <w:rPr>
                <w:sz w:val="28"/>
              </w:rPr>
              <w:t>Greater Bendigo LGA</w:t>
            </w:r>
          </w:p>
        </w:tc>
        <w:tc>
          <w:tcPr>
            <w:tcW w:w="193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rsidR="00A408C5" w:rsidRPr="00A408C5" w:rsidRDefault="00A408C5" w:rsidP="00A408C5">
            <w:pPr>
              <w:jc w:val="center"/>
              <w:rPr>
                <w:rFonts w:ascii="Arial" w:hAnsi="Arial" w:cs="Arial"/>
              </w:rPr>
            </w:pPr>
            <w:r w:rsidRPr="00A408C5">
              <w:rPr>
                <w:color w:val="000000" w:themeColor="text1"/>
              </w:rPr>
              <w:t>24%</w:t>
            </w:r>
          </w:p>
        </w:tc>
        <w:tc>
          <w:tcPr>
            <w:tcW w:w="193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rsidR="00A408C5" w:rsidRPr="00A408C5" w:rsidRDefault="00A408C5" w:rsidP="00A408C5">
            <w:pPr>
              <w:jc w:val="center"/>
              <w:rPr>
                <w:rFonts w:ascii="Arial" w:hAnsi="Arial" w:cs="Arial"/>
              </w:rPr>
            </w:pPr>
            <w:r w:rsidRPr="00A408C5">
              <w:rPr>
                <w:color w:val="000000" w:themeColor="text1"/>
              </w:rPr>
              <w:t>7%</w:t>
            </w:r>
          </w:p>
        </w:tc>
        <w:tc>
          <w:tcPr>
            <w:tcW w:w="193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rsidR="00A408C5" w:rsidRPr="00A408C5" w:rsidRDefault="00A408C5" w:rsidP="00A408C5">
            <w:pPr>
              <w:jc w:val="center"/>
              <w:rPr>
                <w:rFonts w:ascii="Arial" w:hAnsi="Arial" w:cs="Arial"/>
              </w:rPr>
            </w:pPr>
            <w:r w:rsidRPr="00A408C5">
              <w:rPr>
                <w:color w:val="000000" w:themeColor="text1"/>
              </w:rPr>
              <w:t>8%</w:t>
            </w:r>
          </w:p>
        </w:tc>
      </w:tr>
      <w:tr w:rsidR="00A408C5" w:rsidRPr="00A408C5" w:rsidTr="00A408C5">
        <w:trPr>
          <w:trHeight w:val="697"/>
        </w:trPr>
        <w:tc>
          <w:tcPr>
            <w:tcW w:w="3034" w:type="dxa"/>
            <w:tcBorders>
              <w:top w:val="single" w:sz="4" w:space="0" w:color="000000"/>
              <w:left w:val="single" w:sz="4" w:space="0" w:color="000000"/>
              <w:bottom w:val="single" w:sz="4" w:space="0" w:color="000000"/>
              <w:right w:val="single" w:sz="4" w:space="0" w:color="000000"/>
            </w:tcBorders>
            <w:shd w:val="clear" w:color="auto" w:fill="auto"/>
            <w:tcMar>
              <w:top w:w="10" w:type="dxa"/>
              <w:left w:w="57" w:type="dxa"/>
              <w:bottom w:w="0" w:type="dxa"/>
              <w:right w:w="10" w:type="dxa"/>
            </w:tcMar>
            <w:vAlign w:val="center"/>
            <w:hideMark/>
          </w:tcPr>
          <w:p w:rsidR="00A408C5" w:rsidRPr="00A408C5" w:rsidRDefault="00A408C5" w:rsidP="00A408C5">
            <w:pPr>
              <w:rPr>
                <w:rFonts w:ascii="Arial" w:hAnsi="Arial" w:cs="Arial"/>
                <w:sz w:val="28"/>
              </w:rPr>
            </w:pPr>
            <w:r w:rsidRPr="00A408C5">
              <w:rPr>
                <w:sz w:val="28"/>
              </w:rPr>
              <w:t xml:space="preserve"> Central Goldfields LGA</w:t>
            </w:r>
          </w:p>
        </w:tc>
        <w:tc>
          <w:tcPr>
            <w:tcW w:w="1937" w:type="dxa"/>
            <w:tcBorders>
              <w:top w:val="single" w:sz="4" w:space="0" w:color="000000"/>
              <w:left w:val="single" w:sz="4" w:space="0" w:color="000000"/>
              <w:bottom w:val="single" w:sz="4" w:space="0" w:color="000000"/>
              <w:right w:val="single" w:sz="4" w:space="0" w:color="000000"/>
            </w:tcBorders>
            <w:shd w:val="clear" w:color="auto" w:fill="FCD5B5"/>
            <w:tcMar>
              <w:top w:w="10" w:type="dxa"/>
              <w:left w:w="10" w:type="dxa"/>
              <w:bottom w:w="0" w:type="dxa"/>
              <w:right w:w="10" w:type="dxa"/>
            </w:tcMar>
            <w:vAlign w:val="center"/>
            <w:hideMark/>
          </w:tcPr>
          <w:p w:rsidR="00A408C5" w:rsidRPr="00A408C5" w:rsidRDefault="00A408C5" w:rsidP="00A408C5">
            <w:pPr>
              <w:jc w:val="center"/>
              <w:rPr>
                <w:rFonts w:ascii="Arial" w:hAnsi="Arial" w:cs="Arial"/>
              </w:rPr>
            </w:pPr>
            <w:r w:rsidRPr="00A408C5">
              <w:rPr>
                <w:color w:val="000000" w:themeColor="text1"/>
              </w:rPr>
              <w:t>37%</w:t>
            </w:r>
          </w:p>
        </w:tc>
        <w:tc>
          <w:tcPr>
            <w:tcW w:w="1937" w:type="dxa"/>
            <w:tcBorders>
              <w:top w:val="single" w:sz="4" w:space="0" w:color="000000"/>
              <w:left w:val="single" w:sz="4" w:space="0" w:color="000000"/>
              <w:bottom w:val="single" w:sz="4" w:space="0" w:color="000000"/>
              <w:right w:val="single" w:sz="4" w:space="0" w:color="000000"/>
            </w:tcBorders>
            <w:shd w:val="clear" w:color="auto" w:fill="FCD5B5"/>
            <w:tcMar>
              <w:top w:w="10" w:type="dxa"/>
              <w:left w:w="10" w:type="dxa"/>
              <w:bottom w:w="0" w:type="dxa"/>
              <w:right w:w="10" w:type="dxa"/>
            </w:tcMar>
            <w:vAlign w:val="center"/>
            <w:hideMark/>
          </w:tcPr>
          <w:p w:rsidR="00A408C5" w:rsidRPr="00A408C5" w:rsidRDefault="00A408C5" w:rsidP="00A408C5">
            <w:pPr>
              <w:jc w:val="center"/>
              <w:rPr>
                <w:rFonts w:ascii="Arial" w:hAnsi="Arial" w:cs="Arial"/>
              </w:rPr>
            </w:pPr>
            <w:r w:rsidRPr="00A408C5">
              <w:rPr>
                <w:color w:val="000000" w:themeColor="text1"/>
              </w:rPr>
              <w:t>11%</w:t>
            </w:r>
          </w:p>
        </w:tc>
        <w:tc>
          <w:tcPr>
            <w:tcW w:w="1938" w:type="dxa"/>
            <w:tcBorders>
              <w:top w:val="single" w:sz="4" w:space="0" w:color="000000"/>
              <w:left w:val="single" w:sz="4" w:space="0" w:color="000000"/>
              <w:bottom w:val="single" w:sz="4" w:space="0" w:color="000000"/>
              <w:right w:val="single" w:sz="4" w:space="0" w:color="000000"/>
            </w:tcBorders>
            <w:shd w:val="clear" w:color="auto" w:fill="FCD5B5"/>
            <w:tcMar>
              <w:top w:w="10" w:type="dxa"/>
              <w:left w:w="10" w:type="dxa"/>
              <w:bottom w:w="0" w:type="dxa"/>
              <w:right w:w="10" w:type="dxa"/>
            </w:tcMar>
            <w:vAlign w:val="center"/>
            <w:hideMark/>
          </w:tcPr>
          <w:p w:rsidR="00A408C5" w:rsidRPr="00A408C5" w:rsidRDefault="00A408C5" w:rsidP="00A408C5">
            <w:pPr>
              <w:jc w:val="center"/>
              <w:rPr>
                <w:rFonts w:ascii="Arial" w:hAnsi="Arial" w:cs="Arial"/>
              </w:rPr>
            </w:pPr>
            <w:r w:rsidRPr="00A408C5">
              <w:rPr>
                <w:color w:val="000000" w:themeColor="text1"/>
              </w:rPr>
              <w:t>15%</w:t>
            </w:r>
          </w:p>
        </w:tc>
      </w:tr>
      <w:tr w:rsidR="00A408C5" w:rsidRPr="00A408C5" w:rsidTr="00A408C5">
        <w:trPr>
          <w:trHeight w:val="697"/>
        </w:trPr>
        <w:tc>
          <w:tcPr>
            <w:tcW w:w="3034" w:type="dxa"/>
            <w:tcBorders>
              <w:top w:val="single" w:sz="4" w:space="0" w:color="000000"/>
              <w:left w:val="single" w:sz="4" w:space="0" w:color="000000"/>
              <w:bottom w:val="single" w:sz="4" w:space="0" w:color="000000"/>
              <w:right w:val="single" w:sz="4" w:space="0" w:color="000000"/>
            </w:tcBorders>
            <w:shd w:val="clear" w:color="auto" w:fill="auto"/>
            <w:tcMar>
              <w:top w:w="10" w:type="dxa"/>
              <w:left w:w="57" w:type="dxa"/>
              <w:bottom w:w="0" w:type="dxa"/>
              <w:right w:w="10" w:type="dxa"/>
            </w:tcMar>
            <w:vAlign w:val="center"/>
            <w:hideMark/>
          </w:tcPr>
          <w:p w:rsidR="00A408C5" w:rsidRPr="00A408C5" w:rsidRDefault="00A408C5" w:rsidP="00A408C5">
            <w:pPr>
              <w:rPr>
                <w:rFonts w:ascii="Arial" w:hAnsi="Arial" w:cs="Arial"/>
                <w:sz w:val="28"/>
              </w:rPr>
            </w:pPr>
            <w:r w:rsidRPr="00A408C5">
              <w:rPr>
                <w:sz w:val="28"/>
              </w:rPr>
              <w:t>Mount Alexander LGA</w:t>
            </w:r>
          </w:p>
        </w:tc>
        <w:tc>
          <w:tcPr>
            <w:tcW w:w="193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rsidR="00A408C5" w:rsidRPr="00A408C5" w:rsidRDefault="00A408C5" w:rsidP="00A408C5">
            <w:pPr>
              <w:jc w:val="center"/>
              <w:rPr>
                <w:rFonts w:ascii="Arial" w:hAnsi="Arial" w:cs="Arial"/>
              </w:rPr>
            </w:pPr>
            <w:r w:rsidRPr="00A408C5">
              <w:rPr>
                <w:color w:val="000000" w:themeColor="text1"/>
              </w:rPr>
              <w:t>22%</w:t>
            </w:r>
          </w:p>
        </w:tc>
        <w:tc>
          <w:tcPr>
            <w:tcW w:w="193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rsidR="00A408C5" w:rsidRPr="00A408C5" w:rsidRDefault="00A408C5" w:rsidP="00A408C5">
            <w:pPr>
              <w:jc w:val="center"/>
              <w:rPr>
                <w:rFonts w:ascii="Arial" w:hAnsi="Arial" w:cs="Arial"/>
              </w:rPr>
            </w:pPr>
            <w:r w:rsidRPr="00A408C5">
              <w:rPr>
                <w:color w:val="000000" w:themeColor="text1"/>
              </w:rPr>
              <w:t>7%</w:t>
            </w:r>
          </w:p>
        </w:tc>
        <w:tc>
          <w:tcPr>
            <w:tcW w:w="193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rsidR="00A408C5" w:rsidRPr="00A408C5" w:rsidRDefault="00A408C5" w:rsidP="00A408C5">
            <w:pPr>
              <w:jc w:val="center"/>
              <w:rPr>
                <w:rFonts w:ascii="Arial" w:hAnsi="Arial" w:cs="Arial"/>
              </w:rPr>
            </w:pPr>
            <w:r w:rsidRPr="00A408C5">
              <w:rPr>
                <w:color w:val="000000" w:themeColor="text1"/>
              </w:rPr>
              <w:t>9%</w:t>
            </w:r>
          </w:p>
        </w:tc>
      </w:tr>
      <w:tr w:rsidR="00A408C5" w:rsidRPr="00A408C5" w:rsidTr="00A408C5">
        <w:trPr>
          <w:trHeight w:val="697"/>
        </w:trPr>
        <w:tc>
          <w:tcPr>
            <w:tcW w:w="3034" w:type="dxa"/>
            <w:tcBorders>
              <w:top w:val="single" w:sz="4" w:space="0" w:color="000000"/>
              <w:left w:val="single" w:sz="4" w:space="0" w:color="000000"/>
              <w:bottom w:val="single" w:sz="4" w:space="0" w:color="000000"/>
              <w:right w:val="single" w:sz="4" w:space="0" w:color="000000"/>
            </w:tcBorders>
            <w:shd w:val="clear" w:color="auto" w:fill="E1EAE9"/>
            <w:tcMar>
              <w:top w:w="10" w:type="dxa"/>
              <w:left w:w="10" w:type="dxa"/>
              <w:bottom w:w="0" w:type="dxa"/>
              <w:right w:w="10" w:type="dxa"/>
            </w:tcMar>
            <w:vAlign w:val="center"/>
            <w:hideMark/>
          </w:tcPr>
          <w:p w:rsidR="00A408C5" w:rsidRPr="00A408C5" w:rsidRDefault="00A408C5" w:rsidP="00A408C5">
            <w:pPr>
              <w:rPr>
                <w:rFonts w:ascii="Arial" w:hAnsi="Arial" w:cs="Arial"/>
                <w:sz w:val="28"/>
              </w:rPr>
            </w:pPr>
            <w:r w:rsidRPr="00A408C5">
              <w:rPr>
                <w:sz w:val="28"/>
              </w:rPr>
              <w:t xml:space="preserve"> Bendigo region</w:t>
            </w:r>
          </w:p>
        </w:tc>
        <w:tc>
          <w:tcPr>
            <w:tcW w:w="1937" w:type="dxa"/>
            <w:tcBorders>
              <w:top w:val="single" w:sz="4" w:space="0" w:color="000000"/>
              <w:left w:val="single" w:sz="4" w:space="0" w:color="000000"/>
              <w:bottom w:val="single" w:sz="4" w:space="0" w:color="000000"/>
              <w:right w:val="single" w:sz="4" w:space="0" w:color="000000"/>
            </w:tcBorders>
            <w:shd w:val="clear" w:color="auto" w:fill="E1EAE9"/>
            <w:tcMar>
              <w:top w:w="10" w:type="dxa"/>
              <w:left w:w="10" w:type="dxa"/>
              <w:bottom w:w="0" w:type="dxa"/>
              <w:right w:w="10" w:type="dxa"/>
            </w:tcMar>
            <w:vAlign w:val="center"/>
            <w:hideMark/>
          </w:tcPr>
          <w:p w:rsidR="00A408C5" w:rsidRPr="00A408C5" w:rsidRDefault="00A408C5" w:rsidP="00A408C5">
            <w:pPr>
              <w:jc w:val="center"/>
              <w:rPr>
                <w:rFonts w:ascii="Arial" w:hAnsi="Arial" w:cs="Arial"/>
              </w:rPr>
            </w:pPr>
            <w:r w:rsidRPr="00A408C5">
              <w:rPr>
                <w:color w:val="000000" w:themeColor="text1"/>
              </w:rPr>
              <w:t>25%</w:t>
            </w:r>
          </w:p>
        </w:tc>
        <w:tc>
          <w:tcPr>
            <w:tcW w:w="1937" w:type="dxa"/>
            <w:tcBorders>
              <w:top w:val="single" w:sz="4" w:space="0" w:color="000000"/>
              <w:left w:val="single" w:sz="4" w:space="0" w:color="000000"/>
              <w:bottom w:val="single" w:sz="4" w:space="0" w:color="000000"/>
              <w:right w:val="single" w:sz="4" w:space="0" w:color="000000"/>
            </w:tcBorders>
            <w:shd w:val="clear" w:color="auto" w:fill="E1EAE9"/>
            <w:tcMar>
              <w:top w:w="10" w:type="dxa"/>
              <w:left w:w="10" w:type="dxa"/>
              <w:bottom w:w="0" w:type="dxa"/>
              <w:right w:w="10" w:type="dxa"/>
            </w:tcMar>
            <w:vAlign w:val="center"/>
            <w:hideMark/>
          </w:tcPr>
          <w:p w:rsidR="00A408C5" w:rsidRPr="00A408C5" w:rsidRDefault="00A408C5" w:rsidP="00A408C5">
            <w:pPr>
              <w:jc w:val="center"/>
              <w:rPr>
                <w:rFonts w:ascii="Arial" w:hAnsi="Arial" w:cs="Arial"/>
              </w:rPr>
            </w:pPr>
            <w:r w:rsidRPr="00A408C5">
              <w:rPr>
                <w:color w:val="000000" w:themeColor="text1"/>
              </w:rPr>
              <w:t>7%</w:t>
            </w:r>
          </w:p>
        </w:tc>
        <w:tc>
          <w:tcPr>
            <w:tcW w:w="1938" w:type="dxa"/>
            <w:tcBorders>
              <w:top w:val="single" w:sz="4" w:space="0" w:color="000000"/>
              <w:left w:val="single" w:sz="4" w:space="0" w:color="000000"/>
              <w:bottom w:val="single" w:sz="4" w:space="0" w:color="000000"/>
              <w:right w:val="single" w:sz="4" w:space="0" w:color="000000"/>
            </w:tcBorders>
            <w:shd w:val="clear" w:color="auto" w:fill="E1EAE9"/>
            <w:tcMar>
              <w:top w:w="10" w:type="dxa"/>
              <w:left w:w="10" w:type="dxa"/>
              <w:bottom w:w="0" w:type="dxa"/>
              <w:right w:w="10" w:type="dxa"/>
            </w:tcMar>
            <w:vAlign w:val="center"/>
            <w:hideMark/>
          </w:tcPr>
          <w:p w:rsidR="00A408C5" w:rsidRPr="00A408C5" w:rsidRDefault="00A408C5" w:rsidP="00A408C5">
            <w:pPr>
              <w:jc w:val="center"/>
              <w:rPr>
                <w:rFonts w:ascii="Arial" w:hAnsi="Arial" w:cs="Arial"/>
              </w:rPr>
            </w:pPr>
            <w:r w:rsidRPr="00A408C5">
              <w:rPr>
                <w:color w:val="000000" w:themeColor="text1"/>
              </w:rPr>
              <w:t>9%</w:t>
            </w:r>
          </w:p>
        </w:tc>
      </w:tr>
      <w:tr w:rsidR="00A408C5" w:rsidRPr="00A408C5" w:rsidTr="00A408C5">
        <w:trPr>
          <w:trHeight w:val="697"/>
        </w:trPr>
        <w:tc>
          <w:tcPr>
            <w:tcW w:w="3034" w:type="dxa"/>
            <w:tcBorders>
              <w:top w:val="single" w:sz="4" w:space="0" w:color="000000"/>
              <w:left w:val="single" w:sz="4" w:space="0" w:color="000000"/>
              <w:bottom w:val="single" w:sz="4" w:space="0" w:color="000000"/>
              <w:right w:val="single" w:sz="4" w:space="0" w:color="000000"/>
            </w:tcBorders>
            <w:shd w:val="clear" w:color="auto" w:fill="DDD9C3"/>
            <w:tcMar>
              <w:top w:w="10" w:type="dxa"/>
              <w:left w:w="10" w:type="dxa"/>
              <w:bottom w:w="0" w:type="dxa"/>
              <w:right w:w="10" w:type="dxa"/>
            </w:tcMar>
            <w:vAlign w:val="center"/>
            <w:hideMark/>
          </w:tcPr>
          <w:p w:rsidR="00A408C5" w:rsidRPr="00A408C5" w:rsidRDefault="00A408C5" w:rsidP="00A408C5">
            <w:pPr>
              <w:rPr>
                <w:rFonts w:ascii="Arial" w:hAnsi="Arial" w:cs="Arial"/>
                <w:sz w:val="28"/>
              </w:rPr>
            </w:pPr>
            <w:r w:rsidRPr="00A408C5">
              <w:rPr>
                <w:sz w:val="28"/>
              </w:rPr>
              <w:t xml:space="preserve"> Central Victoria region</w:t>
            </w:r>
          </w:p>
        </w:tc>
        <w:tc>
          <w:tcPr>
            <w:tcW w:w="1937" w:type="dxa"/>
            <w:tcBorders>
              <w:top w:val="single" w:sz="4" w:space="0" w:color="000000"/>
              <w:left w:val="single" w:sz="4" w:space="0" w:color="000000"/>
              <w:bottom w:val="single" w:sz="4" w:space="0" w:color="000000"/>
              <w:right w:val="single" w:sz="4" w:space="0" w:color="000000"/>
            </w:tcBorders>
            <w:shd w:val="clear" w:color="auto" w:fill="DDD9C3"/>
            <w:tcMar>
              <w:top w:w="10" w:type="dxa"/>
              <w:left w:w="10" w:type="dxa"/>
              <w:bottom w:w="0" w:type="dxa"/>
              <w:right w:w="10" w:type="dxa"/>
            </w:tcMar>
            <w:vAlign w:val="center"/>
            <w:hideMark/>
          </w:tcPr>
          <w:p w:rsidR="00A408C5" w:rsidRPr="00A408C5" w:rsidRDefault="00A408C5" w:rsidP="00A408C5">
            <w:pPr>
              <w:jc w:val="center"/>
              <w:rPr>
                <w:rFonts w:ascii="Arial" w:hAnsi="Arial" w:cs="Arial"/>
              </w:rPr>
            </w:pPr>
            <w:r w:rsidRPr="00A408C5">
              <w:rPr>
                <w:color w:val="000000" w:themeColor="text1"/>
              </w:rPr>
              <w:t>24%</w:t>
            </w:r>
          </w:p>
        </w:tc>
        <w:tc>
          <w:tcPr>
            <w:tcW w:w="1937" w:type="dxa"/>
            <w:tcBorders>
              <w:top w:val="single" w:sz="4" w:space="0" w:color="000000"/>
              <w:left w:val="single" w:sz="4" w:space="0" w:color="000000"/>
              <w:bottom w:val="single" w:sz="4" w:space="0" w:color="000000"/>
              <w:right w:val="single" w:sz="4" w:space="0" w:color="000000"/>
            </w:tcBorders>
            <w:shd w:val="clear" w:color="auto" w:fill="DDD9C3"/>
            <w:tcMar>
              <w:top w:w="10" w:type="dxa"/>
              <w:left w:w="10" w:type="dxa"/>
              <w:bottom w:w="0" w:type="dxa"/>
              <w:right w:w="10" w:type="dxa"/>
            </w:tcMar>
            <w:vAlign w:val="center"/>
            <w:hideMark/>
          </w:tcPr>
          <w:p w:rsidR="00A408C5" w:rsidRPr="00A408C5" w:rsidRDefault="00A408C5" w:rsidP="00A408C5">
            <w:pPr>
              <w:jc w:val="center"/>
              <w:rPr>
                <w:rFonts w:ascii="Arial" w:hAnsi="Arial" w:cs="Arial"/>
              </w:rPr>
            </w:pPr>
            <w:r w:rsidRPr="00A408C5">
              <w:rPr>
                <w:color w:val="000000" w:themeColor="text1"/>
              </w:rPr>
              <w:t>7%</w:t>
            </w:r>
          </w:p>
        </w:tc>
        <w:tc>
          <w:tcPr>
            <w:tcW w:w="1938" w:type="dxa"/>
            <w:tcBorders>
              <w:top w:val="single" w:sz="4" w:space="0" w:color="000000"/>
              <w:left w:val="single" w:sz="4" w:space="0" w:color="000000"/>
              <w:bottom w:val="single" w:sz="4" w:space="0" w:color="000000"/>
              <w:right w:val="single" w:sz="4" w:space="0" w:color="000000"/>
            </w:tcBorders>
            <w:shd w:val="clear" w:color="auto" w:fill="DDD9C3"/>
            <w:tcMar>
              <w:top w:w="10" w:type="dxa"/>
              <w:left w:w="10" w:type="dxa"/>
              <w:bottom w:w="0" w:type="dxa"/>
              <w:right w:w="10" w:type="dxa"/>
            </w:tcMar>
            <w:vAlign w:val="center"/>
            <w:hideMark/>
          </w:tcPr>
          <w:p w:rsidR="00A408C5" w:rsidRPr="00A408C5" w:rsidRDefault="00A408C5" w:rsidP="00A408C5">
            <w:pPr>
              <w:jc w:val="center"/>
              <w:rPr>
                <w:rFonts w:ascii="Arial" w:hAnsi="Arial" w:cs="Arial"/>
              </w:rPr>
            </w:pPr>
            <w:r w:rsidRPr="00A408C5">
              <w:rPr>
                <w:color w:val="000000" w:themeColor="text1"/>
              </w:rPr>
              <w:t>8%</w:t>
            </w:r>
          </w:p>
        </w:tc>
      </w:tr>
      <w:tr w:rsidR="00A408C5" w:rsidRPr="00A408C5" w:rsidTr="00A408C5">
        <w:trPr>
          <w:trHeight w:val="697"/>
        </w:trPr>
        <w:tc>
          <w:tcPr>
            <w:tcW w:w="303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rsidR="00A408C5" w:rsidRPr="00A408C5" w:rsidRDefault="00A408C5" w:rsidP="00A408C5">
            <w:pPr>
              <w:rPr>
                <w:rFonts w:ascii="Arial" w:hAnsi="Arial" w:cs="Arial"/>
                <w:sz w:val="28"/>
              </w:rPr>
            </w:pPr>
            <w:r w:rsidRPr="00A408C5">
              <w:rPr>
                <w:sz w:val="28"/>
              </w:rPr>
              <w:t xml:space="preserve"> Victoria</w:t>
            </w:r>
          </w:p>
        </w:tc>
        <w:tc>
          <w:tcPr>
            <w:tcW w:w="193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rsidR="00A408C5" w:rsidRPr="00A408C5" w:rsidRDefault="00A408C5" w:rsidP="00A408C5">
            <w:pPr>
              <w:jc w:val="center"/>
              <w:rPr>
                <w:rFonts w:ascii="Arial" w:hAnsi="Arial" w:cs="Arial"/>
              </w:rPr>
            </w:pPr>
            <w:r w:rsidRPr="00A408C5">
              <w:rPr>
                <w:color w:val="000000" w:themeColor="text1"/>
              </w:rPr>
              <w:t>17%</w:t>
            </w:r>
          </w:p>
        </w:tc>
        <w:tc>
          <w:tcPr>
            <w:tcW w:w="193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rsidR="00A408C5" w:rsidRPr="00A408C5" w:rsidRDefault="00A408C5" w:rsidP="00A408C5">
            <w:pPr>
              <w:jc w:val="center"/>
              <w:rPr>
                <w:rFonts w:ascii="Arial" w:hAnsi="Arial" w:cs="Arial"/>
              </w:rPr>
            </w:pPr>
            <w:r w:rsidRPr="00A408C5">
              <w:rPr>
                <w:color w:val="000000" w:themeColor="text1"/>
              </w:rPr>
              <w:t>5%</w:t>
            </w:r>
          </w:p>
        </w:tc>
        <w:tc>
          <w:tcPr>
            <w:tcW w:w="193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rsidR="00A408C5" w:rsidRPr="00A408C5" w:rsidRDefault="00A408C5" w:rsidP="00A408C5">
            <w:pPr>
              <w:jc w:val="center"/>
              <w:rPr>
                <w:rFonts w:ascii="Arial" w:hAnsi="Arial" w:cs="Arial"/>
              </w:rPr>
            </w:pPr>
            <w:r w:rsidRPr="00A408C5">
              <w:rPr>
                <w:color w:val="000000" w:themeColor="text1"/>
              </w:rPr>
              <w:t>5%</w:t>
            </w:r>
          </w:p>
        </w:tc>
      </w:tr>
      <w:tr w:rsidR="00A408C5" w:rsidRPr="00A408C5" w:rsidTr="00A408C5">
        <w:trPr>
          <w:trHeight w:val="697"/>
        </w:trPr>
        <w:tc>
          <w:tcPr>
            <w:tcW w:w="303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rsidR="00A408C5" w:rsidRPr="00A408C5" w:rsidRDefault="00A408C5" w:rsidP="00A408C5">
            <w:pPr>
              <w:rPr>
                <w:rFonts w:ascii="Arial" w:hAnsi="Arial" w:cs="Arial"/>
                <w:sz w:val="28"/>
              </w:rPr>
            </w:pPr>
            <w:r w:rsidRPr="00A408C5">
              <w:rPr>
                <w:sz w:val="28"/>
              </w:rPr>
              <w:t xml:space="preserve"> Australia</w:t>
            </w:r>
          </w:p>
        </w:tc>
        <w:tc>
          <w:tcPr>
            <w:tcW w:w="193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rsidR="00A408C5" w:rsidRPr="00A408C5" w:rsidRDefault="00A408C5" w:rsidP="00A408C5">
            <w:pPr>
              <w:jc w:val="center"/>
              <w:rPr>
                <w:rFonts w:ascii="Arial" w:hAnsi="Arial" w:cs="Arial"/>
              </w:rPr>
            </w:pPr>
            <w:r w:rsidRPr="00A408C5">
              <w:t>17%</w:t>
            </w:r>
          </w:p>
        </w:tc>
        <w:tc>
          <w:tcPr>
            <w:tcW w:w="193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rsidR="00A408C5" w:rsidRPr="00A408C5" w:rsidRDefault="00A408C5" w:rsidP="00A408C5">
            <w:pPr>
              <w:jc w:val="center"/>
              <w:rPr>
                <w:rFonts w:ascii="Arial" w:hAnsi="Arial" w:cs="Arial"/>
              </w:rPr>
            </w:pPr>
            <w:r w:rsidRPr="00A408C5">
              <w:t>6%</w:t>
            </w:r>
          </w:p>
        </w:tc>
        <w:tc>
          <w:tcPr>
            <w:tcW w:w="193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center"/>
            <w:hideMark/>
          </w:tcPr>
          <w:p w:rsidR="00A408C5" w:rsidRPr="00A408C5" w:rsidRDefault="00A408C5" w:rsidP="00A408C5">
            <w:pPr>
              <w:jc w:val="center"/>
              <w:rPr>
                <w:rFonts w:ascii="Arial" w:hAnsi="Arial" w:cs="Arial"/>
              </w:rPr>
            </w:pPr>
            <w:r w:rsidRPr="00A408C5">
              <w:t>5%</w:t>
            </w:r>
          </w:p>
        </w:tc>
      </w:tr>
    </w:tbl>
    <w:p w:rsidR="00532F91" w:rsidRPr="00A408C5" w:rsidRDefault="00532F91" w:rsidP="00A408C5">
      <w:pPr>
        <w:rPr>
          <w:i/>
        </w:rPr>
      </w:pPr>
      <w:r w:rsidRPr="00A408C5">
        <w:rPr>
          <w:i/>
        </w:rPr>
        <w:t>Source: Department of Employment, administrative data, March 2014; ABS, Estimated Resident Population, 2012</w:t>
      </w:r>
    </w:p>
    <w:p w:rsidR="00532F91" w:rsidRPr="00532F91" w:rsidRDefault="00532F91" w:rsidP="00A408C5"/>
    <w:p w:rsidR="00532F91" w:rsidRPr="00532F91" w:rsidRDefault="00532F91" w:rsidP="00A408C5">
      <w:r w:rsidRPr="00532F91">
        <w:t xml:space="preserve">In March 2014, one in four (25 per cent) of the working age population were in receipt of </w:t>
      </w:r>
      <w:r w:rsidR="00D921C7" w:rsidRPr="00532F91">
        <w:t>an</w:t>
      </w:r>
      <w:r w:rsidRPr="00532F91">
        <w:t xml:space="preserve"> Income Support benefit in the Bendigo region, higher compared with Victoria and Australia (both 17</w:t>
      </w:r>
      <w:r w:rsidR="00371529">
        <w:t> </w:t>
      </w:r>
      <w:r w:rsidRPr="00532F91">
        <w:t>per</w:t>
      </w:r>
      <w:r w:rsidR="00371529">
        <w:t> </w:t>
      </w:r>
      <w:r w:rsidRPr="00532F91">
        <w:t>cent). The proportion of working aged population receiving Disability Support Pension was particularly high (9 per cent) compared with the State and Australia (both 5 per cent of WAP).</w:t>
      </w:r>
    </w:p>
    <w:p w:rsidR="00532F91" w:rsidRPr="00532F91" w:rsidRDefault="00532F91" w:rsidP="00A408C5"/>
    <w:p w:rsidR="00532F91" w:rsidRPr="00532F91" w:rsidRDefault="00532F91" w:rsidP="00A408C5">
      <w:r w:rsidRPr="00532F91">
        <w:t>There is significant variation across LGAs for example, 37 per cent of working age persons in the Central Goldfields LGA were on Income Support payments compared with only 22 per cent in the Mount Alexander LGA. Central Goldfields had a high level of working aged population on Disability Support Payment (15 per cent).</w:t>
      </w:r>
    </w:p>
    <w:p w:rsidR="00532F91" w:rsidRPr="00532F91" w:rsidRDefault="00532F91">
      <w:pPr>
        <w:rPr>
          <w:rFonts w:cstheme="minorHAnsi"/>
          <w:sz w:val="20"/>
          <w:szCs w:val="20"/>
        </w:rPr>
      </w:pPr>
      <w:r w:rsidRPr="00532F91">
        <w:rPr>
          <w:rFonts w:cstheme="minorHAnsi"/>
          <w:sz w:val="20"/>
          <w:szCs w:val="20"/>
        </w:rPr>
        <w:br w:type="page"/>
      </w:r>
    </w:p>
    <w:p w:rsidR="00FB7A41" w:rsidRPr="00A408C5" w:rsidRDefault="00532F91" w:rsidP="00A408C5">
      <w:pPr>
        <w:pStyle w:val="Heading1"/>
      </w:pPr>
      <w:r w:rsidRPr="00A408C5">
        <w:lastRenderedPageBreak/>
        <w:t>Slide 18</w:t>
      </w:r>
      <w:r w:rsidR="00FB7A41" w:rsidRPr="00A408C5">
        <w:t xml:space="preserve"> </w:t>
      </w:r>
      <w:proofErr w:type="gramStart"/>
      <w:r w:rsidR="00FB7A41" w:rsidRPr="00A408C5">
        <w:t>What’s</w:t>
      </w:r>
      <w:proofErr w:type="gramEnd"/>
      <w:r w:rsidR="00FB7A41" w:rsidRPr="00A408C5">
        <w:t xml:space="preserve"> happening with 45 to 64 year olds?</w:t>
      </w:r>
    </w:p>
    <w:p w:rsidR="00532F91" w:rsidRPr="00532F91" w:rsidRDefault="00532F91" w:rsidP="00532F91">
      <w:pPr>
        <w:spacing w:line="360" w:lineRule="auto"/>
        <w:rPr>
          <w:rFonts w:cstheme="minorHAnsi"/>
          <w:sz w:val="20"/>
          <w:szCs w:val="20"/>
        </w:rPr>
      </w:pPr>
    </w:p>
    <w:p w:rsidR="00532F91" w:rsidRPr="00532F91" w:rsidRDefault="00A55B66" w:rsidP="00532F91">
      <w:pPr>
        <w:spacing w:line="360" w:lineRule="auto"/>
        <w:rPr>
          <w:rFonts w:cstheme="minorHAnsi"/>
          <w:sz w:val="20"/>
          <w:szCs w:val="20"/>
        </w:rPr>
      </w:pPr>
      <w:r w:rsidRPr="00A55B66">
        <w:rPr>
          <w:noProof/>
        </w:rPr>
        <w:drawing>
          <wp:inline distT="0" distB="0" distL="0" distR="0" wp14:anchorId="6E11CD97" wp14:editId="3C091AA8">
            <wp:extent cx="5400000" cy="4050000"/>
            <wp:effectExtent l="19050" t="19050" r="10795" b="27305"/>
            <wp:docPr id="4" name="Picture 4" descr="Bar graphs - What's happening with 45-64 year olds?&#10;&#10;45 to 54 years olds Bendigo/Australia&#10;Benefits 21%/15%&#10;Unemployment benefits 6%/6%&#10;Disability Support Payments 11%/7%&#10;&#10;55 to 64 year olds&#10;Benefits 29%/22%&#10;Unemployment benefits 6%/5%&#10;Disability Support Payments 1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400000" cy="4050000"/>
                    </a:xfrm>
                    <a:prstGeom prst="rect">
                      <a:avLst/>
                    </a:prstGeom>
                    <a:ln>
                      <a:solidFill>
                        <a:schemeClr val="tx1"/>
                      </a:solidFill>
                    </a:ln>
                  </pic:spPr>
                </pic:pic>
              </a:graphicData>
            </a:graphic>
          </wp:inline>
        </w:drawing>
      </w:r>
    </w:p>
    <w:p w:rsidR="00532F91" w:rsidRPr="00A55B66" w:rsidRDefault="00532F91" w:rsidP="00A55B66">
      <w:pPr>
        <w:rPr>
          <w:i/>
        </w:rPr>
      </w:pPr>
      <w:r w:rsidRPr="00A55B66">
        <w:rPr>
          <w:i/>
        </w:rPr>
        <w:t>Source: Department of Employment, administrative data, March 2014; ABS, Estimated Resident Population, 2012</w:t>
      </w:r>
    </w:p>
    <w:p w:rsidR="00532F91" w:rsidRPr="00532F91" w:rsidRDefault="00532F91" w:rsidP="00A55B66"/>
    <w:p w:rsidR="00532F91" w:rsidRPr="00532F91" w:rsidRDefault="00532F91" w:rsidP="00A55B66">
      <w:r w:rsidRPr="00532F91">
        <w:t>Reliance on Income Support Payments is particularly high for those aged 45 to 64 years in the Bendigo region when compared with Australia overall. This is especially so for those aged 55 to 64 years. Disability Support Payments are the most common payment and a far higher proportion of the age group receive this payment when compared to Australia overall.</w:t>
      </w:r>
    </w:p>
    <w:p w:rsidR="00532F91" w:rsidRPr="00532F91" w:rsidRDefault="00532F91">
      <w:pPr>
        <w:rPr>
          <w:rFonts w:cstheme="minorHAnsi"/>
          <w:sz w:val="20"/>
          <w:szCs w:val="20"/>
        </w:rPr>
      </w:pPr>
      <w:r w:rsidRPr="00532F91">
        <w:rPr>
          <w:rFonts w:cstheme="minorHAnsi"/>
          <w:sz w:val="20"/>
          <w:szCs w:val="20"/>
        </w:rPr>
        <w:br w:type="page"/>
      </w:r>
    </w:p>
    <w:p w:rsidR="00FB7A41" w:rsidRPr="00532F91" w:rsidRDefault="00532F91" w:rsidP="00A408C5">
      <w:pPr>
        <w:pStyle w:val="Heading1"/>
      </w:pPr>
      <w:r w:rsidRPr="00532F91">
        <w:lastRenderedPageBreak/>
        <w:t>Slide 19</w:t>
      </w:r>
      <w:r w:rsidR="00FB7A41">
        <w:t xml:space="preserve"> </w:t>
      </w:r>
      <w:r w:rsidR="00FB7A41" w:rsidRPr="00532F91">
        <w:t>Jobless Families in the Bendigo region with children under 15</w:t>
      </w:r>
    </w:p>
    <w:p w:rsidR="00532F91" w:rsidRPr="00532F91" w:rsidRDefault="00532F91" w:rsidP="00532F91">
      <w:pPr>
        <w:spacing w:line="360" w:lineRule="auto"/>
        <w:rPr>
          <w:rFonts w:cstheme="minorHAnsi"/>
          <w:sz w:val="20"/>
          <w:szCs w:val="20"/>
        </w:rPr>
      </w:pPr>
    </w:p>
    <w:p w:rsidR="00532F91" w:rsidRPr="00532F91" w:rsidRDefault="00BC75E0" w:rsidP="00532F91">
      <w:pPr>
        <w:spacing w:line="360" w:lineRule="auto"/>
        <w:rPr>
          <w:rFonts w:cstheme="minorHAnsi"/>
          <w:sz w:val="20"/>
          <w:szCs w:val="20"/>
        </w:rPr>
      </w:pPr>
      <w:r w:rsidRPr="00BC75E0">
        <w:rPr>
          <w:rFonts w:cstheme="minorHAnsi"/>
          <w:noProof/>
          <w:sz w:val="20"/>
          <w:szCs w:val="20"/>
        </w:rPr>
        <w:drawing>
          <wp:inline distT="0" distB="0" distL="0" distR="0" wp14:anchorId="44508229" wp14:editId="5F9E44A5">
            <wp:extent cx="5400000" cy="4050000"/>
            <wp:effectExtent l="19050" t="19050" r="10795" b="27305"/>
            <wp:docPr id="5" name="Picture 5" descr="Decorative slide - Jobless familes with children under 15 - description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400000" cy="4050000"/>
                    </a:xfrm>
                    <a:prstGeom prst="rect">
                      <a:avLst/>
                    </a:prstGeom>
                    <a:ln>
                      <a:solidFill>
                        <a:schemeClr val="tx1"/>
                      </a:solidFill>
                    </a:ln>
                  </pic:spPr>
                </pic:pic>
              </a:graphicData>
            </a:graphic>
          </wp:inline>
        </w:drawing>
      </w:r>
    </w:p>
    <w:p w:rsidR="00532F91" w:rsidRPr="00BC75E0" w:rsidRDefault="00532F91" w:rsidP="00BC75E0">
      <w:pPr>
        <w:rPr>
          <w:i/>
        </w:rPr>
      </w:pPr>
      <w:r w:rsidRPr="00BC75E0">
        <w:rPr>
          <w:i/>
        </w:rPr>
        <w:t>Source: ABS, Census of Population and Housing, 2011</w:t>
      </w:r>
    </w:p>
    <w:p w:rsidR="00532F91" w:rsidRPr="00532F91" w:rsidRDefault="00532F91" w:rsidP="00BC75E0"/>
    <w:p w:rsidR="00532F91" w:rsidRPr="00532F91" w:rsidRDefault="00532F91" w:rsidP="00BC75E0">
      <w:r w:rsidRPr="00532F91">
        <w:t>The proportion of families with children under 15 years in the Bendigo region who are jobless (17</w:t>
      </w:r>
      <w:r w:rsidR="00371529">
        <w:t> </w:t>
      </w:r>
      <w:r w:rsidRPr="00532F91">
        <w:t>per</w:t>
      </w:r>
      <w:r w:rsidR="00371529">
        <w:t> </w:t>
      </w:r>
      <w:r w:rsidRPr="00532F91">
        <w:t>cent) is above both Victoria (13 per cent) and Australia (14 per cent). 1 in 4 families (25 per cent) with children under 15 years in the Central Goldfields LGA are jobless, the highest in the Central Victoria region.</w:t>
      </w:r>
    </w:p>
    <w:p w:rsidR="00532F91" w:rsidRPr="00532F91" w:rsidRDefault="00532F91" w:rsidP="00BC75E0"/>
    <w:p w:rsidR="00532F91" w:rsidRPr="00532F91" w:rsidRDefault="00532F91" w:rsidP="00BC75E0">
      <w:r w:rsidRPr="00532F91">
        <w:t xml:space="preserve">One in six families with children under 15 in the Bendigo region </w:t>
      </w:r>
      <w:r w:rsidR="00D921C7" w:rsidRPr="00532F91">
        <w:t>is</w:t>
      </w:r>
      <w:r w:rsidRPr="00532F91">
        <w:t xml:space="preserve"> jobless.</w:t>
      </w:r>
    </w:p>
    <w:p w:rsidR="00532F91" w:rsidRPr="00532F91" w:rsidRDefault="00532F91" w:rsidP="00BC75E0">
      <w:r w:rsidRPr="00532F91">
        <w:t xml:space="preserve"> 1 in 20 couple families are jobless</w:t>
      </w:r>
    </w:p>
    <w:p w:rsidR="00532F91" w:rsidRPr="00532F91" w:rsidRDefault="00532F91" w:rsidP="00BC75E0">
      <w:r w:rsidRPr="00532F91">
        <w:t xml:space="preserve"> Almost 1 in 2 lone parent families are jobless</w:t>
      </w:r>
    </w:p>
    <w:p w:rsidR="00532F91" w:rsidRPr="00532F91" w:rsidRDefault="00532F91" w:rsidP="00BC75E0"/>
    <w:p w:rsidR="00532F91" w:rsidRPr="00532F91" w:rsidRDefault="00532F91" w:rsidP="00BC75E0">
      <w:r w:rsidRPr="00532F91">
        <w:t>There are at least 4260 children in jobless families in the Bendigo region.</w:t>
      </w:r>
    </w:p>
    <w:p w:rsidR="00532F91" w:rsidRPr="00532F91" w:rsidRDefault="00532F91">
      <w:pPr>
        <w:rPr>
          <w:rFonts w:cstheme="minorHAnsi"/>
          <w:sz w:val="20"/>
          <w:szCs w:val="20"/>
        </w:rPr>
      </w:pPr>
      <w:r w:rsidRPr="00532F91">
        <w:rPr>
          <w:rFonts w:cstheme="minorHAnsi"/>
          <w:sz w:val="20"/>
          <w:szCs w:val="20"/>
        </w:rPr>
        <w:br w:type="page"/>
      </w:r>
    </w:p>
    <w:p w:rsidR="00FB7A41" w:rsidRPr="00532F91" w:rsidRDefault="00532F91" w:rsidP="00A408C5">
      <w:pPr>
        <w:pStyle w:val="Heading1"/>
      </w:pPr>
      <w:r w:rsidRPr="00532F91">
        <w:lastRenderedPageBreak/>
        <w:t>Slide 20</w:t>
      </w:r>
      <w:r w:rsidR="00FB7A41">
        <w:t xml:space="preserve"> </w:t>
      </w:r>
      <w:proofErr w:type="gramStart"/>
      <w:r w:rsidR="00FB7A41" w:rsidRPr="00532F91">
        <w:t>Is</w:t>
      </w:r>
      <w:proofErr w:type="gramEnd"/>
      <w:r w:rsidR="00FB7A41" w:rsidRPr="00532F91">
        <w:t xml:space="preserve"> the youth unemployment rate really only 12.9%?</w:t>
      </w:r>
    </w:p>
    <w:p w:rsidR="00532F91" w:rsidRPr="00532F91" w:rsidRDefault="00532F91" w:rsidP="00532F91">
      <w:pPr>
        <w:spacing w:line="360" w:lineRule="auto"/>
        <w:rPr>
          <w:rFonts w:cstheme="minorHAnsi"/>
          <w:sz w:val="20"/>
          <w:szCs w:val="20"/>
        </w:rPr>
      </w:pPr>
    </w:p>
    <w:tbl>
      <w:tblPr>
        <w:tblW w:w="8649" w:type="dxa"/>
        <w:tblLayout w:type="fixed"/>
        <w:tblCellMar>
          <w:left w:w="0" w:type="dxa"/>
          <w:right w:w="0" w:type="dxa"/>
        </w:tblCellMar>
        <w:tblLook w:val="0420" w:firstRow="1" w:lastRow="0" w:firstColumn="0" w:lastColumn="0" w:noHBand="0" w:noVBand="1"/>
      </w:tblPr>
      <w:tblGrid>
        <w:gridCol w:w="1987"/>
        <w:gridCol w:w="1346"/>
        <w:gridCol w:w="1347"/>
        <w:gridCol w:w="1843"/>
        <w:gridCol w:w="2126"/>
      </w:tblGrid>
      <w:tr w:rsidR="00BC75E0" w:rsidRPr="005E7083" w:rsidTr="00BC75E0">
        <w:trPr>
          <w:trHeight w:val="932"/>
        </w:trPr>
        <w:tc>
          <w:tcPr>
            <w:tcW w:w="1987" w:type="dxa"/>
            <w:vMerge w:val="restart"/>
            <w:tcBorders>
              <w:top w:val="single" w:sz="8" w:space="0" w:color="000000"/>
              <w:left w:val="single" w:sz="8" w:space="0" w:color="000000"/>
              <w:bottom w:val="single" w:sz="8" w:space="0" w:color="000000"/>
              <w:right w:val="single" w:sz="8" w:space="0" w:color="000000"/>
            </w:tcBorders>
            <w:shd w:val="clear" w:color="auto" w:fill="009288"/>
            <w:tcMar>
              <w:top w:w="72" w:type="dxa"/>
              <w:left w:w="144" w:type="dxa"/>
              <w:bottom w:w="72" w:type="dxa"/>
              <w:right w:w="144" w:type="dxa"/>
            </w:tcMar>
            <w:vAlign w:val="center"/>
            <w:hideMark/>
          </w:tcPr>
          <w:p w:rsidR="00BC75E0" w:rsidRPr="005E7083" w:rsidRDefault="00BC75E0" w:rsidP="00BC75E0">
            <w:pPr>
              <w:pStyle w:val="Heading1"/>
              <w:jc w:val="center"/>
              <w:rPr>
                <w:rFonts w:ascii="Arial" w:hAnsi="Arial" w:cs="Arial"/>
                <w:color w:val="FFFFFF" w:themeColor="background1"/>
                <w:sz w:val="28"/>
                <w:szCs w:val="36"/>
                <w:u w:val="none"/>
              </w:rPr>
            </w:pPr>
            <w:r w:rsidRPr="005E7083">
              <w:rPr>
                <w:color w:val="FFFFFF" w:themeColor="background1"/>
                <w:sz w:val="28"/>
                <w:u w:val="none"/>
              </w:rPr>
              <w:t>Region</w:t>
            </w:r>
          </w:p>
        </w:tc>
        <w:tc>
          <w:tcPr>
            <w:tcW w:w="2693" w:type="dxa"/>
            <w:gridSpan w:val="2"/>
            <w:tcBorders>
              <w:top w:val="single" w:sz="8" w:space="0" w:color="000000"/>
              <w:left w:val="single" w:sz="8" w:space="0" w:color="000000"/>
              <w:bottom w:val="single" w:sz="8" w:space="0" w:color="000000"/>
              <w:right w:val="single" w:sz="8" w:space="0" w:color="000000"/>
            </w:tcBorders>
            <w:shd w:val="clear" w:color="auto" w:fill="009288"/>
            <w:tcMar>
              <w:top w:w="72" w:type="dxa"/>
              <w:left w:w="144" w:type="dxa"/>
              <w:bottom w:w="72" w:type="dxa"/>
              <w:right w:w="144" w:type="dxa"/>
            </w:tcMar>
            <w:vAlign w:val="center"/>
            <w:hideMark/>
          </w:tcPr>
          <w:p w:rsidR="00BC75E0" w:rsidRPr="005E7083" w:rsidRDefault="00BC75E0" w:rsidP="00BC75E0">
            <w:pPr>
              <w:pStyle w:val="Heading1"/>
              <w:jc w:val="center"/>
              <w:rPr>
                <w:rFonts w:ascii="Arial" w:hAnsi="Arial" w:cs="Arial"/>
                <w:color w:val="FFFFFF" w:themeColor="background1"/>
                <w:sz w:val="28"/>
                <w:szCs w:val="36"/>
                <w:u w:val="none"/>
              </w:rPr>
            </w:pPr>
            <w:r w:rsidRPr="005E7083">
              <w:rPr>
                <w:color w:val="FFFFFF" w:themeColor="background1"/>
                <w:sz w:val="28"/>
                <w:szCs w:val="36"/>
                <w:u w:val="none"/>
              </w:rPr>
              <w:t>Youth unemployment rate (15-24 years)</w:t>
            </w:r>
          </w:p>
        </w:tc>
        <w:tc>
          <w:tcPr>
            <w:tcW w:w="1843" w:type="dxa"/>
            <w:vMerge w:val="restart"/>
            <w:tcBorders>
              <w:top w:val="single" w:sz="8" w:space="0" w:color="000000"/>
              <w:left w:val="single" w:sz="8" w:space="0" w:color="000000"/>
              <w:bottom w:val="single" w:sz="8" w:space="0" w:color="000000"/>
              <w:right w:val="single" w:sz="8" w:space="0" w:color="000000"/>
            </w:tcBorders>
            <w:shd w:val="clear" w:color="auto" w:fill="009288"/>
            <w:tcMar>
              <w:top w:w="72" w:type="dxa"/>
              <w:left w:w="144" w:type="dxa"/>
              <w:bottom w:w="72" w:type="dxa"/>
              <w:right w:w="144" w:type="dxa"/>
            </w:tcMar>
            <w:vAlign w:val="center"/>
            <w:hideMark/>
          </w:tcPr>
          <w:p w:rsidR="00BC75E0" w:rsidRPr="005E7083" w:rsidRDefault="00BC75E0" w:rsidP="00BC75E0">
            <w:pPr>
              <w:pStyle w:val="Heading1"/>
              <w:jc w:val="center"/>
              <w:rPr>
                <w:rFonts w:ascii="Arial" w:hAnsi="Arial" w:cs="Arial"/>
                <w:color w:val="FFFFFF" w:themeColor="background1"/>
                <w:sz w:val="28"/>
                <w:szCs w:val="36"/>
                <w:u w:val="none"/>
              </w:rPr>
            </w:pPr>
            <w:r w:rsidRPr="005E7083">
              <w:rPr>
                <w:color w:val="FFFFFF" w:themeColor="background1"/>
                <w:sz w:val="28"/>
                <w:szCs w:val="36"/>
                <w:u w:val="none"/>
              </w:rPr>
              <w:t xml:space="preserve">Youth Participation </w:t>
            </w:r>
            <w:proofErr w:type="gramStart"/>
            <w:r w:rsidRPr="005E7083">
              <w:rPr>
                <w:color w:val="FFFFFF" w:themeColor="background1"/>
                <w:sz w:val="28"/>
                <w:szCs w:val="36"/>
                <w:u w:val="none"/>
              </w:rPr>
              <w:t>Rate</w:t>
            </w:r>
            <w:proofErr w:type="gramEnd"/>
            <w:r w:rsidRPr="005E7083">
              <w:rPr>
                <w:color w:val="FFFFFF" w:themeColor="background1"/>
                <w:sz w:val="28"/>
                <w:szCs w:val="36"/>
                <w:u w:val="none"/>
              </w:rPr>
              <w:br/>
              <w:t>(April 2014)</w:t>
            </w:r>
          </w:p>
        </w:tc>
        <w:tc>
          <w:tcPr>
            <w:tcW w:w="2126" w:type="dxa"/>
            <w:vMerge w:val="restart"/>
            <w:tcBorders>
              <w:top w:val="single" w:sz="8" w:space="0" w:color="000000"/>
              <w:left w:val="single" w:sz="8" w:space="0" w:color="000000"/>
              <w:bottom w:val="single" w:sz="8" w:space="0" w:color="000000"/>
              <w:right w:val="single" w:sz="8" w:space="0" w:color="000000"/>
            </w:tcBorders>
            <w:shd w:val="clear" w:color="auto" w:fill="009288"/>
            <w:tcMar>
              <w:top w:w="72" w:type="dxa"/>
              <w:left w:w="144" w:type="dxa"/>
              <w:bottom w:w="72" w:type="dxa"/>
              <w:right w:w="144" w:type="dxa"/>
            </w:tcMar>
            <w:vAlign w:val="center"/>
            <w:hideMark/>
          </w:tcPr>
          <w:p w:rsidR="00BC75E0" w:rsidRPr="005E7083" w:rsidRDefault="00BC75E0" w:rsidP="00BC75E0">
            <w:pPr>
              <w:pStyle w:val="Heading1"/>
              <w:jc w:val="center"/>
              <w:rPr>
                <w:rFonts w:ascii="Arial" w:hAnsi="Arial" w:cs="Arial"/>
                <w:color w:val="FFFFFF" w:themeColor="background1"/>
                <w:sz w:val="28"/>
                <w:szCs w:val="36"/>
                <w:u w:val="none"/>
              </w:rPr>
            </w:pPr>
            <w:r w:rsidRPr="005E7083">
              <w:rPr>
                <w:color w:val="FFFFFF" w:themeColor="background1"/>
                <w:sz w:val="28"/>
                <w:szCs w:val="36"/>
                <w:u w:val="none"/>
              </w:rPr>
              <w:t>Youth Unemployment to population ratio</w:t>
            </w:r>
          </w:p>
        </w:tc>
      </w:tr>
      <w:tr w:rsidR="00BC75E0" w:rsidRPr="00BC75E0" w:rsidTr="00BC75E0">
        <w:trPr>
          <w:trHeight w:val="736"/>
        </w:trPr>
        <w:tc>
          <w:tcPr>
            <w:tcW w:w="1987" w:type="dxa"/>
            <w:vMerge/>
            <w:tcBorders>
              <w:top w:val="single" w:sz="8" w:space="0" w:color="000000"/>
              <w:left w:val="single" w:sz="8" w:space="0" w:color="000000"/>
              <w:bottom w:val="single" w:sz="8" w:space="0" w:color="000000"/>
              <w:right w:val="single" w:sz="8" w:space="0" w:color="000000"/>
            </w:tcBorders>
            <w:vAlign w:val="center"/>
            <w:hideMark/>
          </w:tcPr>
          <w:p w:rsidR="00BC75E0" w:rsidRPr="00BC75E0" w:rsidRDefault="00BC75E0" w:rsidP="00BC75E0">
            <w:pPr>
              <w:pStyle w:val="Heading1"/>
              <w:jc w:val="center"/>
              <w:rPr>
                <w:rFonts w:ascii="Arial" w:hAnsi="Arial" w:cs="Arial"/>
                <w:sz w:val="28"/>
                <w:szCs w:val="36"/>
              </w:rPr>
            </w:pPr>
          </w:p>
        </w:tc>
        <w:tc>
          <w:tcPr>
            <w:tcW w:w="1346" w:type="dxa"/>
            <w:tcBorders>
              <w:top w:val="single" w:sz="8" w:space="0" w:color="000000"/>
              <w:left w:val="single" w:sz="8" w:space="0" w:color="000000"/>
              <w:bottom w:val="single" w:sz="8" w:space="0" w:color="000000"/>
              <w:right w:val="single" w:sz="8" w:space="0" w:color="000000"/>
            </w:tcBorders>
            <w:shd w:val="clear" w:color="auto" w:fill="009288"/>
            <w:tcMar>
              <w:top w:w="72" w:type="dxa"/>
              <w:left w:w="144" w:type="dxa"/>
              <w:bottom w:w="72" w:type="dxa"/>
              <w:right w:w="144" w:type="dxa"/>
            </w:tcMar>
            <w:vAlign w:val="center"/>
            <w:hideMark/>
          </w:tcPr>
          <w:p w:rsidR="00BC75E0" w:rsidRPr="005E7083" w:rsidRDefault="00BC75E0" w:rsidP="00BC75E0">
            <w:pPr>
              <w:pStyle w:val="Heading1"/>
              <w:jc w:val="center"/>
              <w:rPr>
                <w:rFonts w:ascii="Arial" w:hAnsi="Arial" w:cs="Arial"/>
                <w:color w:val="FFFFFF" w:themeColor="background1"/>
                <w:sz w:val="28"/>
                <w:szCs w:val="36"/>
                <w:u w:val="none"/>
              </w:rPr>
            </w:pPr>
            <w:r w:rsidRPr="005E7083">
              <w:rPr>
                <w:color w:val="FFFFFF" w:themeColor="background1"/>
                <w:sz w:val="28"/>
                <w:szCs w:val="36"/>
                <w:u w:val="none"/>
              </w:rPr>
              <w:t>April 2013</w:t>
            </w:r>
          </w:p>
        </w:tc>
        <w:tc>
          <w:tcPr>
            <w:tcW w:w="1347" w:type="dxa"/>
            <w:tcBorders>
              <w:top w:val="single" w:sz="8" w:space="0" w:color="000000"/>
              <w:left w:val="single" w:sz="8" w:space="0" w:color="000000"/>
              <w:bottom w:val="single" w:sz="8" w:space="0" w:color="000000"/>
              <w:right w:val="single" w:sz="8" w:space="0" w:color="000000"/>
            </w:tcBorders>
            <w:shd w:val="clear" w:color="auto" w:fill="009288"/>
            <w:tcMar>
              <w:top w:w="72" w:type="dxa"/>
              <w:left w:w="144" w:type="dxa"/>
              <w:bottom w:w="72" w:type="dxa"/>
              <w:right w:w="144" w:type="dxa"/>
            </w:tcMar>
            <w:vAlign w:val="center"/>
            <w:hideMark/>
          </w:tcPr>
          <w:p w:rsidR="00BC75E0" w:rsidRPr="005E7083" w:rsidRDefault="00BC75E0" w:rsidP="00BC75E0">
            <w:pPr>
              <w:pStyle w:val="Heading1"/>
              <w:jc w:val="center"/>
              <w:rPr>
                <w:rFonts w:ascii="Arial" w:hAnsi="Arial" w:cs="Arial"/>
                <w:color w:val="FFFFFF" w:themeColor="background1"/>
                <w:sz w:val="28"/>
                <w:szCs w:val="36"/>
                <w:u w:val="none"/>
              </w:rPr>
            </w:pPr>
            <w:r w:rsidRPr="005E7083">
              <w:rPr>
                <w:color w:val="FFFFFF" w:themeColor="background1"/>
                <w:sz w:val="28"/>
                <w:szCs w:val="36"/>
                <w:u w:val="none"/>
              </w:rPr>
              <w:t>April 2014</w:t>
            </w:r>
          </w:p>
        </w:tc>
        <w:tc>
          <w:tcPr>
            <w:tcW w:w="1843" w:type="dxa"/>
            <w:vMerge/>
            <w:tcBorders>
              <w:top w:val="single" w:sz="8" w:space="0" w:color="000000"/>
              <w:left w:val="single" w:sz="8" w:space="0" w:color="000000"/>
              <w:bottom w:val="single" w:sz="8" w:space="0" w:color="000000"/>
              <w:right w:val="single" w:sz="8" w:space="0" w:color="000000"/>
            </w:tcBorders>
            <w:vAlign w:val="center"/>
            <w:hideMark/>
          </w:tcPr>
          <w:p w:rsidR="00BC75E0" w:rsidRPr="00BC75E0" w:rsidRDefault="00BC75E0" w:rsidP="00BC75E0">
            <w:pPr>
              <w:pStyle w:val="Heading1"/>
              <w:jc w:val="center"/>
              <w:rPr>
                <w:rFonts w:ascii="Arial" w:hAnsi="Arial" w:cs="Arial"/>
                <w:sz w:val="28"/>
                <w:szCs w:val="36"/>
              </w:rPr>
            </w:pPr>
          </w:p>
        </w:tc>
        <w:tc>
          <w:tcPr>
            <w:tcW w:w="2126" w:type="dxa"/>
            <w:vMerge/>
            <w:tcBorders>
              <w:top w:val="single" w:sz="8" w:space="0" w:color="000000"/>
              <w:left w:val="single" w:sz="8" w:space="0" w:color="000000"/>
              <w:bottom w:val="single" w:sz="8" w:space="0" w:color="000000"/>
              <w:right w:val="single" w:sz="8" w:space="0" w:color="000000"/>
            </w:tcBorders>
            <w:vAlign w:val="center"/>
            <w:hideMark/>
          </w:tcPr>
          <w:p w:rsidR="00BC75E0" w:rsidRPr="00BC75E0" w:rsidRDefault="00BC75E0" w:rsidP="00BC75E0">
            <w:pPr>
              <w:pStyle w:val="Heading1"/>
              <w:jc w:val="center"/>
              <w:rPr>
                <w:rFonts w:ascii="Arial" w:hAnsi="Arial" w:cs="Arial"/>
                <w:sz w:val="28"/>
                <w:szCs w:val="36"/>
              </w:rPr>
            </w:pPr>
          </w:p>
        </w:tc>
      </w:tr>
      <w:tr w:rsidR="00BC75E0" w:rsidRPr="00BC75E0" w:rsidTr="00BC75E0">
        <w:trPr>
          <w:trHeight w:val="1016"/>
        </w:trPr>
        <w:tc>
          <w:tcPr>
            <w:tcW w:w="1987" w:type="dxa"/>
            <w:tcBorders>
              <w:top w:val="single" w:sz="8" w:space="0" w:color="000000"/>
              <w:left w:val="single" w:sz="8" w:space="0" w:color="000000"/>
              <w:bottom w:val="single" w:sz="8" w:space="0" w:color="000000"/>
              <w:right w:val="single" w:sz="8" w:space="0" w:color="000000"/>
            </w:tcBorders>
            <w:shd w:val="clear" w:color="auto" w:fill="DDD9C3"/>
            <w:tcMar>
              <w:top w:w="72" w:type="dxa"/>
              <w:left w:w="144" w:type="dxa"/>
              <w:bottom w:w="72" w:type="dxa"/>
              <w:right w:w="144" w:type="dxa"/>
            </w:tcMar>
            <w:vAlign w:val="center"/>
            <w:hideMark/>
          </w:tcPr>
          <w:p w:rsidR="00BC75E0" w:rsidRPr="00BC75E0" w:rsidRDefault="00BC75E0" w:rsidP="00BC75E0">
            <w:pPr>
              <w:rPr>
                <w:rFonts w:ascii="Arial" w:hAnsi="Arial" w:cs="Arial"/>
                <w:sz w:val="28"/>
              </w:rPr>
            </w:pPr>
            <w:r w:rsidRPr="00BC75E0">
              <w:rPr>
                <w:sz w:val="28"/>
              </w:rPr>
              <w:t>Bendigo SA4</w:t>
            </w:r>
          </w:p>
        </w:tc>
        <w:tc>
          <w:tcPr>
            <w:tcW w:w="1346" w:type="dxa"/>
            <w:tcBorders>
              <w:top w:val="single" w:sz="8" w:space="0" w:color="000000"/>
              <w:left w:val="single" w:sz="8" w:space="0" w:color="000000"/>
              <w:bottom w:val="single" w:sz="8" w:space="0" w:color="000000"/>
              <w:right w:val="single" w:sz="8" w:space="0" w:color="000000"/>
            </w:tcBorders>
            <w:shd w:val="clear" w:color="auto" w:fill="DDD9C3"/>
            <w:tcMar>
              <w:top w:w="72" w:type="dxa"/>
              <w:left w:w="144" w:type="dxa"/>
              <w:bottom w:w="72" w:type="dxa"/>
              <w:right w:w="144" w:type="dxa"/>
            </w:tcMar>
            <w:vAlign w:val="center"/>
            <w:hideMark/>
          </w:tcPr>
          <w:p w:rsidR="00BC75E0" w:rsidRPr="00BC75E0" w:rsidRDefault="00BC75E0" w:rsidP="00BC75E0">
            <w:pPr>
              <w:jc w:val="center"/>
              <w:rPr>
                <w:rFonts w:ascii="Arial" w:hAnsi="Arial" w:cs="Arial"/>
              </w:rPr>
            </w:pPr>
            <w:r w:rsidRPr="00BC75E0">
              <w:t>13.9%</w:t>
            </w:r>
          </w:p>
        </w:tc>
        <w:tc>
          <w:tcPr>
            <w:tcW w:w="1347" w:type="dxa"/>
            <w:tcBorders>
              <w:top w:val="single" w:sz="8" w:space="0" w:color="000000"/>
              <w:left w:val="single" w:sz="8" w:space="0" w:color="000000"/>
              <w:bottom w:val="single" w:sz="8" w:space="0" w:color="000000"/>
              <w:right w:val="single" w:sz="8" w:space="0" w:color="000000"/>
            </w:tcBorders>
            <w:shd w:val="clear" w:color="auto" w:fill="DDD9C3"/>
            <w:tcMar>
              <w:top w:w="72" w:type="dxa"/>
              <w:left w:w="144" w:type="dxa"/>
              <w:bottom w:w="72" w:type="dxa"/>
              <w:right w:w="144" w:type="dxa"/>
            </w:tcMar>
            <w:vAlign w:val="center"/>
            <w:hideMark/>
          </w:tcPr>
          <w:p w:rsidR="00BC75E0" w:rsidRPr="00BC75E0" w:rsidRDefault="00BC75E0" w:rsidP="00BC75E0">
            <w:pPr>
              <w:jc w:val="center"/>
              <w:rPr>
                <w:rFonts w:ascii="Arial" w:hAnsi="Arial" w:cs="Arial"/>
              </w:rPr>
            </w:pPr>
            <w:r w:rsidRPr="00BC75E0">
              <w:t>12.9%</w:t>
            </w:r>
          </w:p>
        </w:tc>
        <w:tc>
          <w:tcPr>
            <w:tcW w:w="1843" w:type="dxa"/>
            <w:tcBorders>
              <w:top w:val="single" w:sz="8" w:space="0" w:color="000000"/>
              <w:left w:val="single" w:sz="8" w:space="0" w:color="000000"/>
              <w:bottom w:val="single" w:sz="8" w:space="0" w:color="000000"/>
              <w:right w:val="single" w:sz="8" w:space="0" w:color="000000"/>
            </w:tcBorders>
            <w:shd w:val="clear" w:color="auto" w:fill="DDD9C3"/>
            <w:tcMar>
              <w:top w:w="72" w:type="dxa"/>
              <w:left w:w="144" w:type="dxa"/>
              <w:bottom w:w="72" w:type="dxa"/>
              <w:right w:w="144" w:type="dxa"/>
            </w:tcMar>
            <w:vAlign w:val="center"/>
            <w:hideMark/>
          </w:tcPr>
          <w:p w:rsidR="00BC75E0" w:rsidRPr="00BC75E0" w:rsidRDefault="00BC75E0" w:rsidP="00BC75E0">
            <w:pPr>
              <w:jc w:val="center"/>
              <w:rPr>
                <w:rFonts w:ascii="Arial" w:hAnsi="Arial" w:cs="Arial"/>
              </w:rPr>
            </w:pPr>
            <w:r w:rsidRPr="00BC75E0">
              <w:t>71.3%</w:t>
            </w:r>
          </w:p>
        </w:tc>
        <w:tc>
          <w:tcPr>
            <w:tcW w:w="2126" w:type="dxa"/>
            <w:tcBorders>
              <w:top w:val="single" w:sz="8" w:space="0" w:color="000000"/>
              <w:left w:val="single" w:sz="8" w:space="0" w:color="000000"/>
              <w:bottom w:val="single" w:sz="8" w:space="0" w:color="000000"/>
              <w:right w:val="single" w:sz="8" w:space="0" w:color="000000"/>
            </w:tcBorders>
            <w:shd w:val="clear" w:color="auto" w:fill="DDD9C3"/>
            <w:tcMar>
              <w:top w:w="72" w:type="dxa"/>
              <w:left w:w="144" w:type="dxa"/>
              <w:bottom w:w="72" w:type="dxa"/>
              <w:right w:w="144" w:type="dxa"/>
            </w:tcMar>
            <w:vAlign w:val="center"/>
            <w:hideMark/>
          </w:tcPr>
          <w:p w:rsidR="00BC75E0" w:rsidRPr="00BC75E0" w:rsidRDefault="00BC75E0" w:rsidP="00BC75E0">
            <w:pPr>
              <w:jc w:val="center"/>
              <w:rPr>
                <w:rFonts w:ascii="Arial" w:hAnsi="Arial" w:cs="Arial"/>
              </w:rPr>
            </w:pPr>
            <w:r w:rsidRPr="00BC75E0">
              <w:t>9.2%</w:t>
            </w:r>
          </w:p>
        </w:tc>
      </w:tr>
      <w:tr w:rsidR="00BC75E0" w:rsidRPr="00BC75E0" w:rsidTr="00BC75E0">
        <w:trPr>
          <w:trHeight w:val="1016"/>
        </w:trPr>
        <w:tc>
          <w:tcPr>
            <w:tcW w:w="198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BC75E0" w:rsidRPr="00BC75E0" w:rsidRDefault="00BC75E0" w:rsidP="00BC75E0">
            <w:pPr>
              <w:rPr>
                <w:rFonts w:ascii="Arial" w:hAnsi="Arial" w:cs="Arial"/>
                <w:sz w:val="28"/>
              </w:rPr>
            </w:pPr>
            <w:r w:rsidRPr="00BC75E0">
              <w:rPr>
                <w:sz w:val="28"/>
              </w:rPr>
              <w:t>Victoria</w:t>
            </w:r>
          </w:p>
        </w:tc>
        <w:tc>
          <w:tcPr>
            <w:tcW w:w="134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BC75E0" w:rsidRPr="00BC75E0" w:rsidRDefault="00BC75E0" w:rsidP="00BC75E0">
            <w:pPr>
              <w:jc w:val="center"/>
              <w:rPr>
                <w:rFonts w:ascii="Arial" w:hAnsi="Arial" w:cs="Arial"/>
              </w:rPr>
            </w:pPr>
            <w:r w:rsidRPr="00BC75E0">
              <w:t>12.9%</w:t>
            </w:r>
          </w:p>
        </w:tc>
        <w:tc>
          <w:tcPr>
            <w:tcW w:w="134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BC75E0" w:rsidRPr="00BC75E0" w:rsidRDefault="00BC75E0" w:rsidP="00BC75E0">
            <w:pPr>
              <w:jc w:val="center"/>
              <w:rPr>
                <w:rFonts w:ascii="Arial" w:hAnsi="Arial" w:cs="Arial"/>
              </w:rPr>
            </w:pPr>
            <w:r w:rsidRPr="00BC75E0">
              <w:t>12.8%</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BC75E0" w:rsidRPr="00BC75E0" w:rsidRDefault="00BC75E0" w:rsidP="00BC75E0">
            <w:pPr>
              <w:jc w:val="center"/>
              <w:rPr>
                <w:rFonts w:ascii="Arial" w:hAnsi="Arial" w:cs="Arial"/>
              </w:rPr>
            </w:pPr>
            <w:r w:rsidRPr="00BC75E0">
              <w:t>65.3%</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BC75E0" w:rsidRPr="00BC75E0" w:rsidRDefault="00BC75E0" w:rsidP="00BC75E0">
            <w:pPr>
              <w:jc w:val="center"/>
              <w:rPr>
                <w:rFonts w:ascii="Arial" w:hAnsi="Arial" w:cs="Arial"/>
              </w:rPr>
            </w:pPr>
            <w:r w:rsidRPr="00BC75E0">
              <w:t>8.4%</w:t>
            </w:r>
          </w:p>
        </w:tc>
      </w:tr>
      <w:tr w:rsidR="00BC75E0" w:rsidRPr="00BC75E0" w:rsidTr="00BC75E0">
        <w:trPr>
          <w:trHeight w:val="1016"/>
        </w:trPr>
        <w:tc>
          <w:tcPr>
            <w:tcW w:w="198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BC75E0" w:rsidRPr="00BC75E0" w:rsidRDefault="00BC75E0" w:rsidP="00BC75E0">
            <w:pPr>
              <w:rPr>
                <w:rFonts w:ascii="Arial" w:hAnsi="Arial" w:cs="Arial"/>
                <w:sz w:val="28"/>
              </w:rPr>
            </w:pPr>
            <w:r w:rsidRPr="00BC75E0">
              <w:rPr>
                <w:sz w:val="28"/>
              </w:rPr>
              <w:t>Australia</w:t>
            </w:r>
          </w:p>
        </w:tc>
        <w:tc>
          <w:tcPr>
            <w:tcW w:w="134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BC75E0" w:rsidRPr="00BC75E0" w:rsidRDefault="00BC75E0" w:rsidP="00BC75E0">
            <w:pPr>
              <w:jc w:val="center"/>
              <w:rPr>
                <w:rFonts w:ascii="Arial" w:hAnsi="Arial" w:cs="Arial"/>
              </w:rPr>
            </w:pPr>
            <w:r w:rsidRPr="00BC75E0">
              <w:t>11.9%</w:t>
            </w:r>
          </w:p>
        </w:tc>
        <w:tc>
          <w:tcPr>
            <w:tcW w:w="134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BC75E0" w:rsidRPr="00BC75E0" w:rsidRDefault="00BC75E0" w:rsidP="00BC75E0">
            <w:pPr>
              <w:jc w:val="center"/>
              <w:rPr>
                <w:rFonts w:ascii="Arial" w:hAnsi="Arial" w:cs="Arial"/>
              </w:rPr>
            </w:pPr>
            <w:r w:rsidRPr="00BC75E0">
              <w:t>12.5%</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BC75E0" w:rsidRPr="00BC75E0" w:rsidRDefault="00BC75E0" w:rsidP="00BC75E0">
            <w:pPr>
              <w:jc w:val="center"/>
              <w:rPr>
                <w:rFonts w:ascii="Arial" w:hAnsi="Arial" w:cs="Arial"/>
              </w:rPr>
            </w:pPr>
            <w:r w:rsidRPr="00BC75E0">
              <w:t>66.6%</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BC75E0" w:rsidRPr="00BC75E0" w:rsidRDefault="00BC75E0" w:rsidP="00BC75E0">
            <w:pPr>
              <w:jc w:val="center"/>
              <w:rPr>
                <w:rFonts w:ascii="Arial" w:hAnsi="Arial" w:cs="Arial"/>
              </w:rPr>
            </w:pPr>
            <w:r w:rsidRPr="00BC75E0">
              <w:t>8.3%</w:t>
            </w:r>
          </w:p>
        </w:tc>
      </w:tr>
    </w:tbl>
    <w:p w:rsidR="00532F91" w:rsidRPr="00BC75E0" w:rsidRDefault="00532F91" w:rsidP="00BC75E0">
      <w:pPr>
        <w:rPr>
          <w:i/>
        </w:rPr>
      </w:pPr>
      <w:r w:rsidRPr="00BC75E0">
        <w:rPr>
          <w:i/>
        </w:rPr>
        <w:t>Source: ABS, Labour Force data, April 2014 (12 month averages)</w:t>
      </w:r>
    </w:p>
    <w:p w:rsidR="00532F91" w:rsidRPr="00532F91" w:rsidRDefault="00532F91" w:rsidP="00BC75E0">
      <w:pPr>
        <w:rPr>
          <w:b/>
          <w:bCs/>
          <w:lang w:val="en-US"/>
        </w:rPr>
      </w:pPr>
    </w:p>
    <w:p w:rsidR="00532F91" w:rsidRPr="00532F91" w:rsidRDefault="00532F91" w:rsidP="00BC75E0">
      <w:pPr>
        <w:rPr>
          <w:lang w:val="en-US"/>
        </w:rPr>
      </w:pPr>
      <w:r w:rsidRPr="00532F91">
        <w:rPr>
          <w:lang w:val="en-US"/>
        </w:rPr>
        <w:t>Due to their lack of skills and experience, youth participating in the labour market can be particularly vulnerable during a labour market downturn.</w:t>
      </w:r>
    </w:p>
    <w:p w:rsidR="00532F91" w:rsidRPr="00532F91" w:rsidRDefault="00532F91" w:rsidP="00BC75E0"/>
    <w:p w:rsidR="00532F91" w:rsidRPr="00532F91" w:rsidRDefault="00532F91" w:rsidP="00BC75E0">
      <w:r w:rsidRPr="00532F91">
        <w:t>In April 2014, the youth unemployment rate for the Bendigo SA4 was 12.9 per cent, a decrease of one percentage point since the previous year. The unemployment rate was on par with Victoria (12.8</w:t>
      </w:r>
      <w:r w:rsidR="00371529">
        <w:t> </w:t>
      </w:r>
      <w:r w:rsidRPr="00532F91">
        <w:t>per</w:t>
      </w:r>
      <w:r w:rsidR="00371529">
        <w:t> </w:t>
      </w:r>
      <w:r w:rsidRPr="00532F91">
        <w:t xml:space="preserve">cent) and slightly higher than Australia </w:t>
      </w:r>
      <w:r w:rsidR="00BC75E0">
        <w:br/>
      </w:r>
      <w:r w:rsidRPr="00532F91">
        <w:t>(12.5 per cent) but still higher than at the time of Global Financial Crisis.</w:t>
      </w:r>
    </w:p>
    <w:p w:rsidR="00532F91" w:rsidRPr="00532F91" w:rsidRDefault="00532F91" w:rsidP="00BC75E0"/>
    <w:p w:rsidR="00532F91" w:rsidRPr="00532F91" w:rsidRDefault="00532F91" w:rsidP="00BC75E0">
      <w:r w:rsidRPr="00532F91">
        <w:t>The youth unemployment to population ratio in the Bendigo SA4 (9.2 per cent) was higher than Victoria and Australia (8.4 per cent and 8.3 per cent respectively).</w:t>
      </w:r>
    </w:p>
    <w:p w:rsidR="00532F91" w:rsidRPr="00532F91" w:rsidRDefault="00532F91" w:rsidP="00BC75E0"/>
    <w:p w:rsidR="00532F91" w:rsidRPr="00532F91" w:rsidRDefault="00532F91" w:rsidP="00BC75E0">
      <w:r w:rsidRPr="00532F91">
        <w:t>Youth participation was higher in the Bendigo SA4 (71.3 per</w:t>
      </w:r>
      <w:r w:rsidR="00545BF1">
        <w:t xml:space="preserve"> </w:t>
      </w:r>
      <w:r w:rsidRPr="00532F91">
        <w:t>cent) compared to Victoria (65.3</w:t>
      </w:r>
      <w:r w:rsidR="00545BF1">
        <w:t> </w:t>
      </w:r>
      <w:r w:rsidRPr="00532F91">
        <w:t>per</w:t>
      </w:r>
      <w:r w:rsidR="00545BF1">
        <w:t> </w:t>
      </w:r>
      <w:r w:rsidRPr="00532F91">
        <w:t>cent) or Australia (66.6 per cent)</w:t>
      </w:r>
    </w:p>
    <w:p w:rsidR="00532F91" w:rsidRPr="00532F91" w:rsidRDefault="00532F91">
      <w:pPr>
        <w:rPr>
          <w:rFonts w:cstheme="minorHAnsi"/>
          <w:sz w:val="20"/>
          <w:szCs w:val="20"/>
        </w:rPr>
      </w:pPr>
      <w:r w:rsidRPr="00532F91">
        <w:rPr>
          <w:rFonts w:cstheme="minorHAnsi"/>
          <w:sz w:val="20"/>
          <w:szCs w:val="20"/>
        </w:rPr>
        <w:br w:type="page"/>
      </w:r>
    </w:p>
    <w:p w:rsidR="00FB7A41" w:rsidRPr="00532F91" w:rsidRDefault="00532F91" w:rsidP="00A408C5">
      <w:pPr>
        <w:pStyle w:val="Heading1"/>
      </w:pPr>
      <w:r w:rsidRPr="00532F91">
        <w:lastRenderedPageBreak/>
        <w:t>Slide 21</w:t>
      </w:r>
      <w:r w:rsidR="00FB7A41">
        <w:t xml:space="preserve"> </w:t>
      </w:r>
      <w:r w:rsidR="00FB7A41" w:rsidRPr="00532F91">
        <w:t>More young people in Central Victoria not studying</w:t>
      </w:r>
    </w:p>
    <w:p w:rsidR="00532F91" w:rsidRPr="00532F91" w:rsidRDefault="00532F91" w:rsidP="00532F91">
      <w:pPr>
        <w:spacing w:line="360" w:lineRule="auto"/>
        <w:rPr>
          <w:rFonts w:cstheme="minorHAnsi"/>
          <w:sz w:val="20"/>
          <w:szCs w:val="20"/>
        </w:rPr>
      </w:pPr>
    </w:p>
    <w:p w:rsidR="00532F91" w:rsidRPr="00532F91" w:rsidRDefault="00846110" w:rsidP="00532F91">
      <w:pPr>
        <w:spacing w:line="360" w:lineRule="auto"/>
        <w:rPr>
          <w:rFonts w:cstheme="minorHAnsi"/>
          <w:sz w:val="20"/>
          <w:szCs w:val="20"/>
        </w:rPr>
      </w:pPr>
      <w:r w:rsidRPr="00846110">
        <w:rPr>
          <w:rFonts w:cstheme="minorHAnsi"/>
          <w:noProof/>
          <w:sz w:val="20"/>
          <w:szCs w:val="20"/>
        </w:rPr>
        <w:drawing>
          <wp:inline distT="0" distB="0" distL="0" distR="0" wp14:anchorId="55BC6168" wp14:editId="36F1A919">
            <wp:extent cx="5400000" cy="4050000"/>
            <wp:effectExtent l="19050" t="19050" r="10795" b="27305"/>
            <wp:docPr id="6" name="Picture 6" descr="Pie chart - More young people in Central Victoria not studying - description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400000" cy="4050000"/>
                    </a:xfrm>
                    <a:prstGeom prst="rect">
                      <a:avLst/>
                    </a:prstGeom>
                    <a:ln>
                      <a:solidFill>
                        <a:schemeClr val="tx1"/>
                      </a:solidFill>
                    </a:ln>
                  </pic:spPr>
                </pic:pic>
              </a:graphicData>
            </a:graphic>
          </wp:inline>
        </w:drawing>
      </w:r>
    </w:p>
    <w:p w:rsidR="00532F91" w:rsidRPr="00532F91" w:rsidRDefault="00532F91" w:rsidP="00846110">
      <w:r w:rsidRPr="00532F91">
        <w:t>Source: ABS, Census of Population and Housing, 2011</w:t>
      </w:r>
    </w:p>
    <w:p w:rsidR="00532F91" w:rsidRPr="00532F91" w:rsidRDefault="00532F91" w:rsidP="00846110"/>
    <w:p w:rsidR="00532F91" w:rsidRPr="00532F91" w:rsidRDefault="00532F91" w:rsidP="00846110">
      <w:r w:rsidRPr="00532F91">
        <w:t>At the time of the 2011 Census, there were 25,140 18-24 year olds in the Central Victoria region, of which 14,560 (58 per cent) were not studying. Overall in Victoria the percentage of 18 to 24 year olds that were studying was higher at 51 per cent.</w:t>
      </w:r>
    </w:p>
    <w:p w:rsidR="00532F91" w:rsidRPr="00532F91" w:rsidRDefault="00532F91" w:rsidP="00846110"/>
    <w:p w:rsidR="00532F91" w:rsidRPr="00532F91" w:rsidRDefault="00532F91" w:rsidP="00846110">
      <w:pPr>
        <w:pStyle w:val="ListParagraph"/>
        <w:numPr>
          <w:ilvl w:val="0"/>
          <w:numId w:val="10"/>
        </w:numPr>
      </w:pPr>
      <w:r w:rsidRPr="00532F91">
        <w:t>Of the 14,560 who were not studying, those who did not complete year 12, are vulnerable and may have difficulty entering the labour market, whether they’re employed or not employed. One in four people (24 per cent) in the Central Victoria region aged 18 to 24 were not studying and had not completed Year 12, this was high compared to the state where 16 per cent were not studying and had not completed Year 12.</w:t>
      </w:r>
    </w:p>
    <w:p w:rsidR="00532F91" w:rsidRPr="00532F91" w:rsidRDefault="00532F91" w:rsidP="00846110">
      <w:pPr>
        <w:pStyle w:val="ListParagraph"/>
        <w:numPr>
          <w:ilvl w:val="0"/>
          <w:numId w:val="10"/>
        </w:numPr>
      </w:pPr>
      <w:r w:rsidRPr="00532F91">
        <w:t>Of those not studying, 77 per cent were employed comparable with Victoria where 78 per</w:t>
      </w:r>
      <w:r w:rsidR="00371529">
        <w:t xml:space="preserve"> </w:t>
      </w:r>
      <w:r w:rsidRPr="00532F91">
        <w:t>cent of those not studying were employed.</w:t>
      </w:r>
    </w:p>
    <w:p w:rsidR="00532F91" w:rsidRPr="00532F91" w:rsidRDefault="00532F91">
      <w:pPr>
        <w:rPr>
          <w:rFonts w:cstheme="minorHAnsi"/>
          <w:sz w:val="20"/>
          <w:szCs w:val="20"/>
        </w:rPr>
      </w:pPr>
      <w:r w:rsidRPr="00532F91">
        <w:rPr>
          <w:rFonts w:cstheme="minorHAnsi"/>
          <w:sz w:val="20"/>
          <w:szCs w:val="20"/>
        </w:rPr>
        <w:br w:type="page"/>
      </w:r>
    </w:p>
    <w:p w:rsidR="00FB7A41" w:rsidRPr="00532F91" w:rsidRDefault="00532F91" w:rsidP="00A408C5">
      <w:pPr>
        <w:pStyle w:val="Heading1"/>
      </w:pPr>
      <w:r w:rsidRPr="00532F91">
        <w:lastRenderedPageBreak/>
        <w:t>Slide 22</w:t>
      </w:r>
      <w:r w:rsidR="00FB7A41">
        <w:t xml:space="preserve"> </w:t>
      </w:r>
      <w:r w:rsidR="00FB7A41" w:rsidRPr="00532F91">
        <w:t>More young people disengaged</w:t>
      </w:r>
    </w:p>
    <w:p w:rsidR="00532F91" w:rsidRPr="00532F91" w:rsidRDefault="00532F91" w:rsidP="00532F91">
      <w:pPr>
        <w:spacing w:line="360" w:lineRule="auto"/>
        <w:rPr>
          <w:rFonts w:cstheme="minorHAnsi"/>
          <w:sz w:val="20"/>
          <w:szCs w:val="20"/>
        </w:rPr>
      </w:pPr>
    </w:p>
    <w:p w:rsidR="00532F91" w:rsidRPr="00532F91" w:rsidRDefault="00846110" w:rsidP="00532F91">
      <w:pPr>
        <w:spacing w:line="360" w:lineRule="auto"/>
        <w:rPr>
          <w:rFonts w:cstheme="minorHAnsi"/>
          <w:sz w:val="20"/>
          <w:szCs w:val="20"/>
        </w:rPr>
      </w:pPr>
      <w:r w:rsidRPr="00846110">
        <w:rPr>
          <w:noProof/>
        </w:rPr>
        <w:drawing>
          <wp:inline distT="0" distB="0" distL="0" distR="0" wp14:anchorId="6FF10782" wp14:editId="0CBA07DB">
            <wp:extent cx="5400000" cy="4050000"/>
            <wp:effectExtent l="19050" t="19050" r="10795" b="27305"/>
            <wp:docPr id="7" name="Picture 7" descr="Bar graph - More younf people disengaged - 20-24 year olds neith working or studying&#10;&#10;Bendigo region males NILF 6%&#10;Bendigo region males unemployed 6%&#10;Bendigo region females NILF 14%&#10;Bendigo region females unemployed 3%&#10;&#10;Victoria region males NILF 5%&#10;Victoria region males unemployed 5%&#10;Victoria region females NILF 9%&#10;Victoria region females unemployed 4%&#10;&#10;Australia region males NILF 6%&#10;Australia region males unemployed 6%&#10;Australia region females NILF 11%&#10;Australia region females unemployed 4%&#10;&#10;&#10;&#10;&#1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400000" cy="4050000"/>
                    </a:xfrm>
                    <a:prstGeom prst="rect">
                      <a:avLst/>
                    </a:prstGeom>
                    <a:ln>
                      <a:solidFill>
                        <a:schemeClr val="tx1"/>
                      </a:solidFill>
                    </a:ln>
                  </pic:spPr>
                </pic:pic>
              </a:graphicData>
            </a:graphic>
          </wp:inline>
        </w:drawing>
      </w:r>
    </w:p>
    <w:p w:rsidR="00532F91" w:rsidRPr="00846110" w:rsidRDefault="00532F91" w:rsidP="00846110">
      <w:pPr>
        <w:rPr>
          <w:i/>
        </w:rPr>
      </w:pPr>
      <w:r w:rsidRPr="00846110">
        <w:rPr>
          <w:i/>
        </w:rPr>
        <w:t>Source: ABS 2011 Census of Population and Housing.</w:t>
      </w:r>
    </w:p>
    <w:p w:rsidR="00532F91" w:rsidRPr="00532F91" w:rsidRDefault="00532F91" w:rsidP="00846110"/>
    <w:p w:rsidR="00532F91" w:rsidRPr="00532F91" w:rsidRDefault="00532F91" w:rsidP="00846110">
      <w:r w:rsidRPr="00532F91">
        <w:t xml:space="preserve">This chart shows persons aged 20-24 years who are neither working nor studying. Non studying </w:t>
      </w:r>
      <w:r w:rsidR="00371529">
        <w:t>f</w:t>
      </w:r>
      <w:r w:rsidRPr="00532F91">
        <w:t xml:space="preserve">emales aged 20 to 24 years are particularly disengaged with </w:t>
      </w:r>
      <w:r w:rsidR="00846110">
        <w:br/>
      </w:r>
      <w:r w:rsidRPr="00532F91">
        <w:t>17 per cent unemployed or not in the labour force.  This is high compared with the state (13 per cent).</w:t>
      </w:r>
    </w:p>
    <w:p w:rsidR="00532F91" w:rsidRPr="00532F91" w:rsidRDefault="00532F91" w:rsidP="00532F91">
      <w:pPr>
        <w:autoSpaceDE w:val="0"/>
        <w:autoSpaceDN w:val="0"/>
        <w:adjustRightInd w:val="0"/>
        <w:rPr>
          <w:rFonts w:cstheme="minorHAnsi"/>
          <w:sz w:val="20"/>
          <w:szCs w:val="20"/>
        </w:rPr>
      </w:pPr>
    </w:p>
    <w:p w:rsidR="00532F91" w:rsidRPr="00532F91" w:rsidRDefault="00532F91" w:rsidP="00532F91">
      <w:pPr>
        <w:spacing w:line="360" w:lineRule="auto"/>
        <w:rPr>
          <w:rFonts w:cstheme="minorHAnsi"/>
          <w:sz w:val="20"/>
          <w:szCs w:val="20"/>
        </w:rPr>
      </w:pPr>
    </w:p>
    <w:p w:rsidR="00532F91" w:rsidRPr="00532F91" w:rsidRDefault="00532F91">
      <w:pPr>
        <w:rPr>
          <w:rFonts w:cstheme="minorHAnsi"/>
          <w:sz w:val="20"/>
          <w:szCs w:val="20"/>
        </w:rPr>
      </w:pPr>
      <w:r w:rsidRPr="00532F91">
        <w:rPr>
          <w:rFonts w:cstheme="minorHAnsi"/>
          <w:sz w:val="20"/>
          <w:szCs w:val="20"/>
        </w:rPr>
        <w:br w:type="page"/>
      </w:r>
    </w:p>
    <w:p w:rsidR="00FB7A41" w:rsidRPr="00532F91" w:rsidRDefault="00532F91" w:rsidP="00A408C5">
      <w:pPr>
        <w:pStyle w:val="Heading1"/>
      </w:pPr>
      <w:r w:rsidRPr="00532F91">
        <w:lastRenderedPageBreak/>
        <w:t>Slide 23</w:t>
      </w:r>
      <w:r w:rsidR="00FB7A41">
        <w:t xml:space="preserve"> </w:t>
      </w:r>
      <w:r w:rsidR="00FB7A41" w:rsidRPr="00532F91">
        <w:t>Lower educational attainment in Bendigo</w:t>
      </w:r>
    </w:p>
    <w:p w:rsidR="00532F91" w:rsidRPr="00532F91" w:rsidRDefault="00532F91" w:rsidP="00532F91">
      <w:pPr>
        <w:spacing w:line="360" w:lineRule="auto"/>
        <w:rPr>
          <w:rFonts w:cstheme="minorHAnsi"/>
          <w:sz w:val="20"/>
          <w:szCs w:val="20"/>
        </w:rPr>
      </w:pPr>
    </w:p>
    <w:p w:rsidR="00532F91" w:rsidRPr="00532F91" w:rsidRDefault="00630E8B" w:rsidP="00532F91">
      <w:pPr>
        <w:spacing w:line="360" w:lineRule="auto"/>
        <w:rPr>
          <w:rFonts w:cstheme="minorHAnsi"/>
          <w:sz w:val="20"/>
          <w:szCs w:val="20"/>
        </w:rPr>
      </w:pPr>
      <w:r w:rsidRPr="00630E8B">
        <w:rPr>
          <w:rFonts w:cstheme="minorHAnsi"/>
          <w:noProof/>
          <w:sz w:val="20"/>
          <w:szCs w:val="20"/>
        </w:rPr>
        <w:drawing>
          <wp:inline distT="0" distB="0" distL="0" distR="0" wp14:anchorId="57CC192D" wp14:editId="4BEEAB2A">
            <wp:extent cx="5400000" cy="4050000"/>
            <wp:effectExtent l="19050" t="19050" r="10795" b="27305"/>
            <wp:docPr id="8" name="Picture 8" descr="Bar graph - Lower educational attainment in Bendigo - 25-34 years of age&#10;&#10;Completed Year 12&#10;Bendigo 64% Victoria 79%&#10;&#10;Attained Advance Diploma, Dimploma or Certificate III/IV&#10;Bendigo 35% Victoria 29%&#10;&#10;Attained Bachelor Degree or higher&#10;Bendigo 25% Victoria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400000" cy="4050000"/>
                    </a:xfrm>
                    <a:prstGeom prst="rect">
                      <a:avLst/>
                    </a:prstGeom>
                    <a:ln>
                      <a:solidFill>
                        <a:schemeClr val="tx1"/>
                      </a:solidFill>
                    </a:ln>
                  </pic:spPr>
                </pic:pic>
              </a:graphicData>
            </a:graphic>
          </wp:inline>
        </w:drawing>
      </w:r>
    </w:p>
    <w:p w:rsidR="00532F91" w:rsidRPr="00630E8B" w:rsidRDefault="00532F91" w:rsidP="00630E8B">
      <w:pPr>
        <w:rPr>
          <w:i/>
        </w:rPr>
      </w:pPr>
      <w:r w:rsidRPr="00630E8B">
        <w:rPr>
          <w:i/>
        </w:rPr>
        <w:t>Source: ABS, Census of Population and Housing, 2006 and 2011</w:t>
      </w:r>
    </w:p>
    <w:p w:rsidR="00532F91" w:rsidRPr="00532F91" w:rsidRDefault="00532F91" w:rsidP="00630E8B"/>
    <w:p w:rsidR="00532F91" w:rsidRPr="00532F91" w:rsidRDefault="00532F91" w:rsidP="00630E8B">
      <w:r w:rsidRPr="00532F91">
        <w:t>The Bendigo region has had an improvement of 6 percentage points in the proportion of 25 to 34 year olds that have completed Yr 12 or equivalent studies between 2006 and 2011. This is in line with the 6</w:t>
      </w:r>
      <w:r w:rsidR="00371529">
        <w:t> </w:t>
      </w:r>
      <w:r w:rsidRPr="00532F91">
        <w:t>percentage point improvement seen in Victoria overall.</w:t>
      </w:r>
    </w:p>
    <w:p w:rsidR="00532F91" w:rsidRPr="00532F91" w:rsidRDefault="00532F91" w:rsidP="00630E8B"/>
    <w:p w:rsidR="00532F91" w:rsidRPr="00532F91" w:rsidRDefault="00532F91" w:rsidP="00630E8B">
      <w:r w:rsidRPr="00532F91">
        <w:t>The improvement was not even across all LGAs. Mount Alexander LGA had an improvement of 11</w:t>
      </w:r>
      <w:r w:rsidR="00371529">
        <w:t> </w:t>
      </w:r>
      <w:r w:rsidRPr="00532F91">
        <w:t>percentage points (to 65 per cent) while Central Goldfields LGA only had a 3 percentage point improvement (to 52 per cent)</w:t>
      </w:r>
    </w:p>
    <w:p w:rsidR="00532F91" w:rsidRPr="00532F91" w:rsidRDefault="00532F91" w:rsidP="00630E8B"/>
    <w:p w:rsidR="00532F91" w:rsidRPr="00532F91" w:rsidRDefault="00532F91" w:rsidP="00630E8B">
      <w:r w:rsidRPr="00532F91">
        <w:t xml:space="preserve">The number of 25 to 34 year olds having completed an Advance Diploma, Diploma or Certificate III/IV was relatively high for all Bendigo LGAs. In the Central Goldfields LGA some 36 per cent of the cohort </w:t>
      </w:r>
      <w:r w:rsidR="00D921C7" w:rsidRPr="00532F91">
        <w:t>had completed</w:t>
      </w:r>
      <w:r w:rsidRPr="00532F91">
        <w:t xml:space="preserve"> these courses compared to </w:t>
      </w:r>
      <w:r w:rsidR="00467DC2">
        <w:br/>
      </w:r>
      <w:r w:rsidRPr="00532F91">
        <w:t>29 per cent for Victoria.</w:t>
      </w:r>
    </w:p>
    <w:p w:rsidR="00532F91" w:rsidRPr="00532F91" w:rsidRDefault="00532F91" w:rsidP="00630E8B"/>
    <w:p w:rsidR="00532F91" w:rsidRPr="00532F91" w:rsidRDefault="00532F91" w:rsidP="00630E8B">
      <w:r w:rsidRPr="00532F91">
        <w:t>The story was very different for Bachelor Degrees or higher. Greater Bendigo LGA had the highest level at 26 per cent of the cohort while the Central Goldfields LGA had a level of only 11 per cent. The level for Victoria was 40 per cent.</w:t>
      </w:r>
    </w:p>
    <w:p w:rsidR="00532F91" w:rsidRPr="00532F91" w:rsidRDefault="00532F91">
      <w:pPr>
        <w:rPr>
          <w:rFonts w:cstheme="minorHAnsi"/>
          <w:sz w:val="20"/>
          <w:szCs w:val="20"/>
        </w:rPr>
      </w:pPr>
      <w:r w:rsidRPr="00532F91">
        <w:rPr>
          <w:rFonts w:cstheme="minorHAnsi"/>
          <w:sz w:val="20"/>
          <w:szCs w:val="20"/>
        </w:rPr>
        <w:br w:type="page"/>
      </w:r>
    </w:p>
    <w:p w:rsidR="00FB7A41" w:rsidRPr="00532F91" w:rsidRDefault="00532F91" w:rsidP="00A408C5">
      <w:pPr>
        <w:pStyle w:val="Heading1"/>
      </w:pPr>
      <w:r w:rsidRPr="00532F91">
        <w:lastRenderedPageBreak/>
        <w:t>Slide 24</w:t>
      </w:r>
      <w:r w:rsidR="00FB7A41">
        <w:t xml:space="preserve"> </w:t>
      </w:r>
      <w:r w:rsidR="00FB7A41" w:rsidRPr="00532F91">
        <w:t>Importance of education to labour market outcomes</w:t>
      </w:r>
    </w:p>
    <w:p w:rsidR="00532F91" w:rsidRPr="00532F91" w:rsidRDefault="00532F91" w:rsidP="00532F91">
      <w:pPr>
        <w:spacing w:line="360" w:lineRule="auto"/>
        <w:rPr>
          <w:rFonts w:cstheme="minorHAnsi"/>
          <w:sz w:val="20"/>
          <w:szCs w:val="20"/>
        </w:rPr>
      </w:pPr>
    </w:p>
    <w:p w:rsidR="00532F91" w:rsidRPr="00532F91" w:rsidRDefault="00630E8B" w:rsidP="00532F91">
      <w:pPr>
        <w:spacing w:line="360" w:lineRule="auto"/>
        <w:rPr>
          <w:rFonts w:cstheme="minorHAnsi"/>
          <w:sz w:val="20"/>
          <w:szCs w:val="20"/>
        </w:rPr>
      </w:pPr>
      <w:r w:rsidRPr="00630E8B">
        <w:rPr>
          <w:rFonts w:cstheme="minorHAnsi"/>
          <w:noProof/>
          <w:sz w:val="20"/>
          <w:szCs w:val="20"/>
        </w:rPr>
        <w:drawing>
          <wp:inline distT="0" distB="0" distL="0" distR="0" wp14:anchorId="1E293F9B" wp14:editId="2F79CC84">
            <wp:extent cx="5400000" cy="4050000"/>
            <wp:effectExtent l="19050" t="19050" r="10795" b="27305"/>
            <wp:docPr id="9" name="Picture 9" descr="Bar graph - Importance of education to labour market outcomes&#10;&#10;Level of education - Unemployment rate / Participation rate&#10;&#10;Bachelor Degree or higher 2.8%/88.9%&#10;Advanced Diploma &amp; Diploma Level 3.7%/84.5%&#10;Certificate III &amp; IV Level 4.3%/87.7%&#10;Year 12 or equivalent 5.8%/77.9%&#10;Certificate I &amp; II level 18.8%/66.1%&#10;Below year 12 12.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400000" cy="4050000"/>
                    </a:xfrm>
                    <a:prstGeom prst="rect">
                      <a:avLst/>
                    </a:prstGeom>
                    <a:ln>
                      <a:solidFill>
                        <a:schemeClr val="tx1"/>
                      </a:solidFill>
                    </a:ln>
                  </pic:spPr>
                </pic:pic>
              </a:graphicData>
            </a:graphic>
          </wp:inline>
        </w:drawing>
      </w:r>
    </w:p>
    <w:p w:rsidR="00532F91" w:rsidRPr="00630E8B" w:rsidRDefault="00532F91" w:rsidP="00630E8B">
      <w:pPr>
        <w:rPr>
          <w:i/>
        </w:rPr>
      </w:pPr>
      <w:r w:rsidRPr="00630E8B">
        <w:rPr>
          <w:i/>
        </w:rPr>
        <w:t>Source: ABS, Census of Population and Housing, 2011</w:t>
      </w:r>
    </w:p>
    <w:p w:rsidR="00532F91" w:rsidRPr="00532F91" w:rsidRDefault="00532F91" w:rsidP="00630E8B"/>
    <w:p w:rsidR="00532F91" w:rsidRPr="00532F91" w:rsidRDefault="00532F91" w:rsidP="00630E8B">
      <w:r w:rsidRPr="00532F91">
        <w:t>This slide illustrates the correlation between education and labour market outcomes in the Central Victoria region, with higher labour force participation rates and lower unemployment rates for those with higher levels of educational attainment. This reflects the pattern seen across Australia and demonstrates the importance of continuing education to help job seekers obtain employment and participate in the labour market.</w:t>
      </w:r>
    </w:p>
    <w:p w:rsidR="00532F91" w:rsidRPr="00532F91" w:rsidRDefault="00532F91">
      <w:pPr>
        <w:rPr>
          <w:rFonts w:cstheme="minorHAnsi"/>
          <w:sz w:val="20"/>
          <w:szCs w:val="20"/>
        </w:rPr>
      </w:pPr>
      <w:r w:rsidRPr="00532F91">
        <w:rPr>
          <w:rFonts w:cstheme="minorHAnsi"/>
          <w:sz w:val="20"/>
          <w:szCs w:val="20"/>
        </w:rPr>
        <w:br w:type="page"/>
      </w:r>
    </w:p>
    <w:p w:rsidR="00FB7A41" w:rsidRPr="00532F91" w:rsidRDefault="00532F91" w:rsidP="00A408C5">
      <w:pPr>
        <w:pStyle w:val="Heading1"/>
      </w:pPr>
      <w:r w:rsidRPr="00532F91">
        <w:lastRenderedPageBreak/>
        <w:t>Slide 25</w:t>
      </w:r>
      <w:r w:rsidR="00FB7A41">
        <w:t xml:space="preserve"> </w:t>
      </w:r>
      <w:r w:rsidR="00FB7A41" w:rsidRPr="00532F91">
        <w:t>Improving youth labour market outcomes</w:t>
      </w:r>
    </w:p>
    <w:p w:rsidR="00532F91" w:rsidRPr="00532F91" w:rsidRDefault="00532F91" w:rsidP="00532F91">
      <w:pPr>
        <w:spacing w:line="360" w:lineRule="auto"/>
        <w:rPr>
          <w:rFonts w:cstheme="minorHAnsi"/>
          <w:sz w:val="20"/>
          <w:szCs w:val="20"/>
        </w:rPr>
      </w:pPr>
    </w:p>
    <w:p w:rsidR="00532F91" w:rsidRPr="00532F91" w:rsidRDefault="001D36DB" w:rsidP="00532F91">
      <w:pPr>
        <w:spacing w:line="360" w:lineRule="auto"/>
        <w:rPr>
          <w:rFonts w:cstheme="minorHAnsi"/>
          <w:sz w:val="20"/>
          <w:szCs w:val="20"/>
        </w:rPr>
      </w:pPr>
      <w:r w:rsidRPr="001D36DB">
        <w:rPr>
          <w:rFonts w:cstheme="minorHAnsi"/>
          <w:noProof/>
          <w:sz w:val="20"/>
          <w:szCs w:val="20"/>
        </w:rPr>
        <w:drawing>
          <wp:inline distT="0" distB="0" distL="0" distR="0" wp14:anchorId="6EA7A80F" wp14:editId="30E74BEC">
            <wp:extent cx="5400000" cy="4050000"/>
            <wp:effectExtent l="19050" t="19050" r="10795" b="27305"/>
            <wp:docPr id="10" name="Picture 10" descr="Bar graph - Improving youth labour market outcomes - feeback from Centrel Victoria employers - description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400000" cy="4050000"/>
                    </a:xfrm>
                    <a:prstGeom prst="rect">
                      <a:avLst/>
                    </a:prstGeom>
                    <a:ln>
                      <a:solidFill>
                        <a:schemeClr val="tx1"/>
                      </a:solidFill>
                    </a:ln>
                  </pic:spPr>
                </pic:pic>
              </a:graphicData>
            </a:graphic>
          </wp:inline>
        </w:drawing>
      </w:r>
    </w:p>
    <w:p w:rsidR="00532F91" w:rsidRPr="00467DC2" w:rsidRDefault="00532F91" w:rsidP="001D36DB">
      <w:pPr>
        <w:rPr>
          <w:i/>
        </w:rPr>
      </w:pPr>
      <w:r w:rsidRPr="00467DC2">
        <w:rPr>
          <w:i/>
        </w:rPr>
        <w:t>Source:  Department of Employment, Survey of Employers’ Recruitment Experiences, Central Victoria Priority Employment Area (PEA), November 2013</w:t>
      </w:r>
    </w:p>
    <w:p w:rsidR="00532F91" w:rsidRPr="00532F91" w:rsidRDefault="00532F91" w:rsidP="001D36DB"/>
    <w:p w:rsidR="00532F91" w:rsidRPr="00532F91" w:rsidRDefault="00532F91" w:rsidP="001D36DB">
      <w:r w:rsidRPr="00532F91">
        <w:t>Employers in Central Victoria were asked for feedback on strategies to improve labour market outcomes for youth.</w:t>
      </w:r>
    </w:p>
    <w:p w:rsidR="00532F91" w:rsidRPr="00532F91" w:rsidRDefault="00532F91" w:rsidP="001D36DB"/>
    <w:p w:rsidR="00532F91" w:rsidRPr="00532F91" w:rsidRDefault="00532F91" w:rsidP="001D36DB">
      <w:r w:rsidRPr="00532F91">
        <w:t>The majority of employers (60 per cent) believed that improving employability and labour market engagement were the most important factors in improving youth labour market outcomes, most particularly:</w:t>
      </w:r>
    </w:p>
    <w:p w:rsidR="00532F91" w:rsidRPr="00532F91" w:rsidRDefault="00532F91" w:rsidP="001D36DB"/>
    <w:p w:rsidR="00532F91" w:rsidRPr="00532F91" w:rsidRDefault="00532F91" w:rsidP="001D36DB">
      <w:pPr>
        <w:pStyle w:val="ListParagraph"/>
        <w:numPr>
          <w:ilvl w:val="0"/>
          <w:numId w:val="11"/>
        </w:numPr>
      </w:pPr>
      <w:r w:rsidRPr="00532F91">
        <w:t>Attitude/motivation</w:t>
      </w:r>
    </w:p>
    <w:p w:rsidR="00532F91" w:rsidRPr="00532F91" w:rsidRDefault="00532F91" w:rsidP="001D36DB">
      <w:pPr>
        <w:pStyle w:val="ListParagraph"/>
        <w:numPr>
          <w:ilvl w:val="0"/>
          <w:numId w:val="11"/>
        </w:numPr>
      </w:pPr>
      <w:r w:rsidRPr="00532F91">
        <w:t>Job seeker expectations (too high for youth)</w:t>
      </w:r>
    </w:p>
    <w:p w:rsidR="00532F91" w:rsidRPr="00532F91" w:rsidRDefault="00532F91" w:rsidP="001D36DB">
      <w:pPr>
        <w:pStyle w:val="ListParagraph"/>
        <w:numPr>
          <w:ilvl w:val="0"/>
          <w:numId w:val="11"/>
        </w:numPr>
      </w:pPr>
      <w:r w:rsidRPr="00532F91">
        <w:t>Presentation</w:t>
      </w:r>
    </w:p>
    <w:p w:rsidR="00532F91" w:rsidRPr="00532F91" w:rsidRDefault="00532F91" w:rsidP="001D36DB"/>
    <w:p w:rsidR="00532F91" w:rsidRPr="00532F91" w:rsidRDefault="00532F91" w:rsidP="001D36DB"/>
    <w:p w:rsidR="00532F91" w:rsidRPr="00532F91" w:rsidRDefault="00532F91" w:rsidP="001D36DB">
      <w:r w:rsidRPr="00532F91">
        <w:t>A substantial proportion of employers (27 per cent) believed that experience or training was most important for youth, in particular:</w:t>
      </w:r>
    </w:p>
    <w:p w:rsidR="00532F91" w:rsidRPr="00532F91" w:rsidRDefault="00532F91" w:rsidP="001D36DB"/>
    <w:p w:rsidR="00532F91" w:rsidRPr="00532F91" w:rsidRDefault="00532F91" w:rsidP="001D36DB">
      <w:pPr>
        <w:pStyle w:val="ListParagraph"/>
        <w:numPr>
          <w:ilvl w:val="0"/>
          <w:numId w:val="12"/>
        </w:numPr>
      </w:pPr>
      <w:r w:rsidRPr="00532F91">
        <w:t>School based work experience</w:t>
      </w:r>
    </w:p>
    <w:p w:rsidR="00532F91" w:rsidRPr="00532F91" w:rsidRDefault="00532F91" w:rsidP="001D36DB">
      <w:pPr>
        <w:pStyle w:val="ListParagraph"/>
        <w:numPr>
          <w:ilvl w:val="0"/>
          <w:numId w:val="12"/>
        </w:numPr>
      </w:pPr>
      <w:r w:rsidRPr="00532F91">
        <w:t>Further education</w:t>
      </w:r>
    </w:p>
    <w:p w:rsidR="00532F91" w:rsidRPr="00532F91" w:rsidRDefault="00532F91" w:rsidP="001D36DB">
      <w:pPr>
        <w:pStyle w:val="ListParagraph"/>
        <w:numPr>
          <w:ilvl w:val="0"/>
          <w:numId w:val="12"/>
        </w:numPr>
      </w:pPr>
      <w:r w:rsidRPr="00532F91">
        <w:t>Apprenticeships/traineeships</w:t>
      </w:r>
    </w:p>
    <w:p w:rsidR="00532F91" w:rsidRPr="00532F91" w:rsidRDefault="00532F91">
      <w:pPr>
        <w:rPr>
          <w:rFonts w:cstheme="minorHAnsi"/>
          <w:sz w:val="20"/>
          <w:szCs w:val="20"/>
        </w:rPr>
      </w:pPr>
      <w:r w:rsidRPr="00532F91">
        <w:rPr>
          <w:rFonts w:cstheme="minorHAnsi"/>
          <w:sz w:val="20"/>
          <w:szCs w:val="20"/>
        </w:rPr>
        <w:br w:type="page"/>
      </w:r>
    </w:p>
    <w:p w:rsidR="00FB7A41" w:rsidRPr="00532F91" w:rsidRDefault="00532F91" w:rsidP="00A408C5">
      <w:pPr>
        <w:pStyle w:val="Heading1"/>
      </w:pPr>
      <w:r w:rsidRPr="00532F91">
        <w:lastRenderedPageBreak/>
        <w:t>Slide 26</w:t>
      </w:r>
      <w:r w:rsidR="00FB7A41">
        <w:t xml:space="preserve"> </w:t>
      </w:r>
      <w:r w:rsidR="00FB7A41" w:rsidRPr="00532F91">
        <w:t>Signs of weakening recruitment activity</w:t>
      </w:r>
    </w:p>
    <w:p w:rsidR="00532F91" w:rsidRPr="00532F91" w:rsidRDefault="00532F91" w:rsidP="00532F91">
      <w:pPr>
        <w:spacing w:line="360" w:lineRule="auto"/>
        <w:rPr>
          <w:rFonts w:cstheme="minorHAnsi"/>
          <w:sz w:val="20"/>
          <w:szCs w:val="20"/>
        </w:rPr>
      </w:pPr>
    </w:p>
    <w:tbl>
      <w:tblPr>
        <w:tblW w:w="8813" w:type="dxa"/>
        <w:tblCellMar>
          <w:left w:w="0" w:type="dxa"/>
          <w:right w:w="0" w:type="dxa"/>
        </w:tblCellMar>
        <w:tblLook w:val="0600" w:firstRow="0" w:lastRow="0" w:firstColumn="0" w:lastColumn="0" w:noHBand="1" w:noVBand="1"/>
      </w:tblPr>
      <w:tblGrid>
        <w:gridCol w:w="1834"/>
        <w:gridCol w:w="1407"/>
        <w:gridCol w:w="1407"/>
        <w:gridCol w:w="1407"/>
        <w:gridCol w:w="1408"/>
        <w:gridCol w:w="1350"/>
      </w:tblGrid>
      <w:tr w:rsidR="008B659A" w:rsidRPr="008B659A" w:rsidTr="008B659A">
        <w:trPr>
          <w:trHeight w:val="1149"/>
        </w:trPr>
        <w:tc>
          <w:tcPr>
            <w:tcW w:w="1834" w:type="dxa"/>
            <w:vMerge w:val="restart"/>
            <w:tcBorders>
              <w:top w:val="single" w:sz="4" w:space="0" w:color="000000"/>
              <w:left w:val="single" w:sz="4" w:space="0" w:color="000000"/>
              <w:bottom w:val="single" w:sz="4" w:space="0" w:color="000000"/>
              <w:right w:val="single" w:sz="4" w:space="0" w:color="000000"/>
            </w:tcBorders>
            <w:shd w:val="clear" w:color="auto" w:fill="009288"/>
            <w:tcMar>
              <w:top w:w="15" w:type="dxa"/>
              <w:left w:w="15" w:type="dxa"/>
              <w:bottom w:w="0" w:type="dxa"/>
              <w:right w:w="15" w:type="dxa"/>
            </w:tcMar>
            <w:vAlign w:val="bottom"/>
            <w:hideMark/>
          </w:tcPr>
          <w:p w:rsidR="001D36DB" w:rsidRPr="008B659A" w:rsidRDefault="001D36DB" w:rsidP="008B659A">
            <w:pPr>
              <w:pStyle w:val="Heading1"/>
              <w:jc w:val="center"/>
              <w:rPr>
                <w:rFonts w:ascii="Arial" w:hAnsi="Arial" w:cs="Arial"/>
                <w:color w:val="FFFFFF" w:themeColor="background1"/>
                <w:sz w:val="28"/>
                <w:szCs w:val="36"/>
              </w:rPr>
            </w:pPr>
          </w:p>
        </w:tc>
        <w:tc>
          <w:tcPr>
            <w:tcW w:w="2814" w:type="dxa"/>
            <w:gridSpan w:val="2"/>
            <w:tcBorders>
              <w:top w:val="single" w:sz="4" w:space="0" w:color="000000"/>
              <w:left w:val="single" w:sz="4" w:space="0" w:color="000000"/>
              <w:bottom w:val="single" w:sz="4" w:space="0" w:color="000000"/>
              <w:right w:val="single" w:sz="4" w:space="0" w:color="000000"/>
            </w:tcBorders>
            <w:shd w:val="clear" w:color="auto" w:fill="009288"/>
            <w:tcMar>
              <w:top w:w="15" w:type="dxa"/>
              <w:left w:w="15" w:type="dxa"/>
              <w:bottom w:w="0" w:type="dxa"/>
              <w:right w:w="15" w:type="dxa"/>
            </w:tcMar>
            <w:vAlign w:val="center"/>
            <w:hideMark/>
          </w:tcPr>
          <w:p w:rsidR="001D36DB" w:rsidRPr="005654E6" w:rsidRDefault="001D36DB" w:rsidP="008B659A">
            <w:pPr>
              <w:pStyle w:val="Heading1"/>
              <w:jc w:val="center"/>
              <w:rPr>
                <w:rFonts w:ascii="Arial" w:hAnsi="Arial" w:cs="Arial"/>
                <w:color w:val="FFFFFF" w:themeColor="background1"/>
                <w:sz w:val="28"/>
                <w:szCs w:val="36"/>
                <w:u w:val="none"/>
              </w:rPr>
            </w:pPr>
            <w:r w:rsidRPr="005654E6">
              <w:rPr>
                <w:color w:val="FFFFFF" w:themeColor="background1"/>
                <w:sz w:val="28"/>
                <w:u w:val="none"/>
              </w:rPr>
              <w:t>Bendigo region</w:t>
            </w:r>
          </w:p>
        </w:tc>
        <w:tc>
          <w:tcPr>
            <w:tcW w:w="2815" w:type="dxa"/>
            <w:gridSpan w:val="2"/>
            <w:tcBorders>
              <w:top w:val="single" w:sz="4" w:space="0" w:color="000000"/>
              <w:left w:val="single" w:sz="4" w:space="0" w:color="000000"/>
              <w:bottom w:val="single" w:sz="4" w:space="0" w:color="000000"/>
              <w:right w:val="single" w:sz="4" w:space="0" w:color="000000"/>
            </w:tcBorders>
            <w:shd w:val="clear" w:color="auto" w:fill="009288"/>
            <w:tcMar>
              <w:top w:w="15" w:type="dxa"/>
              <w:left w:w="15" w:type="dxa"/>
              <w:bottom w:w="0" w:type="dxa"/>
              <w:right w:w="15" w:type="dxa"/>
            </w:tcMar>
            <w:vAlign w:val="center"/>
            <w:hideMark/>
          </w:tcPr>
          <w:p w:rsidR="001D36DB" w:rsidRPr="005654E6" w:rsidRDefault="001D36DB" w:rsidP="008B659A">
            <w:pPr>
              <w:pStyle w:val="Heading1"/>
              <w:jc w:val="center"/>
              <w:rPr>
                <w:rFonts w:ascii="Arial" w:hAnsi="Arial" w:cs="Arial"/>
                <w:color w:val="FFFFFF" w:themeColor="background1"/>
                <w:sz w:val="28"/>
                <w:szCs w:val="36"/>
                <w:u w:val="none"/>
              </w:rPr>
            </w:pPr>
            <w:r w:rsidRPr="005654E6">
              <w:rPr>
                <w:color w:val="FFFFFF" w:themeColor="background1"/>
                <w:sz w:val="28"/>
                <w:u w:val="none"/>
              </w:rPr>
              <w:t>Central Victoria region</w:t>
            </w:r>
          </w:p>
        </w:tc>
        <w:tc>
          <w:tcPr>
            <w:tcW w:w="1350" w:type="dxa"/>
            <w:vMerge w:val="restart"/>
            <w:tcBorders>
              <w:top w:val="single" w:sz="4" w:space="0" w:color="000000"/>
              <w:left w:val="single" w:sz="4" w:space="0" w:color="000000"/>
              <w:bottom w:val="single" w:sz="4" w:space="0" w:color="000000"/>
              <w:right w:val="single" w:sz="4" w:space="0" w:color="000000"/>
            </w:tcBorders>
            <w:shd w:val="clear" w:color="auto" w:fill="009288"/>
            <w:tcMar>
              <w:top w:w="15" w:type="dxa"/>
              <w:left w:w="15" w:type="dxa"/>
              <w:bottom w:w="0" w:type="dxa"/>
              <w:right w:w="15" w:type="dxa"/>
            </w:tcMar>
            <w:vAlign w:val="center"/>
            <w:hideMark/>
          </w:tcPr>
          <w:p w:rsidR="001D36DB" w:rsidRPr="005654E6" w:rsidRDefault="001D36DB" w:rsidP="008B659A">
            <w:pPr>
              <w:pStyle w:val="Heading1"/>
              <w:jc w:val="center"/>
              <w:rPr>
                <w:rFonts w:ascii="Arial" w:hAnsi="Arial" w:cs="Arial"/>
                <w:color w:val="FFFFFF" w:themeColor="background1"/>
                <w:sz w:val="28"/>
                <w:szCs w:val="36"/>
                <w:u w:val="none"/>
              </w:rPr>
            </w:pPr>
            <w:r w:rsidRPr="005654E6">
              <w:rPr>
                <w:color w:val="FFFFFF" w:themeColor="background1"/>
                <w:sz w:val="28"/>
                <w:u w:val="none"/>
              </w:rPr>
              <w:t xml:space="preserve">All regions </w:t>
            </w:r>
            <w:proofErr w:type="gramStart"/>
            <w:r w:rsidRPr="005654E6">
              <w:rPr>
                <w:color w:val="FFFFFF" w:themeColor="background1"/>
                <w:sz w:val="28"/>
                <w:u w:val="none"/>
              </w:rPr>
              <w:t>surveyed</w:t>
            </w:r>
            <w:proofErr w:type="gramEnd"/>
            <w:r w:rsidR="008B659A" w:rsidRPr="005654E6">
              <w:rPr>
                <w:color w:val="FFFFFF" w:themeColor="background1"/>
                <w:sz w:val="28"/>
                <w:u w:val="none"/>
              </w:rPr>
              <w:br/>
            </w:r>
            <w:r w:rsidRPr="005654E6">
              <w:rPr>
                <w:color w:val="FFFFFF" w:themeColor="background1"/>
                <w:sz w:val="28"/>
                <w:u w:val="none"/>
              </w:rPr>
              <w:t>(12 months to March 2014)</w:t>
            </w:r>
          </w:p>
        </w:tc>
      </w:tr>
      <w:tr w:rsidR="008B659A" w:rsidRPr="008B659A" w:rsidTr="008B659A">
        <w:trPr>
          <w:trHeight w:val="1544"/>
        </w:trPr>
        <w:tc>
          <w:tcPr>
            <w:tcW w:w="1834" w:type="dxa"/>
            <w:vMerge/>
            <w:tcBorders>
              <w:top w:val="single" w:sz="4" w:space="0" w:color="000000"/>
              <w:left w:val="single" w:sz="4" w:space="0" w:color="000000"/>
              <w:bottom w:val="single" w:sz="4" w:space="0" w:color="000000"/>
              <w:right w:val="single" w:sz="4" w:space="0" w:color="000000"/>
            </w:tcBorders>
            <w:vAlign w:val="center"/>
            <w:hideMark/>
          </w:tcPr>
          <w:p w:rsidR="001D36DB" w:rsidRPr="008B659A" w:rsidRDefault="001D36DB" w:rsidP="008B659A">
            <w:pPr>
              <w:pStyle w:val="Heading1"/>
              <w:jc w:val="center"/>
              <w:rPr>
                <w:rFonts w:ascii="Arial" w:hAnsi="Arial" w:cs="Arial"/>
                <w:color w:val="FFFFFF" w:themeColor="background1"/>
                <w:sz w:val="28"/>
                <w:szCs w:val="36"/>
              </w:rPr>
            </w:pPr>
          </w:p>
        </w:tc>
        <w:tc>
          <w:tcPr>
            <w:tcW w:w="1407" w:type="dxa"/>
            <w:tcBorders>
              <w:top w:val="single" w:sz="4" w:space="0" w:color="000000"/>
              <w:left w:val="single" w:sz="4" w:space="0" w:color="000000"/>
              <w:bottom w:val="single" w:sz="4" w:space="0" w:color="000000"/>
              <w:right w:val="single" w:sz="4" w:space="0" w:color="000000"/>
            </w:tcBorders>
            <w:shd w:val="clear" w:color="auto" w:fill="009288"/>
            <w:tcMar>
              <w:top w:w="15" w:type="dxa"/>
              <w:left w:w="15" w:type="dxa"/>
              <w:bottom w:w="0" w:type="dxa"/>
              <w:right w:w="15" w:type="dxa"/>
            </w:tcMar>
            <w:vAlign w:val="center"/>
            <w:hideMark/>
          </w:tcPr>
          <w:p w:rsidR="001D36DB" w:rsidRPr="005654E6" w:rsidRDefault="001D36DB" w:rsidP="008B659A">
            <w:pPr>
              <w:pStyle w:val="Heading1"/>
              <w:jc w:val="center"/>
              <w:rPr>
                <w:rFonts w:ascii="Arial" w:hAnsi="Arial" w:cs="Arial"/>
                <w:color w:val="FFFFFF" w:themeColor="background1"/>
                <w:sz w:val="28"/>
                <w:szCs w:val="36"/>
                <w:u w:val="none"/>
              </w:rPr>
            </w:pPr>
            <w:r w:rsidRPr="005654E6">
              <w:rPr>
                <w:color w:val="FFFFFF" w:themeColor="background1"/>
                <w:sz w:val="28"/>
                <w:u w:val="none"/>
              </w:rPr>
              <w:t>November</w:t>
            </w:r>
          </w:p>
          <w:p w:rsidR="001D36DB" w:rsidRPr="005654E6" w:rsidRDefault="001D36DB" w:rsidP="008B659A">
            <w:pPr>
              <w:pStyle w:val="Heading1"/>
              <w:jc w:val="center"/>
              <w:rPr>
                <w:rFonts w:ascii="Arial" w:hAnsi="Arial" w:cs="Arial"/>
                <w:color w:val="FFFFFF" w:themeColor="background1"/>
                <w:sz w:val="28"/>
                <w:szCs w:val="36"/>
                <w:u w:val="none"/>
              </w:rPr>
            </w:pPr>
            <w:r w:rsidRPr="005654E6">
              <w:rPr>
                <w:color w:val="FFFFFF" w:themeColor="background1"/>
                <w:sz w:val="28"/>
                <w:u w:val="none"/>
              </w:rPr>
              <w:t>2013</w:t>
            </w:r>
          </w:p>
        </w:tc>
        <w:tc>
          <w:tcPr>
            <w:tcW w:w="1407" w:type="dxa"/>
            <w:tcBorders>
              <w:top w:val="single" w:sz="4" w:space="0" w:color="000000"/>
              <w:left w:val="single" w:sz="4" w:space="0" w:color="000000"/>
              <w:bottom w:val="single" w:sz="4" w:space="0" w:color="000000"/>
              <w:right w:val="single" w:sz="4" w:space="0" w:color="000000"/>
            </w:tcBorders>
            <w:shd w:val="clear" w:color="auto" w:fill="009288"/>
            <w:tcMar>
              <w:top w:w="15" w:type="dxa"/>
              <w:left w:w="15" w:type="dxa"/>
              <w:bottom w:w="0" w:type="dxa"/>
              <w:right w:w="15" w:type="dxa"/>
            </w:tcMar>
            <w:vAlign w:val="center"/>
            <w:hideMark/>
          </w:tcPr>
          <w:p w:rsidR="001D36DB" w:rsidRPr="005654E6" w:rsidRDefault="001D36DB" w:rsidP="008B659A">
            <w:pPr>
              <w:pStyle w:val="Heading1"/>
              <w:jc w:val="center"/>
              <w:rPr>
                <w:rFonts w:ascii="Arial" w:hAnsi="Arial" w:cs="Arial"/>
                <w:color w:val="FFFFFF" w:themeColor="background1"/>
                <w:sz w:val="28"/>
                <w:szCs w:val="36"/>
                <w:u w:val="none"/>
              </w:rPr>
            </w:pPr>
            <w:r w:rsidRPr="005654E6">
              <w:rPr>
                <w:color w:val="FFFFFF" w:themeColor="background1"/>
                <w:sz w:val="28"/>
                <w:u w:val="none"/>
              </w:rPr>
              <w:t>November</w:t>
            </w:r>
          </w:p>
          <w:p w:rsidR="001D36DB" w:rsidRPr="005654E6" w:rsidRDefault="001D36DB" w:rsidP="008B659A">
            <w:pPr>
              <w:pStyle w:val="Heading1"/>
              <w:jc w:val="center"/>
              <w:rPr>
                <w:rFonts w:ascii="Arial" w:hAnsi="Arial" w:cs="Arial"/>
                <w:color w:val="FFFFFF" w:themeColor="background1"/>
                <w:sz w:val="28"/>
                <w:szCs w:val="36"/>
                <w:u w:val="none"/>
              </w:rPr>
            </w:pPr>
            <w:r w:rsidRPr="005654E6">
              <w:rPr>
                <w:color w:val="FFFFFF" w:themeColor="background1"/>
                <w:sz w:val="28"/>
                <w:u w:val="none"/>
              </w:rPr>
              <w:t>2012</w:t>
            </w:r>
          </w:p>
        </w:tc>
        <w:tc>
          <w:tcPr>
            <w:tcW w:w="1407" w:type="dxa"/>
            <w:tcBorders>
              <w:top w:val="single" w:sz="4" w:space="0" w:color="000000"/>
              <w:left w:val="single" w:sz="4" w:space="0" w:color="000000"/>
              <w:bottom w:val="single" w:sz="4" w:space="0" w:color="000000"/>
              <w:right w:val="single" w:sz="4" w:space="0" w:color="000000"/>
            </w:tcBorders>
            <w:shd w:val="clear" w:color="auto" w:fill="009288"/>
            <w:tcMar>
              <w:top w:w="15" w:type="dxa"/>
              <w:left w:w="15" w:type="dxa"/>
              <w:bottom w:w="0" w:type="dxa"/>
              <w:right w:w="15" w:type="dxa"/>
            </w:tcMar>
            <w:vAlign w:val="center"/>
            <w:hideMark/>
          </w:tcPr>
          <w:p w:rsidR="001D36DB" w:rsidRPr="005654E6" w:rsidRDefault="001D36DB" w:rsidP="008B659A">
            <w:pPr>
              <w:pStyle w:val="Heading1"/>
              <w:jc w:val="center"/>
              <w:rPr>
                <w:rFonts w:ascii="Arial" w:hAnsi="Arial" w:cs="Arial"/>
                <w:color w:val="FFFFFF" w:themeColor="background1"/>
                <w:sz w:val="28"/>
                <w:szCs w:val="36"/>
                <w:u w:val="none"/>
              </w:rPr>
            </w:pPr>
            <w:r w:rsidRPr="005654E6">
              <w:rPr>
                <w:color w:val="FFFFFF" w:themeColor="background1"/>
                <w:sz w:val="28"/>
                <w:u w:val="none"/>
              </w:rPr>
              <w:t>November</w:t>
            </w:r>
          </w:p>
          <w:p w:rsidR="001D36DB" w:rsidRPr="005654E6" w:rsidRDefault="001D36DB" w:rsidP="008B659A">
            <w:pPr>
              <w:pStyle w:val="Heading1"/>
              <w:jc w:val="center"/>
              <w:rPr>
                <w:rFonts w:ascii="Arial" w:hAnsi="Arial" w:cs="Arial"/>
                <w:color w:val="FFFFFF" w:themeColor="background1"/>
                <w:sz w:val="28"/>
                <w:szCs w:val="36"/>
                <w:u w:val="none"/>
              </w:rPr>
            </w:pPr>
            <w:r w:rsidRPr="005654E6">
              <w:rPr>
                <w:color w:val="FFFFFF" w:themeColor="background1"/>
                <w:sz w:val="28"/>
                <w:u w:val="none"/>
              </w:rPr>
              <w:t>2013</w:t>
            </w:r>
          </w:p>
        </w:tc>
        <w:tc>
          <w:tcPr>
            <w:tcW w:w="1408" w:type="dxa"/>
            <w:tcBorders>
              <w:top w:val="single" w:sz="4" w:space="0" w:color="000000"/>
              <w:left w:val="single" w:sz="4" w:space="0" w:color="000000"/>
              <w:bottom w:val="single" w:sz="4" w:space="0" w:color="000000"/>
              <w:right w:val="single" w:sz="4" w:space="0" w:color="000000"/>
            </w:tcBorders>
            <w:shd w:val="clear" w:color="auto" w:fill="009288"/>
            <w:tcMar>
              <w:top w:w="15" w:type="dxa"/>
              <w:left w:w="15" w:type="dxa"/>
              <w:bottom w:w="0" w:type="dxa"/>
              <w:right w:w="15" w:type="dxa"/>
            </w:tcMar>
            <w:vAlign w:val="center"/>
            <w:hideMark/>
          </w:tcPr>
          <w:p w:rsidR="001D36DB" w:rsidRPr="005654E6" w:rsidRDefault="001D36DB" w:rsidP="008B659A">
            <w:pPr>
              <w:pStyle w:val="Heading1"/>
              <w:jc w:val="center"/>
              <w:rPr>
                <w:rFonts w:ascii="Arial" w:hAnsi="Arial" w:cs="Arial"/>
                <w:color w:val="FFFFFF" w:themeColor="background1"/>
                <w:sz w:val="28"/>
                <w:szCs w:val="36"/>
                <w:u w:val="none"/>
              </w:rPr>
            </w:pPr>
            <w:r w:rsidRPr="005654E6">
              <w:rPr>
                <w:color w:val="FFFFFF" w:themeColor="background1"/>
                <w:sz w:val="28"/>
                <w:u w:val="none"/>
              </w:rPr>
              <w:t>November</w:t>
            </w:r>
          </w:p>
          <w:p w:rsidR="001D36DB" w:rsidRPr="005654E6" w:rsidRDefault="001D36DB" w:rsidP="008B659A">
            <w:pPr>
              <w:pStyle w:val="Heading1"/>
              <w:jc w:val="center"/>
              <w:rPr>
                <w:rFonts w:ascii="Arial" w:hAnsi="Arial" w:cs="Arial"/>
                <w:color w:val="FFFFFF" w:themeColor="background1"/>
                <w:sz w:val="28"/>
                <w:szCs w:val="36"/>
                <w:u w:val="none"/>
              </w:rPr>
            </w:pPr>
            <w:r w:rsidRPr="005654E6">
              <w:rPr>
                <w:color w:val="FFFFFF" w:themeColor="background1"/>
                <w:sz w:val="28"/>
                <w:u w:val="none"/>
              </w:rPr>
              <w:t>2012</w:t>
            </w:r>
          </w:p>
        </w:tc>
        <w:tc>
          <w:tcPr>
            <w:tcW w:w="1350" w:type="dxa"/>
            <w:vMerge/>
            <w:tcBorders>
              <w:top w:val="single" w:sz="4" w:space="0" w:color="000000"/>
              <w:left w:val="single" w:sz="4" w:space="0" w:color="000000"/>
              <w:bottom w:val="single" w:sz="4" w:space="0" w:color="000000"/>
              <w:right w:val="single" w:sz="4" w:space="0" w:color="000000"/>
            </w:tcBorders>
            <w:vAlign w:val="center"/>
            <w:hideMark/>
          </w:tcPr>
          <w:p w:rsidR="001D36DB" w:rsidRPr="008B659A" w:rsidRDefault="001D36DB" w:rsidP="008B659A">
            <w:pPr>
              <w:pStyle w:val="Heading1"/>
              <w:jc w:val="center"/>
              <w:rPr>
                <w:rFonts w:ascii="Arial" w:hAnsi="Arial" w:cs="Arial"/>
                <w:color w:val="FFFFFF" w:themeColor="background1"/>
                <w:sz w:val="28"/>
                <w:szCs w:val="36"/>
              </w:rPr>
            </w:pPr>
          </w:p>
        </w:tc>
      </w:tr>
      <w:tr w:rsidR="008B659A" w:rsidRPr="001D36DB" w:rsidTr="008B659A">
        <w:trPr>
          <w:trHeight w:val="1450"/>
        </w:trPr>
        <w:tc>
          <w:tcPr>
            <w:tcW w:w="18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D36DB" w:rsidRPr="001D36DB" w:rsidRDefault="001D36DB" w:rsidP="001D36DB">
            <w:pPr>
              <w:rPr>
                <w:rFonts w:ascii="Arial" w:hAnsi="Arial" w:cs="Arial"/>
                <w:sz w:val="36"/>
                <w:szCs w:val="36"/>
              </w:rPr>
            </w:pPr>
            <w:r w:rsidRPr="001D36DB">
              <w:t xml:space="preserve"> Annual vacancies </w:t>
            </w:r>
          </w:p>
          <w:p w:rsidR="001D36DB" w:rsidRPr="001D36DB" w:rsidRDefault="001D36DB" w:rsidP="001D36DB">
            <w:pPr>
              <w:rPr>
                <w:rFonts w:ascii="Arial" w:hAnsi="Arial" w:cs="Arial"/>
                <w:sz w:val="36"/>
                <w:szCs w:val="36"/>
              </w:rPr>
            </w:pPr>
            <w:r w:rsidRPr="001D36DB">
              <w:t xml:space="preserve"> per 100 staff</w:t>
            </w:r>
          </w:p>
        </w:tc>
        <w:tc>
          <w:tcPr>
            <w:tcW w:w="14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D36DB" w:rsidRPr="001D36DB" w:rsidRDefault="001D36DB" w:rsidP="008B659A">
            <w:pPr>
              <w:jc w:val="center"/>
              <w:rPr>
                <w:rFonts w:ascii="Arial" w:hAnsi="Arial" w:cs="Arial"/>
                <w:sz w:val="36"/>
                <w:szCs w:val="36"/>
              </w:rPr>
            </w:pPr>
            <w:r w:rsidRPr="001D36DB">
              <w:rPr>
                <w:color w:val="000000" w:themeColor="text1"/>
              </w:rPr>
              <w:t>13</w:t>
            </w:r>
          </w:p>
        </w:tc>
        <w:tc>
          <w:tcPr>
            <w:tcW w:w="14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D36DB" w:rsidRPr="001D36DB" w:rsidRDefault="001D36DB" w:rsidP="008B659A">
            <w:pPr>
              <w:jc w:val="center"/>
              <w:rPr>
                <w:rFonts w:ascii="Arial" w:hAnsi="Arial" w:cs="Arial"/>
                <w:sz w:val="36"/>
                <w:szCs w:val="36"/>
              </w:rPr>
            </w:pPr>
            <w:r w:rsidRPr="001D36DB">
              <w:rPr>
                <w:color w:val="000000" w:themeColor="text1"/>
              </w:rPr>
              <w:t>17</w:t>
            </w:r>
          </w:p>
        </w:tc>
        <w:tc>
          <w:tcPr>
            <w:tcW w:w="14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D36DB" w:rsidRPr="001D36DB" w:rsidRDefault="001D36DB" w:rsidP="008B659A">
            <w:pPr>
              <w:jc w:val="center"/>
              <w:rPr>
                <w:rFonts w:ascii="Arial" w:hAnsi="Arial" w:cs="Arial"/>
                <w:sz w:val="36"/>
                <w:szCs w:val="36"/>
              </w:rPr>
            </w:pPr>
            <w:r w:rsidRPr="001D36DB">
              <w:rPr>
                <w:color w:val="000000" w:themeColor="text1"/>
              </w:rPr>
              <w:t>14</w:t>
            </w:r>
          </w:p>
        </w:tc>
        <w:tc>
          <w:tcPr>
            <w:tcW w:w="1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D36DB" w:rsidRPr="001D36DB" w:rsidRDefault="001D36DB" w:rsidP="008B659A">
            <w:pPr>
              <w:jc w:val="center"/>
              <w:rPr>
                <w:rFonts w:ascii="Arial" w:hAnsi="Arial" w:cs="Arial"/>
                <w:sz w:val="36"/>
                <w:szCs w:val="36"/>
              </w:rPr>
            </w:pPr>
            <w:r w:rsidRPr="001D36DB">
              <w:rPr>
                <w:color w:val="000000" w:themeColor="text1"/>
              </w:rPr>
              <w:t>16</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D36DB" w:rsidRPr="001D36DB" w:rsidRDefault="001D36DB" w:rsidP="008B659A">
            <w:pPr>
              <w:jc w:val="center"/>
              <w:rPr>
                <w:rFonts w:ascii="Arial" w:hAnsi="Arial" w:cs="Arial"/>
                <w:sz w:val="36"/>
                <w:szCs w:val="36"/>
              </w:rPr>
            </w:pPr>
            <w:r w:rsidRPr="001D36DB">
              <w:rPr>
                <w:color w:val="000000" w:themeColor="text1"/>
              </w:rPr>
              <w:t>16</w:t>
            </w:r>
          </w:p>
        </w:tc>
      </w:tr>
      <w:tr w:rsidR="008B659A" w:rsidRPr="001D36DB" w:rsidTr="008B659A">
        <w:trPr>
          <w:trHeight w:val="1450"/>
        </w:trPr>
        <w:tc>
          <w:tcPr>
            <w:tcW w:w="18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D36DB" w:rsidRPr="001D36DB" w:rsidRDefault="001D36DB" w:rsidP="001D36DB">
            <w:pPr>
              <w:rPr>
                <w:rFonts w:ascii="Arial" w:hAnsi="Arial" w:cs="Arial"/>
                <w:sz w:val="36"/>
                <w:szCs w:val="36"/>
              </w:rPr>
            </w:pPr>
            <w:r w:rsidRPr="001D36DB">
              <w:t xml:space="preserve"> Increased staff</w:t>
            </w:r>
          </w:p>
        </w:tc>
        <w:tc>
          <w:tcPr>
            <w:tcW w:w="14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D36DB" w:rsidRPr="001D36DB" w:rsidRDefault="001D36DB" w:rsidP="008B659A">
            <w:pPr>
              <w:jc w:val="center"/>
              <w:rPr>
                <w:rFonts w:ascii="Arial" w:hAnsi="Arial" w:cs="Arial"/>
                <w:sz w:val="36"/>
                <w:szCs w:val="36"/>
              </w:rPr>
            </w:pPr>
            <w:r w:rsidRPr="001D36DB">
              <w:rPr>
                <w:color w:val="000000" w:themeColor="text1"/>
              </w:rPr>
              <w:t>18%</w:t>
            </w:r>
          </w:p>
        </w:tc>
        <w:tc>
          <w:tcPr>
            <w:tcW w:w="14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D36DB" w:rsidRPr="001D36DB" w:rsidRDefault="001D36DB" w:rsidP="008B659A">
            <w:pPr>
              <w:jc w:val="center"/>
              <w:rPr>
                <w:rFonts w:ascii="Arial" w:hAnsi="Arial" w:cs="Arial"/>
                <w:sz w:val="36"/>
                <w:szCs w:val="36"/>
              </w:rPr>
            </w:pPr>
            <w:r w:rsidRPr="001D36DB">
              <w:rPr>
                <w:color w:val="000000" w:themeColor="text1"/>
              </w:rPr>
              <w:t>18%</w:t>
            </w:r>
          </w:p>
        </w:tc>
        <w:tc>
          <w:tcPr>
            <w:tcW w:w="14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D36DB" w:rsidRPr="001D36DB" w:rsidRDefault="001D36DB" w:rsidP="008B659A">
            <w:pPr>
              <w:jc w:val="center"/>
              <w:rPr>
                <w:rFonts w:ascii="Arial" w:hAnsi="Arial" w:cs="Arial"/>
                <w:sz w:val="36"/>
                <w:szCs w:val="36"/>
              </w:rPr>
            </w:pPr>
            <w:r w:rsidRPr="001D36DB">
              <w:rPr>
                <w:color w:val="000000" w:themeColor="text1"/>
              </w:rPr>
              <w:t>19%</w:t>
            </w:r>
          </w:p>
        </w:tc>
        <w:tc>
          <w:tcPr>
            <w:tcW w:w="1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D36DB" w:rsidRPr="001D36DB" w:rsidRDefault="001D36DB" w:rsidP="008B659A">
            <w:pPr>
              <w:jc w:val="center"/>
              <w:rPr>
                <w:rFonts w:ascii="Arial" w:hAnsi="Arial" w:cs="Arial"/>
                <w:sz w:val="36"/>
                <w:szCs w:val="36"/>
              </w:rPr>
            </w:pPr>
            <w:r w:rsidRPr="001D36DB">
              <w:rPr>
                <w:color w:val="000000" w:themeColor="text1"/>
              </w:rPr>
              <w:t>20%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D36DB" w:rsidRPr="001D36DB" w:rsidRDefault="001D36DB" w:rsidP="008B659A">
            <w:pPr>
              <w:jc w:val="center"/>
              <w:rPr>
                <w:rFonts w:ascii="Arial" w:hAnsi="Arial" w:cs="Arial"/>
                <w:sz w:val="36"/>
                <w:szCs w:val="36"/>
              </w:rPr>
            </w:pPr>
            <w:r w:rsidRPr="001D36DB">
              <w:rPr>
                <w:color w:val="000000" w:themeColor="text1"/>
              </w:rPr>
              <w:t>16%</w:t>
            </w:r>
          </w:p>
        </w:tc>
      </w:tr>
      <w:tr w:rsidR="008B659A" w:rsidRPr="001D36DB" w:rsidTr="008B659A">
        <w:trPr>
          <w:trHeight w:val="1450"/>
        </w:trPr>
        <w:tc>
          <w:tcPr>
            <w:tcW w:w="18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D36DB" w:rsidRPr="001D36DB" w:rsidRDefault="001D36DB" w:rsidP="001D36DB">
            <w:pPr>
              <w:rPr>
                <w:rFonts w:ascii="Arial" w:hAnsi="Arial" w:cs="Arial"/>
                <w:sz w:val="36"/>
                <w:szCs w:val="36"/>
              </w:rPr>
            </w:pPr>
            <w:r w:rsidRPr="001D36DB">
              <w:t xml:space="preserve"> Decreased staff</w:t>
            </w:r>
          </w:p>
        </w:tc>
        <w:tc>
          <w:tcPr>
            <w:tcW w:w="14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D36DB" w:rsidRPr="001D36DB" w:rsidRDefault="001D36DB" w:rsidP="008B659A">
            <w:pPr>
              <w:jc w:val="center"/>
              <w:rPr>
                <w:rFonts w:ascii="Arial" w:hAnsi="Arial" w:cs="Arial"/>
                <w:sz w:val="36"/>
                <w:szCs w:val="36"/>
              </w:rPr>
            </w:pPr>
            <w:r w:rsidRPr="001D36DB">
              <w:rPr>
                <w:color w:val="000000" w:themeColor="text1"/>
              </w:rPr>
              <w:t>21%</w:t>
            </w:r>
          </w:p>
        </w:tc>
        <w:tc>
          <w:tcPr>
            <w:tcW w:w="14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D36DB" w:rsidRPr="001D36DB" w:rsidRDefault="001D36DB" w:rsidP="008B659A">
            <w:pPr>
              <w:jc w:val="center"/>
              <w:rPr>
                <w:rFonts w:ascii="Arial" w:hAnsi="Arial" w:cs="Arial"/>
                <w:sz w:val="36"/>
                <w:szCs w:val="36"/>
              </w:rPr>
            </w:pPr>
            <w:r w:rsidRPr="001D36DB">
              <w:rPr>
                <w:color w:val="000000" w:themeColor="text1"/>
              </w:rPr>
              <w:t>20%</w:t>
            </w:r>
          </w:p>
        </w:tc>
        <w:tc>
          <w:tcPr>
            <w:tcW w:w="140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D36DB" w:rsidRPr="001D36DB" w:rsidRDefault="001D36DB" w:rsidP="008B659A">
            <w:pPr>
              <w:jc w:val="center"/>
              <w:rPr>
                <w:rFonts w:ascii="Arial" w:hAnsi="Arial" w:cs="Arial"/>
                <w:sz w:val="36"/>
                <w:szCs w:val="36"/>
              </w:rPr>
            </w:pPr>
            <w:r w:rsidRPr="001D36DB">
              <w:rPr>
                <w:color w:val="000000" w:themeColor="text1"/>
              </w:rPr>
              <w:t>21%</w:t>
            </w:r>
          </w:p>
        </w:tc>
        <w:tc>
          <w:tcPr>
            <w:tcW w:w="14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D36DB" w:rsidRPr="001D36DB" w:rsidRDefault="001D36DB" w:rsidP="008B659A">
            <w:pPr>
              <w:jc w:val="center"/>
              <w:rPr>
                <w:rFonts w:ascii="Arial" w:hAnsi="Arial" w:cs="Arial"/>
                <w:sz w:val="36"/>
                <w:szCs w:val="36"/>
              </w:rPr>
            </w:pPr>
            <w:r w:rsidRPr="001D36DB">
              <w:rPr>
                <w:color w:val="000000" w:themeColor="text1"/>
              </w:rPr>
              <w:t>17%</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1D36DB" w:rsidRPr="001D36DB" w:rsidRDefault="001D36DB" w:rsidP="008B659A">
            <w:pPr>
              <w:jc w:val="center"/>
              <w:rPr>
                <w:rFonts w:ascii="Arial" w:hAnsi="Arial" w:cs="Arial"/>
                <w:sz w:val="36"/>
                <w:szCs w:val="36"/>
              </w:rPr>
            </w:pPr>
            <w:r w:rsidRPr="001D36DB">
              <w:rPr>
                <w:color w:val="000000" w:themeColor="text1"/>
              </w:rPr>
              <w:t>22%</w:t>
            </w:r>
          </w:p>
        </w:tc>
      </w:tr>
    </w:tbl>
    <w:p w:rsidR="00532F91" w:rsidRPr="008B659A" w:rsidRDefault="00532F91" w:rsidP="008B659A">
      <w:pPr>
        <w:rPr>
          <w:i/>
        </w:rPr>
      </w:pPr>
      <w:r w:rsidRPr="008B659A">
        <w:rPr>
          <w:i/>
        </w:rPr>
        <w:t xml:space="preserve">Source: Department of Employment, Survey of Employers’ Recruitment Experiences, Central Victoria PEA, November 2013; November 2012 and </w:t>
      </w:r>
      <w:proofErr w:type="gramStart"/>
      <w:r w:rsidRPr="008B659A">
        <w:rPr>
          <w:i/>
        </w:rPr>
        <w:t>All</w:t>
      </w:r>
      <w:proofErr w:type="gramEnd"/>
      <w:r w:rsidRPr="008B659A">
        <w:rPr>
          <w:i/>
        </w:rPr>
        <w:t xml:space="preserve"> regions surveyed in the 12 months to March 2014</w:t>
      </w:r>
    </w:p>
    <w:p w:rsidR="00532F91" w:rsidRPr="00532F91" w:rsidRDefault="00532F91" w:rsidP="008B659A"/>
    <w:p w:rsidR="00532F91" w:rsidRPr="00532F91" w:rsidRDefault="00532F91" w:rsidP="008B659A">
      <w:r w:rsidRPr="00532F91">
        <w:t>The survey results indicate a weakening in labour markets conditions across the Central Victoria region over the last year. Recruitment activity has decreased over the year (from 17 vacancies to 13</w:t>
      </w:r>
      <w:r w:rsidR="00371529">
        <w:t> </w:t>
      </w:r>
      <w:r w:rsidRPr="00532F91">
        <w:t>vacancies per 100 staff). Additionally, a slightly smaller proportion of employers had increased staff and a larger proportion had decreased staff when compared to the results from a year earlier.</w:t>
      </w:r>
    </w:p>
    <w:p w:rsidR="00532F91" w:rsidRPr="00532F91" w:rsidRDefault="00532F91">
      <w:pPr>
        <w:rPr>
          <w:rFonts w:cstheme="minorHAnsi"/>
          <w:sz w:val="20"/>
          <w:szCs w:val="20"/>
        </w:rPr>
      </w:pPr>
      <w:r w:rsidRPr="00532F91">
        <w:rPr>
          <w:rFonts w:cstheme="minorHAnsi"/>
          <w:sz w:val="20"/>
          <w:szCs w:val="20"/>
        </w:rPr>
        <w:br w:type="page"/>
      </w:r>
    </w:p>
    <w:p w:rsidR="00FB7A41" w:rsidRPr="00532F91" w:rsidRDefault="00532F91" w:rsidP="00A408C5">
      <w:pPr>
        <w:pStyle w:val="Heading1"/>
      </w:pPr>
      <w:r w:rsidRPr="00532F91">
        <w:lastRenderedPageBreak/>
        <w:t>Slide 27</w:t>
      </w:r>
      <w:r w:rsidR="00FB7A41">
        <w:t xml:space="preserve"> </w:t>
      </w:r>
      <w:r w:rsidR="00FB7A41" w:rsidRPr="00532F91">
        <w:t>Competition for vacancies increased since 2012</w:t>
      </w:r>
    </w:p>
    <w:p w:rsidR="00532F91" w:rsidRPr="00532F91" w:rsidRDefault="00532F91" w:rsidP="00532F91">
      <w:pPr>
        <w:spacing w:line="360" w:lineRule="auto"/>
        <w:rPr>
          <w:rFonts w:cstheme="minorHAnsi"/>
          <w:sz w:val="20"/>
          <w:szCs w:val="20"/>
        </w:rPr>
      </w:pPr>
    </w:p>
    <w:p w:rsidR="00532F91" w:rsidRPr="00532F91" w:rsidRDefault="008B659A" w:rsidP="00532F91">
      <w:pPr>
        <w:spacing w:line="360" w:lineRule="auto"/>
        <w:rPr>
          <w:rFonts w:cstheme="minorHAnsi"/>
          <w:sz w:val="20"/>
          <w:szCs w:val="20"/>
        </w:rPr>
      </w:pPr>
      <w:r w:rsidRPr="008B659A">
        <w:rPr>
          <w:noProof/>
        </w:rPr>
        <w:drawing>
          <wp:inline distT="0" distB="0" distL="0" distR="0" wp14:anchorId="34587BF8" wp14:editId="4198ADC3">
            <wp:extent cx="5400000" cy="4050000"/>
            <wp:effectExtent l="19050" t="19050" r="10795" b="27305"/>
            <wp:docPr id="11" name="Picture 11" descr="Bar graph - Competition for vacancies increased since 2012.&#10;&#10;Average number of applicants per vacancy / average number of suitable applicants by occupation&#10;&#10;Manager and Professionals 9.2 / 1.8&#10;Technicians and Trade Workers 4.7 / 1.3&#10;Community and Personal Services Workers 4.7 / 1.3&#10;Clerical and Administrative Workers 15.4 / 2.0&#10;Sales Workers 10.3 / 1.6&#10;Machinery Operators and Drivers 18.6 / 1.2&#10;Labourers 8.2 / 1.7&#10;Central Victoria November 2013 9.0 / 1.5&#10;Central Victoria November 2012 5.2 / 1.7&#10;All regions, 12 months to March 2014 10.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400000" cy="4050000"/>
                    </a:xfrm>
                    <a:prstGeom prst="rect">
                      <a:avLst/>
                    </a:prstGeom>
                    <a:ln>
                      <a:solidFill>
                        <a:schemeClr val="tx1"/>
                      </a:solidFill>
                    </a:ln>
                  </pic:spPr>
                </pic:pic>
              </a:graphicData>
            </a:graphic>
          </wp:inline>
        </w:drawing>
      </w:r>
    </w:p>
    <w:p w:rsidR="00532F91" w:rsidRPr="008B659A" w:rsidRDefault="00532F91" w:rsidP="008B659A">
      <w:pPr>
        <w:rPr>
          <w:i/>
        </w:rPr>
      </w:pPr>
      <w:r w:rsidRPr="008B659A">
        <w:rPr>
          <w:i/>
        </w:rPr>
        <w:t xml:space="preserve">Source: Department of Employment, Survey of Employers’ Recruitment Experiences, Central Victoria PEA, November 2013; November 2012 and </w:t>
      </w:r>
      <w:proofErr w:type="gramStart"/>
      <w:r w:rsidRPr="008B659A">
        <w:rPr>
          <w:i/>
        </w:rPr>
        <w:t>All</w:t>
      </w:r>
      <w:proofErr w:type="gramEnd"/>
      <w:r w:rsidRPr="008B659A">
        <w:rPr>
          <w:i/>
        </w:rPr>
        <w:t xml:space="preserve"> regions surveyed in the 12 months to March 2014</w:t>
      </w:r>
    </w:p>
    <w:p w:rsidR="00532F91" w:rsidRPr="00532F91" w:rsidRDefault="00532F91" w:rsidP="008B659A">
      <w:pPr>
        <w:rPr>
          <w:b/>
          <w:bCs/>
        </w:rPr>
      </w:pPr>
    </w:p>
    <w:p w:rsidR="00532F91" w:rsidRPr="00532F91" w:rsidRDefault="00532F91" w:rsidP="008B659A">
      <w:r w:rsidRPr="00532F91">
        <w:t>There was a higher average number of applicants per vacancy (9.0) compared with previous surveys (5.2 in November 2012). The average number of suitable applicants interviewed per vacancy (1.5) was similar to November 2012 (1.7) and all regions surveyed to March 2014 (1.5).</w:t>
      </w:r>
    </w:p>
    <w:p w:rsidR="00532F91" w:rsidRPr="00532F91" w:rsidRDefault="00532F91">
      <w:pPr>
        <w:rPr>
          <w:rFonts w:cstheme="minorHAnsi"/>
          <w:sz w:val="20"/>
          <w:szCs w:val="20"/>
        </w:rPr>
      </w:pPr>
      <w:r w:rsidRPr="00532F91">
        <w:rPr>
          <w:rFonts w:cstheme="minorHAnsi"/>
          <w:sz w:val="20"/>
          <w:szCs w:val="20"/>
        </w:rPr>
        <w:br w:type="page"/>
      </w:r>
    </w:p>
    <w:p w:rsidR="00FB7A41" w:rsidRPr="00532F91" w:rsidRDefault="00532F91" w:rsidP="00A408C5">
      <w:pPr>
        <w:pStyle w:val="Heading1"/>
      </w:pPr>
      <w:r w:rsidRPr="00532F91">
        <w:lastRenderedPageBreak/>
        <w:t>Slide 28</w:t>
      </w:r>
      <w:r w:rsidR="00FB7A41">
        <w:t xml:space="preserve"> </w:t>
      </w:r>
      <w:r w:rsidR="00FB7A41" w:rsidRPr="00532F91">
        <w:t>Many employers do not advertise vacancies</w:t>
      </w:r>
    </w:p>
    <w:p w:rsidR="00532F91" w:rsidRPr="00532F91" w:rsidRDefault="00532F91" w:rsidP="00532F91">
      <w:pPr>
        <w:spacing w:line="360" w:lineRule="auto"/>
        <w:rPr>
          <w:rFonts w:cstheme="minorHAnsi"/>
          <w:sz w:val="20"/>
          <w:szCs w:val="20"/>
        </w:rPr>
      </w:pPr>
    </w:p>
    <w:p w:rsidR="00532F91" w:rsidRPr="00532F91" w:rsidRDefault="00777C7C" w:rsidP="00532F91">
      <w:pPr>
        <w:spacing w:line="360" w:lineRule="auto"/>
        <w:rPr>
          <w:rFonts w:cstheme="minorHAnsi"/>
          <w:sz w:val="20"/>
          <w:szCs w:val="20"/>
        </w:rPr>
      </w:pPr>
      <w:r w:rsidRPr="00777C7C">
        <w:rPr>
          <w:noProof/>
        </w:rPr>
        <w:drawing>
          <wp:inline distT="0" distB="0" distL="0" distR="0" wp14:anchorId="194EF56C" wp14:editId="0529F313">
            <wp:extent cx="5400000" cy="4050000"/>
            <wp:effectExtent l="19050" t="19050" r="10795" b="27305"/>
            <wp:docPr id="12" name="Picture 12" descr="Pie chart - Many employers do not advertise vacancies...and much less competition for informal vacancies Central Victoria region&#10;&#10;Formal method used 55%&#10;An average of 14 applicants with 4 interviewed.&#10;&#10;Only Informal method used 44%&#10;An average of 4 applicants with 2 interviewed.&#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400000" cy="4050000"/>
                    </a:xfrm>
                    <a:prstGeom prst="rect">
                      <a:avLst/>
                    </a:prstGeom>
                    <a:ln>
                      <a:solidFill>
                        <a:schemeClr val="tx1"/>
                      </a:solidFill>
                    </a:ln>
                  </pic:spPr>
                </pic:pic>
              </a:graphicData>
            </a:graphic>
          </wp:inline>
        </w:drawing>
      </w:r>
    </w:p>
    <w:p w:rsidR="00532F91" w:rsidRPr="00777C7C" w:rsidRDefault="00532F91" w:rsidP="00777C7C">
      <w:pPr>
        <w:rPr>
          <w:i/>
        </w:rPr>
      </w:pPr>
      <w:r w:rsidRPr="00777C7C">
        <w:rPr>
          <w:i/>
        </w:rPr>
        <w:t>Source: Department of Employment, Survey of Employers’ Recruitment Experiences Central Victoria PEA, November 2013</w:t>
      </w:r>
    </w:p>
    <w:p w:rsidR="00532F91" w:rsidRPr="00532F91" w:rsidRDefault="00532F91" w:rsidP="00777C7C"/>
    <w:p w:rsidR="00777C7C" w:rsidRPr="00532F91" w:rsidRDefault="00532F91" w:rsidP="00777C7C">
      <w:r w:rsidRPr="00532F91">
        <w:t xml:space="preserve">Employers in the </w:t>
      </w:r>
      <w:r w:rsidRPr="00777C7C">
        <w:rPr>
          <w:bCs/>
        </w:rPr>
        <w:t>Central Victoria region</w:t>
      </w:r>
      <w:r w:rsidRPr="00532F91">
        <w:rPr>
          <w:b/>
          <w:bCs/>
        </w:rPr>
        <w:t xml:space="preserve"> </w:t>
      </w:r>
      <w:r w:rsidRPr="00532F91">
        <w:t xml:space="preserve">relied on informal recruitment methods only, such as word of mouth and being approached by job seekers, slightly less often than formal methods, such as newspapers, the internet and recruitment agencies. Nevertheless vacancies for which employers used informal recruitment methods attracted less than one third the </w:t>
      </w:r>
      <w:proofErr w:type="gramStart"/>
      <w:r w:rsidRPr="00532F91">
        <w:t>number</w:t>
      </w:r>
      <w:proofErr w:type="gramEnd"/>
      <w:r w:rsidRPr="00532F91">
        <w:t xml:space="preserve"> of applicants than when the employers used formal methods. This highlights the value of job seekers actively approaching employers when looking for work.</w:t>
      </w:r>
    </w:p>
    <w:p w:rsidR="00532F91" w:rsidRPr="00532F91" w:rsidRDefault="00532F91">
      <w:pPr>
        <w:rPr>
          <w:rFonts w:cstheme="minorHAnsi"/>
          <w:sz w:val="20"/>
          <w:szCs w:val="20"/>
        </w:rPr>
      </w:pPr>
      <w:r w:rsidRPr="00532F91">
        <w:rPr>
          <w:rFonts w:cstheme="minorHAnsi"/>
          <w:sz w:val="20"/>
          <w:szCs w:val="20"/>
        </w:rPr>
        <w:br w:type="page"/>
      </w:r>
    </w:p>
    <w:p w:rsidR="00FB7A41" w:rsidRPr="00532F91" w:rsidRDefault="00532F91" w:rsidP="00A408C5">
      <w:pPr>
        <w:pStyle w:val="Heading1"/>
      </w:pPr>
      <w:r w:rsidRPr="00532F91">
        <w:lastRenderedPageBreak/>
        <w:t>Slide 29</w:t>
      </w:r>
      <w:r w:rsidR="00FB7A41">
        <w:t xml:space="preserve"> </w:t>
      </w:r>
      <w:r w:rsidR="00FB7A41" w:rsidRPr="00532F91">
        <w:t xml:space="preserve">Personality Traits and Employability Skills employers in </w:t>
      </w:r>
      <w:r w:rsidR="00FB7A41" w:rsidRPr="00532F91">
        <w:rPr>
          <w:kern w:val="24"/>
        </w:rPr>
        <w:t>Central Victoria</w:t>
      </w:r>
      <w:r w:rsidR="00FB7A41" w:rsidRPr="00532F91">
        <w:t xml:space="preserve"> viewed as essential</w:t>
      </w:r>
    </w:p>
    <w:p w:rsidR="00532F91" w:rsidRPr="00532F91" w:rsidRDefault="00532F91" w:rsidP="00532F91">
      <w:pPr>
        <w:spacing w:line="360" w:lineRule="auto"/>
        <w:rPr>
          <w:rFonts w:cstheme="minorHAnsi"/>
          <w:sz w:val="20"/>
          <w:szCs w:val="20"/>
        </w:rPr>
      </w:pPr>
    </w:p>
    <w:p w:rsidR="00532F91" w:rsidRPr="00532F91" w:rsidRDefault="008A2D76" w:rsidP="00532F91">
      <w:pPr>
        <w:spacing w:line="360" w:lineRule="auto"/>
        <w:rPr>
          <w:rFonts w:cstheme="minorHAnsi"/>
          <w:sz w:val="20"/>
          <w:szCs w:val="20"/>
        </w:rPr>
      </w:pPr>
      <w:r w:rsidRPr="008A2D76">
        <w:rPr>
          <w:noProof/>
        </w:rPr>
        <w:drawing>
          <wp:inline distT="0" distB="0" distL="0" distR="0" wp14:anchorId="355ED447" wp14:editId="1202805D">
            <wp:extent cx="5400000" cy="4050000"/>
            <wp:effectExtent l="19050" t="19050" r="10795" b="27305"/>
            <wp:docPr id="13" name="Picture 13" descr="Dedcorative picture - Personality traits and employability skills - employers in Central Victoria viewed as essential - description ble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5400000" cy="4050000"/>
                    </a:xfrm>
                    <a:prstGeom prst="rect">
                      <a:avLst/>
                    </a:prstGeom>
                    <a:ln>
                      <a:solidFill>
                        <a:schemeClr val="tx1"/>
                      </a:solidFill>
                    </a:ln>
                  </pic:spPr>
                </pic:pic>
              </a:graphicData>
            </a:graphic>
          </wp:inline>
        </w:drawing>
      </w:r>
    </w:p>
    <w:p w:rsidR="00532F91" w:rsidRPr="008A2D76" w:rsidRDefault="00532F91" w:rsidP="008A2D76">
      <w:pPr>
        <w:rPr>
          <w:i/>
        </w:rPr>
      </w:pPr>
      <w:r w:rsidRPr="008A2D76">
        <w:rPr>
          <w:i/>
        </w:rPr>
        <w:t>Source: Department of Employment, Survey of Employers’ Recruitment Experiences Central Victoria Priority Employment Area, November 2013</w:t>
      </w:r>
    </w:p>
    <w:p w:rsidR="00532F91" w:rsidRPr="00532F91" w:rsidRDefault="00532F91" w:rsidP="008A2D76"/>
    <w:p w:rsidR="00532F91" w:rsidRPr="00532F91" w:rsidRDefault="00532F91" w:rsidP="008A2D76">
      <w:r w:rsidRPr="00532F91">
        <w:t xml:space="preserve">There were was range of general employability skills and personality traits that employers in the Central Victoria region commonly viewed as essential for the position they recently recruited for. </w:t>
      </w:r>
    </w:p>
    <w:p w:rsidR="00532F91" w:rsidRPr="00532F91" w:rsidRDefault="00532F91" w:rsidP="008A2D76"/>
    <w:p w:rsidR="00532F91" w:rsidRPr="00532F91" w:rsidRDefault="00532F91" w:rsidP="008A2D76">
      <w:pPr>
        <w:pStyle w:val="ListParagraph"/>
        <w:numPr>
          <w:ilvl w:val="0"/>
          <w:numId w:val="13"/>
        </w:numPr>
      </w:pPr>
      <w:r w:rsidRPr="00532F91">
        <w:t>Employability skills commonly considered essential included:</w:t>
      </w:r>
    </w:p>
    <w:p w:rsidR="00532F91" w:rsidRPr="00532F91" w:rsidRDefault="00532F91" w:rsidP="008A2D76">
      <w:pPr>
        <w:pStyle w:val="ListParagraph"/>
        <w:numPr>
          <w:ilvl w:val="0"/>
          <w:numId w:val="13"/>
        </w:numPr>
      </w:pPr>
      <w:r w:rsidRPr="00532F91">
        <w:t>Interpersonal/Social Skills</w:t>
      </w:r>
    </w:p>
    <w:p w:rsidR="00532F91" w:rsidRPr="00532F91" w:rsidRDefault="00532F91" w:rsidP="008A2D76">
      <w:pPr>
        <w:pStyle w:val="ListParagraph"/>
        <w:numPr>
          <w:ilvl w:val="0"/>
          <w:numId w:val="13"/>
        </w:numPr>
      </w:pPr>
      <w:r w:rsidRPr="00532F91">
        <w:t>Customer Skills</w:t>
      </w:r>
    </w:p>
    <w:p w:rsidR="00532F91" w:rsidRPr="00532F91" w:rsidRDefault="00532F91" w:rsidP="008A2D76">
      <w:pPr>
        <w:pStyle w:val="ListParagraph"/>
        <w:numPr>
          <w:ilvl w:val="0"/>
          <w:numId w:val="13"/>
        </w:numPr>
      </w:pPr>
      <w:r w:rsidRPr="00532F91">
        <w:t>Communication</w:t>
      </w:r>
    </w:p>
    <w:p w:rsidR="00532F91" w:rsidRPr="00532F91" w:rsidRDefault="00532F91" w:rsidP="008A2D76"/>
    <w:p w:rsidR="00532F91" w:rsidRPr="00532F91" w:rsidRDefault="00532F91" w:rsidP="008A2D76">
      <w:r w:rsidRPr="00532F91">
        <w:t>Personality traits commonly considered essential included:</w:t>
      </w:r>
    </w:p>
    <w:p w:rsidR="00532F91" w:rsidRPr="00532F91" w:rsidRDefault="00532F91" w:rsidP="008A2D76">
      <w:pPr>
        <w:pStyle w:val="ListParagraph"/>
        <w:numPr>
          <w:ilvl w:val="0"/>
          <w:numId w:val="14"/>
        </w:numPr>
        <w:jc w:val="left"/>
      </w:pPr>
      <w:r w:rsidRPr="00532F91">
        <w:t>Attitude and Motivation</w:t>
      </w:r>
    </w:p>
    <w:p w:rsidR="00532F91" w:rsidRPr="00532F91" w:rsidRDefault="00532F91" w:rsidP="008A2D76">
      <w:pPr>
        <w:pStyle w:val="ListParagraph"/>
        <w:numPr>
          <w:ilvl w:val="0"/>
          <w:numId w:val="14"/>
        </w:numPr>
        <w:jc w:val="left"/>
      </w:pPr>
      <w:r w:rsidRPr="00532F91">
        <w:t>Reliability, Honesty and Work Ethic</w:t>
      </w:r>
    </w:p>
    <w:p w:rsidR="00532F91" w:rsidRPr="00532F91" w:rsidRDefault="00532F91" w:rsidP="008A2D76">
      <w:pPr>
        <w:pStyle w:val="ListParagraph"/>
        <w:numPr>
          <w:ilvl w:val="0"/>
          <w:numId w:val="14"/>
        </w:numPr>
        <w:jc w:val="left"/>
      </w:pPr>
      <w:r w:rsidRPr="00532F91">
        <w:t>Presentation</w:t>
      </w:r>
    </w:p>
    <w:p w:rsidR="00532F91" w:rsidRPr="00532F91" w:rsidRDefault="00532F91">
      <w:pPr>
        <w:rPr>
          <w:rFonts w:cstheme="minorHAnsi"/>
          <w:sz w:val="20"/>
          <w:szCs w:val="20"/>
        </w:rPr>
      </w:pPr>
      <w:r w:rsidRPr="00532F91">
        <w:rPr>
          <w:rFonts w:cstheme="minorHAnsi"/>
          <w:sz w:val="20"/>
          <w:szCs w:val="20"/>
        </w:rPr>
        <w:br w:type="page"/>
      </w:r>
    </w:p>
    <w:p w:rsidR="00FB7A41" w:rsidRPr="00532F91" w:rsidRDefault="00532F91" w:rsidP="00A408C5">
      <w:pPr>
        <w:pStyle w:val="Heading1"/>
      </w:pPr>
      <w:r w:rsidRPr="00532F91">
        <w:lastRenderedPageBreak/>
        <w:t>Slide 30</w:t>
      </w:r>
      <w:r w:rsidR="00FB7A41">
        <w:t xml:space="preserve"> </w:t>
      </w:r>
      <w:r w:rsidR="00FB7A41" w:rsidRPr="00532F91">
        <w:t>Many opportunities exist across occupations- * Occupations Difficult to Fill</w:t>
      </w:r>
    </w:p>
    <w:p w:rsidR="00532F91" w:rsidRPr="00532F91" w:rsidRDefault="00532F91" w:rsidP="00532F91">
      <w:pPr>
        <w:spacing w:line="360" w:lineRule="auto"/>
        <w:rPr>
          <w:rFonts w:cstheme="minorHAnsi"/>
          <w:sz w:val="20"/>
          <w:szCs w:val="20"/>
        </w:rPr>
      </w:pPr>
    </w:p>
    <w:tbl>
      <w:tblPr>
        <w:tblStyle w:val="LightGrid-Accent1"/>
        <w:tblW w:w="0" w:type="auto"/>
        <w:tblInd w:w="1100" w:type="dxa"/>
        <w:tblLook w:val="04A0" w:firstRow="1" w:lastRow="0" w:firstColumn="1" w:lastColumn="0" w:noHBand="0" w:noVBand="1"/>
      </w:tblPr>
      <w:tblGrid>
        <w:gridCol w:w="6123"/>
      </w:tblGrid>
      <w:tr w:rsidR="00467DC2" w:rsidRPr="008A2416" w:rsidTr="00467DC2">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123" w:type="dxa"/>
            <w:tcBorders>
              <w:bottom w:val="single" w:sz="4" w:space="0" w:color="8DB3E2" w:themeColor="text2" w:themeTint="66"/>
            </w:tcBorders>
          </w:tcPr>
          <w:p w:rsidR="008A2D76" w:rsidRPr="008A2416" w:rsidRDefault="008A2D76" w:rsidP="008A2416">
            <w:pPr>
              <w:jc w:val="center"/>
              <w:rPr>
                <w:rFonts w:ascii="Arial" w:hAnsi="Arial" w:cs="Arial"/>
                <w:b w:val="0"/>
                <w:sz w:val="28"/>
                <w:szCs w:val="36"/>
              </w:rPr>
            </w:pPr>
            <w:r w:rsidRPr="008A2416">
              <w:rPr>
                <w:b w:val="0"/>
                <w:sz w:val="28"/>
              </w:rPr>
              <w:t>Sales Assistants (General)</w:t>
            </w:r>
          </w:p>
        </w:tc>
      </w:tr>
      <w:tr w:rsidR="00467DC2" w:rsidRPr="008A2416" w:rsidTr="00467DC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123" w:type="dxa"/>
            <w:tcBorders>
              <w:top w:val="single" w:sz="4" w:space="0" w:color="8DB3E2" w:themeColor="text2" w:themeTint="66"/>
            </w:tcBorders>
          </w:tcPr>
          <w:p w:rsidR="008A2D76" w:rsidRPr="008A2416" w:rsidRDefault="008A2D76" w:rsidP="008A2416">
            <w:pPr>
              <w:jc w:val="center"/>
              <w:rPr>
                <w:rFonts w:ascii="Arial" w:hAnsi="Arial" w:cs="Arial"/>
                <w:b w:val="0"/>
                <w:sz w:val="28"/>
                <w:szCs w:val="36"/>
              </w:rPr>
            </w:pPr>
            <w:r w:rsidRPr="008A2416">
              <w:rPr>
                <w:rFonts w:eastAsiaTheme="minorEastAsia" w:cstheme="minorBidi"/>
                <w:b w:val="0"/>
                <w:sz w:val="28"/>
              </w:rPr>
              <w:t xml:space="preserve">Motor Mechanics </w:t>
            </w:r>
            <w:r w:rsidRPr="008A2416">
              <w:rPr>
                <w:rFonts w:eastAsiaTheme="minorEastAsia" w:cstheme="minorBidi"/>
                <w:b w:val="0"/>
                <w:color w:val="FF0000"/>
                <w:sz w:val="28"/>
              </w:rPr>
              <w:t>*</w:t>
            </w:r>
          </w:p>
        </w:tc>
      </w:tr>
      <w:tr w:rsidR="00467DC2" w:rsidRPr="008A2416" w:rsidTr="00467DC2">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123" w:type="dxa"/>
          </w:tcPr>
          <w:p w:rsidR="008A2D76" w:rsidRPr="008A2416" w:rsidRDefault="008A2D76" w:rsidP="008A2416">
            <w:pPr>
              <w:jc w:val="center"/>
              <w:rPr>
                <w:rFonts w:ascii="Arial" w:hAnsi="Arial" w:cs="Arial"/>
                <w:b w:val="0"/>
                <w:sz w:val="28"/>
                <w:szCs w:val="36"/>
              </w:rPr>
            </w:pPr>
            <w:r w:rsidRPr="008A2416">
              <w:rPr>
                <w:rFonts w:eastAsiaTheme="minorEastAsia" w:cstheme="minorBidi"/>
                <w:b w:val="0"/>
                <w:sz w:val="28"/>
              </w:rPr>
              <w:t xml:space="preserve">Structural Steel and Welding Trade Workers </w:t>
            </w:r>
            <w:r w:rsidRPr="008A2416">
              <w:rPr>
                <w:rFonts w:eastAsiaTheme="minorEastAsia" w:cstheme="minorBidi"/>
                <w:b w:val="0"/>
                <w:color w:val="FF0000"/>
                <w:sz w:val="28"/>
              </w:rPr>
              <w:t>*</w:t>
            </w:r>
          </w:p>
        </w:tc>
      </w:tr>
      <w:tr w:rsidR="00467DC2" w:rsidRPr="008A2416" w:rsidTr="00467DC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123" w:type="dxa"/>
          </w:tcPr>
          <w:p w:rsidR="008A2D76" w:rsidRPr="008A2416" w:rsidRDefault="008A2D76" w:rsidP="008A2416">
            <w:pPr>
              <w:jc w:val="center"/>
              <w:rPr>
                <w:rFonts w:ascii="Arial" w:hAnsi="Arial" w:cs="Arial"/>
                <w:b w:val="0"/>
                <w:sz w:val="28"/>
                <w:szCs w:val="36"/>
              </w:rPr>
            </w:pPr>
            <w:r w:rsidRPr="008A2416">
              <w:rPr>
                <w:rFonts w:eastAsiaTheme="minorEastAsia" w:cstheme="minorBidi"/>
                <w:b w:val="0"/>
                <w:sz w:val="28"/>
              </w:rPr>
              <w:t xml:space="preserve">Truck Drivers </w:t>
            </w:r>
            <w:r w:rsidRPr="008A2416">
              <w:rPr>
                <w:rFonts w:eastAsiaTheme="minorEastAsia" w:cstheme="minorBidi"/>
                <w:b w:val="0"/>
                <w:color w:val="FF0000"/>
                <w:sz w:val="28"/>
              </w:rPr>
              <w:t>*</w:t>
            </w:r>
          </w:p>
        </w:tc>
      </w:tr>
      <w:tr w:rsidR="00467DC2" w:rsidRPr="008A2416" w:rsidTr="00467DC2">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123" w:type="dxa"/>
          </w:tcPr>
          <w:p w:rsidR="008A2D76" w:rsidRPr="008A2416" w:rsidRDefault="008A2D76" w:rsidP="008A2416">
            <w:pPr>
              <w:jc w:val="center"/>
              <w:rPr>
                <w:rFonts w:ascii="Arial" w:hAnsi="Arial" w:cs="Arial"/>
                <w:b w:val="0"/>
                <w:sz w:val="28"/>
                <w:szCs w:val="36"/>
              </w:rPr>
            </w:pPr>
            <w:r w:rsidRPr="008A2416">
              <w:rPr>
                <w:rFonts w:eastAsiaTheme="minorEastAsia" w:cstheme="minorBidi"/>
                <w:b w:val="0"/>
                <w:sz w:val="28"/>
              </w:rPr>
              <w:t>Kitchenhands</w:t>
            </w:r>
          </w:p>
        </w:tc>
      </w:tr>
      <w:tr w:rsidR="00467DC2" w:rsidRPr="008A2416" w:rsidTr="00467DC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123" w:type="dxa"/>
          </w:tcPr>
          <w:p w:rsidR="008A2D76" w:rsidRPr="008A2416" w:rsidRDefault="008A2D76" w:rsidP="008A2416">
            <w:pPr>
              <w:jc w:val="center"/>
              <w:rPr>
                <w:rFonts w:ascii="Arial" w:hAnsi="Arial" w:cs="Arial"/>
                <w:b w:val="0"/>
                <w:sz w:val="28"/>
                <w:szCs w:val="36"/>
              </w:rPr>
            </w:pPr>
            <w:r w:rsidRPr="008A2416">
              <w:rPr>
                <w:rFonts w:eastAsiaTheme="minorEastAsia" w:cstheme="minorBidi"/>
                <w:b w:val="0"/>
                <w:sz w:val="28"/>
              </w:rPr>
              <w:t>Real Estate Sales Agents</w:t>
            </w:r>
          </w:p>
        </w:tc>
      </w:tr>
      <w:tr w:rsidR="00467DC2" w:rsidRPr="008A2416" w:rsidTr="00467DC2">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123" w:type="dxa"/>
          </w:tcPr>
          <w:p w:rsidR="008A2D76" w:rsidRPr="008A2416" w:rsidRDefault="008A2D76" w:rsidP="008A2416">
            <w:pPr>
              <w:jc w:val="center"/>
              <w:rPr>
                <w:rFonts w:ascii="Arial" w:hAnsi="Arial" w:cs="Arial"/>
                <w:b w:val="0"/>
                <w:sz w:val="28"/>
                <w:szCs w:val="36"/>
              </w:rPr>
            </w:pPr>
            <w:r w:rsidRPr="008A2416">
              <w:rPr>
                <w:rFonts w:eastAsiaTheme="minorEastAsia" w:cstheme="minorBidi"/>
                <w:b w:val="0"/>
                <w:sz w:val="28"/>
              </w:rPr>
              <w:t xml:space="preserve">Pharmacists </w:t>
            </w:r>
            <w:r w:rsidRPr="008A2416">
              <w:rPr>
                <w:rFonts w:eastAsiaTheme="minorEastAsia" w:cstheme="minorBidi"/>
                <w:b w:val="0"/>
                <w:color w:val="FF0000"/>
                <w:sz w:val="28"/>
              </w:rPr>
              <w:t>*</w:t>
            </w:r>
          </w:p>
        </w:tc>
      </w:tr>
      <w:tr w:rsidR="00467DC2" w:rsidRPr="008A2416" w:rsidTr="00467DC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123" w:type="dxa"/>
          </w:tcPr>
          <w:p w:rsidR="008A2D76" w:rsidRPr="008A2416" w:rsidRDefault="008A2D76" w:rsidP="008A2416">
            <w:pPr>
              <w:jc w:val="center"/>
              <w:rPr>
                <w:rFonts w:ascii="Arial" w:hAnsi="Arial" w:cs="Arial"/>
                <w:b w:val="0"/>
                <w:sz w:val="28"/>
                <w:szCs w:val="36"/>
              </w:rPr>
            </w:pPr>
            <w:r w:rsidRPr="008A2416">
              <w:rPr>
                <w:rFonts w:eastAsiaTheme="minorEastAsia" w:cstheme="minorBidi"/>
                <w:b w:val="0"/>
                <w:sz w:val="28"/>
              </w:rPr>
              <w:t>Waiters</w:t>
            </w:r>
          </w:p>
        </w:tc>
      </w:tr>
      <w:tr w:rsidR="00467DC2" w:rsidRPr="008A2416" w:rsidTr="00467DC2">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123" w:type="dxa"/>
          </w:tcPr>
          <w:p w:rsidR="008A2D76" w:rsidRPr="008A2416" w:rsidRDefault="008A2D76" w:rsidP="008A2416">
            <w:pPr>
              <w:jc w:val="center"/>
              <w:rPr>
                <w:rFonts w:ascii="Arial" w:hAnsi="Arial" w:cs="Arial"/>
                <w:b w:val="0"/>
                <w:sz w:val="28"/>
                <w:szCs w:val="36"/>
              </w:rPr>
            </w:pPr>
            <w:r w:rsidRPr="008A2416">
              <w:rPr>
                <w:rFonts w:eastAsiaTheme="minorEastAsia" w:cstheme="minorBidi"/>
                <w:b w:val="0"/>
                <w:sz w:val="28"/>
              </w:rPr>
              <w:t>Checkout Operators and Office Cashiers</w:t>
            </w:r>
          </w:p>
        </w:tc>
      </w:tr>
      <w:tr w:rsidR="00467DC2" w:rsidRPr="008A2416" w:rsidTr="00467DC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123" w:type="dxa"/>
          </w:tcPr>
          <w:p w:rsidR="008A2D76" w:rsidRPr="008A2416" w:rsidRDefault="008A2D76" w:rsidP="008A2416">
            <w:pPr>
              <w:jc w:val="center"/>
              <w:rPr>
                <w:rFonts w:ascii="Arial" w:hAnsi="Arial" w:cs="Arial"/>
                <w:b w:val="0"/>
                <w:sz w:val="28"/>
                <w:szCs w:val="36"/>
              </w:rPr>
            </w:pPr>
            <w:r w:rsidRPr="008A2416">
              <w:rPr>
                <w:rFonts w:eastAsiaTheme="minorEastAsia" w:cstheme="minorBidi"/>
                <w:b w:val="0"/>
                <w:sz w:val="28"/>
              </w:rPr>
              <w:t xml:space="preserve">Child Carers </w:t>
            </w:r>
            <w:r w:rsidRPr="008A2416">
              <w:rPr>
                <w:rFonts w:eastAsiaTheme="minorEastAsia" w:cstheme="minorBidi"/>
                <w:b w:val="0"/>
                <w:color w:val="FF0000"/>
                <w:sz w:val="28"/>
              </w:rPr>
              <w:t>*</w:t>
            </w:r>
          </w:p>
        </w:tc>
      </w:tr>
      <w:tr w:rsidR="00467DC2" w:rsidRPr="008A2416" w:rsidTr="00467DC2">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123" w:type="dxa"/>
          </w:tcPr>
          <w:p w:rsidR="008A2D76" w:rsidRPr="008A2416" w:rsidRDefault="008A2D76" w:rsidP="008A2416">
            <w:pPr>
              <w:jc w:val="center"/>
              <w:rPr>
                <w:rFonts w:ascii="Arial" w:hAnsi="Arial" w:cs="Arial"/>
                <w:b w:val="0"/>
                <w:sz w:val="28"/>
                <w:szCs w:val="36"/>
              </w:rPr>
            </w:pPr>
            <w:r w:rsidRPr="008A2416">
              <w:rPr>
                <w:rFonts w:eastAsiaTheme="minorEastAsia" w:cstheme="minorBidi"/>
                <w:b w:val="0"/>
                <w:sz w:val="28"/>
              </w:rPr>
              <w:t>Bar Attendants and Baristas</w:t>
            </w:r>
          </w:p>
        </w:tc>
      </w:tr>
      <w:tr w:rsidR="00467DC2" w:rsidRPr="008A2416" w:rsidTr="00467DC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123" w:type="dxa"/>
          </w:tcPr>
          <w:p w:rsidR="008A2D76" w:rsidRPr="008A2416" w:rsidRDefault="008A2D76" w:rsidP="008A2416">
            <w:pPr>
              <w:jc w:val="center"/>
              <w:rPr>
                <w:rFonts w:ascii="Arial" w:hAnsi="Arial" w:cs="Arial"/>
                <w:b w:val="0"/>
                <w:sz w:val="28"/>
                <w:szCs w:val="36"/>
              </w:rPr>
            </w:pPr>
            <w:r w:rsidRPr="008A2416">
              <w:rPr>
                <w:rFonts w:eastAsiaTheme="minorEastAsia" w:cstheme="minorBidi"/>
                <w:b w:val="0"/>
                <w:sz w:val="28"/>
              </w:rPr>
              <w:t>Nursing Support and Personal Care Workers</w:t>
            </w:r>
          </w:p>
        </w:tc>
      </w:tr>
      <w:tr w:rsidR="00467DC2" w:rsidRPr="008A2416" w:rsidTr="00467DC2">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123" w:type="dxa"/>
          </w:tcPr>
          <w:p w:rsidR="008A2D76" w:rsidRPr="008A2416" w:rsidRDefault="008A2D76" w:rsidP="008A2416">
            <w:pPr>
              <w:jc w:val="center"/>
              <w:rPr>
                <w:rFonts w:ascii="Arial" w:hAnsi="Arial" w:cs="Arial"/>
                <w:b w:val="0"/>
                <w:sz w:val="28"/>
                <w:szCs w:val="36"/>
              </w:rPr>
            </w:pPr>
            <w:r w:rsidRPr="008A2416">
              <w:rPr>
                <w:rFonts w:eastAsiaTheme="minorEastAsia" w:cstheme="minorBidi"/>
                <w:b w:val="0"/>
                <w:sz w:val="28"/>
              </w:rPr>
              <w:t>Pharmacy Sales Assistants</w:t>
            </w:r>
          </w:p>
        </w:tc>
      </w:tr>
      <w:tr w:rsidR="00467DC2" w:rsidRPr="008A2416" w:rsidTr="00467DC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123" w:type="dxa"/>
          </w:tcPr>
          <w:p w:rsidR="008A2D76" w:rsidRPr="008A2416" w:rsidRDefault="008A2D76" w:rsidP="008A2416">
            <w:pPr>
              <w:jc w:val="center"/>
              <w:rPr>
                <w:rFonts w:ascii="Arial" w:hAnsi="Arial" w:cs="Arial"/>
                <w:b w:val="0"/>
                <w:sz w:val="28"/>
                <w:szCs w:val="36"/>
              </w:rPr>
            </w:pPr>
            <w:r w:rsidRPr="008A2416">
              <w:rPr>
                <w:rFonts w:eastAsiaTheme="minorEastAsia" w:cstheme="minorBidi"/>
                <w:b w:val="0"/>
                <w:sz w:val="28"/>
              </w:rPr>
              <w:t xml:space="preserve">Registered Nurse </w:t>
            </w:r>
            <w:r w:rsidRPr="008A2416">
              <w:rPr>
                <w:rFonts w:eastAsiaTheme="minorEastAsia" w:cstheme="minorBidi"/>
                <w:b w:val="0"/>
                <w:color w:val="FF0000"/>
                <w:sz w:val="28"/>
              </w:rPr>
              <w:t>*</w:t>
            </w:r>
          </w:p>
        </w:tc>
      </w:tr>
    </w:tbl>
    <w:p w:rsidR="008A2416" w:rsidRPr="008A2416" w:rsidRDefault="008A2416" w:rsidP="008A2416">
      <w:pPr>
        <w:rPr>
          <w:i/>
        </w:rPr>
      </w:pPr>
      <w:r w:rsidRPr="008A2416">
        <w:rPr>
          <w:i/>
          <w:color w:val="FF0000"/>
          <w:sz w:val="36"/>
        </w:rPr>
        <w:t>*</w:t>
      </w:r>
      <w:r w:rsidRPr="008A2416">
        <w:rPr>
          <w:i/>
        </w:rPr>
        <w:t xml:space="preserve"> Occupations that employers reported were difficult to fill in their last recruitment round</w:t>
      </w:r>
    </w:p>
    <w:p w:rsidR="008A2416" w:rsidRDefault="008A2416" w:rsidP="008A2D76">
      <w:pPr>
        <w:rPr>
          <w:i/>
        </w:rPr>
      </w:pPr>
    </w:p>
    <w:p w:rsidR="00532F91" w:rsidRPr="008A2D76" w:rsidRDefault="00532F91" w:rsidP="008A2D76">
      <w:pPr>
        <w:rPr>
          <w:i/>
        </w:rPr>
      </w:pPr>
      <w:r w:rsidRPr="008A2D76">
        <w:rPr>
          <w:i/>
        </w:rPr>
        <w:t>Source:  Department of Employment, Survey of Employers’ Recruitment Experiences, Central Victoria PEA, November 2013</w:t>
      </w:r>
    </w:p>
    <w:p w:rsidR="00532F91" w:rsidRPr="008A2D76" w:rsidRDefault="00532F91" w:rsidP="008A2D76"/>
    <w:p w:rsidR="00532F91" w:rsidRPr="008A2D76" w:rsidRDefault="00532F91" w:rsidP="008A2D76">
      <w:pPr>
        <w:rPr>
          <w:bCs/>
          <w:u w:val="single"/>
        </w:rPr>
      </w:pPr>
      <w:r w:rsidRPr="008A2D76">
        <w:rPr>
          <w:bCs/>
          <w:u w:val="single"/>
        </w:rPr>
        <w:t>Other occupations difficult to fill</w:t>
      </w:r>
    </w:p>
    <w:p w:rsidR="00532F91" w:rsidRPr="008A2D76" w:rsidRDefault="00532F91" w:rsidP="008A2D76">
      <w:pPr>
        <w:rPr>
          <w:bCs/>
          <w:u w:val="single"/>
        </w:rPr>
      </w:pPr>
    </w:p>
    <w:p w:rsidR="00532F91" w:rsidRPr="00532F91" w:rsidRDefault="00532F91" w:rsidP="008A2D76">
      <w:r w:rsidRPr="00532F91">
        <w:t>Chefs</w:t>
      </w:r>
    </w:p>
    <w:p w:rsidR="00532F91" w:rsidRPr="00532F91" w:rsidRDefault="00532F91" w:rsidP="008A2D76">
      <w:r w:rsidRPr="00532F91">
        <w:t xml:space="preserve">Motor Vehicle and Vehicle Parts Salespersons </w:t>
      </w:r>
    </w:p>
    <w:p w:rsidR="00532F91" w:rsidRPr="00532F91" w:rsidRDefault="00532F91" w:rsidP="008A2D76">
      <w:r w:rsidRPr="00532F91">
        <w:t xml:space="preserve">Bakers and Pastrycooks </w:t>
      </w:r>
    </w:p>
    <w:p w:rsidR="00532F91" w:rsidRPr="00532F91" w:rsidRDefault="00532F91">
      <w:pPr>
        <w:rPr>
          <w:rFonts w:cstheme="minorHAnsi"/>
          <w:sz w:val="20"/>
          <w:szCs w:val="20"/>
        </w:rPr>
      </w:pPr>
      <w:r w:rsidRPr="00532F91">
        <w:rPr>
          <w:rFonts w:cstheme="minorHAnsi"/>
          <w:sz w:val="20"/>
          <w:szCs w:val="20"/>
        </w:rPr>
        <w:br w:type="page"/>
      </w:r>
    </w:p>
    <w:p w:rsidR="00FB7A41" w:rsidRPr="00532F91" w:rsidRDefault="00532F91" w:rsidP="00A408C5">
      <w:pPr>
        <w:pStyle w:val="Heading1"/>
      </w:pPr>
      <w:r w:rsidRPr="00532F91">
        <w:lastRenderedPageBreak/>
        <w:t>Slide 31</w:t>
      </w:r>
      <w:r w:rsidR="00FB7A41">
        <w:t xml:space="preserve"> </w:t>
      </w:r>
      <w:r w:rsidR="00FB7A41" w:rsidRPr="00532F91">
        <w:t>Average overall recruitment expectations</w:t>
      </w:r>
    </w:p>
    <w:p w:rsidR="00532F91" w:rsidRPr="00532F91" w:rsidRDefault="00532F91" w:rsidP="00532F91">
      <w:pPr>
        <w:spacing w:line="360" w:lineRule="auto"/>
        <w:rPr>
          <w:rFonts w:cstheme="minorHAnsi"/>
          <w:sz w:val="20"/>
          <w:szCs w:val="20"/>
        </w:rPr>
      </w:pPr>
    </w:p>
    <w:p w:rsidR="00532F91" w:rsidRPr="00532F91" w:rsidRDefault="001F1D5E" w:rsidP="00532F91">
      <w:pPr>
        <w:spacing w:line="360" w:lineRule="auto"/>
        <w:rPr>
          <w:rFonts w:cstheme="minorHAnsi"/>
          <w:sz w:val="20"/>
          <w:szCs w:val="20"/>
        </w:rPr>
      </w:pPr>
      <w:r w:rsidRPr="001F1D5E">
        <w:rPr>
          <w:noProof/>
        </w:rPr>
        <w:drawing>
          <wp:inline distT="0" distB="0" distL="0" distR="0" wp14:anchorId="050317BA" wp14:editId="62B1E6ED">
            <wp:extent cx="5400000" cy="4050000"/>
            <wp:effectExtent l="19050" t="19050" r="10795" b="27305"/>
            <wp:docPr id="14" name="Picture 14" descr="Bar graph - Average overall recruitment expectations.  Anticipated staff changes for the 12 months following the survey by industry&#10;&#10;Increase/decrease&#10;&#10;Education and Training 35%/12%&#10;Construction 25%/11%&#10;Professional, Scientific and Technical Services 23%/8%&#10;Health Care and Social Assistance 22%/2%&#10;Manufacturing 21%/10%&#10;Retail Trade 16%/8%&#10;Accommodation and Food Services 12%/4%&#10;Central Victoria PEA November 2013 20%/7%&#10;All regions surveyed 12 months to March 2014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5400000" cy="4050000"/>
                    </a:xfrm>
                    <a:prstGeom prst="rect">
                      <a:avLst/>
                    </a:prstGeom>
                    <a:ln>
                      <a:solidFill>
                        <a:schemeClr val="tx1"/>
                      </a:solidFill>
                    </a:ln>
                  </pic:spPr>
                </pic:pic>
              </a:graphicData>
            </a:graphic>
          </wp:inline>
        </w:drawing>
      </w:r>
    </w:p>
    <w:p w:rsidR="00532F91" w:rsidRPr="001F1D5E" w:rsidRDefault="00532F91" w:rsidP="001F1D5E">
      <w:pPr>
        <w:rPr>
          <w:i/>
        </w:rPr>
      </w:pPr>
      <w:r w:rsidRPr="001F1D5E">
        <w:rPr>
          <w:i/>
        </w:rPr>
        <w:t xml:space="preserve">Source: Department of Employment, Survey of Employers’ Recruitment Experiences Central Victoria PEA, November, 2013; </w:t>
      </w:r>
      <w:proofErr w:type="gramStart"/>
      <w:r w:rsidRPr="001F1D5E">
        <w:rPr>
          <w:i/>
        </w:rPr>
        <w:t>All</w:t>
      </w:r>
      <w:proofErr w:type="gramEnd"/>
      <w:r w:rsidRPr="001F1D5E">
        <w:rPr>
          <w:i/>
        </w:rPr>
        <w:t xml:space="preserve"> regions surveyed in the 12 months to March 2014</w:t>
      </w:r>
    </w:p>
    <w:p w:rsidR="00532F91" w:rsidRPr="00532F91" w:rsidRDefault="00532F91" w:rsidP="001F1D5E"/>
    <w:p w:rsidR="00532F91" w:rsidRPr="00532F91" w:rsidRDefault="00532F91" w:rsidP="001F1D5E">
      <w:r w:rsidRPr="00532F91">
        <w:t>One in five (20 per cent) of employers in the Central Victoria region anticipated increasing staff numbers in the 12 months following the survey, while 7 per cent anticipated decreasing staff numbers, comparable with the average for all regions surveyed (19 per cent  increase, 6 per cent  decrease).</w:t>
      </w:r>
    </w:p>
    <w:p w:rsidR="00532F91" w:rsidRPr="00532F91" w:rsidRDefault="00532F91" w:rsidP="001F1D5E"/>
    <w:p w:rsidR="00532F91" w:rsidRPr="00532F91" w:rsidRDefault="00532F91" w:rsidP="001F1D5E">
      <w:r w:rsidRPr="00532F91">
        <w:t>The Education and Training and Construction industries were most likely to increase staff in the 12</w:t>
      </w:r>
      <w:r w:rsidR="00371529">
        <w:t> </w:t>
      </w:r>
      <w:r w:rsidRPr="00532F91">
        <w:t xml:space="preserve">months following the survey (35 per cent and 25 per cent respectively). </w:t>
      </w:r>
    </w:p>
    <w:p w:rsidR="00532F91" w:rsidRPr="00532F91" w:rsidRDefault="00532F91" w:rsidP="001F1D5E"/>
    <w:p w:rsidR="00532F91" w:rsidRPr="00532F91" w:rsidRDefault="00532F91" w:rsidP="001F1D5E">
      <w:r w:rsidRPr="00532F91">
        <w:t>While 10 per cent of employers in the Manufacturing industry expected to decrease staff numbers in the 12 months following the survey, there are still likely to be growth in employment in the industry with just over one in five employers expecting to increase staff numbers.</w:t>
      </w:r>
    </w:p>
    <w:p w:rsidR="00532F91" w:rsidRPr="00532F91" w:rsidRDefault="00532F91">
      <w:pPr>
        <w:rPr>
          <w:rFonts w:cstheme="minorHAnsi"/>
          <w:sz w:val="20"/>
          <w:szCs w:val="20"/>
        </w:rPr>
      </w:pPr>
      <w:r w:rsidRPr="00532F91">
        <w:rPr>
          <w:rFonts w:cstheme="minorHAnsi"/>
          <w:sz w:val="20"/>
          <w:szCs w:val="20"/>
        </w:rPr>
        <w:br w:type="page"/>
      </w:r>
    </w:p>
    <w:p w:rsidR="00FB7A41" w:rsidRPr="00532F91" w:rsidRDefault="00532F91" w:rsidP="00A408C5">
      <w:pPr>
        <w:pStyle w:val="Heading1"/>
      </w:pPr>
      <w:r w:rsidRPr="00532F91">
        <w:lastRenderedPageBreak/>
        <w:t>Slide 32</w:t>
      </w:r>
      <w:r w:rsidR="00FB7A41">
        <w:t xml:space="preserve"> </w:t>
      </w:r>
      <w:r w:rsidR="00FB7A41" w:rsidRPr="00532F91">
        <w:t>Employers’ concerns for the future</w:t>
      </w:r>
    </w:p>
    <w:p w:rsidR="00532F91" w:rsidRPr="00532F91" w:rsidRDefault="00532F91" w:rsidP="00532F91">
      <w:pPr>
        <w:spacing w:line="360" w:lineRule="auto"/>
        <w:rPr>
          <w:rFonts w:cstheme="minorHAnsi"/>
          <w:sz w:val="20"/>
          <w:szCs w:val="20"/>
        </w:rPr>
      </w:pPr>
    </w:p>
    <w:p w:rsidR="00532F91" w:rsidRPr="00532F91" w:rsidRDefault="001F1D5E" w:rsidP="00532F91">
      <w:pPr>
        <w:spacing w:line="360" w:lineRule="auto"/>
        <w:rPr>
          <w:rFonts w:cstheme="minorHAnsi"/>
          <w:sz w:val="20"/>
          <w:szCs w:val="20"/>
        </w:rPr>
      </w:pPr>
      <w:r w:rsidRPr="001F1D5E">
        <w:rPr>
          <w:noProof/>
        </w:rPr>
        <w:drawing>
          <wp:inline distT="0" distB="0" distL="0" distR="0" wp14:anchorId="5DF50051" wp14:editId="1B1A04AF">
            <wp:extent cx="5400000" cy="4050000"/>
            <wp:effectExtent l="19050" t="19050" r="10795" b="27305"/>
            <wp:docPr id="36" name="Picture 36" descr="Pie graph - Employers' concerns for the future&#10;&#10;Demand 41%&#10;Recruitment or retention difficulties 11%&#10;Cash flow/funding 6%&#10;Competition (including high Australian dollar) 6%&#10;Reguation/red tape 6%&#10;Costs (including wages) 6%&#10;Other 4%&#10;No concerns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5400000" cy="4050000"/>
                    </a:xfrm>
                    <a:prstGeom prst="rect">
                      <a:avLst/>
                    </a:prstGeom>
                    <a:ln>
                      <a:solidFill>
                        <a:schemeClr val="tx1"/>
                      </a:solidFill>
                    </a:ln>
                  </pic:spPr>
                </pic:pic>
              </a:graphicData>
            </a:graphic>
          </wp:inline>
        </w:drawing>
      </w:r>
    </w:p>
    <w:p w:rsidR="00532F91" w:rsidRPr="001F1D5E" w:rsidRDefault="00532F91" w:rsidP="001F1D5E">
      <w:pPr>
        <w:rPr>
          <w:i/>
        </w:rPr>
      </w:pPr>
      <w:r w:rsidRPr="001F1D5E">
        <w:rPr>
          <w:i/>
        </w:rPr>
        <w:t xml:space="preserve">Source: Department of Employment, Survey of </w:t>
      </w:r>
      <w:r w:rsidR="00D921C7" w:rsidRPr="001F1D5E">
        <w:rPr>
          <w:i/>
        </w:rPr>
        <w:t>Employers’ Recruitment</w:t>
      </w:r>
      <w:r w:rsidRPr="001F1D5E">
        <w:rPr>
          <w:i/>
        </w:rPr>
        <w:t xml:space="preserve"> Experiences Central Victoria PEA, November, 2013 </w:t>
      </w:r>
    </w:p>
    <w:p w:rsidR="00532F91" w:rsidRPr="00532F91" w:rsidRDefault="00532F91" w:rsidP="001F1D5E"/>
    <w:p w:rsidR="00532F91" w:rsidRPr="00532F91" w:rsidRDefault="00532F91" w:rsidP="001F1D5E">
      <w:r w:rsidRPr="00532F91">
        <w:t>Two in five (41 per cent) employers surveyed considered demand and the economy to be their greatest concern. While some 11 per cent felt recruitment and staff retention difficulties to be of concern. One in five (19 per cent) employers felt they had no concerns at all.</w:t>
      </w:r>
    </w:p>
    <w:p w:rsidR="00532F91" w:rsidRPr="00532F91" w:rsidRDefault="00532F91">
      <w:pPr>
        <w:rPr>
          <w:rFonts w:cstheme="minorHAnsi"/>
          <w:sz w:val="20"/>
          <w:szCs w:val="20"/>
        </w:rPr>
      </w:pPr>
      <w:r w:rsidRPr="00532F91">
        <w:rPr>
          <w:rFonts w:cstheme="minorHAnsi"/>
          <w:sz w:val="20"/>
          <w:szCs w:val="20"/>
        </w:rPr>
        <w:br w:type="page"/>
      </w:r>
    </w:p>
    <w:p w:rsidR="00FB7A41" w:rsidRPr="00FB7A41" w:rsidRDefault="00532F91" w:rsidP="00A408C5">
      <w:pPr>
        <w:pStyle w:val="Heading1"/>
      </w:pPr>
      <w:r w:rsidRPr="00FB7A41">
        <w:lastRenderedPageBreak/>
        <w:t>Slide 33</w:t>
      </w:r>
      <w:r w:rsidR="00FB7A41" w:rsidRPr="00FB7A41">
        <w:t xml:space="preserve"> </w:t>
      </w:r>
      <w:r w:rsidR="00FB7A41" w:rsidRPr="00FB7A41">
        <w:rPr>
          <w:lang w:val="en-US"/>
        </w:rPr>
        <w:t>Conclusion</w:t>
      </w:r>
    </w:p>
    <w:p w:rsidR="00532F91" w:rsidRPr="00532F91" w:rsidRDefault="00532F91" w:rsidP="00532F91">
      <w:pPr>
        <w:spacing w:line="360" w:lineRule="auto"/>
        <w:rPr>
          <w:rFonts w:cstheme="minorHAnsi"/>
          <w:sz w:val="20"/>
          <w:szCs w:val="20"/>
        </w:rPr>
      </w:pPr>
    </w:p>
    <w:p w:rsidR="00532F91" w:rsidRPr="00467DC2" w:rsidRDefault="00532F91" w:rsidP="001F1D5E">
      <w:pPr>
        <w:rPr>
          <w:sz w:val="32"/>
        </w:rPr>
      </w:pPr>
      <w:r w:rsidRPr="00467DC2">
        <w:rPr>
          <w:sz w:val="32"/>
        </w:rPr>
        <w:t>The labour market in the Bendigo region has softened in the past year…</w:t>
      </w:r>
    </w:p>
    <w:p w:rsidR="00532F91" w:rsidRPr="00467DC2" w:rsidRDefault="00532F91" w:rsidP="001F1D5E">
      <w:pPr>
        <w:pStyle w:val="ListParagraph"/>
        <w:numPr>
          <w:ilvl w:val="0"/>
          <w:numId w:val="15"/>
        </w:numPr>
        <w:ind w:left="426"/>
        <w:rPr>
          <w:sz w:val="32"/>
        </w:rPr>
      </w:pPr>
      <w:r w:rsidRPr="00467DC2">
        <w:rPr>
          <w:sz w:val="32"/>
        </w:rPr>
        <w:t>Labour market challenges</w:t>
      </w:r>
    </w:p>
    <w:p w:rsidR="00532F91" w:rsidRPr="00467DC2" w:rsidRDefault="00532F91" w:rsidP="00467DC2">
      <w:pPr>
        <w:pStyle w:val="ListParagraph"/>
        <w:numPr>
          <w:ilvl w:val="0"/>
          <w:numId w:val="24"/>
        </w:numPr>
        <w:rPr>
          <w:sz w:val="32"/>
        </w:rPr>
      </w:pPr>
      <w:r w:rsidRPr="00467DC2">
        <w:rPr>
          <w:sz w:val="32"/>
        </w:rPr>
        <w:t>Rising unemployment rate</w:t>
      </w:r>
    </w:p>
    <w:p w:rsidR="00532F91" w:rsidRPr="00467DC2" w:rsidRDefault="00532F91" w:rsidP="00467DC2">
      <w:pPr>
        <w:pStyle w:val="ListParagraph"/>
        <w:numPr>
          <w:ilvl w:val="0"/>
          <w:numId w:val="24"/>
        </w:numPr>
        <w:rPr>
          <w:sz w:val="32"/>
          <w:lang w:val="en-US"/>
        </w:rPr>
      </w:pPr>
      <w:r w:rsidRPr="00467DC2">
        <w:rPr>
          <w:sz w:val="32"/>
          <w:lang w:val="en-US"/>
        </w:rPr>
        <w:t>Demographic change: ageing population, young people leaving the region</w:t>
      </w:r>
    </w:p>
    <w:p w:rsidR="00532F91" w:rsidRPr="00467DC2" w:rsidRDefault="00532F91" w:rsidP="00467DC2">
      <w:pPr>
        <w:pStyle w:val="ListParagraph"/>
        <w:numPr>
          <w:ilvl w:val="0"/>
          <w:numId w:val="24"/>
        </w:numPr>
        <w:rPr>
          <w:sz w:val="32"/>
        </w:rPr>
      </w:pPr>
      <w:r w:rsidRPr="00467DC2">
        <w:rPr>
          <w:sz w:val="32"/>
        </w:rPr>
        <w:t>Recruitment activity falling</w:t>
      </w:r>
    </w:p>
    <w:p w:rsidR="00532F91" w:rsidRPr="00467DC2" w:rsidRDefault="00532F91" w:rsidP="00467DC2">
      <w:pPr>
        <w:pStyle w:val="ListParagraph"/>
        <w:numPr>
          <w:ilvl w:val="0"/>
          <w:numId w:val="24"/>
        </w:numPr>
        <w:rPr>
          <w:sz w:val="32"/>
          <w:lang w:val="en-US"/>
        </w:rPr>
      </w:pPr>
      <w:r w:rsidRPr="00467DC2">
        <w:rPr>
          <w:sz w:val="32"/>
          <w:lang w:val="en-US"/>
        </w:rPr>
        <w:t>Underemployment – part-time employment growth high</w:t>
      </w:r>
    </w:p>
    <w:p w:rsidR="00532F91" w:rsidRPr="00467DC2" w:rsidRDefault="00532F91" w:rsidP="00467DC2">
      <w:pPr>
        <w:pStyle w:val="ListParagraph"/>
        <w:numPr>
          <w:ilvl w:val="0"/>
          <w:numId w:val="24"/>
        </w:numPr>
        <w:rPr>
          <w:sz w:val="32"/>
          <w:lang w:val="en-US"/>
        </w:rPr>
      </w:pPr>
      <w:r w:rsidRPr="00467DC2">
        <w:rPr>
          <w:sz w:val="32"/>
          <w:lang w:val="en-US"/>
        </w:rPr>
        <w:t>High number of income support recipients</w:t>
      </w:r>
    </w:p>
    <w:p w:rsidR="00532F91" w:rsidRPr="00467DC2" w:rsidRDefault="00532F91" w:rsidP="00467DC2">
      <w:pPr>
        <w:pStyle w:val="ListParagraph"/>
        <w:numPr>
          <w:ilvl w:val="0"/>
          <w:numId w:val="24"/>
        </w:numPr>
        <w:rPr>
          <w:sz w:val="32"/>
          <w:lang w:val="en-US"/>
        </w:rPr>
      </w:pPr>
      <w:r w:rsidRPr="00467DC2">
        <w:rPr>
          <w:sz w:val="32"/>
          <w:lang w:val="en-US"/>
        </w:rPr>
        <w:t>Residents travelling to other regions for work – Melbourne and Ballarat</w:t>
      </w:r>
    </w:p>
    <w:p w:rsidR="00532F91" w:rsidRPr="00467DC2" w:rsidRDefault="00532F91" w:rsidP="00467DC2">
      <w:pPr>
        <w:pStyle w:val="ListParagraph"/>
        <w:numPr>
          <w:ilvl w:val="0"/>
          <w:numId w:val="24"/>
        </w:numPr>
        <w:rPr>
          <w:sz w:val="32"/>
          <w:lang w:val="en-US"/>
        </w:rPr>
      </w:pPr>
      <w:r w:rsidRPr="00467DC2">
        <w:rPr>
          <w:sz w:val="32"/>
          <w:lang w:val="en-US"/>
        </w:rPr>
        <w:t>Future labour supply</w:t>
      </w:r>
    </w:p>
    <w:p w:rsidR="00532F91" w:rsidRPr="00467DC2" w:rsidRDefault="00532F91" w:rsidP="001F1D5E">
      <w:pPr>
        <w:pStyle w:val="ListParagraph"/>
        <w:numPr>
          <w:ilvl w:val="0"/>
          <w:numId w:val="17"/>
        </w:numPr>
        <w:ind w:left="426"/>
        <w:rPr>
          <w:sz w:val="32"/>
          <w:lang w:val="en-US"/>
        </w:rPr>
      </w:pPr>
      <w:r w:rsidRPr="00467DC2">
        <w:rPr>
          <w:sz w:val="32"/>
          <w:lang w:val="en-US"/>
        </w:rPr>
        <w:t xml:space="preserve">Disadvantaged groups:  </w:t>
      </w:r>
    </w:p>
    <w:p w:rsidR="00532F91" w:rsidRPr="00467DC2" w:rsidRDefault="00532F91" w:rsidP="001F1D5E">
      <w:pPr>
        <w:pStyle w:val="ListParagraph"/>
        <w:numPr>
          <w:ilvl w:val="0"/>
          <w:numId w:val="18"/>
        </w:numPr>
        <w:rPr>
          <w:sz w:val="32"/>
          <w:lang w:val="en-US"/>
        </w:rPr>
      </w:pPr>
      <w:r w:rsidRPr="00467DC2">
        <w:rPr>
          <w:sz w:val="32"/>
          <w:lang w:val="en-US"/>
        </w:rPr>
        <w:t>Vulnerable and disengaged youth, persons with lower levels of education, long-term unemployed, mature age population</w:t>
      </w:r>
    </w:p>
    <w:p w:rsidR="00532F91" w:rsidRPr="00467DC2" w:rsidRDefault="00532F91" w:rsidP="001F1D5E">
      <w:pPr>
        <w:pStyle w:val="ListParagraph"/>
        <w:numPr>
          <w:ilvl w:val="0"/>
          <w:numId w:val="19"/>
        </w:numPr>
        <w:ind w:left="426"/>
        <w:rPr>
          <w:sz w:val="32"/>
          <w:lang w:val="en-US"/>
        </w:rPr>
      </w:pPr>
      <w:r w:rsidRPr="00467DC2">
        <w:rPr>
          <w:sz w:val="32"/>
          <w:lang w:val="en-US"/>
        </w:rPr>
        <w:t>Opportunities exist</w:t>
      </w:r>
    </w:p>
    <w:p w:rsidR="00532F91" w:rsidRPr="00467DC2" w:rsidRDefault="00532F91" w:rsidP="00467DC2">
      <w:pPr>
        <w:pStyle w:val="ListParagraph"/>
        <w:numPr>
          <w:ilvl w:val="0"/>
          <w:numId w:val="25"/>
        </w:numPr>
        <w:rPr>
          <w:sz w:val="32"/>
          <w:lang w:val="en-US"/>
        </w:rPr>
      </w:pPr>
      <w:r w:rsidRPr="00467DC2">
        <w:rPr>
          <w:sz w:val="32"/>
          <w:lang w:val="en-US"/>
        </w:rPr>
        <w:t>Major growth industries (Health)</w:t>
      </w:r>
    </w:p>
    <w:p w:rsidR="00532F91" w:rsidRPr="00467DC2" w:rsidRDefault="00532F91" w:rsidP="00467DC2">
      <w:pPr>
        <w:pStyle w:val="ListParagraph"/>
        <w:numPr>
          <w:ilvl w:val="0"/>
          <w:numId w:val="25"/>
        </w:numPr>
        <w:rPr>
          <w:sz w:val="32"/>
          <w:lang w:val="en-US"/>
        </w:rPr>
      </w:pPr>
      <w:r w:rsidRPr="00467DC2">
        <w:rPr>
          <w:sz w:val="32"/>
          <w:lang w:val="en-US"/>
        </w:rPr>
        <w:t xml:space="preserve">Almost half of employers expect to recruit. </w:t>
      </w:r>
    </w:p>
    <w:p w:rsidR="00532F91" w:rsidRPr="00467DC2" w:rsidRDefault="00532F91" w:rsidP="00467DC2">
      <w:pPr>
        <w:pStyle w:val="ListParagraph"/>
        <w:numPr>
          <w:ilvl w:val="0"/>
          <w:numId w:val="25"/>
        </w:numPr>
        <w:rPr>
          <w:sz w:val="32"/>
          <w:lang w:val="en-US"/>
        </w:rPr>
      </w:pPr>
      <w:r w:rsidRPr="00467DC2">
        <w:rPr>
          <w:sz w:val="32"/>
          <w:lang w:val="en-US"/>
        </w:rPr>
        <w:t xml:space="preserve">A broad range of occupations will be in demand </w:t>
      </w:r>
    </w:p>
    <w:p w:rsidR="00532F91" w:rsidRPr="00467DC2" w:rsidRDefault="00532F91" w:rsidP="00467DC2">
      <w:pPr>
        <w:pStyle w:val="ListParagraph"/>
        <w:numPr>
          <w:ilvl w:val="0"/>
          <w:numId w:val="25"/>
        </w:numPr>
        <w:rPr>
          <w:sz w:val="32"/>
          <w:lang w:val="en-US"/>
        </w:rPr>
      </w:pPr>
      <w:r w:rsidRPr="00467DC2">
        <w:rPr>
          <w:sz w:val="32"/>
          <w:lang w:val="en-US"/>
        </w:rPr>
        <w:t>Improved opportunities for job seekers who actively approach employers</w:t>
      </w:r>
    </w:p>
    <w:p w:rsidR="00532F91" w:rsidRPr="00467DC2" w:rsidRDefault="00532F91" w:rsidP="001F1D5E">
      <w:pPr>
        <w:pStyle w:val="ListParagraph"/>
        <w:numPr>
          <w:ilvl w:val="0"/>
          <w:numId w:val="21"/>
        </w:numPr>
        <w:ind w:left="426"/>
        <w:rPr>
          <w:sz w:val="32"/>
          <w:lang w:val="en-US"/>
        </w:rPr>
      </w:pPr>
      <w:r w:rsidRPr="00467DC2">
        <w:rPr>
          <w:sz w:val="32"/>
          <w:lang w:val="en-US"/>
        </w:rPr>
        <w:t>Job seekers need to be engaged in the labour market</w:t>
      </w:r>
    </w:p>
    <w:p w:rsidR="00532F91" w:rsidRPr="00467DC2" w:rsidRDefault="00532F91" w:rsidP="001F1D5E">
      <w:pPr>
        <w:pStyle w:val="ListParagraph"/>
        <w:numPr>
          <w:ilvl w:val="0"/>
          <w:numId w:val="22"/>
        </w:numPr>
        <w:rPr>
          <w:sz w:val="32"/>
          <w:lang w:val="en-US"/>
        </w:rPr>
      </w:pPr>
      <w:r w:rsidRPr="00467DC2">
        <w:rPr>
          <w:sz w:val="32"/>
          <w:lang w:val="en-US"/>
        </w:rPr>
        <w:t>Employability skills a must</w:t>
      </w:r>
    </w:p>
    <w:p w:rsidR="00532F91" w:rsidRPr="00467DC2" w:rsidRDefault="00532F91" w:rsidP="001F1D5E">
      <w:pPr>
        <w:pStyle w:val="ListParagraph"/>
        <w:numPr>
          <w:ilvl w:val="0"/>
          <w:numId w:val="23"/>
        </w:numPr>
        <w:ind w:left="426"/>
        <w:rPr>
          <w:sz w:val="32"/>
          <w:lang w:val="en-US"/>
        </w:rPr>
      </w:pPr>
      <w:r w:rsidRPr="00467DC2">
        <w:rPr>
          <w:sz w:val="32"/>
          <w:lang w:val="en-US"/>
        </w:rPr>
        <w:t>Continued stakeholder and employer engagement</w:t>
      </w:r>
    </w:p>
    <w:p w:rsidR="00532F91" w:rsidRPr="00532F91" w:rsidRDefault="00532F91" w:rsidP="005654E6">
      <w:pPr>
        <w:pStyle w:val="Heading1"/>
      </w:pPr>
      <w:r w:rsidRPr="00532F91">
        <w:br w:type="page"/>
      </w:r>
    </w:p>
    <w:p w:rsidR="00532F91" w:rsidRPr="00532F91" w:rsidRDefault="00532F91" w:rsidP="00A408C5">
      <w:pPr>
        <w:pStyle w:val="Heading1"/>
      </w:pPr>
      <w:r w:rsidRPr="00532F91">
        <w:lastRenderedPageBreak/>
        <w:t>Slide 34</w:t>
      </w:r>
      <w:r w:rsidR="00FB7A41">
        <w:t xml:space="preserve"> Any Q</w:t>
      </w:r>
      <w:bookmarkStart w:id="0" w:name="_GoBack"/>
      <w:bookmarkEnd w:id="0"/>
      <w:r w:rsidR="00FB7A41">
        <w:t>uestions?</w:t>
      </w:r>
    </w:p>
    <w:p w:rsidR="00532F91" w:rsidRPr="00532F91" w:rsidRDefault="00532F91" w:rsidP="00532F91">
      <w:pPr>
        <w:spacing w:line="360" w:lineRule="auto"/>
        <w:rPr>
          <w:rFonts w:cstheme="minorHAnsi"/>
          <w:sz w:val="20"/>
          <w:szCs w:val="20"/>
        </w:rPr>
      </w:pPr>
    </w:p>
    <w:p w:rsidR="0008218B" w:rsidRPr="006C5C47" w:rsidRDefault="0008218B" w:rsidP="0008218B">
      <w:r w:rsidRPr="006C5C47">
        <w:t xml:space="preserve">If you have any questions about the presentation please contact the Employer Surveys Section or Recruitment Analysis Section on: </w:t>
      </w:r>
    </w:p>
    <w:p w:rsidR="0008218B" w:rsidRPr="006C5C47" w:rsidRDefault="0008218B" w:rsidP="0008218B"/>
    <w:p w:rsidR="0008218B" w:rsidRPr="006C5C47" w:rsidRDefault="0008218B" w:rsidP="0008218B">
      <w:r w:rsidRPr="006C5C47">
        <w:t xml:space="preserve">Tel: </w:t>
      </w:r>
      <w:r w:rsidRPr="006C5C47">
        <w:rPr>
          <w:u w:val="single"/>
        </w:rPr>
        <w:t>1800 059 439</w:t>
      </w:r>
      <w:r w:rsidRPr="006C5C47">
        <w:t xml:space="preserve"> or </w:t>
      </w:r>
    </w:p>
    <w:p w:rsidR="0008218B" w:rsidRPr="006C5C47" w:rsidRDefault="00970914" w:rsidP="0008218B">
      <w:hyperlink r:id="rId29" w:history="1">
        <w:r w:rsidR="0008218B" w:rsidRPr="006C5C47">
          <w:rPr>
            <w:rStyle w:val="Hyperlink"/>
            <w:szCs w:val="28"/>
          </w:rPr>
          <w:t>Email:</w:t>
        </w:r>
      </w:hyperlink>
      <w:r w:rsidR="0008218B" w:rsidRPr="006C5C47">
        <w:rPr>
          <w:u w:val="single"/>
        </w:rPr>
        <w:t xml:space="preserve"> </w:t>
      </w:r>
      <w:r w:rsidR="0008218B" w:rsidRPr="006C5C47">
        <w:t>recruitmentsurveys@employment.gov.au</w:t>
      </w:r>
    </w:p>
    <w:p w:rsidR="0008218B" w:rsidRPr="006C5C47" w:rsidRDefault="0008218B" w:rsidP="0008218B"/>
    <w:p w:rsidR="0008218B" w:rsidRPr="006C5C47" w:rsidRDefault="0008218B" w:rsidP="0008218B">
      <w:r w:rsidRPr="006C5C47">
        <w:t>More information on labour market conditions and other research on small areas can be found on these web sites</w:t>
      </w:r>
    </w:p>
    <w:p w:rsidR="0008218B" w:rsidRPr="006C5C47" w:rsidRDefault="0008218B" w:rsidP="0008218B"/>
    <w:p w:rsidR="0008218B" w:rsidRPr="006C5C47" w:rsidRDefault="00970914" w:rsidP="0008218B">
      <w:hyperlink r:id="rId30" w:history="1">
        <w:r w:rsidR="0008218B" w:rsidRPr="006C5C47">
          <w:rPr>
            <w:rStyle w:val="Hyperlink"/>
            <w:szCs w:val="28"/>
          </w:rPr>
          <w:t>LMIP</w:t>
        </w:r>
      </w:hyperlink>
      <w:r w:rsidR="0008218B" w:rsidRPr="006C5C47">
        <w:t xml:space="preserve"> www.employment.gov.au/LMIP</w:t>
      </w:r>
    </w:p>
    <w:p w:rsidR="0008218B" w:rsidRPr="006C5C47" w:rsidRDefault="00970914" w:rsidP="0008218B">
      <w:hyperlink r:id="rId31" w:history="1">
        <w:r w:rsidR="0008218B" w:rsidRPr="006C5C47">
          <w:rPr>
            <w:rStyle w:val="Hyperlink"/>
            <w:szCs w:val="28"/>
          </w:rPr>
          <w:t>Skill Shortages</w:t>
        </w:r>
      </w:hyperlink>
      <w:r w:rsidR="0008218B" w:rsidRPr="006C5C47">
        <w:t xml:space="preserve"> www.employment.gov.au/SkillShortages</w:t>
      </w:r>
    </w:p>
    <w:p w:rsidR="0008218B" w:rsidRPr="006C5C47" w:rsidRDefault="00970914" w:rsidP="0008218B">
      <w:hyperlink r:id="rId32" w:history="1">
        <w:r w:rsidR="0008218B" w:rsidRPr="006C5C47">
          <w:rPr>
            <w:rStyle w:val="Hyperlink"/>
            <w:szCs w:val="28"/>
          </w:rPr>
          <w:t>Regional Reports</w:t>
        </w:r>
      </w:hyperlink>
      <w:r w:rsidR="0008218B" w:rsidRPr="006C5C47">
        <w:t xml:space="preserve"> www.employment.gov.au/RegionalReports</w:t>
      </w:r>
    </w:p>
    <w:p w:rsidR="0008218B" w:rsidRPr="006C5C47" w:rsidRDefault="00970914" w:rsidP="0008218B">
      <w:hyperlink r:id="rId33" w:history="1">
        <w:r w:rsidR="0008218B" w:rsidRPr="006C5C47">
          <w:rPr>
            <w:rStyle w:val="Hyperlink"/>
            <w:szCs w:val="28"/>
          </w:rPr>
          <w:t>Australian Jobs</w:t>
        </w:r>
      </w:hyperlink>
      <w:r w:rsidR="0008218B" w:rsidRPr="006C5C47">
        <w:t xml:space="preserve"> www.employment.gov.au/australianjobs</w:t>
      </w:r>
    </w:p>
    <w:p w:rsidR="0008218B" w:rsidRPr="006C5C47" w:rsidRDefault="00970914" w:rsidP="0008218B">
      <w:hyperlink r:id="rId34" w:history="1">
        <w:r w:rsidR="0008218B" w:rsidRPr="006C5C47">
          <w:rPr>
            <w:rStyle w:val="Hyperlink"/>
            <w:szCs w:val="28"/>
          </w:rPr>
          <w:t>Job Outlook</w:t>
        </w:r>
      </w:hyperlink>
      <w:r w:rsidR="0008218B" w:rsidRPr="006C5C47">
        <w:t xml:space="preserve"> www.joboutlook.gov.au</w:t>
      </w:r>
    </w:p>
    <w:p w:rsidR="0008218B" w:rsidRPr="006C5C47" w:rsidRDefault="0008218B" w:rsidP="0008218B"/>
    <w:p w:rsidR="0008218B" w:rsidRPr="006C5C47" w:rsidRDefault="0008218B" w:rsidP="0008218B">
      <w:r w:rsidRPr="006C5C47">
        <w:t>Thank you.</w:t>
      </w:r>
    </w:p>
    <w:p w:rsidR="0008218B" w:rsidRDefault="0008218B" w:rsidP="0008218B">
      <w:pPr>
        <w:rPr>
          <w:szCs w:val="28"/>
        </w:rPr>
      </w:pPr>
    </w:p>
    <w:p w:rsidR="0008218B" w:rsidRPr="006C5C47" w:rsidRDefault="0008218B" w:rsidP="0008218B">
      <w:pPr>
        <w:jc w:val="center"/>
        <w:rPr>
          <w:szCs w:val="28"/>
        </w:rPr>
      </w:pPr>
      <w:r w:rsidRPr="006C5C47">
        <w:rPr>
          <w:noProof/>
        </w:rPr>
        <w:drawing>
          <wp:inline distT="0" distB="0" distL="0" distR="0" wp14:anchorId="6C514836" wp14:editId="054C28D2">
            <wp:extent cx="2342857" cy="580952"/>
            <wp:effectExtent l="0" t="0" r="635" b="0"/>
            <wp:docPr id="38" name="Picture 38" descr="Australian Governement Department of Employment and Australian sh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2342857" cy="580952"/>
                    </a:xfrm>
                    <a:prstGeom prst="rect">
                      <a:avLst/>
                    </a:prstGeom>
                  </pic:spPr>
                </pic:pic>
              </a:graphicData>
            </a:graphic>
          </wp:inline>
        </w:drawing>
      </w:r>
    </w:p>
    <w:p w:rsidR="00532F91" w:rsidRPr="00532F91" w:rsidRDefault="00532F91" w:rsidP="00532F91">
      <w:pPr>
        <w:spacing w:line="360" w:lineRule="auto"/>
        <w:rPr>
          <w:rFonts w:cstheme="minorHAnsi"/>
          <w:sz w:val="20"/>
          <w:szCs w:val="20"/>
        </w:rPr>
      </w:pPr>
    </w:p>
    <w:sectPr w:rsidR="00532F91" w:rsidRPr="00532F9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03EB866"/>
    <w:lvl w:ilvl="0">
      <w:numFmt w:val="bullet"/>
      <w:lvlText w:val="*"/>
      <w:lvlJc w:val="left"/>
    </w:lvl>
  </w:abstractNum>
  <w:abstractNum w:abstractNumId="1">
    <w:nsid w:val="03F91394"/>
    <w:multiLevelType w:val="hybridMultilevel"/>
    <w:tmpl w:val="A048717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C8443C5"/>
    <w:multiLevelType w:val="hybridMultilevel"/>
    <w:tmpl w:val="31FAAB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DC60C7F"/>
    <w:multiLevelType w:val="hybridMultilevel"/>
    <w:tmpl w:val="434048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4BE7819"/>
    <w:multiLevelType w:val="hybridMultilevel"/>
    <w:tmpl w:val="AD5AEF60"/>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ABA7C8F"/>
    <w:multiLevelType w:val="hybridMultilevel"/>
    <w:tmpl w:val="9DC4D3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C145AED"/>
    <w:multiLevelType w:val="hybridMultilevel"/>
    <w:tmpl w:val="F2040D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3972264"/>
    <w:multiLevelType w:val="hybridMultilevel"/>
    <w:tmpl w:val="5782898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A955DF6"/>
    <w:multiLevelType w:val="hybridMultilevel"/>
    <w:tmpl w:val="CAD4CB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1D1536F"/>
    <w:multiLevelType w:val="hybridMultilevel"/>
    <w:tmpl w:val="038669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7D53240"/>
    <w:multiLevelType w:val="hybridMultilevel"/>
    <w:tmpl w:val="07DCE6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9787B0A"/>
    <w:multiLevelType w:val="hybridMultilevel"/>
    <w:tmpl w:val="1C962B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B656190"/>
    <w:multiLevelType w:val="hybridMultilevel"/>
    <w:tmpl w:val="CB588A74"/>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7A07EF8"/>
    <w:multiLevelType w:val="hybridMultilevel"/>
    <w:tmpl w:val="9DFE95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45A540E"/>
    <w:multiLevelType w:val="hybridMultilevel"/>
    <w:tmpl w:val="E80A76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57D37768"/>
    <w:multiLevelType w:val="hybridMultilevel"/>
    <w:tmpl w:val="565EA8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58A92262"/>
    <w:multiLevelType w:val="hybridMultilevel"/>
    <w:tmpl w:val="67EE7BA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5EF23C2F"/>
    <w:multiLevelType w:val="hybridMultilevel"/>
    <w:tmpl w:val="50BCC8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64B36E99"/>
    <w:multiLevelType w:val="hybridMultilevel"/>
    <w:tmpl w:val="AFD2993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68275B52"/>
    <w:multiLevelType w:val="hybridMultilevel"/>
    <w:tmpl w:val="2B9C51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6DA342BE"/>
    <w:multiLevelType w:val="hybridMultilevel"/>
    <w:tmpl w:val="7A3A96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7A5017DC"/>
    <w:multiLevelType w:val="hybridMultilevel"/>
    <w:tmpl w:val="04E296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Calibri" w:hAnsi="Calibri" w:cs="Calibri" w:hint="default"/>
          <w:sz w:val="24"/>
        </w:rPr>
      </w:lvl>
    </w:lvlOverride>
  </w:num>
  <w:num w:numId="2">
    <w:abstractNumId w:val="0"/>
    <w:lvlOverride w:ilvl="0">
      <w:lvl w:ilvl="0">
        <w:numFmt w:val="bullet"/>
        <w:lvlText w:val="₋"/>
        <w:legacy w:legacy="1" w:legacySpace="0" w:legacyIndent="0"/>
        <w:lvlJc w:val="left"/>
        <w:rPr>
          <w:rFonts w:ascii="Calibri" w:hAnsi="Calibri" w:cs="Calibri" w:hint="default"/>
          <w:sz w:val="24"/>
        </w:rPr>
      </w:lvl>
    </w:lvlOverride>
  </w:num>
  <w:num w:numId="3">
    <w:abstractNumId w:val="0"/>
    <w:lvlOverride w:ilvl="0">
      <w:lvl w:ilvl="0">
        <w:numFmt w:val="bullet"/>
        <w:lvlText w:val="-"/>
        <w:legacy w:legacy="1" w:legacySpace="0" w:legacyIndent="0"/>
        <w:lvlJc w:val="left"/>
        <w:rPr>
          <w:rFonts w:ascii="Calibri" w:hAnsi="Calibri" w:cs="Calibri" w:hint="default"/>
          <w:sz w:val="24"/>
        </w:rPr>
      </w:lvl>
    </w:lvlOverride>
  </w:num>
  <w:num w:numId="4">
    <w:abstractNumId w:val="0"/>
    <w:lvlOverride w:ilvl="0">
      <w:lvl w:ilvl="0">
        <w:numFmt w:val="bullet"/>
        <w:lvlText w:val="•"/>
        <w:legacy w:legacy="1" w:legacySpace="0" w:legacyIndent="0"/>
        <w:lvlJc w:val="left"/>
        <w:rPr>
          <w:rFonts w:ascii="Arial" w:hAnsi="Arial" w:cs="Arial" w:hint="default"/>
          <w:sz w:val="24"/>
        </w:rPr>
      </w:lvl>
    </w:lvlOverride>
  </w:num>
  <w:num w:numId="5">
    <w:abstractNumId w:val="6"/>
  </w:num>
  <w:num w:numId="6">
    <w:abstractNumId w:val="3"/>
  </w:num>
  <w:num w:numId="7">
    <w:abstractNumId w:val="20"/>
  </w:num>
  <w:num w:numId="8">
    <w:abstractNumId w:val="2"/>
  </w:num>
  <w:num w:numId="9">
    <w:abstractNumId w:val="8"/>
  </w:num>
  <w:num w:numId="10">
    <w:abstractNumId w:val="21"/>
  </w:num>
  <w:num w:numId="11">
    <w:abstractNumId w:val="13"/>
  </w:num>
  <w:num w:numId="12">
    <w:abstractNumId w:val="5"/>
  </w:num>
  <w:num w:numId="13">
    <w:abstractNumId w:val="11"/>
  </w:num>
  <w:num w:numId="14">
    <w:abstractNumId w:val="17"/>
  </w:num>
  <w:num w:numId="15">
    <w:abstractNumId w:val="10"/>
  </w:num>
  <w:num w:numId="16">
    <w:abstractNumId w:val="12"/>
  </w:num>
  <w:num w:numId="17">
    <w:abstractNumId w:val="14"/>
  </w:num>
  <w:num w:numId="18">
    <w:abstractNumId w:val="18"/>
  </w:num>
  <w:num w:numId="19">
    <w:abstractNumId w:val="15"/>
  </w:num>
  <w:num w:numId="20">
    <w:abstractNumId w:val="4"/>
  </w:num>
  <w:num w:numId="21">
    <w:abstractNumId w:val="19"/>
  </w:num>
  <w:num w:numId="22">
    <w:abstractNumId w:val="7"/>
  </w:num>
  <w:num w:numId="23">
    <w:abstractNumId w:val="9"/>
  </w:num>
  <w:num w:numId="24">
    <w:abstractNumId w:val="16"/>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532F91"/>
    <w:rsid w:val="000149D5"/>
    <w:rsid w:val="00050386"/>
    <w:rsid w:val="00060739"/>
    <w:rsid w:val="0008218B"/>
    <w:rsid w:val="000B11F9"/>
    <w:rsid w:val="000B1376"/>
    <w:rsid w:val="000C288B"/>
    <w:rsid w:val="00101879"/>
    <w:rsid w:val="00113891"/>
    <w:rsid w:val="00115395"/>
    <w:rsid w:val="0014668F"/>
    <w:rsid w:val="001520DA"/>
    <w:rsid w:val="00157B9E"/>
    <w:rsid w:val="001760AF"/>
    <w:rsid w:val="00187C87"/>
    <w:rsid w:val="0019036B"/>
    <w:rsid w:val="001D36DB"/>
    <w:rsid w:val="001F1D5E"/>
    <w:rsid w:val="002B7E06"/>
    <w:rsid w:val="002D2FFF"/>
    <w:rsid w:val="00365E60"/>
    <w:rsid w:val="00371529"/>
    <w:rsid w:val="00440ABC"/>
    <w:rsid w:val="00467DC2"/>
    <w:rsid w:val="004D19C6"/>
    <w:rsid w:val="00532F91"/>
    <w:rsid w:val="00545BF1"/>
    <w:rsid w:val="00560B34"/>
    <w:rsid w:val="005654E6"/>
    <w:rsid w:val="005B182F"/>
    <w:rsid w:val="005E7083"/>
    <w:rsid w:val="00602890"/>
    <w:rsid w:val="00630E8B"/>
    <w:rsid w:val="00744484"/>
    <w:rsid w:val="00757590"/>
    <w:rsid w:val="00777C7C"/>
    <w:rsid w:val="00795C98"/>
    <w:rsid w:val="00805FDF"/>
    <w:rsid w:val="00846110"/>
    <w:rsid w:val="00883752"/>
    <w:rsid w:val="008A2416"/>
    <w:rsid w:val="008A2D76"/>
    <w:rsid w:val="008B659A"/>
    <w:rsid w:val="008F0A55"/>
    <w:rsid w:val="00970914"/>
    <w:rsid w:val="00A408C5"/>
    <w:rsid w:val="00A55B66"/>
    <w:rsid w:val="00AC36EE"/>
    <w:rsid w:val="00BC75E0"/>
    <w:rsid w:val="00BF4DCE"/>
    <w:rsid w:val="00C312D3"/>
    <w:rsid w:val="00C37F79"/>
    <w:rsid w:val="00C40698"/>
    <w:rsid w:val="00CA2F9F"/>
    <w:rsid w:val="00CC420E"/>
    <w:rsid w:val="00CC6652"/>
    <w:rsid w:val="00D40F28"/>
    <w:rsid w:val="00D921C7"/>
    <w:rsid w:val="00E063B5"/>
    <w:rsid w:val="00E35A87"/>
    <w:rsid w:val="00E90ABE"/>
    <w:rsid w:val="00EC2C4A"/>
    <w:rsid w:val="00FB7A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7E06"/>
    <w:pPr>
      <w:jc w:val="both"/>
    </w:pPr>
    <w:rPr>
      <w:rFonts w:asciiTheme="minorHAnsi" w:hAnsiTheme="minorHAnsi"/>
      <w:sz w:val="24"/>
      <w:szCs w:val="24"/>
    </w:rPr>
  </w:style>
  <w:style w:type="paragraph" w:styleId="Heading1">
    <w:name w:val="heading 1"/>
    <w:basedOn w:val="Normal"/>
    <w:next w:val="Normal"/>
    <w:link w:val="Heading1Char"/>
    <w:autoRedefine/>
    <w:qFormat/>
    <w:rsid w:val="005654E6"/>
    <w:pPr>
      <w:keepNext/>
      <w:keepLines/>
      <w:jc w:val="left"/>
      <w:outlineLvl w:val="0"/>
    </w:pPr>
    <w:rPr>
      <w:rFonts w:ascii="Calibri" w:eastAsiaTheme="majorEastAsia" w:hAnsi="Calibri" w:cstheme="majorBidi"/>
      <w:bCs/>
      <w:color w:val="244061" w:themeColor="accent1" w:themeShade="80"/>
      <w:sz w:val="36"/>
      <w:szCs w:val="20"/>
      <w:u w:val="single"/>
    </w:rPr>
  </w:style>
  <w:style w:type="paragraph" w:styleId="Heading3">
    <w:name w:val="heading 3"/>
    <w:basedOn w:val="Normal"/>
    <w:next w:val="Normal"/>
    <w:link w:val="Heading3Char"/>
    <w:semiHidden/>
    <w:unhideWhenUsed/>
    <w:qFormat/>
    <w:rsid w:val="00BF4DC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805FDF"/>
    <w:rPr>
      <w:rFonts w:ascii="Tahoma" w:hAnsi="Tahoma" w:cs="Tahoma"/>
      <w:sz w:val="16"/>
      <w:szCs w:val="16"/>
    </w:rPr>
  </w:style>
  <w:style w:type="character" w:customStyle="1" w:styleId="BalloonTextChar">
    <w:name w:val="Balloon Text Char"/>
    <w:basedOn w:val="DefaultParagraphFont"/>
    <w:link w:val="BalloonText"/>
    <w:rsid w:val="00805FDF"/>
    <w:rPr>
      <w:rFonts w:ascii="Tahoma" w:hAnsi="Tahoma" w:cs="Tahoma"/>
      <w:sz w:val="16"/>
      <w:szCs w:val="16"/>
    </w:rPr>
  </w:style>
  <w:style w:type="character" w:customStyle="1" w:styleId="Heading1Char">
    <w:name w:val="Heading 1 Char"/>
    <w:basedOn w:val="DefaultParagraphFont"/>
    <w:link w:val="Heading1"/>
    <w:rsid w:val="005654E6"/>
    <w:rPr>
      <w:rFonts w:ascii="Calibri" w:eastAsiaTheme="majorEastAsia" w:hAnsi="Calibri" w:cstheme="majorBidi"/>
      <w:bCs/>
      <w:color w:val="244061" w:themeColor="accent1" w:themeShade="80"/>
      <w:sz w:val="36"/>
      <w:u w:val="single"/>
    </w:rPr>
  </w:style>
  <w:style w:type="character" w:customStyle="1" w:styleId="Heading3Char">
    <w:name w:val="Heading 3 Char"/>
    <w:basedOn w:val="DefaultParagraphFont"/>
    <w:link w:val="Heading3"/>
    <w:semiHidden/>
    <w:rsid w:val="00BF4DCE"/>
    <w:rPr>
      <w:rFonts w:asciiTheme="majorHAnsi" w:eastAsiaTheme="majorEastAsia" w:hAnsiTheme="majorHAnsi" w:cstheme="majorBidi"/>
      <w:b/>
      <w:bCs/>
      <w:color w:val="4F81BD" w:themeColor="accent1"/>
      <w:sz w:val="24"/>
      <w:szCs w:val="24"/>
    </w:rPr>
  </w:style>
  <w:style w:type="paragraph" w:styleId="ListParagraph">
    <w:name w:val="List Paragraph"/>
    <w:basedOn w:val="Normal"/>
    <w:uiPriority w:val="34"/>
    <w:qFormat/>
    <w:rsid w:val="005B182F"/>
    <w:pPr>
      <w:ind w:left="720"/>
      <w:contextualSpacing/>
    </w:pPr>
  </w:style>
  <w:style w:type="table" w:styleId="TableGrid">
    <w:name w:val="Table Grid"/>
    <w:basedOn w:val="TableNormal"/>
    <w:rsid w:val="00187C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87C87"/>
    <w:pPr>
      <w:spacing w:before="100" w:beforeAutospacing="1" w:after="100" w:afterAutospacing="1"/>
      <w:jc w:val="left"/>
    </w:pPr>
    <w:rPr>
      <w:rFonts w:ascii="Times New Roman" w:hAnsi="Times New Roman"/>
    </w:rPr>
  </w:style>
  <w:style w:type="table" w:styleId="LightList-Accent1">
    <w:name w:val="Light List Accent 1"/>
    <w:basedOn w:val="TableNormal"/>
    <w:uiPriority w:val="61"/>
    <w:rsid w:val="0019036B"/>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Grid-Accent1">
    <w:name w:val="Light Grid Accent 1"/>
    <w:basedOn w:val="TableNormal"/>
    <w:uiPriority w:val="62"/>
    <w:rsid w:val="008A2416"/>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Hyperlink">
    <w:name w:val="Hyperlink"/>
    <w:basedOn w:val="DefaultParagraphFont"/>
    <w:rsid w:val="0008218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7E06"/>
    <w:pPr>
      <w:jc w:val="both"/>
    </w:pPr>
    <w:rPr>
      <w:rFonts w:asciiTheme="minorHAnsi" w:hAnsiTheme="minorHAnsi"/>
      <w:sz w:val="24"/>
      <w:szCs w:val="24"/>
    </w:rPr>
  </w:style>
  <w:style w:type="paragraph" w:styleId="Heading1">
    <w:name w:val="heading 1"/>
    <w:basedOn w:val="Normal"/>
    <w:next w:val="Normal"/>
    <w:link w:val="Heading1Char"/>
    <w:autoRedefine/>
    <w:qFormat/>
    <w:rsid w:val="005654E6"/>
    <w:pPr>
      <w:keepNext/>
      <w:keepLines/>
      <w:jc w:val="left"/>
      <w:outlineLvl w:val="0"/>
    </w:pPr>
    <w:rPr>
      <w:rFonts w:ascii="Calibri" w:eastAsiaTheme="majorEastAsia" w:hAnsi="Calibri" w:cstheme="majorBidi"/>
      <w:bCs/>
      <w:color w:val="244061" w:themeColor="accent1" w:themeShade="80"/>
      <w:sz w:val="36"/>
      <w:szCs w:val="20"/>
      <w:u w:val="single"/>
    </w:rPr>
  </w:style>
  <w:style w:type="paragraph" w:styleId="Heading3">
    <w:name w:val="heading 3"/>
    <w:basedOn w:val="Normal"/>
    <w:next w:val="Normal"/>
    <w:link w:val="Heading3Char"/>
    <w:semiHidden/>
    <w:unhideWhenUsed/>
    <w:qFormat/>
    <w:rsid w:val="00BF4DC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805FDF"/>
    <w:rPr>
      <w:rFonts w:ascii="Tahoma" w:hAnsi="Tahoma" w:cs="Tahoma"/>
      <w:sz w:val="16"/>
      <w:szCs w:val="16"/>
    </w:rPr>
  </w:style>
  <w:style w:type="character" w:customStyle="1" w:styleId="BalloonTextChar">
    <w:name w:val="Balloon Text Char"/>
    <w:basedOn w:val="DefaultParagraphFont"/>
    <w:link w:val="BalloonText"/>
    <w:rsid w:val="00805FDF"/>
    <w:rPr>
      <w:rFonts w:ascii="Tahoma" w:hAnsi="Tahoma" w:cs="Tahoma"/>
      <w:sz w:val="16"/>
      <w:szCs w:val="16"/>
    </w:rPr>
  </w:style>
  <w:style w:type="character" w:customStyle="1" w:styleId="Heading1Char">
    <w:name w:val="Heading 1 Char"/>
    <w:basedOn w:val="DefaultParagraphFont"/>
    <w:link w:val="Heading1"/>
    <w:rsid w:val="005654E6"/>
    <w:rPr>
      <w:rFonts w:ascii="Calibri" w:eastAsiaTheme="majorEastAsia" w:hAnsi="Calibri" w:cstheme="majorBidi"/>
      <w:bCs/>
      <w:color w:val="244061" w:themeColor="accent1" w:themeShade="80"/>
      <w:sz w:val="36"/>
      <w:u w:val="single"/>
    </w:rPr>
  </w:style>
  <w:style w:type="character" w:customStyle="1" w:styleId="Heading3Char">
    <w:name w:val="Heading 3 Char"/>
    <w:basedOn w:val="DefaultParagraphFont"/>
    <w:link w:val="Heading3"/>
    <w:semiHidden/>
    <w:rsid w:val="00BF4DCE"/>
    <w:rPr>
      <w:rFonts w:asciiTheme="majorHAnsi" w:eastAsiaTheme="majorEastAsia" w:hAnsiTheme="majorHAnsi" w:cstheme="majorBidi"/>
      <w:b/>
      <w:bCs/>
      <w:color w:val="4F81BD" w:themeColor="accent1"/>
      <w:sz w:val="24"/>
      <w:szCs w:val="24"/>
    </w:rPr>
  </w:style>
  <w:style w:type="paragraph" w:styleId="ListParagraph">
    <w:name w:val="List Paragraph"/>
    <w:basedOn w:val="Normal"/>
    <w:uiPriority w:val="34"/>
    <w:qFormat/>
    <w:rsid w:val="005B182F"/>
    <w:pPr>
      <w:ind w:left="720"/>
      <w:contextualSpacing/>
    </w:pPr>
  </w:style>
  <w:style w:type="table" w:styleId="TableGrid">
    <w:name w:val="Table Grid"/>
    <w:basedOn w:val="TableNormal"/>
    <w:rsid w:val="00187C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87C87"/>
    <w:pPr>
      <w:spacing w:before="100" w:beforeAutospacing="1" w:after="100" w:afterAutospacing="1"/>
      <w:jc w:val="left"/>
    </w:pPr>
    <w:rPr>
      <w:rFonts w:ascii="Times New Roman" w:hAnsi="Times New Roman"/>
    </w:rPr>
  </w:style>
  <w:style w:type="table" w:styleId="LightList-Accent1">
    <w:name w:val="Light List Accent 1"/>
    <w:basedOn w:val="TableNormal"/>
    <w:uiPriority w:val="61"/>
    <w:rsid w:val="0019036B"/>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Grid-Accent1">
    <w:name w:val="Light Grid Accent 1"/>
    <w:basedOn w:val="TableNormal"/>
    <w:uiPriority w:val="62"/>
    <w:rsid w:val="008A2416"/>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Hyperlink">
    <w:name w:val="Hyperlink"/>
    <w:basedOn w:val="DefaultParagraphFont"/>
    <w:rsid w:val="0008218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93210">
      <w:bodyDiv w:val="1"/>
      <w:marLeft w:val="0"/>
      <w:marRight w:val="0"/>
      <w:marTop w:val="0"/>
      <w:marBottom w:val="0"/>
      <w:divBdr>
        <w:top w:val="none" w:sz="0" w:space="0" w:color="auto"/>
        <w:left w:val="none" w:sz="0" w:space="0" w:color="auto"/>
        <w:bottom w:val="none" w:sz="0" w:space="0" w:color="auto"/>
        <w:right w:val="none" w:sz="0" w:space="0" w:color="auto"/>
      </w:divBdr>
    </w:div>
    <w:div w:id="163520412">
      <w:bodyDiv w:val="1"/>
      <w:marLeft w:val="0"/>
      <w:marRight w:val="0"/>
      <w:marTop w:val="0"/>
      <w:marBottom w:val="0"/>
      <w:divBdr>
        <w:top w:val="none" w:sz="0" w:space="0" w:color="auto"/>
        <w:left w:val="none" w:sz="0" w:space="0" w:color="auto"/>
        <w:bottom w:val="none" w:sz="0" w:space="0" w:color="auto"/>
        <w:right w:val="none" w:sz="0" w:space="0" w:color="auto"/>
      </w:divBdr>
    </w:div>
    <w:div w:id="508108571">
      <w:bodyDiv w:val="1"/>
      <w:marLeft w:val="0"/>
      <w:marRight w:val="0"/>
      <w:marTop w:val="0"/>
      <w:marBottom w:val="0"/>
      <w:divBdr>
        <w:top w:val="none" w:sz="0" w:space="0" w:color="auto"/>
        <w:left w:val="none" w:sz="0" w:space="0" w:color="auto"/>
        <w:bottom w:val="none" w:sz="0" w:space="0" w:color="auto"/>
        <w:right w:val="none" w:sz="0" w:space="0" w:color="auto"/>
      </w:divBdr>
    </w:div>
    <w:div w:id="544604983">
      <w:bodyDiv w:val="1"/>
      <w:marLeft w:val="0"/>
      <w:marRight w:val="0"/>
      <w:marTop w:val="0"/>
      <w:marBottom w:val="0"/>
      <w:divBdr>
        <w:top w:val="none" w:sz="0" w:space="0" w:color="auto"/>
        <w:left w:val="none" w:sz="0" w:space="0" w:color="auto"/>
        <w:bottom w:val="none" w:sz="0" w:space="0" w:color="auto"/>
        <w:right w:val="none" w:sz="0" w:space="0" w:color="auto"/>
      </w:divBdr>
    </w:div>
    <w:div w:id="677388706">
      <w:bodyDiv w:val="1"/>
      <w:marLeft w:val="0"/>
      <w:marRight w:val="0"/>
      <w:marTop w:val="0"/>
      <w:marBottom w:val="0"/>
      <w:divBdr>
        <w:top w:val="none" w:sz="0" w:space="0" w:color="auto"/>
        <w:left w:val="none" w:sz="0" w:space="0" w:color="auto"/>
        <w:bottom w:val="none" w:sz="0" w:space="0" w:color="auto"/>
        <w:right w:val="none" w:sz="0" w:space="0" w:color="auto"/>
      </w:divBdr>
    </w:div>
    <w:div w:id="740442894">
      <w:bodyDiv w:val="1"/>
      <w:marLeft w:val="0"/>
      <w:marRight w:val="0"/>
      <w:marTop w:val="0"/>
      <w:marBottom w:val="0"/>
      <w:divBdr>
        <w:top w:val="none" w:sz="0" w:space="0" w:color="auto"/>
        <w:left w:val="none" w:sz="0" w:space="0" w:color="auto"/>
        <w:bottom w:val="none" w:sz="0" w:space="0" w:color="auto"/>
        <w:right w:val="none" w:sz="0" w:space="0" w:color="auto"/>
      </w:divBdr>
    </w:div>
    <w:div w:id="745229890">
      <w:bodyDiv w:val="1"/>
      <w:marLeft w:val="0"/>
      <w:marRight w:val="0"/>
      <w:marTop w:val="96"/>
      <w:marBottom w:val="0"/>
      <w:divBdr>
        <w:top w:val="none" w:sz="0" w:space="0" w:color="auto"/>
        <w:left w:val="none" w:sz="0" w:space="0" w:color="auto"/>
        <w:bottom w:val="none" w:sz="0" w:space="0" w:color="auto"/>
        <w:right w:val="none" w:sz="0" w:space="0" w:color="auto"/>
      </w:divBdr>
      <w:divsChild>
        <w:div w:id="718210847">
          <w:marLeft w:val="0"/>
          <w:marRight w:val="0"/>
          <w:marTop w:val="0"/>
          <w:marBottom w:val="0"/>
          <w:divBdr>
            <w:top w:val="none" w:sz="0" w:space="0" w:color="auto"/>
            <w:left w:val="none" w:sz="0" w:space="0" w:color="auto"/>
            <w:bottom w:val="none" w:sz="0" w:space="0" w:color="auto"/>
            <w:right w:val="none" w:sz="0" w:space="0" w:color="auto"/>
          </w:divBdr>
          <w:divsChild>
            <w:div w:id="720594595">
              <w:marLeft w:val="0"/>
              <w:marRight w:val="0"/>
              <w:marTop w:val="780"/>
              <w:marBottom w:val="0"/>
              <w:divBdr>
                <w:top w:val="none" w:sz="0" w:space="0" w:color="auto"/>
                <w:left w:val="none" w:sz="0" w:space="0" w:color="auto"/>
                <w:bottom w:val="none" w:sz="0" w:space="0" w:color="auto"/>
                <w:right w:val="none" w:sz="0" w:space="0" w:color="auto"/>
              </w:divBdr>
              <w:divsChild>
                <w:div w:id="611866838">
                  <w:marLeft w:val="0"/>
                  <w:marRight w:val="0"/>
                  <w:marTop w:val="0"/>
                  <w:marBottom w:val="0"/>
                  <w:divBdr>
                    <w:top w:val="none" w:sz="0" w:space="0" w:color="auto"/>
                    <w:left w:val="none" w:sz="0" w:space="0" w:color="auto"/>
                    <w:bottom w:val="none" w:sz="0" w:space="0" w:color="auto"/>
                    <w:right w:val="none" w:sz="0" w:space="0" w:color="auto"/>
                  </w:divBdr>
                  <w:divsChild>
                    <w:div w:id="1843423160">
                      <w:marLeft w:val="0"/>
                      <w:marRight w:val="0"/>
                      <w:marTop w:val="0"/>
                      <w:marBottom w:val="0"/>
                      <w:divBdr>
                        <w:top w:val="none" w:sz="0" w:space="0" w:color="auto"/>
                        <w:left w:val="none" w:sz="0" w:space="0" w:color="auto"/>
                        <w:bottom w:val="none" w:sz="0" w:space="0" w:color="auto"/>
                        <w:right w:val="none" w:sz="0" w:space="0" w:color="auto"/>
                      </w:divBdr>
                      <w:divsChild>
                        <w:div w:id="675307830">
                          <w:marLeft w:val="0"/>
                          <w:marRight w:val="0"/>
                          <w:marTop w:val="0"/>
                          <w:marBottom w:val="0"/>
                          <w:divBdr>
                            <w:top w:val="none" w:sz="0" w:space="0" w:color="auto"/>
                            <w:left w:val="none" w:sz="0" w:space="0" w:color="auto"/>
                            <w:bottom w:val="none" w:sz="0" w:space="0" w:color="auto"/>
                            <w:right w:val="none" w:sz="0" w:space="0" w:color="auto"/>
                          </w:divBdr>
                          <w:divsChild>
                            <w:div w:id="375128615">
                              <w:marLeft w:val="0"/>
                              <w:marRight w:val="0"/>
                              <w:marTop w:val="0"/>
                              <w:marBottom w:val="0"/>
                              <w:divBdr>
                                <w:top w:val="none" w:sz="0" w:space="0" w:color="auto"/>
                                <w:left w:val="none" w:sz="0" w:space="0" w:color="auto"/>
                                <w:bottom w:val="none" w:sz="0" w:space="0" w:color="auto"/>
                                <w:right w:val="none" w:sz="0" w:space="0" w:color="auto"/>
                              </w:divBdr>
                              <w:divsChild>
                                <w:div w:id="17144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2721607">
      <w:bodyDiv w:val="1"/>
      <w:marLeft w:val="0"/>
      <w:marRight w:val="0"/>
      <w:marTop w:val="0"/>
      <w:marBottom w:val="0"/>
      <w:divBdr>
        <w:top w:val="none" w:sz="0" w:space="0" w:color="auto"/>
        <w:left w:val="none" w:sz="0" w:space="0" w:color="auto"/>
        <w:bottom w:val="none" w:sz="0" w:space="0" w:color="auto"/>
        <w:right w:val="none" w:sz="0" w:space="0" w:color="auto"/>
      </w:divBdr>
    </w:div>
    <w:div w:id="1444570312">
      <w:bodyDiv w:val="1"/>
      <w:marLeft w:val="0"/>
      <w:marRight w:val="0"/>
      <w:marTop w:val="0"/>
      <w:marBottom w:val="0"/>
      <w:divBdr>
        <w:top w:val="none" w:sz="0" w:space="0" w:color="auto"/>
        <w:left w:val="none" w:sz="0" w:space="0" w:color="auto"/>
        <w:bottom w:val="none" w:sz="0" w:space="0" w:color="auto"/>
        <w:right w:val="none" w:sz="0" w:space="0" w:color="auto"/>
      </w:divBdr>
    </w:div>
    <w:div w:id="1892417967">
      <w:bodyDiv w:val="1"/>
      <w:marLeft w:val="0"/>
      <w:marRight w:val="0"/>
      <w:marTop w:val="0"/>
      <w:marBottom w:val="0"/>
      <w:divBdr>
        <w:top w:val="none" w:sz="0" w:space="0" w:color="auto"/>
        <w:left w:val="none" w:sz="0" w:space="0" w:color="auto"/>
        <w:bottom w:val="none" w:sz="0" w:space="0" w:color="auto"/>
        <w:right w:val="none" w:sz="0" w:space="0" w:color="auto"/>
      </w:divBdr>
    </w:div>
    <w:div w:id="1899322771">
      <w:bodyDiv w:val="1"/>
      <w:marLeft w:val="0"/>
      <w:marRight w:val="0"/>
      <w:marTop w:val="0"/>
      <w:marBottom w:val="0"/>
      <w:divBdr>
        <w:top w:val="none" w:sz="0" w:space="0" w:color="auto"/>
        <w:left w:val="none" w:sz="0" w:space="0" w:color="auto"/>
        <w:bottom w:val="none" w:sz="0" w:space="0" w:color="auto"/>
        <w:right w:val="none" w:sz="0" w:space="0" w:color="auto"/>
      </w:divBdr>
    </w:div>
    <w:div w:id="205195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9" Type="http://schemas.openxmlformats.org/officeDocument/2006/relationships/customXml" Target="../customXml/item2.xml"/><Relationship Id="rId21" Type="http://schemas.openxmlformats.org/officeDocument/2006/relationships/image" Target="media/image16.png"/><Relationship Id="rId34" Type="http://schemas.openxmlformats.org/officeDocument/2006/relationships/hyperlink" Target="http://joboutlook.gov.au/" TargetMode="Externa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hyperlink" Target="http://www.employment.gov.au/australian-jobs-publication" TargetMode="External"/><Relationship Id="rId38"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hyperlink" Target="mailto:recruitmentsurveys@employment.gov.au" TargetMode="Externa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hyperlink" Target="http://www.employment.gov.au/regionalreport" TargetMode="External"/><Relationship Id="rId37" Type="http://schemas.openxmlformats.org/officeDocument/2006/relationships/theme" Target="theme/theme1.xml"/><Relationship Id="rId40"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hyperlink" Target="http://www.employment.gov.au/skill-shortages"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hyperlink" Target="http://www.employment.gov.au/labour-market-information-portal" TargetMode="External"/><Relationship Id="rId35" Type="http://schemas.openxmlformats.org/officeDocument/2006/relationships/image" Target="media/image24.png"/><Relationship Id="rId8" Type="http://schemas.openxmlformats.org/officeDocument/2006/relationships/image" Target="media/image3.png"/><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63FBCD-889C-4CE8-883F-2F381F406375}"/>
</file>

<file path=customXml/itemProps2.xml><?xml version="1.0" encoding="utf-8"?>
<ds:datastoreItem xmlns:ds="http://schemas.openxmlformats.org/officeDocument/2006/customXml" ds:itemID="{4CAE9B43-955E-4FA6-86B0-852ABA8CACFD}"/>
</file>

<file path=customXml/itemProps3.xml><?xml version="1.0" encoding="utf-8"?>
<ds:datastoreItem xmlns:ds="http://schemas.openxmlformats.org/officeDocument/2006/customXml" ds:itemID="{B569524D-DC36-4007-89BF-A2039866CC12}"/>
</file>

<file path=docProps/app.xml><?xml version="1.0" encoding="utf-8"?>
<Properties xmlns="http://schemas.openxmlformats.org/officeDocument/2006/extended-properties" xmlns:vt="http://schemas.openxmlformats.org/officeDocument/2006/docPropsVTypes">
  <Template>1F570F4D.dotm</Template>
  <TotalTime>554</TotalTime>
  <Pages>34</Pages>
  <Words>3763</Words>
  <Characters>20801</Characters>
  <Application>Microsoft Office Word</Application>
  <DocSecurity>0</DocSecurity>
  <Lines>173</Lines>
  <Paragraphs>49</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24515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Cash</dc:creator>
  <cp:lastModifiedBy>Rebecca Cash</cp:lastModifiedBy>
  <cp:revision>15</cp:revision>
  <cp:lastPrinted>2014-06-16T04:48:00Z</cp:lastPrinted>
  <dcterms:created xsi:type="dcterms:W3CDTF">2014-09-08T22:40:00Z</dcterms:created>
  <dcterms:modified xsi:type="dcterms:W3CDTF">2014-09-16T00:05:00Z</dcterms:modified>
</cp:coreProperties>
</file>