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938E3" w14:textId="3627C375" w:rsidR="00DB3091" w:rsidRPr="00DB3091" w:rsidRDefault="00DB3091" w:rsidP="006057D3">
      <w:pPr>
        <w:pStyle w:val="ListBullet"/>
        <w:numPr>
          <w:ilvl w:val="0"/>
          <w:numId w:val="0"/>
        </w:numPr>
        <w:spacing w:after="360"/>
        <w:jc w:val="both"/>
        <w:rPr>
          <w:rFonts w:ascii="Calibri" w:eastAsiaTheme="majorEastAsia" w:hAnsi="Calibri" w:cstheme="majorBidi"/>
          <w:b/>
          <w:bCs/>
          <w:color w:val="003D6B"/>
          <w:sz w:val="16"/>
          <w:szCs w:val="16"/>
        </w:rPr>
      </w:pPr>
      <w:bookmarkStart w:id="0" w:name="_Toc364946115"/>
      <w:r w:rsidRPr="00DB3091">
        <w:rPr>
          <w:noProof/>
          <w:sz w:val="16"/>
          <w:szCs w:val="16"/>
          <w:lang w:eastAsia="en-AU"/>
        </w:rPr>
        <w:drawing>
          <wp:anchor distT="0" distB="0" distL="114300" distR="114300" simplePos="0" relativeHeight="251674624" behindDoc="1" locked="0" layoutInCell="1" allowOverlap="1" wp14:anchorId="541639BC" wp14:editId="2AC2ECC6">
            <wp:simplePos x="0" y="0"/>
            <wp:positionH relativeFrom="column">
              <wp:posOffset>-316865</wp:posOffset>
            </wp:positionH>
            <wp:positionV relativeFrom="paragraph">
              <wp:posOffset>-546100</wp:posOffset>
            </wp:positionV>
            <wp:extent cx="7467600" cy="1144905"/>
            <wp:effectExtent l="0" t="0" r="0" b="0"/>
            <wp:wrapNone/>
            <wp:docPr id="7" name="Picture 7" title="Australian Government, Department of Employment. Labour Market Conditions in the Illawarra Priority Employment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67600" cy="1144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B4E3E" w14:textId="03FD1ABD" w:rsidR="00E73EA4" w:rsidRPr="005B024E" w:rsidRDefault="00E73EA4" w:rsidP="006057D3">
      <w:pPr>
        <w:pStyle w:val="ListBullet"/>
        <w:numPr>
          <w:ilvl w:val="0"/>
          <w:numId w:val="0"/>
        </w:numPr>
        <w:spacing w:after="360"/>
        <w:jc w:val="both"/>
        <w:rPr>
          <w:rFonts w:ascii="Calibri" w:eastAsiaTheme="majorEastAsia" w:hAnsi="Calibri" w:cstheme="majorBidi"/>
          <w:b/>
          <w:bCs/>
          <w:color w:val="003D6B"/>
          <w:sz w:val="32"/>
          <w:szCs w:val="28"/>
        </w:rPr>
      </w:pPr>
      <w:r>
        <w:rPr>
          <w:rFonts w:ascii="Calibri" w:eastAsiaTheme="majorEastAsia" w:hAnsi="Calibri" w:cstheme="majorBidi"/>
          <w:b/>
          <w:bCs/>
          <w:color w:val="003D6B"/>
          <w:sz w:val="32"/>
          <w:szCs w:val="28"/>
        </w:rPr>
        <w:t xml:space="preserve">Labour </w:t>
      </w:r>
      <w:r w:rsidRPr="00E73EA4">
        <w:rPr>
          <w:rFonts w:ascii="Calibri" w:eastAsiaTheme="majorEastAsia" w:hAnsi="Calibri" w:cstheme="majorBidi"/>
          <w:b/>
          <w:bCs/>
          <w:color w:val="003D6B"/>
          <w:sz w:val="32"/>
          <w:szCs w:val="28"/>
        </w:rPr>
        <w:t>Market Conditions in the Illawarra Priority Employment Area</w:t>
      </w:r>
    </w:p>
    <w:p w14:paraId="305A8B54" w14:textId="77777777" w:rsidR="006057D3" w:rsidRPr="006057D3" w:rsidRDefault="006057D3" w:rsidP="006057D3">
      <w:pPr>
        <w:pStyle w:val="ListBullet"/>
        <w:numPr>
          <w:ilvl w:val="0"/>
          <w:numId w:val="0"/>
        </w:numPr>
        <w:spacing w:after="360"/>
        <w:jc w:val="both"/>
        <w:rPr>
          <w:sz w:val="4"/>
          <w:szCs w:val="4"/>
        </w:rPr>
      </w:pPr>
    </w:p>
    <w:p w14:paraId="20B74DDE" w14:textId="095C3206" w:rsidR="002A352B" w:rsidRPr="007359FB" w:rsidRDefault="00527BD7" w:rsidP="000F09AD">
      <w:pPr>
        <w:pStyle w:val="ListBullet"/>
        <w:numPr>
          <w:ilvl w:val="0"/>
          <w:numId w:val="0"/>
        </w:numPr>
        <w:spacing w:after="80"/>
        <w:jc w:val="both"/>
        <w:rPr>
          <w:rFonts w:cstheme="minorHAnsi"/>
          <w:noProof/>
          <w:lang w:eastAsia="en-AU"/>
        </w:rPr>
      </w:pPr>
      <w:r w:rsidRPr="007359FB">
        <w:rPr>
          <w:rFonts w:cstheme="minorHAnsi"/>
          <w:noProof/>
          <w:lang w:eastAsia="en-AU"/>
        </w:rPr>
        <mc:AlternateContent>
          <mc:Choice Requires="wps">
            <w:drawing>
              <wp:anchor distT="0" distB="0" distL="114300" distR="114300" simplePos="0" relativeHeight="251663360" behindDoc="0" locked="0" layoutInCell="1" allowOverlap="1" wp14:anchorId="69B1F437" wp14:editId="2E0DFF34">
                <wp:simplePos x="0" y="0"/>
                <wp:positionH relativeFrom="column">
                  <wp:posOffset>5831205</wp:posOffset>
                </wp:positionH>
                <wp:positionV relativeFrom="paragraph">
                  <wp:posOffset>176530</wp:posOffset>
                </wp:positionV>
                <wp:extent cx="857250" cy="41783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17830"/>
                        </a:xfrm>
                        <a:prstGeom prst="rect">
                          <a:avLst/>
                        </a:prstGeom>
                        <a:noFill/>
                        <a:ln w="9525">
                          <a:noFill/>
                          <a:miter lim="800000"/>
                          <a:headEnd/>
                          <a:tailEnd/>
                        </a:ln>
                      </wps:spPr>
                      <wps:txbx>
                        <w:txbxContent>
                          <w:p w14:paraId="1EF5D575" w14:textId="56D657F5" w:rsidR="002A352B" w:rsidRPr="00E207BD" w:rsidRDefault="002A352B" w:rsidP="002A352B">
                            <w:pPr>
                              <w:jc w:val="cente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9.15pt;margin-top:13.9pt;width:67.5pt;height:3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" filled="f" stroked="f">
                <v:textbox>
                  <w:txbxContent>
                    <w:p w14:paraId="1EF5D575" w14:textId="56D657F5" w:rsidR="002A352B" w:rsidRPr="00E207BD" w:rsidRDefault="002A352B" w:rsidP="002A352B">
                      <w:pPr>
                        <w:jc w:val="center"/>
                        <w:rPr>
                          <w:b/>
                          <w:sz w:val="18"/>
                        </w:rPr>
                      </w:pPr>
                    </w:p>
                  </w:txbxContent>
                </v:textbox>
              </v:shape>
            </w:pict>
          </mc:Fallback>
        </mc:AlternateContent>
      </w:r>
      <w:r w:rsidR="002A352B" w:rsidRPr="007359FB">
        <w:rPr>
          <w:rFonts w:cstheme="minorHAnsi"/>
        </w:rPr>
        <w:t>Labour market conditions in the Illawarra Priority Employment Area (PEA) remain subdued.</w:t>
      </w:r>
    </w:p>
    <w:p w14:paraId="333313E4" w14:textId="30F7D0B2" w:rsidR="002A352B" w:rsidRPr="007359FB" w:rsidRDefault="0029768C" w:rsidP="000F09AD">
      <w:pPr>
        <w:pStyle w:val="ListBullet"/>
        <w:numPr>
          <w:ilvl w:val="0"/>
          <w:numId w:val="25"/>
        </w:numPr>
        <w:spacing w:after="80"/>
        <w:jc w:val="both"/>
        <w:rPr>
          <w:rFonts w:cstheme="minorHAnsi"/>
        </w:rPr>
      </w:pPr>
      <w:bookmarkStart w:id="1" w:name="_GoBack"/>
      <w:r>
        <w:rPr>
          <w:rFonts w:cstheme="minorHAnsi"/>
          <w:noProof/>
          <w:lang w:eastAsia="en-AU"/>
        </w:rPr>
        <w:drawing>
          <wp:anchor distT="0" distB="0" distL="114300" distR="114300" simplePos="0" relativeHeight="251673600" behindDoc="1" locked="0" layoutInCell="1" allowOverlap="1" wp14:anchorId="0E43F537" wp14:editId="6A042CC1">
            <wp:simplePos x="0" y="0"/>
            <wp:positionH relativeFrom="column">
              <wp:posOffset>6059805</wp:posOffset>
            </wp:positionH>
            <wp:positionV relativeFrom="paragraph">
              <wp:posOffset>29210</wp:posOffset>
            </wp:positionV>
            <wp:extent cx="1076325" cy="1533525"/>
            <wp:effectExtent l="0" t="0" r="9525" b="9525"/>
            <wp:wrapTight wrapText="bothSides">
              <wp:wrapPolygon edited="0">
                <wp:start x="0" y="0"/>
                <wp:lineTo x="0" y="21466"/>
                <wp:lineTo x="21409" y="21466"/>
                <wp:lineTo x="21409" y="0"/>
                <wp:lineTo x="0" y="0"/>
              </wp:wrapPolygon>
            </wp:wrapTight>
            <wp:docPr id="6" name="Picture 6" title="Map of Illawarra Priority Employment Area Highlighting Wollong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awarra PEA.png"/>
                    <pic:cNvPicPr/>
                  </pic:nvPicPr>
                  <pic:blipFill>
                    <a:blip r:embed="rId13">
                      <a:extLst>
                        <a:ext uri="{28A0092B-C50C-407E-A947-70E740481C1C}">
                          <a14:useLocalDpi xmlns:a14="http://schemas.microsoft.com/office/drawing/2010/main" val="0"/>
                        </a:ext>
                      </a:extLst>
                    </a:blip>
                    <a:stretch>
                      <a:fillRect/>
                    </a:stretch>
                  </pic:blipFill>
                  <pic:spPr>
                    <a:xfrm>
                      <a:off x="0" y="0"/>
                      <a:ext cx="1076325" cy="1533525"/>
                    </a:xfrm>
                    <a:prstGeom prst="rect">
                      <a:avLst/>
                    </a:prstGeom>
                  </pic:spPr>
                </pic:pic>
              </a:graphicData>
            </a:graphic>
            <wp14:sizeRelH relativeFrom="page">
              <wp14:pctWidth>0</wp14:pctWidth>
            </wp14:sizeRelH>
            <wp14:sizeRelV relativeFrom="page">
              <wp14:pctHeight>0</wp14:pctHeight>
            </wp14:sizeRelV>
          </wp:anchor>
        </w:drawing>
      </w:r>
      <w:bookmarkEnd w:id="1"/>
      <w:r w:rsidR="002A352B" w:rsidRPr="007359FB">
        <w:rPr>
          <w:rFonts w:cstheme="minorHAnsi"/>
        </w:rPr>
        <w:t xml:space="preserve">The unemployment </w:t>
      </w:r>
      <w:r w:rsidR="001B33D7">
        <w:rPr>
          <w:rFonts w:cstheme="minorHAnsi"/>
        </w:rPr>
        <w:t>stood</w:t>
      </w:r>
      <w:r w:rsidR="002A352B" w:rsidRPr="007359FB">
        <w:rPr>
          <w:rFonts w:cstheme="minorHAnsi"/>
        </w:rPr>
        <w:t xml:space="preserve"> at 7.7 per cent</w:t>
      </w:r>
      <w:r w:rsidR="001B33D7">
        <w:rPr>
          <w:rFonts w:cstheme="minorHAnsi"/>
        </w:rPr>
        <w:t xml:space="preserve"> in December 2013</w:t>
      </w:r>
      <w:r w:rsidR="00E73EA4" w:rsidRPr="007359FB">
        <w:rPr>
          <w:rFonts w:cstheme="minorHAnsi"/>
        </w:rPr>
        <w:t xml:space="preserve">, </w:t>
      </w:r>
      <w:r w:rsidR="002A352B" w:rsidRPr="007359FB">
        <w:rPr>
          <w:rFonts w:cstheme="minorHAnsi"/>
        </w:rPr>
        <w:t>well above the rate for New South Wales (5.8 per cent).</w:t>
      </w:r>
      <w:r w:rsidR="008F5667" w:rsidRPr="007359FB">
        <w:rPr>
          <w:rStyle w:val="FootnoteReference"/>
          <w:rFonts w:cstheme="minorHAnsi"/>
        </w:rPr>
        <w:footnoteReference w:id="1"/>
      </w:r>
      <w:r w:rsidR="002A352B" w:rsidRPr="007359FB">
        <w:rPr>
          <w:rFonts w:cstheme="minorHAnsi"/>
        </w:rPr>
        <w:t xml:space="preserve"> </w:t>
      </w:r>
      <w:r w:rsidR="001B33D7">
        <w:rPr>
          <w:rFonts w:cstheme="minorHAnsi"/>
        </w:rPr>
        <w:t>I</w:t>
      </w:r>
      <w:r w:rsidR="00C12C36" w:rsidRPr="007359FB">
        <w:rPr>
          <w:rFonts w:cstheme="minorHAnsi"/>
        </w:rPr>
        <w:t>n the Shoalhaven Local Government Area</w:t>
      </w:r>
      <w:r w:rsidR="001B33D7">
        <w:rPr>
          <w:rFonts w:cstheme="minorHAnsi"/>
        </w:rPr>
        <w:t>, the unemployment rate</w:t>
      </w:r>
      <w:r w:rsidR="002D6D3F" w:rsidRPr="007359FB">
        <w:rPr>
          <w:rFonts w:cstheme="minorHAnsi"/>
        </w:rPr>
        <w:t xml:space="preserve"> </w:t>
      </w:r>
      <w:r w:rsidR="001B33D7">
        <w:rPr>
          <w:rFonts w:cstheme="minorHAnsi"/>
        </w:rPr>
        <w:t>now</w:t>
      </w:r>
      <w:r w:rsidR="00083B6D" w:rsidRPr="007359FB">
        <w:rPr>
          <w:rFonts w:cstheme="minorHAnsi"/>
        </w:rPr>
        <w:t xml:space="preserve"> stands </w:t>
      </w:r>
      <w:r w:rsidR="00C12C36" w:rsidRPr="007359FB">
        <w:rPr>
          <w:rFonts w:cstheme="minorHAnsi"/>
        </w:rPr>
        <w:t xml:space="preserve">at </w:t>
      </w:r>
      <w:r w:rsidR="002A352B" w:rsidRPr="007359FB">
        <w:rPr>
          <w:rFonts w:cstheme="minorHAnsi"/>
        </w:rPr>
        <w:t>10</w:t>
      </w:r>
      <w:r w:rsidR="00083B6D" w:rsidRPr="007359FB">
        <w:rPr>
          <w:rFonts w:cstheme="minorHAnsi"/>
        </w:rPr>
        <w:t>.4 per cent.</w:t>
      </w:r>
      <w:r w:rsidR="00E65F9D" w:rsidRPr="00E65F9D">
        <w:rPr>
          <w:rFonts w:cstheme="minorHAnsi"/>
          <w:noProof/>
          <w:vertAlign w:val="superscript"/>
          <w:lang w:eastAsia="en-AU"/>
        </w:rPr>
        <w:t xml:space="preserve"> </w:t>
      </w:r>
    </w:p>
    <w:p w14:paraId="498EEE4A" w14:textId="2ED43AF8" w:rsidR="002A352B" w:rsidRPr="007359FB" w:rsidRDefault="002A352B" w:rsidP="000F09AD">
      <w:pPr>
        <w:pStyle w:val="ListBullet"/>
        <w:numPr>
          <w:ilvl w:val="0"/>
          <w:numId w:val="25"/>
        </w:numPr>
        <w:spacing w:after="0"/>
        <w:contextualSpacing w:val="0"/>
        <w:jc w:val="both"/>
        <w:rPr>
          <w:rFonts w:cstheme="minorHAnsi"/>
        </w:rPr>
      </w:pPr>
      <w:r w:rsidRPr="007359FB">
        <w:rPr>
          <w:rFonts w:cstheme="minorHAnsi"/>
        </w:rPr>
        <w:t>The working age participation rate is also lower than that for New South Wales (71.1</w:t>
      </w:r>
      <w:r w:rsidR="00C12C36" w:rsidRPr="007359FB">
        <w:rPr>
          <w:rFonts w:cstheme="minorHAnsi"/>
        </w:rPr>
        <w:t xml:space="preserve"> </w:t>
      </w:r>
      <w:r w:rsidRPr="007359FB">
        <w:rPr>
          <w:rFonts w:cstheme="minorHAnsi"/>
        </w:rPr>
        <w:t>per cent compared with 74.4 per cent).</w:t>
      </w:r>
      <w:r w:rsidR="008F5667" w:rsidRPr="007359FB">
        <w:rPr>
          <w:rStyle w:val="FootnoteReference"/>
          <w:rFonts w:cstheme="minorHAnsi"/>
        </w:rPr>
        <w:footnoteReference w:id="2"/>
      </w:r>
    </w:p>
    <w:p w14:paraId="0B586C45" w14:textId="22E00F4C" w:rsidR="002A352B" w:rsidRPr="007359FB" w:rsidRDefault="002A352B" w:rsidP="00C82372">
      <w:pPr>
        <w:pStyle w:val="ListBullet"/>
        <w:numPr>
          <w:ilvl w:val="0"/>
          <w:numId w:val="0"/>
        </w:numPr>
        <w:jc w:val="both"/>
        <w:rPr>
          <w:rFonts w:cstheme="minorHAnsi"/>
        </w:rPr>
      </w:pPr>
      <w:r w:rsidRPr="007359FB">
        <w:rPr>
          <w:rFonts w:cstheme="minorHAnsi"/>
        </w:rPr>
        <w:t>There are structural changes occurring across industries</w:t>
      </w:r>
      <w:r w:rsidR="00867855" w:rsidRPr="007359FB">
        <w:rPr>
          <w:rFonts w:cstheme="minorHAnsi"/>
        </w:rPr>
        <w:t>.</w:t>
      </w:r>
      <w:r w:rsidR="008F5667" w:rsidRPr="007359FB">
        <w:rPr>
          <w:rStyle w:val="FootnoteReference"/>
          <w:rFonts w:cstheme="minorHAnsi"/>
        </w:rPr>
        <w:footnoteReference w:id="3"/>
      </w:r>
    </w:p>
    <w:p w14:paraId="5A3E4F4F" w14:textId="698E1B96" w:rsidR="002A352B" w:rsidRPr="00885CB1" w:rsidRDefault="002A352B" w:rsidP="00C82372">
      <w:pPr>
        <w:pStyle w:val="ListBullet"/>
        <w:numPr>
          <w:ilvl w:val="0"/>
          <w:numId w:val="25"/>
        </w:numPr>
        <w:spacing w:after="80"/>
        <w:jc w:val="both"/>
        <w:rPr>
          <w:rFonts w:cstheme="minorHAnsi"/>
        </w:rPr>
      </w:pPr>
      <w:r w:rsidRPr="007359FB">
        <w:rPr>
          <w:rFonts w:cstheme="minorHAnsi"/>
        </w:rPr>
        <w:t xml:space="preserve">Following strong </w:t>
      </w:r>
      <w:r w:rsidRPr="00885CB1">
        <w:rPr>
          <w:rFonts w:cstheme="minorHAnsi"/>
        </w:rPr>
        <w:t xml:space="preserve">growth in recent years, Health Care and Social Assistance is </w:t>
      </w:r>
      <w:r w:rsidR="0018313D" w:rsidRPr="00885CB1">
        <w:rPr>
          <w:rFonts w:cstheme="minorHAnsi"/>
        </w:rPr>
        <w:t xml:space="preserve">now </w:t>
      </w:r>
      <w:r w:rsidRPr="00885CB1">
        <w:rPr>
          <w:rFonts w:cstheme="minorHAnsi"/>
        </w:rPr>
        <w:t>the largest employing industry, accounting for 1</w:t>
      </w:r>
      <w:r w:rsidR="00021FD0" w:rsidRPr="00885CB1">
        <w:rPr>
          <w:rFonts w:cstheme="minorHAnsi"/>
        </w:rPr>
        <w:t>5</w:t>
      </w:r>
      <w:r w:rsidRPr="00885CB1">
        <w:rPr>
          <w:rFonts w:cstheme="minorHAnsi"/>
        </w:rPr>
        <w:t xml:space="preserve"> per cent of total employment</w:t>
      </w:r>
      <w:r w:rsidR="00867855" w:rsidRPr="00885CB1">
        <w:rPr>
          <w:rFonts w:cstheme="minorHAnsi"/>
        </w:rPr>
        <w:t xml:space="preserve"> across the broader region</w:t>
      </w:r>
      <w:r w:rsidRPr="00885CB1">
        <w:rPr>
          <w:rFonts w:cstheme="minorHAnsi"/>
        </w:rPr>
        <w:t>.</w:t>
      </w:r>
    </w:p>
    <w:p w14:paraId="7E941DC1" w14:textId="58F37075" w:rsidR="003C5024" w:rsidRPr="00885CB1" w:rsidRDefault="003C5024" w:rsidP="00C82372">
      <w:pPr>
        <w:pStyle w:val="ListParagraph"/>
        <w:numPr>
          <w:ilvl w:val="0"/>
          <w:numId w:val="25"/>
        </w:numPr>
        <w:spacing w:after="240"/>
      </w:pPr>
      <w:r w:rsidRPr="00885CB1">
        <w:t xml:space="preserve">Employment in Manufacturing decreased by </w:t>
      </w:r>
      <w:r w:rsidR="001525A3" w:rsidRPr="00885CB1">
        <w:t>5</w:t>
      </w:r>
      <w:r w:rsidRPr="00885CB1">
        <w:t xml:space="preserve"> per cent</w:t>
      </w:r>
      <w:r w:rsidR="00C832B4" w:rsidRPr="00885CB1">
        <w:t xml:space="preserve"> over the past 10 years</w:t>
      </w:r>
      <w:r w:rsidRPr="00885CB1">
        <w:t>. Despite this, th</w:t>
      </w:r>
      <w:r w:rsidR="001525A3" w:rsidRPr="00885CB1">
        <w:t>e</w:t>
      </w:r>
      <w:r w:rsidRPr="00885CB1">
        <w:t xml:space="preserve"> industr</w:t>
      </w:r>
      <w:r w:rsidR="001525A3" w:rsidRPr="00885CB1">
        <w:t>y</w:t>
      </w:r>
      <w:r w:rsidRPr="00885CB1">
        <w:t xml:space="preserve"> </w:t>
      </w:r>
      <w:r w:rsidR="00C832B4" w:rsidRPr="00885CB1">
        <w:t xml:space="preserve">still </w:t>
      </w:r>
      <w:r w:rsidRPr="00885CB1">
        <w:t>account</w:t>
      </w:r>
      <w:r w:rsidR="00656CE4" w:rsidRPr="00885CB1">
        <w:t>s</w:t>
      </w:r>
      <w:r w:rsidRPr="00885CB1">
        <w:t xml:space="preserve"> for 8 per cent of total employment</w:t>
      </w:r>
      <w:r w:rsidR="00C832B4" w:rsidRPr="00885CB1">
        <w:t xml:space="preserve"> although its share of total employment has fallen from 13 per cent in that period</w:t>
      </w:r>
      <w:r w:rsidRPr="00885CB1">
        <w:t>.</w:t>
      </w:r>
    </w:p>
    <w:bookmarkStart w:id="2" w:name="_Toc364946116"/>
    <w:bookmarkEnd w:id="0"/>
    <w:p w14:paraId="04CA3677" w14:textId="5DAF47BB" w:rsidR="001415F8" w:rsidRPr="00885CB1" w:rsidRDefault="001415F8" w:rsidP="006057D3">
      <w:pPr>
        <w:spacing w:after="120"/>
        <w:contextualSpacing/>
        <w:rPr>
          <w:rFonts w:ascii="Calibri" w:eastAsiaTheme="majorEastAsia" w:hAnsi="Calibri" w:cstheme="majorBidi"/>
          <w:b/>
          <w:bCs/>
          <w:color w:val="002060"/>
          <w:sz w:val="32"/>
          <w:szCs w:val="28"/>
        </w:rPr>
      </w:pPr>
      <w:r w:rsidRPr="00885CB1">
        <w:rPr>
          <w:noProof/>
          <w:sz w:val="32"/>
          <w:lang w:eastAsia="en-AU"/>
        </w:rPr>
        <mc:AlternateContent>
          <mc:Choice Requires="wps">
            <w:drawing>
              <wp:anchor distT="0" distB="0" distL="114300" distR="114300" simplePos="0" relativeHeight="251668480" behindDoc="0" locked="0" layoutInCell="1" allowOverlap="1" wp14:anchorId="25FA3B68" wp14:editId="00E02D2A">
                <wp:simplePos x="0" y="0"/>
                <wp:positionH relativeFrom="column">
                  <wp:posOffset>-22588</wp:posOffset>
                </wp:positionH>
                <wp:positionV relativeFrom="paragraph">
                  <wp:posOffset>247831</wp:posOffset>
                </wp:positionV>
                <wp:extent cx="6498772" cy="10796"/>
                <wp:effectExtent l="0" t="0" r="16510" b="27305"/>
                <wp:wrapNone/>
                <wp:docPr id="10" name="Straight Connector 10"/>
                <wp:cNvGraphicFramePr/>
                <a:graphic xmlns:a="http://schemas.openxmlformats.org/drawingml/2006/main">
                  <a:graphicData uri="http://schemas.microsoft.com/office/word/2010/wordprocessingShape">
                    <wps:wsp>
                      <wps:cNvCnPr/>
                      <wps:spPr>
                        <a:xfrm flipV="1">
                          <a:off x="0" y="0"/>
                          <a:ext cx="6498772" cy="107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9.5pt" to="509.9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" strokecolor="#155280 [3044]"/>
            </w:pict>
          </mc:Fallback>
        </mc:AlternateContent>
      </w:r>
      <w:r w:rsidRPr="00885CB1">
        <w:rPr>
          <w:rFonts w:ascii="Calibri" w:eastAsiaTheme="majorEastAsia" w:hAnsi="Calibri" w:cstheme="majorBidi"/>
          <w:b/>
          <w:bCs/>
          <w:color w:val="003D6B"/>
          <w:sz w:val="32"/>
          <w:szCs w:val="28"/>
        </w:rPr>
        <w:t>What employers are telling us?</w:t>
      </w:r>
    </w:p>
    <w:bookmarkEnd w:id="2"/>
    <w:p w14:paraId="2A858665" w14:textId="6203EDAC" w:rsidR="001415F8" w:rsidRPr="00885CB1" w:rsidRDefault="001415F8" w:rsidP="000F09AD">
      <w:pPr>
        <w:pStyle w:val="ListBullet"/>
        <w:numPr>
          <w:ilvl w:val="0"/>
          <w:numId w:val="0"/>
        </w:numPr>
        <w:jc w:val="both"/>
        <w:rPr>
          <w:rFonts w:cstheme="minorHAnsi"/>
        </w:rPr>
      </w:pPr>
      <w:r w:rsidRPr="00885CB1">
        <w:rPr>
          <w:rFonts w:cstheme="minorHAnsi"/>
        </w:rPr>
        <w:t>The survey results suggest that recruitment acti</w:t>
      </w:r>
      <w:r w:rsidR="00A436E3" w:rsidRPr="00885CB1">
        <w:rPr>
          <w:rFonts w:cstheme="minorHAnsi"/>
        </w:rPr>
        <w:t>vity in the Illawarra PEA is</w:t>
      </w:r>
      <w:r w:rsidRPr="00885CB1">
        <w:rPr>
          <w:rFonts w:cstheme="minorHAnsi"/>
        </w:rPr>
        <w:t xml:space="preserve"> </w:t>
      </w:r>
      <w:r w:rsidR="00E73EA4" w:rsidRPr="00885CB1">
        <w:rPr>
          <w:rFonts w:cstheme="minorHAnsi"/>
        </w:rPr>
        <w:t>soft</w:t>
      </w:r>
      <w:r w:rsidR="00C12C36" w:rsidRPr="00885CB1">
        <w:rPr>
          <w:rFonts w:cstheme="minorHAnsi"/>
        </w:rPr>
        <w:t xml:space="preserve"> and there are</w:t>
      </w:r>
      <w:r w:rsidR="00A436E3" w:rsidRPr="00885CB1">
        <w:rPr>
          <w:rFonts w:cstheme="minorHAnsi"/>
        </w:rPr>
        <w:t xml:space="preserve"> signs of </w:t>
      </w:r>
      <w:r w:rsidR="00867855" w:rsidRPr="00885CB1">
        <w:rPr>
          <w:rFonts w:cstheme="minorHAnsi"/>
        </w:rPr>
        <w:t xml:space="preserve">further </w:t>
      </w:r>
      <w:r w:rsidR="00A436E3" w:rsidRPr="00885CB1">
        <w:rPr>
          <w:rFonts w:cstheme="minorHAnsi"/>
        </w:rPr>
        <w:t>weakening</w:t>
      </w:r>
      <w:r w:rsidR="008F5667" w:rsidRPr="00885CB1">
        <w:rPr>
          <w:rStyle w:val="FootnoteReference"/>
          <w:rFonts w:cstheme="minorHAnsi"/>
        </w:rPr>
        <w:footnoteReference w:id="4"/>
      </w:r>
      <w:r w:rsidR="00A436E3" w:rsidRPr="00885CB1">
        <w:rPr>
          <w:rFonts w:cstheme="minorHAnsi"/>
        </w:rPr>
        <w:t>.</w:t>
      </w:r>
    </w:p>
    <w:p w14:paraId="1160653A" w14:textId="5B793E9B" w:rsidR="00C12C36" w:rsidRPr="00885CB1" w:rsidRDefault="00C12C36" w:rsidP="000F09AD">
      <w:pPr>
        <w:pStyle w:val="ListBullet"/>
        <w:numPr>
          <w:ilvl w:val="0"/>
          <w:numId w:val="35"/>
        </w:numPr>
        <w:jc w:val="both"/>
        <w:rPr>
          <w:rFonts w:cstheme="minorHAnsi"/>
        </w:rPr>
      </w:pPr>
      <w:r w:rsidRPr="00885CB1">
        <w:rPr>
          <w:rFonts w:cstheme="minorHAnsi"/>
        </w:rPr>
        <w:t>Only 56 per cent of employers</w:t>
      </w:r>
      <w:r w:rsidR="00C832B4" w:rsidRPr="00885CB1">
        <w:rPr>
          <w:rFonts w:cstheme="minorHAnsi"/>
        </w:rPr>
        <w:t xml:space="preserve"> had</w:t>
      </w:r>
      <w:r w:rsidRPr="00885CB1">
        <w:rPr>
          <w:rFonts w:cstheme="minorHAnsi"/>
        </w:rPr>
        <w:t xml:space="preserve"> recruited in the past 12 months.  </w:t>
      </w:r>
    </w:p>
    <w:p w14:paraId="051EC843" w14:textId="0019DFB4" w:rsidR="001415F8" w:rsidRPr="007359FB" w:rsidRDefault="001415F8" w:rsidP="000F09AD">
      <w:pPr>
        <w:pStyle w:val="ListBullet"/>
        <w:numPr>
          <w:ilvl w:val="0"/>
          <w:numId w:val="25"/>
        </w:numPr>
        <w:spacing w:after="80"/>
        <w:jc w:val="both"/>
        <w:rPr>
          <w:rFonts w:cstheme="minorHAnsi"/>
        </w:rPr>
      </w:pPr>
      <w:r w:rsidRPr="00885CB1">
        <w:rPr>
          <w:rFonts w:cstheme="minorHAnsi"/>
        </w:rPr>
        <w:t>A smaller proportion of recruiting employers</w:t>
      </w:r>
      <w:r w:rsidRPr="007359FB">
        <w:rPr>
          <w:rFonts w:cstheme="minorHAnsi"/>
        </w:rPr>
        <w:t xml:space="preserve"> reported recruitment difficulty than when the region was</w:t>
      </w:r>
      <w:r w:rsidR="00083B6D" w:rsidRPr="007359FB">
        <w:rPr>
          <w:rFonts w:cstheme="minorHAnsi"/>
        </w:rPr>
        <w:t xml:space="preserve"> last</w:t>
      </w:r>
      <w:r w:rsidRPr="007359FB">
        <w:rPr>
          <w:rFonts w:cstheme="minorHAnsi"/>
        </w:rPr>
        <w:t xml:space="preserve"> surveyed in 2013 and </w:t>
      </w:r>
      <w:r w:rsidR="00C954AE">
        <w:rPr>
          <w:rFonts w:cstheme="minorHAnsi"/>
        </w:rPr>
        <w:t>the rate of unfilled vacancies had almost halved</w:t>
      </w:r>
      <w:r w:rsidRPr="007359FB">
        <w:rPr>
          <w:rFonts w:cstheme="minorHAnsi"/>
        </w:rPr>
        <w:t xml:space="preserve">. </w:t>
      </w:r>
    </w:p>
    <w:p w14:paraId="08F552A3" w14:textId="708A48B7" w:rsidR="001415F8" w:rsidRPr="007359FB" w:rsidRDefault="00C954AE" w:rsidP="000F09AD">
      <w:pPr>
        <w:pStyle w:val="ListBullet"/>
        <w:numPr>
          <w:ilvl w:val="0"/>
          <w:numId w:val="25"/>
        </w:numPr>
        <w:spacing w:after="80"/>
        <w:jc w:val="both"/>
        <w:rPr>
          <w:rFonts w:cstheme="minorHAnsi"/>
        </w:rPr>
      </w:pPr>
      <w:r>
        <w:rPr>
          <w:rFonts w:cstheme="minorHAnsi"/>
        </w:rPr>
        <w:t>In addition</w:t>
      </w:r>
      <w:r w:rsidR="001415F8" w:rsidRPr="007359FB">
        <w:rPr>
          <w:rFonts w:cstheme="minorHAnsi"/>
        </w:rPr>
        <w:t>, a smaller proportion of employers had increased staff numbers in the 12 month</w:t>
      </w:r>
      <w:r w:rsidR="001525A3">
        <w:rPr>
          <w:rFonts w:cstheme="minorHAnsi"/>
        </w:rPr>
        <w:t>s</w:t>
      </w:r>
      <w:r w:rsidR="001415F8" w:rsidRPr="007359FB">
        <w:rPr>
          <w:rFonts w:cstheme="minorHAnsi"/>
        </w:rPr>
        <w:t xml:space="preserve"> prior to the survey compared with the results from 2013.</w:t>
      </w:r>
    </w:p>
    <w:tbl>
      <w:tblPr>
        <w:tblStyle w:val="TableGrid"/>
        <w:tblW w:w="10563" w:type="dxa"/>
        <w:tblLook w:val="04A0" w:firstRow="1" w:lastRow="0" w:firstColumn="1" w:lastColumn="0" w:noHBand="0" w:noVBand="1"/>
      </w:tblPr>
      <w:tblGrid>
        <w:gridCol w:w="4077"/>
        <w:gridCol w:w="2410"/>
        <w:gridCol w:w="2228"/>
        <w:gridCol w:w="1848"/>
      </w:tblGrid>
      <w:tr w:rsidR="009D5908" w:rsidRPr="007274A3" w14:paraId="50B32115" w14:textId="77777777" w:rsidTr="00DB3091">
        <w:trPr>
          <w:trHeight w:val="343"/>
        </w:trPr>
        <w:tc>
          <w:tcPr>
            <w:tcW w:w="4077" w:type="dxa"/>
            <w:vMerge w:val="restart"/>
            <w:shd w:val="clear" w:color="auto" w:fill="073D7F"/>
            <w:vAlign w:val="center"/>
          </w:tcPr>
          <w:p w14:paraId="4F10409B" w14:textId="77777777" w:rsidR="001415F8" w:rsidRPr="001415F8" w:rsidRDefault="001415F8" w:rsidP="001415F8">
            <w:pPr>
              <w:jc w:val="center"/>
              <w:rPr>
                <w:color w:val="FFFFFF" w:themeColor="background2"/>
              </w:rPr>
            </w:pPr>
            <w:r w:rsidRPr="001415F8">
              <w:rPr>
                <w:color w:val="FFFFFF" w:themeColor="background2"/>
              </w:rPr>
              <w:t>Key Indicators</w:t>
            </w:r>
          </w:p>
        </w:tc>
        <w:tc>
          <w:tcPr>
            <w:tcW w:w="4638" w:type="dxa"/>
            <w:gridSpan w:val="2"/>
            <w:shd w:val="clear" w:color="auto" w:fill="073D7F"/>
            <w:vAlign w:val="center"/>
          </w:tcPr>
          <w:p w14:paraId="3D8B5127" w14:textId="77777777" w:rsidR="001415F8" w:rsidRPr="009D5908" w:rsidRDefault="001415F8" w:rsidP="00A34BB6">
            <w:pPr>
              <w:pStyle w:val="TableHeading"/>
              <w:spacing w:before="0" w:beforeAutospacing="0" w:after="80" w:afterAutospacing="0" w:line="240" w:lineRule="auto"/>
              <w:jc w:val="center"/>
              <w:rPr>
                <w:rFonts w:asciiTheme="minorHAnsi" w:hAnsiTheme="minorHAnsi" w:cstheme="minorHAnsi"/>
                <w:i/>
                <w:color w:val="FFFFFF" w:themeColor="background2"/>
                <w:szCs w:val="22"/>
                <w:lang w:bidi="en-US"/>
              </w:rPr>
            </w:pPr>
            <w:r w:rsidRPr="009D5908">
              <w:rPr>
                <w:rFonts w:asciiTheme="minorHAnsi" w:hAnsiTheme="minorHAnsi" w:cstheme="minorHAnsi"/>
                <w:i/>
                <w:color w:val="FFFFFF" w:themeColor="background2"/>
                <w:szCs w:val="22"/>
                <w:lang w:bidi="en-US"/>
              </w:rPr>
              <w:t>Illawarra PEA</w:t>
            </w:r>
          </w:p>
        </w:tc>
        <w:tc>
          <w:tcPr>
            <w:tcW w:w="1848" w:type="dxa"/>
            <w:vMerge w:val="restart"/>
            <w:shd w:val="clear" w:color="auto" w:fill="073D7F"/>
            <w:vAlign w:val="center"/>
          </w:tcPr>
          <w:p w14:paraId="24B50CA7" w14:textId="77777777" w:rsidR="001415F8" w:rsidRPr="003B6D1E" w:rsidRDefault="001415F8" w:rsidP="00A34BB6">
            <w:pPr>
              <w:pStyle w:val="TableHeading"/>
              <w:spacing w:before="0" w:beforeAutospacing="0" w:after="80" w:afterAutospacing="0" w:line="240" w:lineRule="auto"/>
              <w:jc w:val="center"/>
              <w:rPr>
                <w:rFonts w:asciiTheme="minorHAnsi" w:hAnsiTheme="minorHAnsi" w:cstheme="minorHAnsi"/>
                <w:szCs w:val="22"/>
                <w:lang w:bidi="en-US"/>
              </w:rPr>
            </w:pPr>
            <w:r w:rsidRPr="009D5908">
              <w:rPr>
                <w:rFonts w:asciiTheme="minorHAnsi" w:hAnsiTheme="minorHAnsi" w:cstheme="minorHAnsi"/>
                <w:color w:val="FFFFFF" w:themeColor="background2"/>
                <w:szCs w:val="22"/>
                <w:shd w:val="clear" w:color="auto" w:fill="073D7F"/>
                <w:lang w:bidi="en-US"/>
              </w:rPr>
              <w:t>All PEAs surveyed (9 months to November 2013</w:t>
            </w:r>
            <w:r w:rsidRPr="001415F8">
              <w:rPr>
                <w:rFonts w:asciiTheme="minorHAnsi" w:hAnsiTheme="minorHAnsi" w:cstheme="minorHAnsi"/>
                <w:color w:val="FFFFFF" w:themeColor="background2"/>
                <w:szCs w:val="22"/>
                <w:lang w:bidi="en-US"/>
              </w:rPr>
              <w:t>)</w:t>
            </w:r>
          </w:p>
        </w:tc>
      </w:tr>
      <w:tr w:rsidR="00E73EA4" w:rsidRPr="007274A3" w14:paraId="6F056397" w14:textId="77777777" w:rsidTr="00DB3091">
        <w:trPr>
          <w:trHeight w:val="404"/>
        </w:trPr>
        <w:tc>
          <w:tcPr>
            <w:tcW w:w="4077" w:type="dxa"/>
            <w:vMerge/>
            <w:shd w:val="clear" w:color="auto" w:fill="073D7F"/>
            <w:vAlign w:val="center"/>
          </w:tcPr>
          <w:p w14:paraId="0309083C" w14:textId="77777777" w:rsidR="00E73EA4" w:rsidRPr="001415F8" w:rsidRDefault="00E73EA4" w:rsidP="00A34BB6">
            <w:pPr>
              <w:pStyle w:val="TableHeading"/>
              <w:spacing w:before="0" w:beforeAutospacing="0" w:after="80" w:afterAutospacing="0" w:line="240" w:lineRule="auto"/>
              <w:jc w:val="center"/>
              <w:rPr>
                <w:rFonts w:asciiTheme="minorHAnsi" w:hAnsiTheme="minorHAnsi" w:cstheme="minorHAnsi"/>
                <w:color w:val="FFFFFF" w:themeColor="background2"/>
                <w:szCs w:val="22"/>
              </w:rPr>
            </w:pPr>
          </w:p>
        </w:tc>
        <w:tc>
          <w:tcPr>
            <w:tcW w:w="2410" w:type="dxa"/>
            <w:shd w:val="clear" w:color="auto" w:fill="073D7F"/>
            <w:vAlign w:val="center"/>
          </w:tcPr>
          <w:p w14:paraId="0C8DA4F7" w14:textId="77777777" w:rsidR="00E73EA4" w:rsidRPr="009D5908" w:rsidRDefault="00E73EA4" w:rsidP="00A34BB6">
            <w:pPr>
              <w:pStyle w:val="TableHeading"/>
              <w:spacing w:before="0" w:beforeAutospacing="0" w:after="0" w:afterAutospacing="0" w:line="240" w:lineRule="auto"/>
              <w:jc w:val="center"/>
              <w:rPr>
                <w:rFonts w:asciiTheme="minorHAnsi" w:hAnsiTheme="minorHAnsi" w:cstheme="minorHAnsi"/>
                <w:i/>
                <w:color w:val="FFFFFF" w:themeColor="background2"/>
                <w:szCs w:val="22"/>
                <w:lang w:bidi="en-US"/>
              </w:rPr>
            </w:pPr>
            <w:r w:rsidRPr="009D5908">
              <w:rPr>
                <w:rFonts w:asciiTheme="minorHAnsi" w:hAnsiTheme="minorHAnsi" w:cstheme="minorHAnsi"/>
                <w:i/>
                <w:color w:val="FFFFFF" w:themeColor="background2"/>
                <w:szCs w:val="22"/>
                <w:lang w:bidi="en-US"/>
              </w:rPr>
              <w:t>February 2014</w:t>
            </w:r>
          </w:p>
        </w:tc>
        <w:tc>
          <w:tcPr>
            <w:tcW w:w="2228" w:type="dxa"/>
            <w:shd w:val="clear" w:color="auto" w:fill="073D7F"/>
            <w:vAlign w:val="center"/>
          </w:tcPr>
          <w:p w14:paraId="274D30C6" w14:textId="379944D7" w:rsidR="00E73EA4" w:rsidRPr="009D5908" w:rsidRDefault="00E73EA4" w:rsidP="00A34BB6">
            <w:pPr>
              <w:pStyle w:val="TableHeading"/>
              <w:spacing w:before="0" w:beforeAutospacing="0" w:after="0" w:afterAutospacing="0" w:line="240" w:lineRule="auto"/>
              <w:jc w:val="center"/>
              <w:rPr>
                <w:rFonts w:asciiTheme="minorHAnsi" w:hAnsiTheme="minorHAnsi" w:cstheme="minorHAnsi"/>
                <w:i/>
                <w:color w:val="FFFFFF" w:themeColor="background2"/>
                <w:szCs w:val="22"/>
                <w:lang w:bidi="en-US"/>
              </w:rPr>
            </w:pPr>
            <w:r w:rsidRPr="009D5908">
              <w:rPr>
                <w:rFonts w:asciiTheme="minorHAnsi" w:hAnsiTheme="minorHAnsi" w:cstheme="minorHAnsi"/>
                <w:i/>
                <w:color w:val="FFFFFF" w:themeColor="background2"/>
                <w:szCs w:val="22"/>
                <w:lang w:bidi="en-US"/>
              </w:rPr>
              <w:t>April 2013</w:t>
            </w:r>
          </w:p>
        </w:tc>
        <w:tc>
          <w:tcPr>
            <w:tcW w:w="1848" w:type="dxa"/>
            <w:vMerge/>
            <w:shd w:val="clear" w:color="auto" w:fill="073D7F"/>
          </w:tcPr>
          <w:p w14:paraId="5754E5EC" w14:textId="77777777" w:rsidR="00E73EA4" w:rsidRPr="000E4216" w:rsidRDefault="00E73EA4" w:rsidP="00A34BB6">
            <w:pPr>
              <w:pStyle w:val="TableHeading"/>
              <w:spacing w:before="0" w:beforeAutospacing="0" w:after="0" w:afterAutospacing="0" w:line="240" w:lineRule="auto"/>
              <w:jc w:val="center"/>
              <w:rPr>
                <w:rFonts w:asciiTheme="minorHAnsi" w:hAnsiTheme="minorHAnsi" w:cstheme="minorHAnsi"/>
                <w:szCs w:val="22"/>
                <w:lang w:bidi="en-US"/>
              </w:rPr>
            </w:pPr>
          </w:p>
        </w:tc>
      </w:tr>
      <w:tr w:rsidR="003C5024" w:rsidRPr="007274A3" w14:paraId="2CDF39EB" w14:textId="77777777" w:rsidTr="003C5024">
        <w:trPr>
          <w:trHeight w:val="440"/>
        </w:trPr>
        <w:tc>
          <w:tcPr>
            <w:tcW w:w="4077" w:type="dxa"/>
            <w:vAlign w:val="center"/>
          </w:tcPr>
          <w:p w14:paraId="3457CE04" w14:textId="0ABDBEDF" w:rsidR="003C5024" w:rsidRPr="003B6D1E" w:rsidRDefault="003C5024" w:rsidP="00A34BB6">
            <w:pPr>
              <w:keepNext/>
              <w:spacing w:after="80"/>
              <w:contextualSpacing/>
              <w:rPr>
                <w:rFonts w:cstheme="minorHAnsi"/>
              </w:rPr>
            </w:pPr>
            <w:r>
              <w:rPr>
                <w:rFonts w:cstheme="minorHAnsi"/>
              </w:rPr>
              <w:t>Proportion of employers who recruited</w:t>
            </w:r>
          </w:p>
        </w:tc>
        <w:tc>
          <w:tcPr>
            <w:tcW w:w="2410" w:type="dxa"/>
            <w:vAlign w:val="center"/>
          </w:tcPr>
          <w:p w14:paraId="27873A75" w14:textId="2C5023F7" w:rsidR="003C5024" w:rsidRPr="003B6D1E" w:rsidRDefault="003C5024" w:rsidP="00A34BB6">
            <w:pPr>
              <w:keepNext/>
              <w:spacing w:after="80"/>
              <w:contextualSpacing/>
              <w:jc w:val="center"/>
              <w:rPr>
                <w:rFonts w:cstheme="minorHAnsi"/>
              </w:rPr>
            </w:pPr>
            <w:r>
              <w:rPr>
                <w:rFonts w:cstheme="minorHAnsi"/>
              </w:rPr>
              <w:t>56%</w:t>
            </w:r>
          </w:p>
        </w:tc>
        <w:tc>
          <w:tcPr>
            <w:tcW w:w="2228" w:type="dxa"/>
            <w:vAlign w:val="center"/>
          </w:tcPr>
          <w:p w14:paraId="09DA6D87" w14:textId="198081FD" w:rsidR="003C5024" w:rsidRPr="003B6D1E" w:rsidRDefault="003C5024" w:rsidP="00A34BB6">
            <w:pPr>
              <w:keepNext/>
              <w:spacing w:after="80"/>
              <w:contextualSpacing/>
              <w:jc w:val="center"/>
              <w:rPr>
                <w:rFonts w:cstheme="minorHAnsi"/>
              </w:rPr>
            </w:pPr>
            <w:r>
              <w:rPr>
                <w:rFonts w:cstheme="minorHAnsi"/>
              </w:rPr>
              <w:t>54%</w:t>
            </w:r>
          </w:p>
        </w:tc>
        <w:tc>
          <w:tcPr>
            <w:tcW w:w="1848" w:type="dxa"/>
            <w:vAlign w:val="center"/>
          </w:tcPr>
          <w:p w14:paraId="1BA89169" w14:textId="720796C8" w:rsidR="003C5024" w:rsidRDefault="003C5024" w:rsidP="00A34BB6">
            <w:pPr>
              <w:keepNext/>
              <w:spacing w:after="80"/>
              <w:contextualSpacing/>
              <w:jc w:val="center"/>
              <w:rPr>
                <w:rFonts w:cstheme="minorHAnsi"/>
              </w:rPr>
            </w:pPr>
            <w:r>
              <w:rPr>
                <w:rFonts w:cstheme="minorHAnsi"/>
              </w:rPr>
              <w:t>62%</w:t>
            </w:r>
          </w:p>
        </w:tc>
      </w:tr>
      <w:tr w:rsidR="00E73EA4" w:rsidRPr="007274A3" w14:paraId="0C02C5A8" w14:textId="77777777" w:rsidTr="003C5024">
        <w:trPr>
          <w:trHeight w:val="440"/>
        </w:trPr>
        <w:tc>
          <w:tcPr>
            <w:tcW w:w="4077" w:type="dxa"/>
            <w:vAlign w:val="center"/>
          </w:tcPr>
          <w:p w14:paraId="3CCA79B6" w14:textId="77777777" w:rsidR="00E73EA4" w:rsidRPr="003B6D1E" w:rsidRDefault="00E73EA4" w:rsidP="00A34BB6">
            <w:pPr>
              <w:keepNext/>
              <w:spacing w:after="80"/>
              <w:contextualSpacing/>
              <w:rPr>
                <w:rFonts w:cstheme="minorHAnsi"/>
              </w:rPr>
            </w:pPr>
            <w:r w:rsidRPr="003B6D1E">
              <w:rPr>
                <w:rFonts w:cstheme="minorHAnsi"/>
              </w:rPr>
              <w:t>Vacancies unfilled</w:t>
            </w:r>
          </w:p>
        </w:tc>
        <w:tc>
          <w:tcPr>
            <w:tcW w:w="2410" w:type="dxa"/>
            <w:vAlign w:val="center"/>
          </w:tcPr>
          <w:p w14:paraId="3EAC1D80" w14:textId="77777777" w:rsidR="00E73EA4" w:rsidRPr="003B6D1E" w:rsidRDefault="00E73EA4" w:rsidP="00A34BB6">
            <w:pPr>
              <w:keepNext/>
              <w:spacing w:after="80"/>
              <w:contextualSpacing/>
              <w:jc w:val="center"/>
              <w:rPr>
                <w:rFonts w:cstheme="minorHAnsi"/>
              </w:rPr>
            </w:pPr>
            <w:r w:rsidRPr="003B6D1E">
              <w:rPr>
                <w:rFonts w:cstheme="minorHAnsi"/>
              </w:rPr>
              <w:t>3.2%</w:t>
            </w:r>
          </w:p>
        </w:tc>
        <w:tc>
          <w:tcPr>
            <w:tcW w:w="2228" w:type="dxa"/>
            <w:vAlign w:val="center"/>
          </w:tcPr>
          <w:p w14:paraId="1D9009C6" w14:textId="17D3659E" w:rsidR="00E73EA4" w:rsidRPr="000E4216" w:rsidRDefault="00E73EA4" w:rsidP="00A34BB6">
            <w:pPr>
              <w:keepNext/>
              <w:spacing w:after="80"/>
              <w:contextualSpacing/>
              <w:jc w:val="center"/>
              <w:rPr>
                <w:rFonts w:cstheme="minorHAnsi"/>
              </w:rPr>
            </w:pPr>
            <w:r w:rsidRPr="003B6D1E">
              <w:rPr>
                <w:rFonts w:cstheme="minorHAnsi"/>
              </w:rPr>
              <w:t>6.0%</w:t>
            </w:r>
          </w:p>
        </w:tc>
        <w:tc>
          <w:tcPr>
            <w:tcW w:w="1848" w:type="dxa"/>
            <w:vAlign w:val="center"/>
          </w:tcPr>
          <w:p w14:paraId="39D3C394" w14:textId="77777777" w:rsidR="00E73EA4" w:rsidRPr="000E4216" w:rsidRDefault="00E73EA4" w:rsidP="00A34BB6">
            <w:pPr>
              <w:keepNext/>
              <w:spacing w:after="80"/>
              <w:contextualSpacing/>
              <w:jc w:val="center"/>
              <w:rPr>
                <w:rFonts w:cstheme="minorHAnsi"/>
              </w:rPr>
            </w:pPr>
            <w:r>
              <w:rPr>
                <w:rFonts w:cstheme="minorHAnsi"/>
              </w:rPr>
              <w:t>4.1%</w:t>
            </w:r>
          </w:p>
        </w:tc>
      </w:tr>
      <w:tr w:rsidR="00E73EA4" w:rsidRPr="007274A3" w14:paraId="3D81C1F3" w14:textId="77777777" w:rsidTr="003C5024">
        <w:trPr>
          <w:trHeight w:val="432"/>
        </w:trPr>
        <w:tc>
          <w:tcPr>
            <w:tcW w:w="4077" w:type="dxa"/>
            <w:vAlign w:val="center"/>
          </w:tcPr>
          <w:p w14:paraId="61657D0B" w14:textId="77777777" w:rsidR="00E73EA4" w:rsidRPr="003B6D1E" w:rsidRDefault="00E73EA4" w:rsidP="00A34BB6">
            <w:pPr>
              <w:keepNext/>
              <w:spacing w:after="80"/>
              <w:contextualSpacing/>
              <w:rPr>
                <w:rFonts w:cstheme="minorHAnsi"/>
              </w:rPr>
            </w:pPr>
            <w:r w:rsidRPr="003B6D1E">
              <w:rPr>
                <w:rFonts w:cstheme="minorHAnsi"/>
              </w:rPr>
              <w:t>Employers who experienced difficulty</w:t>
            </w:r>
          </w:p>
        </w:tc>
        <w:tc>
          <w:tcPr>
            <w:tcW w:w="2410" w:type="dxa"/>
            <w:vAlign w:val="center"/>
          </w:tcPr>
          <w:p w14:paraId="0D7B05FC" w14:textId="77777777" w:rsidR="00E73EA4" w:rsidRPr="003B6D1E" w:rsidRDefault="00E73EA4" w:rsidP="00A34BB6">
            <w:pPr>
              <w:keepNext/>
              <w:spacing w:after="80"/>
              <w:contextualSpacing/>
              <w:jc w:val="center"/>
              <w:rPr>
                <w:rFonts w:cstheme="minorHAnsi"/>
              </w:rPr>
            </w:pPr>
            <w:r w:rsidRPr="003B6D1E">
              <w:rPr>
                <w:rFonts w:cstheme="minorHAnsi"/>
              </w:rPr>
              <w:t>39%</w:t>
            </w:r>
          </w:p>
        </w:tc>
        <w:tc>
          <w:tcPr>
            <w:tcW w:w="2228" w:type="dxa"/>
            <w:vAlign w:val="center"/>
          </w:tcPr>
          <w:p w14:paraId="1FE4425E" w14:textId="3F20FE67" w:rsidR="00E73EA4" w:rsidRPr="000E4216" w:rsidRDefault="00E73EA4" w:rsidP="00A34BB6">
            <w:pPr>
              <w:keepNext/>
              <w:spacing w:after="80"/>
              <w:contextualSpacing/>
              <w:jc w:val="center"/>
              <w:rPr>
                <w:rFonts w:cstheme="minorHAnsi"/>
              </w:rPr>
            </w:pPr>
            <w:r w:rsidRPr="000E4216">
              <w:rPr>
                <w:rFonts w:cstheme="minorHAnsi"/>
              </w:rPr>
              <w:t>44%</w:t>
            </w:r>
          </w:p>
        </w:tc>
        <w:tc>
          <w:tcPr>
            <w:tcW w:w="1848" w:type="dxa"/>
            <w:vAlign w:val="center"/>
          </w:tcPr>
          <w:p w14:paraId="12D2D6A9" w14:textId="77777777" w:rsidR="00E73EA4" w:rsidRPr="000E4216" w:rsidRDefault="00E73EA4" w:rsidP="00A34BB6">
            <w:pPr>
              <w:keepNext/>
              <w:spacing w:after="80"/>
              <w:contextualSpacing/>
              <w:jc w:val="center"/>
              <w:rPr>
                <w:rFonts w:cstheme="minorHAnsi"/>
              </w:rPr>
            </w:pPr>
            <w:r>
              <w:rPr>
                <w:rFonts w:cstheme="minorHAnsi"/>
              </w:rPr>
              <w:t>42%</w:t>
            </w:r>
          </w:p>
        </w:tc>
      </w:tr>
      <w:tr w:rsidR="00E73EA4" w:rsidRPr="007274A3" w14:paraId="59262C13" w14:textId="77777777" w:rsidTr="003C5024">
        <w:trPr>
          <w:trHeight w:val="411"/>
        </w:trPr>
        <w:tc>
          <w:tcPr>
            <w:tcW w:w="4077" w:type="dxa"/>
            <w:vAlign w:val="center"/>
          </w:tcPr>
          <w:p w14:paraId="35FA55BA" w14:textId="77777777" w:rsidR="00E73EA4" w:rsidRPr="003B6D1E" w:rsidRDefault="00E73EA4" w:rsidP="00A34BB6">
            <w:pPr>
              <w:keepNext/>
              <w:spacing w:after="80"/>
              <w:contextualSpacing/>
              <w:rPr>
                <w:rFonts w:cstheme="minorHAnsi"/>
              </w:rPr>
            </w:pPr>
            <w:r w:rsidRPr="003B6D1E">
              <w:rPr>
                <w:rFonts w:cstheme="minorHAnsi"/>
              </w:rPr>
              <w:t>Employers who increased staff</w:t>
            </w:r>
          </w:p>
        </w:tc>
        <w:tc>
          <w:tcPr>
            <w:tcW w:w="2410" w:type="dxa"/>
            <w:vAlign w:val="center"/>
          </w:tcPr>
          <w:p w14:paraId="5FB7A13A" w14:textId="77777777" w:rsidR="00E73EA4" w:rsidRPr="003B6D1E" w:rsidRDefault="00E73EA4" w:rsidP="00A34BB6">
            <w:pPr>
              <w:keepNext/>
              <w:spacing w:after="80"/>
              <w:contextualSpacing/>
              <w:jc w:val="center"/>
              <w:rPr>
                <w:rFonts w:cstheme="minorHAnsi"/>
              </w:rPr>
            </w:pPr>
            <w:r w:rsidRPr="003B6D1E">
              <w:rPr>
                <w:rFonts w:cstheme="minorHAnsi"/>
              </w:rPr>
              <w:t>16%</w:t>
            </w:r>
          </w:p>
        </w:tc>
        <w:tc>
          <w:tcPr>
            <w:tcW w:w="2228" w:type="dxa"/>
            <w:vAlign w:val="center"/>
          </w:tcPr>
          <w:p w14:paraId="7E5AF25D" w14:textId="254A1356" w:rsidR="00E73EA4" w:rsidRPr="007274A3" w:rsidRDefault="00E73EA4" w:rsidP="00A34BB6">
            <w:pPr>
              <w:keepNext/>
              <w:spacing w:after="80"/>
              <w:contextualSpacing/>
              <w:jc w:val="center"/>
              <w:rPr>
                <w:rFonts w:cstheme="minorHAnsi"/>
                <w:highlight w:val="green"/>
              </w:rPr>
            </w:pPr>
            <w:r w:rsidRPr="000E4216">
              <w:rPr>
                <w:rFonts w:cstheme="minorHAnsi"/>
              </w:rPr>
              <w:t>19%</w:t>
            </w:r>
          </w:p>
        </w:tc>
        <w:tc>
          <w:tcPr>
            <w:tcW w:w="1848" w:type="dxa"/>
            <w:vAlign w:val="center"/>
          </w:tcPr>
          <w:p w14:paraId="0210CA1B" w14:textId="77777777" w:rsidR="00E73EA4" w:rsidRPr="00DA039E" w:rsidRDefault="00E73EA4" w:rsidP="00A34BB6">
            <w:pPr>
              <w:keepNext/>
              <w:spacing w:after="80"/>
              <w:contextualSpacing/>
              <w:jc w:val="center"/>
              <w:rPr>
                <w:rFonts w:cstheme="minorHAnsi"/>
              </w:rPr>
            </w:pPr>
            <w:r>
              <w:rPr>
                <w:rFonts w:cstheme="minorHAnsi"/>
              </w:rPr>
              <w:t>17%</w:t>
            </w:r>
          </w:p>
        </w:tc>
      </w:tr>
    </w:tbl>
    <w:p w14:paraId="159AFD95" w14:textId="77777777" w:rsidR="00F72622" w:rsidRPr="00F72622" w:rsidRDefault="00F72622" w:rsidP="00F72622">
      <w:pPr>
        <w:pStyle w:val="ListBullet"/>
        <w:numPr>
          <w:ilvl w:val="0"/>
          <w:numId w:val="0"/>
        </w:numPr>
        <w:ind w:left="357"/>
        <w:contextualSpacing w:val="0"/>
        <w:jc w:val="both"/>
        <w:rPr>
          <w:sz w:val="2"/>
          <w:szCs w:val="2"/>
        </w:rPr>
      </w:pPr>
    </w:p>
    <w:p w14:paraId="61BB68FC" w14:textId="075365D9" w:rsidR="001415F8" w:rsidRDefault="00C12C36" w:rsidP="00C82372">
      <w:pPr>
        <w:pStyle w:val="ListBullet"/>
        <w:numPr>
          <w:ilvl w:val="0"/>
          <w:numId w:val="26"/>
        </w:numPr>
        <w:ind w:left="357" w:hanging="357"/>
        <w:contextualSpacing w:val="0"/>
        <w:jc w:val="both"/>
      </w:pPr>
      <w:r w:rsidRPr="00C12C36">
        <w:t xml:space="preserve">Employers remain cautious about the future, with </w:t>
      </w:r>
      <w:r>
        <w:t xml:space="preserve">only </w:t>
      </w:r>
      <w:r w:rsidRPr="00C12C36">
        <w:t>3</w:t>
      </w:r>
      <w:r>
        <w:t xml:space="preserve">1 per cent expecting to </w:t>
      </w:r>
      <w:r w:rsidRPr="00C12C36">
        <w:t>recruit in the year following the survey.</w:t>
      </w:r>
      <w:r w:rsidR="006D2C4D">
        <w:t xml:space="preserve"> E</w:t>
      </w:r>
      <w:r w:rsidR="001415F8" w:rsidRPr="00F934F0">
        <w:t>mployers in the Health Care and Social Assistance industr</w:t>
      </w:r>
      <w:r w:rsidR="006D2C4D">
        <w:t>y</w:t>
      </w:r>
      <w:r w:rsidR="001415F8" w:rsidRPr="00F934F0">
        <w:t xml:space="preserve"> most commonly expected </w:t>
      </w:r>
      <w:r w:rsidR="00C954AE">
        <w:t xml:space="preserve">to increase </w:t>
      </w:r>
      <w:r w:rsidR="001415F8" w:rsidRPr="00F934F0">
        <w:t>staff numbers</w:t>
      </w:r>
      <w:r w:rsidR="00C954AE">
        <w:t xml:space="preserve"> in the next 12 months</w:t>
      </w:r>
      <w:r w:rsidR="001415F8" w:rsidRPr="00F934F0">
        <w:t>.</w:t>
      </w:r>
    </w:p>
    <w:p w14:paraId="62071912" w14:textId="137CB7B7" w:rsidR="006E0B97" w:rsidRPr="00A7688E" w:rsidRDefault="006E0B97" w:rsidP="006057D3">
      <w:pPr>
        <w:pStyle w:val="ListBullet"/>
        <w:numPr>
          <w:ilvl w:val="0"/>
          <w:numId w:val="0"/>
        </w:numPr>
        <w:contextualSpacing w:val="0"/>
        <w:jc w:val="both"/>
      </w:pPr>
      <w:r w:rsidRPr="00867855">
        <w:rPr>
          <w:noProof/>
          <w:sz w:val="32"/>
          <w:lang w:eastAsia="en-AU"/>
        </w:rPr>
        <mc:AlternateContent>
          <mc:Choice Requires="wps">
            <w:drawing>
              <wp:anchor distT="0" distB="0" distL="114300" distR="114300" simplePos="0" relativeHeight="251672576" behindDoc="0" locked="0" layoutInCell="1" allowOverlap="1" wp14:anchorId="2CC529A5" wp14:editId="61FFA0A7">
                <wp:simplePos x="0" y="0"/>
                <wp:positionH relativeFrom="column">
                  <wp:posOffset>-22588</wp:posOffset>
                </wp:positionH>
                <wp:positionV relativeFrom="paragraph">
                  <wp:posOffset>241754</wp:posOffset>
                </wp:positionV>
                <wp:extent cx="6574972" cy="10796"/>
                <wp:effectExtent l="0" t="0" r="16510" b="27305"/>
                <wp:wrapNone/>
                <wp:docPr id="4" name="Straight Connector 4"/>
                <wp:cNvGraphicFramePr/>
                <a:graphic xmlns:a="http://schemas.openxmlformats.org/drawingml/2006/main">
                  <a:graphicData uri="http://schemas.microsoft.com/office/word/2010/wordprocessingShape">
                    <wps:wsp>
                      <wps:cNvCnPr/>
                      <wps:spPr>
                        <a:xfrm flipV="1">
                          <a:off x="0" y="0"/>
                          <a:ext cx="6574972" cy="107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19.05pt" to="515.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" strokecolor="#155280 [3044]"/>
            </w:pict>
          </mc:Fallback>
        </mc:AlternateContent>
      </w:r>
      <w:r w:rsidRPr="00867855">
        <w:rPr>
          <w:rFonts w:ascii="Calibri" w:eastAsiaTheme="majorEastAsia" w:hAnsi="Calibri" w:cstheme="majorBidi"/>
          <w:b/>
          <w:bCs/>
          <w:color w:val="003D6B"/>
          <w:sz w:val="32"/>
          <w:szCs w:val="28"/>
        </w:rPr>
        <w:t>W</w:t>
      </w:r>
      <w:r>
        <w:rPr>
          <w:rFonts w:ascii="Calibri" w:eastAsiaTheme="majorEastAsia" w:hAnsi="Calibri" w:cstheme="majorBidi"/>
          <w:b/>
          <w:bCs/>
          <w:color w:val="003D6B"/>
          <w:sz w:val="32"/>
          <w:szCs w:val="28"/>
        </w:rPr>
        <w:t>here are the opportunities?</w:t>
      </w:r>
    </w:p>
    <w:p w14:paraId="32E9B3E9" w14:textId="68B03A64" w:rsidR="001415F8" w:rsidRPr="00F934F0" w:rsidRDefault="001415F8" w:rsidP="000F09AD">
      <w:pPr>
        <w:pStyle w:val="ListBullet"/>
        <w:numPr>
          <w:ilvl w:val="0"/>
          <w:numId w:val="26"/>
        </w:numPr>
        <w:spacing w:after="40" w:line="240" w:lineRule="auto"/>
        <w:contextualSpacing w:val="0"/>
        <w:jc w:val="both"/>
      </w:pPr>
      <w:r w:rsidRPr="00F934F0">
        <w:t>The Health Care and Social Assistance industr</w:t>
      </w:r>
      <w:r w:rsidR="00C832B4">
        <w:t>y is experiencing strong growth</w:t>
      </w:r>
      <w:r w:rsidRPr="00F934F0">
        <w:t xml:space="preserve"> with employers in this industry commonly recruiting for a range of occupations, such as Child Carers, Aged and Disabled Carers, Nursing Support and Personal Care Workers and Welfare Support Workers.</w:t>
      </w:r>
    </w:p>
    <w:p w14:paraId="4AA7B78D" w14:textId="77777777" w:rsidR="001415F8" w:rsidRPr="00582495" w:rsidRDefault="001415F8" w:rsidP="000F09AD">
      <w:pPr>
        <w:pStyle w:val="ListBullet"/>
        <w:numPr>
          <w:ilvl w:val="0"/>
          <w:numId w:val="26"/>
        </w:numPr>
        <w:spacing w:after="40"/>
        <w:ind w:left="357" w:hanging="357"/>
        <w:jc w:val="both"/>
      </w:pPr>
      <w:r w:rsidRPr="00582495">
        <w:t>Employers continue to experience difficulties filling vacancies for many Technicians and Trades occupations, such as Motor Mec</w:t>
      </w:r>
      <w:r w:rsidRPr="00B52CE3">
        <w:rPr>
          <w:color w:val="000000" w:themeColor="text1"/>
        </w:rPr>
        <w:t>ha</w:t>
      </w:r>
      <w:r w:rsidRPr="00582495">
        <w:t>nics, Electricians and Chefs.</w:t>
      </w:r>
    </w:p>
    <w:p w14:paraId="1F39881F" w14:textId="794184F7" w:rsidR="001415F8" w:rsidRPr="00582495" w:rsidRDefault="001415F8" w:rsidP="000F09AD">
      <w:pPr>
        <w:pStyle w:val="ListBullet"/>
        <w:numPr>
          <w:ilvl w:val="0"/>
          <w:numId w:val="26"/>
        </w:numPr>
        <w:spacing w:after="0"/>
        <w:ind w:left="357" w:hanging="357"/>
        <w:jc w:val="both"/>
        <w:rPr>
          <w:vanish/>
          <w:specVanish/>
        </w:rPr>
      </w:pPr>
      <w:r w:rsidRPr="00582495">
        <w:t>Employers commonly expected to recruit for a number of lower skilled or entry level occupations following the survey, including Sales Assistants, Bar Attendants and Baristas, Receptionists</w:t>
      </w:r>
      <w:r w:rsidR="0098589B">
        <w:t>, Truck Drivers</w:t>
      </w:r>
      <w:r w:rsidRPr="00582495">
        <w:t xml:space="preserve"> and Housekeepers.  </w:t>
      </w:r>
    </w:p>
    <w:p w14:paraId="731970A6" w14:textId="1F8DB61E" w:rsidR="00C10C19" w:rsidRDefault="001415F8" w:rsidP="000F09AD">
      <w:pPr>
        <w:jc w:val="both"/>
      </w:pPr>
      <w:r>
        <w:t xml:space="preserve"> </w:t>
      </w:r>
    </w:p>
    <w:sectPr w:rsidR="00C10C19" w:rsidSect="00DB3091">
      <w:headerReference w:type="default" r:id="rId14"/>
      <w:footerReference w:type="default" r:id="rId15"/>
      <w:type w:val="continuous"/>
      <w:pgSz w:w="11906" w:h="16838"/>
      <w:pgMar w:top="568" w:right="424" w:bottom="142" w:left="567"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970AB" w14:textId="77777777" w:rsidR="00A750EE" w:rsidRDefault="00A750EE" w:rsidP="00130923">
      <w:pPr>
        <w:spacing w:after="0" w:line="240" w:lineRule="auto"/>
      </w:pPr>
      <w:r>
        <w:separator/>
      </w:r>
    </w:p>
  </w:endnote>
  <w:endnote w:type="continuationSeparator" w:id="0">
    <w:p w14:paraId="731970AC" w14:textId="77777777" w:rsidR="00A750EE" w:rsidRDefault="00A750EE"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86DF2" w14:textId="77777777" w:rsidR="00F77D69" w:rsidRPr="00EA7B83" w:rsidRDefault="00F77D69" w:rsidP="00F77D69">
    <w:pPr>
      <w:pStyle w:val="Footer"/>
      <w:rPr>
        <w:sz w:val="18"/>
        <w:szCs w:val="18"/>
      </w:rPr>
    </w:pPr>
    <w:r w:rsidRPr="00EA7B83">
      <w:rPr>
        <w:rFonts w:ascii="Calibri" w:hAnsi="Calibri" w:cs="Calibri"/>
        <w:sz w:val="18"/>
        <w:szCs w:val="18"/>
      </w:rPr>
      <w:t xml:space="preserve">This report was produced by the Labour Market Research and Analysis Branch. Further results on the </w:t>
    </w:r>
    <w:r w:rsidRPr="00EA7B83">
      <w:rPr>
        <w:rFonts w:ascii="Calibri" w:hAnsi="Calibri" w:cs="Calibri"/>
        <w:i/>
        <w:iCs/>
        <w:sz w:val="18"/>
        <w:szCs w:val="18"/>
      </w:rPr>
      <w:t xml:space="preserve">Survey of Employers’ Recruitment Experiences </w:t>
    </w:r>
    <w:r w:rsidRPr="00EA7B83">
      <w:rPr>
        <w:rFonts w:ascii="Calibri" w:hAnsi="Calibri" w:cs="Calibri"/>
        <w:sz w:val="18"/>
        <w:szCs w:val="18"/>
      </w:rPr>
      <w:t xml:space="preserve">can be found at </w:t>
    </w:r>
    <w:hyperlink r:id="rId1" w:history="1">
      <w:r w:rsidRPr="00EA7B83">
        <w:rPr>
          <w:rStyle w:val="Hyperlink"/>
          <w:rFonts w:ascii="Calibri" w:hAnsi="Calibri" w:cs="Calibri"/>
          <w:sz w:val="18"/>
          <w:szCs w:val="18"/>
        </w:rPr>
        <w:t>www.employment.gov.au/regionalreports</w:t>
      </w:r>
    </w:hyperlink>
    <w:r w:rsidRPr="00EA7B83">
      <w:rPr>
        <w:rFonts w:ascii="Calibri" w:hAnsi="Calibri" w:cs="Calibri"/>
        <w:sz w:val="18"/>
        <w:szCs w:val="18"/>
      </w:rPr>
      <w:t xml:space="preserve"> or by contacting recruitmentsurveys@employment.gov.au.</w:t>
    </w:r>
  </w:p>
  <w:p w14:paraId="731970AF" w14:textId="77777777" w:rsidR="00A750EE" w:rsidRDefault="0029768C" w:rsidP="00A73406">
    <w:pPr>
      <w:pStyle w:val="Footer"/>
      <w:tabs>
        <w:tab w:val="clear" w:pos="9026"/>
        <w:tab w:val="right" w:pos="8647"/>
      </w:tabs>
      <w:ind w:firstLine="720"/>
      <w:jc w:val="right"/>
    </w:pPr>
    <w:sdt>
      <w:sdtPr>
        <w:id w:val="1780984758"/>
        <w:docPartObj>
          <w:docPartGallery w:val="Page Numbers (Bottom of Page)"/>
          <w:docPartUnique/>
        </w:docPartObj>
      </w:sdtPr>
      <w:sdtEndPr>
        <w:rPr>
          <w:noProof/>
        </w:rPr>
      </w:sdtEndPr>
      <w:sdtContent>
        <w:r w:rsidR="00A750EE">
          <w:fldChar w:fldCharType="begin"/>
        </w:r>
        <w:r w:rsidR="00A750EE">
          <w:instrText xml:space="preserve"> PAGE   \* MERGEFORMAT </w:instrText>
        </w:r>
        <w:r w:rsidR="00A750EE">
          <w:fldChar w:fldCharType="separate"/>
        </w:r>
        <w:r>
          <w:rPr>
            <w:noProof/>
          </w:rPr>
          <w:t>1</w:t>
        </w:r>
        <w:r w:rsidR="00A750EE">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970A9" w14:textId="77777777" w:rsidR="00A750EE" w:rsidRDefault="00A750EE" w:rsidP="00130923">
      <w:pPr>
        <w:spacing w:after="0" w:line="240" w:lineRule="auto"/>
      </w:pPr>
      <w:r>
        <w:separator/>
      </w:r>
    </w:p>
  </w:footnote>
  <w:footnote w:type="continuationSeparator" w:id="0">
    <w:p w14:paraId="731970AA" w14:textId="77777777" w:rsidR="00A750EE" w:rsidRDefault="00A750EE" w:rsidP="00130923">
      <w:pPr>
        <w:spacing w:after="0" w:line="240" w:lineRule="auto"/>
      </w:pPr>
      <w:r>
        <w:continuationSeparator/>
      </w:r>
    </w:p>
  </w:footnote>
  <w:footnote w:id="1">
    <w:p w14:paraId="53AD3110" w14:textId="372D5732" w:rsidR="008F5667" w:rsidRPr="008F5667" w:rsidRDefault="008F5667">
      <w:pPr>
        <w:pStyle w:val="FootnoteText"/>
        <w:rPr>
          <w:rFonts w:asciiTheme="minorHAnsi" w:hAnsiTheme="minorHAnsi" w:cstheme="minorHAnsi"/>
          <w:sz w:val="16"/>
          <w:szCs w:val="16"/>
        </w:rPr>
      </w:pPr>
      <w:r w:rsidRPr="008F5667">
        <w:rPr>
          <w:rStyle w:val="FootnoteReference"/>
          <w:rFonts w:asciiTheme="minorHAnsi" w:hAnsiTheme="minorHAnsi" w:cstheme="minorHAnsi"/>
          <w:sz w:val="16"/>
          <w:szCs w:val="16"/>
        </w:rPr>
        <w:footnoteRef/>
      </w:r>
      <w:r w:rsidRPr="008F5667">
        <w:rPr>
          <w:rFonts w:asciiTheme="minorHAnsi" w:hAnsiTheme="minorHAnsi" w:cstheme="minorHAnsi"/>
          <w:sz w:val="16"/>
          <w:szCs w:val="16"/>
        </w:rPr>
        <w:t xml:space="preserve"> ABS Labour Force, (Seasonally Adjusted), February 2014.</w:t>
      </w:r>
    </w:p>
  </w:footnote>
  <w:footnote w:id="2">
    <w:p w14:paraId="5DE2A01D" w14:textId="0A158E92" w:rsidR="008F5667" w:rsidRPr="008F5667" w:rsidRDefault="008F5667">
      <w:pPr>
        <w:pStyle w:val="FootnoteText"/>
        <w:rPr>
          <w:rFonts w:asciiTheme="minorHAnsi" w:hAnsiTheme="minorHAnsi" w:cstheme="minorHAnsi"/>
          <w:sz w:val="16"/>
          <w:szCs w:val="16"/>
        </w:rPr>
      </w:pPr>
      <w:r w:rsidRPr="008F5667">
        <w:rPr>
          <w:rStyle w:val="FootnoteReference"/>
          <w:rFonts w:asciiTheme="minorHAnsi" w:hAnsiTheme="minorHAnsi" w:cstheme="minorHAnsi"/>
          <w:sz w:val="16"/>
          <w:szCs w:val="16"/>
        </w:rPr>
        <w:footnoteRef/>
      </w:r>
      <w:r w:rsidRPr="008F5667">
        <w:rPr>
          <w:rFonts w:asciiTheme="minorHAnsi" w:hAnsiTheme="minorHAnsi" w:cstheme="minorHAnsi"/>
          <w:sz w:val="16"/>
          <w:szCs w:val="16"/>
        </w:rPr>
        <w:t xml:space="preserve"> </w:t>
      </w:r>
      <w:proofErr w:type="gramStart"/>
      <w:r w:rsidRPr="008F5667">
        <w:rPr>
          <w:rFonts w:asciiTheme="minorHAnsi" w:hAnsiTheme="minorHAnsi" w:cstheme="minorHAnsi"/>
          <w:sz w:val="16"/>
          <w:szCs w:val="16"/>
        </w:rPr>
        <w:t>ABS, Census of Population and Housing, 2006 &amp; 2011.</w:t>
      </w:r>
      <w:proofErr w:type="gramEnd"/>
    </w:p>
  </w:footnote>
  <w:footnote w:id="3">
    <w:p w14:paraId="08B78F7C" w14:textId="57A5916A" w:rsidR="008F5667" w:rsidRPr="008F5667" w:rsidRDefault="008F5667">
      <w:pPr>
        <w:pStyle w:val="FootnoteText"/>
        <w:rPr>
          <w:rFonts w:asciiTheme="minorHAnsi" w:hAnsiTheme="minorHAnsi" w:cstheme="minorHAnsi"/>
          <w:sz w:val="16"/>
          <w:szCs w:val="16"/>
        </w:rPr>
      </w:pPr>
      <w:r w:rsidRPr="008F5667">
        <w:rPr>
          <w:rStyle w:val="FootnoteReference"/>
          <w:rFonts w:asciiTheme="minorHAnsi" w:hAnsiTheme="minorHAnsi" w:cstheme="minorHAnsi"/>
          <w:sz w:val="16"/>
          <w:szCs w:val="16"/>
        </w:rPr>
        <w:footnoteRef/>
      </w:r>
      <w:r w:rsidRPr="008F5667">
        <w:rPr>
          <w:rFonts w:asciiTheme="minorHAnsi" w:hAnsiTheme="minorHAnsi" w:cstheme="minorHAnsi"/>
          <w:sz w:val="16"/>
          <w:szCs w:val="16"/>
        </w:rPr>
        <w:t xml:space="preserve"> Illawarra and Southern Highlands and Shoalhaven combined data. </w:t>
      </w:r>
      <w:r w:rsidRPr="008F5667">
        <w:rPr>
          <w:rFonts w:asciiTheme="minorHAnsi" w:hAnsiTheme="minorHAnsi" w:cstheme="minorHAnsi"/>
          <w:i/>
          <w:sz w:val="16"/>
          <w:szCs w:val="16"/>
        </w:rPr>
        <w:t xml:space="preserve">ABS, Labour Force Survey, February </w:t>
      </w:r>
      <w:r w:rsidR="00313CCB">
        <w:rPr>
          <w:rFonts w:asciiTheme="minorHAnsi" w:hAnsiTheme="minorHAnsi" w:cstheme="minorHAnsi"/>
          <w:i/>
          <w:sz w:val="16"/>
          <w:szCs w:val="16"/>
        </w:rPr>
        <w:t>200</w:t>
      </w:r>
      <w:r w:rsidR="001525A3">
        <w:rPr>
          <w:rFonts w:asciiTheme="minorHAnsi" w:hAnsiTheme="minorHAnsi" w:cstheme="minorHAnsi"/>
          <w:i/>
          <w:sz w:val="16"/>
          <w:szCs w:val="16"/>
        </w:rPr>
        <w:t>4</w:t>
      </w:r>
      <w:r w:rsidR="00313CCB">
        <w:rPr>
          <w:rFonts w:asciiTheme="minorHAnsi" w:hAnsiTheme="minorHAnsi" w:cstheme="minorHAnsi"/>
          <w:i/>
          <w:sz w:val="16"/>
          <w:szCs w:val="16"/>
        </w:rPr>
        <w:t xml:space="preserve"> and </w:t>
      </w:r>
      <w:r w:rsidRPr="008F5667">
        <w:rPr>
          <w:rFonts w:asciiTheme="minorHAnsi" w:hAnsiTheme="minorHAnsi" w:cstheme="minorHAnsi"/>
          <w:i/>
          <w:sz w:val="16"/>
          <w:szCs w:val="16"/>
        </w:rPr>
        <w:t>2014, 4 quarter averages</w:t>
      </w:r>
    </w:p>
  </w:footnote>
  <w:footnote w:id="4">
    <w:p w14:paraId="4BC1CDB4" w14:textId="4E3CE960" w:rsidR="008F5667" w:rsidRDefault="008F5667">
      <w:pPr>
        <w:pStyle w:val="FootnoteText"/>
      </w:pPr>
      <w:r w:rsidRPr="008F5667">
        <w:rPr>
          <w:rStyle w:val="FootnoteReference"/>
          <w:rFonts w:asciiTheme="minorHAnsi" w:hAnsiTheme="minorHAnsi" w:cstheme="minorHAnsi"/>
          <w:sz w:val="16"/>
          <w:szCs w:val="16"/>
        </w:rPr>
        <w:footnoteRef/>
      </w:r>
      <w:r w:rsidRPr="008F5667">
        <w:rPr>
          <w:rFonts w:asciiTheme="minorHAnsi" w:hAnsiTheme="minorHAnsi" w:cstheme="minorHAnsi"/>
          <w:sz w:val="16"/>
          <w:szCs w:val="16"/>
        </w:rPr>
        <w:t xml:space="preserve"> The report is based on a Survey of Employers’ Recruitment Experiences of 407 employers undertaken by the </w:t>
      </w:r>
      <w:r w:rsidRPr="008F5667">
        <w:rPr>
          <w:rFonts w:asciiTheme="minorHAnsi" w:hAnsiTheme="minorHAnsi" w:cstheme="minorHAnsi"/>
          <w:b/>
          <w:sz w:val="16"/>
          <w:szCs w:val="16"/>
        </w:rPr>
        <w:t>Labour Market Research and Analysis Branch</w:t>
      </w:r>
      <w:r w:rsidRPr="008F5667">
        <w:rPr>
          <w:rFonts w:asciiTheme="minorHAnsi" w:hAnsiTheme="minorHAnsi" w:cstheme="minorHAnsi"/>
          <w:sz w:val="16"/>
          <w:szCs w:val="16"/>
        </w:rPr>
        <w:t xml:space="preserve"> in February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970AE" w14:textId="77777777" w:rsidR="00A750EE" w:rsidRDefault="00A750EE" w:rsidP="00560CA0">
    <w:pPr>
      <w:pStyle w:val="Header"/>
      <w:jc w:val="right"/>
    </w:pPr>
    <w:r>
      <w:t>Title - Subtitle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CE6FD8"/>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FFFFFF89"/>
    <w:multiLevelType w:val="singleLevel"/>
    <w:tmpl w:val="15220E82"/>
    <w:lvl w:ilvl="0">
      <w:start w:val="1"/>
      <w:numFmt w:val="bullet"/>
      <w:lvlText w:val=""/>
      <w:lvlJc w:val="left"/>
      <w:pPr>
        <w:tabs>
          <w:tab w:val="num" w:pos="360"/>
        </w:tabs>
        <w:ind w:left="360" w:hanging="360"/>
      </w:pPr>
      <w:rPr>
        <w:rFonts w:ascii="Symbol" w:hAnsi="Symbol" w:hint="default"/>
      </w:rPr>
    </w:lvl>
  </w:abstractNum>
  <w:abstractNum w:abstractNumId="1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7153C3"/>
    <w:multiLevelType w:val="hybridMultilevel"/>
    <w:tmpl w:val="6616D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FDF1F70"/>
    <w:multiLevelType w:val="hybridMultilevel"/>
    <w:tmpl w:val="4D644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1B9670B9"/>
    <w:multiLevelType w:val="hybridMultilevel"/>
    <w:tmpl w:val="8A127BE6"/>
    <w:lvl w:ilvl="0" w:tplc="BEC8911C">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nsid w:val="69663100"/>
    <w:multiLevelType w:val="hybridMultilevel"/>
    <w:tmpl w:val="3112FF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760A224B"/>
    <w:multiLevelType w:val="hybridMultilevel"/>
    <w:tmpl w:val="62724E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2"/>
  </w:num>
  <w:num w:numId="15">
    <w:abstractNumId w:val="13"/>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4"/>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23"/>
  </w:num>
  <w:num w:numId="28">
    <w:abstractNumId w:val="9"/>
  </w:num>
  <w:num w:numId="29">
    <w:abstractNumId w:val="23"/>
  </w:num>
  <w:num w:numId="30">
    <w:abstractNumId w:val="12"/>
  </w:num>
  <w:num w:numId="31">
    <w:abstractNumId w:val="23"/>
  </w:num>
  <w:num w:numId="32">
    <w:abstractNumId w:val="23"/>
  </w:num>
  <w:num w:numId="33">
    <w:abstractNumId w:val="23"/>
  </w:num>
  <w:num w:numId="34">
    <w:abstractNumId w:val="2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21FD0"/>
    <w:rsid w:val="00024E24"/>
    <w:rsid w:val="00034EAA"/>
    <w:rsid w:val="00083B6D"/>
    <w:rsid w:val="000861A6"/>
    <w:rsid w:val="000E772B"/>
    <w:rsid w:val="000E7E7B"/>
    <w:rsid w:val="000F09AD"/>
    <w:rsid w:val="000F3BA2"/>
    <w:rsid w:val="001175BF"/>
    <w:rsid w:val="00130923"/>
    <w:rsid w:val="001414F3"/>
    <w:rsid w:val="001415F8"/>
    <w:rsid w:val="00143FCD"/>
    <w:rsid w:val="001525A3"/>
    <w:rsid w:val="0018313D"/>
    <w:rsid w:val="001B33D7"/>
    <w:rsid w:val="001B6467"/>
    <w:rsid w:val="001C2289"/>
    <w:rsid w:val="001E7374"/>
    <w:rsid w:val="001F1C07"/>
    <w:rsid w:val="00223EB1"/>
    <w:rsid w:val="00236917"/>
    <w:rsid w:val="00243D6B"/>
    <w:rsid w:val="0025487E"/>
    <w:rsid w:val="0029768C"/>
    <w:rsid w:val="002A352B"/>
    <w:rsid w:val="002B06E6"/>
    <w:rsid w:val="002D271F"/>
    <w:rsid w:val="002D6386"/>
    <w:rsid w:val="002D6D3F"/>
    <w:rsid w:val="00305B35"/>
    <w:rsid w:val="00313CCB"/>
    <w:rsid w:val="003166C5"/>
    <w:rsid w:val="003242B9"/>
    <w:rsid w:val="003B7421"/>
    <w:rsid w:val="003C5024"/>
    <w:rsid w:val="003D67FC"/>
    <w:rsid w:val="00406E5A"/>
    <w:rsid w:val="00435B7B"/>
    <w:rsid w:val="00455B34"/>
    <w:rsid w:val="0048762C"/>
    <w:rsid w:val="004A760F"/>
    <w:rsid w:val="004B256F"/>
    <w:rsid w:val="005113B6"/>
    <w:rsid w:val="00527BD7"/>
    <w:rsid w:val="00531817"/>
    <w:rsid w:val="00560CA0"/>
    <w:rsid w:val="005624F3"/>
    <w:rsid w:val="005811EF"/>
    <w:rsid w:val="005B024E"/>
    <w:rsid w:val="005B0878"/>
    <w:rsid w:val="005C15C0"/>
    <w:rsid w:val="005D6920"/>
    <w:rsid w:val="005E1673"/>
    <w:rsid w:val="006057D3"/>
    <w:rsid w:val="00610654"/>
    <w:rsid w:val="006172EB"/>
    <w:rsid w:val="006318B9"/>
    <w:rsid w:val="006537C2"/>
    <w:rsid w:val="00656CE4"/>
    <w:rsid w:val="0067026C"/>
    <w:rsid w:val="00692776"/>
    <w:rsid w:val="006C4962"/>
    <w:rsid w:val="006D27EB"/>
    <w:rsid w:val="006D2C4D"/>
    <w:rsid w:val="006E0B97"/>
    <w:rsid w:val="006E2D49"/>
    <w:rsid w:val="00731626"/>
    <w:rsid w:val="007359FB"/>
    <w:rsid w:val="007468FC"/>
    <w:rsid w:val="00756759"/>
    <w:rsid w:val="00792CA3"/>
    <w:rsid w:val="007B2FDD"/>
    <w:rsid w:val="007D58FB"/>
    <w:rsid w:val="007E579C"/>
    <w:rsid w:val="00804665"/>
    <w:rsid w:val="008104A4"/>
    <w:rsid w:val="0083468A"/>
    <w:rsid w:val="00842D43"/>
    <w:rsid w:val="008539F1"/>
    <w:rsid w:val="00856D1C"/>
    <w:rsid w:val="00867855"/>
    <w:rsid w:val="00876AC0"/>
    <w:rsid w:val="00885CB1"/>
    <w:rsid w:val="008F5667"/>
    <w:rsid w:val="00903408"/>
    <w:rsid w:val="009116EA"/>
    <w:rsid w:val="00933671"/>
    <w:rsid w:val="0096483F"/>
    <w:rsid w:val="00972BF7"/>
    <w:rsid w:val="00972DD5"/>
    <w:rsid w:val="00984879"/>
    <w:rsid w:val="00985632"/>
    <w:rsid w:val="0098589B"/>
    <w:rsid w:val="00991B63"/>
    <w:rsid w:val="00994E4E"/>
    <w:rsid w:val="009A14E1"/>
    <w:rsid w:val="009B2428"/>
    <w:rsid w:val="009B5CB7"/>
    <w:rsid w:val="009C5738"/>
    <w:rsid w:val="009C61E7"/>
    <w:rsid w:val="009D5908"/>
    <w:rsid w:val="00A21FB0"/>
    <w:rsid w:val="00A31242"/>
    <w:rsid w:val="00A35435"/>
    <w:rsid w:val="00A436E3"/>
    <w:rsid w:val="00A52530"/>
    <w:rsid w:val="00A551BF"/>
    <w:rsid w:val="00A70524"/>
    <w:rsid w:val="00A73406"/>
    <w:rsid w:val="00A750EE"/>
    <w:rsid w:val="00A9666D"/>
    <w:rsid w:val="00A9672C"/>
    <w:rsid w:val="00AC65DA"/>
    <w:rsid w:val="00B2722A"/>
    <w:rsid w:val="00B618BA"/>
    <w:rsid w:val="00B93F00"/>
    <w:rsid w:val="00BA282D"/>
    <w:rsid w:val="00BB6260"/>
    <w:rsid w:val="00BF10F4"/>
    <w:rsid w:val="00C05E74"/>
    <w:rsid w:val="00C10C19"/>
    <w:rsid w:val="00C12C36"/>
    <w:rsid w:val="00C143B8"/>
    <w:rsid w:val="00C169F7"/>
    <w:rsid w:val="00C17D02"/>
    <w:rsid w:val="00C5649C"/>
    <w:rsid w:val="00C75486"/>
    <w:rsid w:val="00C8202C"/>
    <w:rsid w:val="00C82372"/>
    <w:rsid w:val="00C832B4"/>
    <w:rsid w:val="00C92A5B"/>
    <w:rsid w:val="00C954AE"/>
    <w:rsid w:val="00CA0A28"/>
    <w:rsid w:val="00CA46EC"/>
    <w:rsid w:val="00D05B29"/>
    <w:rsid w:val="00D1394D"/>
    <w:rsid w:val="00D47740"/>
    <w:rsid w:val="00D812B9"/>
    <w:rsid w:val="00D903FD"/>
    <w:rsid w:val="00D94BC5"/>
    <w:rsid w:val="00D96C08"/>
    <w:rsid w:val="00DB3091"/>
    <w:rsid w:val="00DC3052"/>
    <w:rsid w:val="00DC76D7"/>
    <w:rsid w:val="00DF46C4"/>
    <w:rsid w:val="00E65F9D"/>
    <w:rsid w:val="00E73EA4"/>
    <w:rsid w:val="00EC64C4"/>
    <w:rsid w:val="00EC78E7"/>
    <w:rsid w:val="00ED43D2"/>
    <w:rsid w:val="00EE3B8C"/>
    <w:rsid w:val="00EF4A38"/>
    <w:rsid w:val="00EF4BF8"/>
    <w:rsid w:val="00EF5A5E"/>
    <w:rsid w:val="00F11B8F"/>
    <w:rsid w:val="00F411E8"/>
    <w:rsid w:val="00F72622"/>
    <w:rsid w:val="00F74011"/>
    <w:rsid w:val="00F77D69"/>
    <w:rsid w:val="00F975AB"/>
    <w:rsid w:val="00FB10CB"/>
    <w:rsid w:val="00FF10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319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804665"/>
    <w:pPr>
      <w:spacing w:after="240" w:line="240" w:lineRule="auto"/>
      <w:contextualSpacing/>
      <w:outlineLvl w:val="0"/>
    </w:pPr>
    <w:rPr>
      <w:rFonts w:ascii="Calibri" w:eastAsiaTheme="majorEastAsia" w:hAnsi="Calibri" w:cstheme="majorBidi"/>
      <w:b/>
      <w:bCs/>
      <w:color w:val="00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804665"/>
    <w:rPr>
      <w:rFonts w:ascii="Calibri" w:eastAsiaTheme="majorEastAsia" w:hAnsi="Calibri" w:cstheme="majorBidi"/>
      <w:b/>
      <w:bCs/>
      <w:color w:val="00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3"/>
      </w:numPr>
      <w:spacing w:after="120"/>
      <w:contextualSpacing/>
    </w:pPr>
  </w:style>
  <w:style w:type="paragraph" w:styleId="ListBullet2">
    <w:name w:val="List Bullet 2"/>
    <w:basedOn w:val="Normal"/>
    <w:uiPriority w:val="99"/>
    <w:unhideWhenUsed/>
    <w:rsid w:val="00EC64C4"/>
    <w:pPr>
      <w:numPr>
        <w:ilvl w:val="1"/>
        <w:numId w:val="23"/>
      </w:numPr>
      <w:spacing w:after="120"/>
      <w:contextualSpacing/>
    </w:pPr>
  </w:style>
  <w:style w:type="paragraph" w:styleId="ListBullet3">
    <w:name w:val="List Bullet 3"/>
    <w:basedOn w:val="Normal"/>
    <w:uiPriority w:val="99"/>
    <w:unhideWhenUsed/>
    <w:rsid w:val="00EC64C4"/>
    <w:pPr>
      <w:numPr>
        <w:ilvl w:val="2"/>
        <w:numId w:val="23"/>
      </w:numPr>
      <w:spacing w:after="120"/>
      <w:contextualSpacing/>
    </w:pPr>
  </w:style>
  <w:style w:type="paragraph" w:styleId="ListBullet4">
    <w:name w:val="List Bullet 4"/>
    <w:basedOn w:val="Normal"/>
    <w:uiPriority w:val="99"/>
    <w:unhideWhenUsed/>
    <w:rsid w:val="00EC64C4"/>
    <w:pPr>
      <w:numPr>
        <w:ilvl w:val="3"/>
        <w:numId w:val="23"/>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3"/>
      </w:numPr>
      <w:contextualSpacing/>
    </w:p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2A352B"/>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2A352B"/>
    <w:rPr>
      <w:rFonts w:ascii="Arial" w:eastAsia="Times New Roman" w:hAnsi="Arial" w:cs="Times New Roman"/>
      <w:sz w:val="20"/>
      <w:szCs w:val="20"/>
    </w:rPr>
  </w:style>
  <w:style w:type="character" w:styleId="FootnoteReference">
    <w:name w:val="footnote reference"/>
    <w:basedOn w:val="DefaultParagraphFont"/>
    <w:uiPriority w:val="99"/>
    <w:unhideWhenUsed/>
    <w:rsid w:val="002A352B"/>
    <w:rPr>
      <w:vertAlign w:val="superscript"/>
    </w:rPr>
  </w:style>
  <w:style w:type="paragraph" w:customStyle="1" w:styleId="TableHeading">
    <w:name w:val="Table Heading"/>
    <w:basedOn w:val="NormalWeb"/>
    <w:link w:val="TableHeadingChar"/>
    <w:qFormat/>
    <w:rsid w:val="001415F8"/>
    <w:pPr>
      <w:spacing w:before="100" w:beforeAutospacing="1" w:after="100" w:afterAutospacing="1" w:line="300" w:lineRule="auto"/>
    </w:pPr>
    <w:rPr>
      <w:rFonts w:ascii="Calibri" w:eastAsia="Times New Roman" w:hAnsi="Calibri"/>
      <w:b/>
      <w:color w:val="7F7F7F" w:themeColor="background1"/>
      <w:sz w:val="22"/>
      <w:lang w:eastAsia="en-AU"/>
    </w:rPr>
  </w:style>
  <w:style w:type="character" w:customStyle="1" w:styleId="TableHeadingChar">
    <w:name w:val="Table Heading Char"/>
    <w:basedOn w:val="DefaultParagraphFont"/>
    <w:link w:val="TableHeading"/>
    <w:rsid w:val="001415F8"/>
    <w:rPr>
      <w:rFonts w:ascii="Calibri" w:eastAsia="Times New Roman" w:hAnsi="Calibri" w:cs="Times New Roman"/>
      <w:b/>
      <w:color w:val="7F7F7F" w:themeColor="background1"/>
      <w:szCs w:val="24"/>
      <w:lang w:eastAsia="en-AU"/>
    </w:rPr>
  </w:style>
  <w:style w:type="paragraph" w:styleId="NormalWeb">
    <w:name w:val="Normal (Web)"/>
    <w:basedOn w:val="Normal"/>
    <w:uiPriority w:val="99"/>
    <w:semiHidden/>
    <w:unhideWhenUsed/>
    <w:rsid w:val="001415F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804665"/>
    <w:pPr>
      <w:spacing w:after="240" w:line="240" w:lineRule="auto"/>
      <w:contextualSpacing/>
      <w:outlineLvl w:val="0"/>
    </w:pPr>
    <w:rPr>
      <w:rFonts w:ascii="Calibri" w:eastAsiaTheme="majorEastAsia" w:hAnsi="Calibri" w:cstheme="majorBidi"/>
      <w:b/>
      <w:bCs/>
      <w:color w:val="003D6B"/>
      <w:sz w:val="36"/>
      <w:szCs w:val="28"/>
    </w:rPr>
  </w:style>
  <w:style w:type="paragraph" w:styleId="Heading2">
    <w:name w:val="heading 2"/>
    <w:basedOn w:val="Normal"/>
    <w:next w:val="Normal"/>
    <w:link w:val="Heading2Char"/>
    <w:uiPriority w:val="9"/>
    <w:unhideWhenUsed/>
    <w:qFormat/>
    <w:rsid w:val="0096483F"/>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804665"/>
    <w:rPr>
      <w:rFonts w:ascii="Calibri" w:eastAsiaTheme="majorEastAsia" w:hAnsi="Calibri" w:cstheme="majorBidi"/>
      <w:b/>
      <w:bCs/>
      <w:color w:val="00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4665"/>
    <w:pPr>
      <w:spacing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804665"/>
    <w:rPr>
      <w:rFonts w:ascii="Calibri" w:eastAsiaTheme="majorEastAsia" w:hAnsi="Calibri" w:cstheme="majorBidi"/>
      <w:color w:val="003D6B"/>
      <w:spacing w:val="5"/>
      <w:sz w:val="60"/>
      <w:szCs w:val="60"/>
    </w:rPr>
  </w:style>
  <w:style w:type="paragraph" w:styleId="Subtitle">
    <w:name w:val="Subtitle"/>
    <w:basedOn w:val="Normal"/>
    <w:next w:val="Normal"/>
    <w:link w:val="SubtitleChar"/>
    <w:uiPriority w:val="11"/>
    <w:qFormat/>
    <w:rsid w:val="00804665"/>
    <w:pPr>
      <w:spacing w:after="240"/>
    </w:pPr>
    <w:rPr>
      <w:rFonts w:ascii="Calibri" w:eastAsiaTheme="majorEastAsia" w:hAnsi="Calibri" w:cstheme="majorBidi"/>
      <w:iCs/>
      <w:color w:val="003D6B"/>
      <w:spacing w:val="13"/>
      <w:sz w:val="40"/>
      <w:szCs w:val="40"/>
    </w:rPr>
  </w:style>
  <w:style w:type="character" w:customStyle="1" w:styleId="SubtitleChar">
    <w:name w:val="Subtitle Char"/>
    <w:basedOn w:val="DefaultParagraphFont"/>
    <w:link w:val="Subtitle"/>
    <w:uiPriority w:val="11"/>
    <w:rsid w:val="00804665"/>
    <w:rPr>
      <w:rFonts w:ascii="Calibri" w:eastAsiaTheme="majorEastAsia" w:hAnsi="Calibri" w:cstheme="majorBidi"/>
      <w:iCs/>
      <w:color w:val="003D6B"/>
      <w:spacing w:val="13"/>
      <w:sz w:val="40"/>
      <w:szCs w:val="40"/>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DC76D7"/>
    <w:pPr>
      <w:numPr>
        <w:numId w:val="21"/>
      </w:numPr>
      <w:spacing w:after="120"/>
      <w:contextualSpacing/>
    </w:pPr>
  </w:style>
  <w:style w:type="paragraph" w:styleId="ListNumber2">
    <w:name w:val="List Number 2"/>
    <w:basedOn w:val="Normal"/>
    <w:uiPriority w:val="99"/>
    <w:unhideWhenUsed/>
    <w:rsid w:val="00DC76D7"/>
    <w:pPr>
      <w:numPr>
        <w:ilvl w:val="1"/>
        <w:numId w:val="21"/>
      </w:numPr>
      <w:tabs>
        <w:tab w:val="left" w:pos="1134"/>
      </w:tabs>
      <w:spacing w:after="120"/>
      <w:contextualSpacing/>
    </w:pPr>
  </w:style>
  <w:style w:type="paragraph" w:styleId="ListNumber3">
    <w:name w:val="List Number 3"/>
    <w:basedOn w:val="Normal"/>
    <w:uiPriority w:val="99"/>
    <w:unhideWhenUsed/>
    <w:rsid w:val="00DC76D7"/>
    <w:pPr>
      <w:numPr>
        <w:ilvl w:val="2"/>
        <w:numId w:val="21"/>
      </w:numPr>
      <w:spacing w:after="120"/>
      <w:contextualSpacing/>
    </w:pPr>
  </w:style>
  <w:style w:type="paragraph" w:styleId="ListNumber4">
    <w:name w:val="List Number 4"/>
    <w:basedOn w:val="Normal"/>
    <w:uiPriority w:val="99"/>
    <w:unhideWhenUsed/>
    <w:rsid w:val="00DC76D7"/>
    <w:pPr>
      <w:numPr>
        <w:ilvl w:val="3"/>
        <w:numId w:val="21"/>
      </w:numPr>
      <w:spacing w:after="120"/>
      <w:contextualSpacing/>
    </w:pPr>
  </w:style>
  <w:style w:type="paragraph" w:styleId="ListBullet">
    <w:name w:val="List Bullet"/>
    <w:basedOn w:val="Normal"/>
    <w:uiPriority w:val="99"/>
    <w:unhideWhenUsed/>
    <w:rsid w:val="00EC64C4"/>
    <w:pPr>
      <w:numPr>
        <w:numId w:val="23"/>
      </w:numPr>
      <w:spacing w:after="120"/>
      <w:contextualSpacing/>
    </w:pPr>
  </w:style>
  <w:style w:type="paragraph" w:styleId="ListBullet2">
    <w:name w:val="List Bullet 2"/>
    <w:basedOn w:val="Normal"/>
    <w:uiPriority w:val="99"/>
    <w:unhideWhenUsed/>
    <w:rsid w:val="00EC64C4"/>
    <w:pPr>
      <w:numPr>
        <w:ilvl w:val="1"/>
        <w:numId w:val="23"/>
      </w:numPr>
      <w:spacing w:after="120"/>
      <w:contextualSpacing/>
    </w:pPr>
  </w:style>
  <w:style w:type="paragraph" w:styleId="ListBullet3">
    <w:name w:val="List Bullet 3"/>
    <w:basedOn w:val="Normal"/>
    <w:uiPriority w:val="99"/>
    <w:unhideWhenUsed/>
    <w:rsid w:val="00EC64C4"/>
    <w:pPr>
      <w:numPr>
        <w:ilvl w:val="2"/>
        <w:numId w:val="23"/>
      </w:numPr>
      <w:spacing w:after="120"/>
      <w:contextualSpacing/>
    </w:pPr>
  </w:style>
  <w:style w:type="paragraph" w:styleId="ListBullet4">
    <w:name w:val="List Bullet 4"/>
    <w:basedOn w:val="Normal"/>
    <w:uiPriority w:val="99"/>
    <w:unhideWhenUsed/>
    <w:rsid w:val="00EC64C4"/>
    <w:pPr>
      <w:numPr>
        <w:ilvl w:val="3"/>
        <w:numId w:val="23"/>
      </w:numPr>
      <w:spacing w:after="120"/>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6C4962"/>
    <w:rPr>
      <w:color w:val="00746B"/>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semiHidden/>
    <w:unhideWhenUsed/>
    <w:rsid w:val="00EC64C4"/>
    <w:pPr>
      <w:numPr>
        <w:ilvl w:val="4"/>
        <w:numId w:val="23"/>
      </w:numPr>
      <w:contextualSpacing/>
    </w:pPr>
  </w:style>
  <w:style w:type="paragraph" w:styleId="FootnoteText">
    <w:name w:val="footnote text"/>
    <w:aliases w:val="Footnote Text Char1 Char,Footnote Text Char Char Char,Footnote Text Char1 Char Char Char,Footnote Text Char Char Char Char Char,Footnote Text Char1 Char1,Footnote Text Char Char Char1"/>
    <w:basedOn w:val="Normal"/>
    <w:link w:val="FootnoteTextChar"/>
    <w:uiPriority w:val="99"/>
    <w:unhideWhenUsed/>
    <w:rsid w:val="002A352B"/>
    <w:pPr>
      <w:spacing w:after="0" w:line="240" w:lineRule="auto"/>
    </w:pPr>
    <w:rPr>
      <w:rFonts w:ascii="Arial" w:eastAsia="Times New Roman" w:hAnsi="Arial" w:cs="Times New Roman"/>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
    <w:basedOn w:val="DefaultParagraphFont"/>
    <w:link w:val="FootnoteText"/>
    <w:uiPriority w:val="99"/>
    <w:rsid w:val="002A352B"/>
    <w:rPr>
      <w:rFonts w:ascii="Arial" w:eastAsia="Times New Roman" w:hAnsi="Arial" w:cs="Times New Roman"/>
      <w:sz w:val="20"/>
      <w:szCs w:val="20"/>
    </w:rPr>
  </w:style>
  <w:style w:type="character" w:styleId="FootnoteReference">
    <w:name w:val="footnote reference"/>
    <w:basedOn w:val="DefaultParagraphFont"/>
    <w:uiPriority w:val="99"/>
    <w:unhideWhenUsed/>
    <w:rsid w:val="002A352B"/>
    <w:rPr>
      <w:vertAlign w:val="superscript"/>
    </w:rPr>
  </w:style>
  <w:style w:type="paragraph" w:customStyle="1" w:styleId="TableHeading">
    <w:name w:val="Table Heading"/>
    <w:basedOn w:val="NormalWeb"/>
    <w:link w:val="TableHeadingChar"/>
    <w:qFormat/>
    <w:rsid w:val="001415F8"/>
    <w:pPr>
      <w:spacing w:before="100" w:beforeAutospacing="1" w:after="100" w:afterAutospacing="1" w:line="300" w:lineRule="auto"/>
    </w:pPr>
    <w:rPr>
      <w:rFonts w:ascii="Calibri" w:eastAsia="Times New Roman" w:hAnsi="Calibri"/>
      <w:b/>
      <w:color w:val="7F7F7F" w:themeColor="background1"/>
      <w:sz w:val="22"/>
      <w:lang w:eastAsia="en-AU"/>
    </w:rPr>
  </w:style>
  <w:style w:type="character" w:customStyle="1" w:styleId="TableHeadingChar">
    <w:name w:val="Table Heading Char"/>
    <w:basedOn w:val="DefaultParagraphFont"/>
    <w:link w:val="TableHeading"/>
    <w:rsid w:val="001415F8"/>
    <w:rPr>
      <w:rFonts w:ascii="Calibri" w:eastAsia="Times New Roman" w:hAnsi="Calibri" w:cs="Times New Roman"/>
      <w:b/>
      <w:color w:val="7F7F7F" w:themeColor="background1"/>
      <w:szCs w:val="24"/>
      <w:lang w:eastAsia="en-AU"/>
    </w:rPr>
  </w:style>
  <w:style w:type="paragraph" w:styleId="NormalWeb">
    <w:name w:val="Normal (Web)"/>
    <w:basedOn w:val="Normal"/>
    <w:uiPriority w:val="99"/>
    <w:semiHidden/>
    <w:unhideWhenUsed/>
    <w:rsid w:val="001415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742987863">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mployment.gov.au/regionalreports" TargetMode="Externa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EWRDocument" ma:contentTypeID="0x0101009EDC4876AF524A70BD125A9D2C0D191E000479EDFA51D86F45A0C81432ABAE4A67" ma:contentTypeVersion="6" ma:contentTypeDescription="Create a new DEEWR Document." ma:contentTypeScope="" ma:versionID="cb78cebb0692d4f4195ec602270ac160">
  <xsd:schema xmlns:xsd="http://www.w3.org/2001/XMLSchema" xmlns:xs="http://www.w3.org/2001/XMLSchema" xmlns:p="http://schemas.microsoft.com/office/2006/metadata/properties" xmlns:ns1="http://schemas.microsoft.com/sharepoint/v3" xmlns:ns2="f1dbda1a-7fbc-4c5c-b5bc-7a3a8ee7102f" xmlns:ns4="2a7063ea-ca1c-4ff0-a65a-b3318ba87c3c" targetNamespace="http://schemas.microsoft.com/office/2006/metadata/properties" ma:root="true" ma:fieldsID="cefd4d7116dce52ad33aeb710373c752" ns1:_="" ns2:_="" ns4:_="">
    <xsd:import namespace="http://schemas.microsoft.com/sharepoint/v3"/>
    <xsd:import namespace="f1dbda1a-7fbc-4c5c-b5bc-7a3a8ee7102f"/>
    <xsd:import namespace="2a7063ea-ca1c-4ff0-a65a-b3318ba87c3c"/>
    <xsd:element name="properties">
      <xsd:complexType>
        <xsd:sequence>
          <xsd:element name="documentManagement">
            <xsd:complexType>
              <xsd:all>
                <xsd:element ref="ns1:DEEWRCategory" minOccurs="0"/>
                <xsd:element ref="ns2:_x003e__x003e_" minOccurs="0"/>
                <xsd:element ref="ns2:Security_x0020_DLM" minOccurs="0"/>
                <xsd:element ref="ns2:Security_x0020_Classification" minOccurs="0"/>
                <xsd:element ref="ns4:Department_x0020_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WRCategory" ma:index="8" nillable="true" ma:displayName="&gt;" ma:format="Dropdown" ma:internalName="DEEWRCategory" ma:readOnly="false">
      <xsd:simpleType>
        <xsd:restriction base="dms:Choice">
          <xsd:enumeration value="General"/>
          <xsd:enumeration value="Factsheets"/>
          <xsd:enumeration value="Forms"/>
          <xsd:enumeration value="Guides"/>
          <xsd:enumeration value="Guidelines"/>
          <xsd:enumeration value="Info"/>
          <xsd:enumeration value="Procedures"/>
          <xsd:enumeration value="Templates"/>
          <xsd:enumeration value="Publishing"/>
          <xsd:enumeration value="Newsletter"/>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f1dbda1a-7fbc-4c5c-b5bc-7a3a8ee7102f" elementFormDefault="qualified">
    <xsd:import namespace="http://schemas.microsoft.com/office/2006/documentManagement/types"/>
    <xsd:import namespace="http://schemas.microsoft.com/office/infopath/2007/PartnerControls"/>
    <xsd:element name="_x003e__x003e_" ma:index="9" nillable="true" ma:displayName="&gt;&gt;" ma:format="Dropdown" ma:internalName="_x003e__x003e_">
      <xsd:simpleType>
        <xsd:restriction base="dms:Choice">
          <xsd:enumeration value="Education - Secretary"/>
          <xsd:enumeration value="Education - Letter - State Office"/>
          <xsd:enumeration value="Education - Letter - Regional Office"/>
          <xsd:enumeration value="Education - Letter - Deputy or Associate Secretary"/>
          <xsd:enumeration value="Education - Letter - Other"/>
          <xsd:enumeration value="Education - Fax"/>
          <xsd:enumeration value="Education - File Note"/>
          <xsd:enumeration value="Education - Minutes and meetings"/>
          <xsd:enumeration value="Education - Other"/>
          <xsd:enumeration value="Education - PowerPoint"/>
          <xsd:enumeration value="-----------------"/>
          <xsd:enumeration value="Employment - Secretary"/>
          <xsd:enumeration value="Employment - Letter - State Office"/>
          <xsd:enumeration value="Employment - Letter - Regional Office"/>
          <xsd:enumeration value="Employment - Letter - Deputy or Associate Secretary"/>
          <xsd:enumeration value="Employment - Letter - Other"/>
          <xsd:enumeration value="Employment - Fax"/>
          <xsd:enumeration value="Employment - File Note"/>
          <xsd:enumeration value="Employment - Minutes and meetings"/>
          <xsd:enumeration value="Employment - Other"/>
          <xsd:enumeration value="Employment - PowerPoint"/>
          <xsd:enumeration value="Employment - Word templates"/>
          <xsd:enumeration value="Genera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enumeration value="PROTECTED"/>
          <xsd:enumeration value="CONFIDENTIAL"/>
          <xsd:enumeration value="SECRET"/>
          <xsd:enumeration value="TOP SECRET"/>
        </xsd:restriction>
      </xsd:simpleType>
    </xsd:element>
  </xsd:schema>
  <xsd:schema xmlns:xsd="http://www.w3.org/2001/XMLSchema" xmlns:xs="http://www.w3.org/2001/XMLSchema" xmlns:dms="http://schemas.microsoft.com/office/2006/documentManagement/types" xmlns:pc="http://schemas.microsoft.com/office/infopath/2007/PartnerControls" targetNamespace="2a7063ea-ca1c-4ff0-a65a-b3318ba87c3c" elementFormDefault="qualified">
    <xsd:import namespace="http://schemas.microsoft.com/office/2006/documentManagement/types"/>
    <xsd:import namespace="http://schemas.microsoft.com/office/infopath/2007/PartnerControls"/>
    <xsd:element name="Department_x0020_Stream" ma:index="13" ma:displayName="Department Stream" ma:default="Education" ma:format="Dropdown" ma:internalName="Department_x0020_Stream">
      <xsd:simpleType>
        <xsd:restriction base="dms:Choice">
          <xsd:enumeration value="Education"/>
          <xsd:enumeration value="Employment"/>
          <xsd:enumeration value="Education and Employment"/>
          <xsd:enumeration value="Shared Services Cent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_x0020_Stream xmlns="2a7063ea-ca1c-4ff0-a65a-b3318ba87c3c">Employment</Department_x0020_Stream>
    <DEEWRCategory xmlns="http://schemas.microsoft.com/sharepoint/v3">Templates</DEEWRCategory>
    <Security_x0020_DLM xmlns="f1dbda1a-7fbc-4c5c-b5bc-7a3a8ee7102f" xsi:nil="true"/>
    <_x003e__x003e_ xmlns="f1dbda1a-7fbc-4c5c-b5bc-7a3a8ee7102f">Employment - Word templates</_x003e__x003e_>
    <Security_x0020_Classification xmlns="f1dbda1a-7fbc-4c5c-b5bc-7a3a8ee710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539A3-A236-4183-9A86-5A1CB00C2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dbda1a-7fbc-4c5c-b5bc-7a3a8ee7102f"/>
    <ds:schemaRef ds:uri="2a7063ea-ca1c-4ff0-a65a-b3318ba8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F862B-EAFA-46CB-8833-2F9810F4D6E2}">
  <ds:schemaRefs>
    <ds:schemaRef ds:uri="http://schemas.microsoft.com/sharepoint/v3/contenttype/forms"/>
  </ds:schemaRefs>
</ds:datastoreItem>
</file>

<file path=customXml/itemProps3.xml><?xml version="1.0" encoding="utf-8"?>
<ds:datastoreItem xmlns:ds="http://schemas.openxmlformats.org/officeDocument/2006/customXml" ds:itemID="{9065CCD2-197F-465A-ABAD-8B3E49999B47}">
  <ds:schemaRefs>
    <ds:schemaRef ds:uri="http://schemas.microsoft.com/office/2006/metadata/properties"/>
    <ds:schemaRef ds:uri="http://purl.org/dc/elements/1.1/"/>
    <ds:schemaRef ds:uri="http://schemas.microsoft.com/office/2006/documentManagement/types"/>
    <ds:schemaRef ds:uri="2a7063ea-ca1c-4ff0-a65a-b3318ba87c3c"/>
    <ds:schemaRef ds:uri="http://purl.org/dc/terms/"/>
    <ds:schemaRef ds:uri="http://www.w3.org/XML/1998/namespace"/>
    <ds:schemaRef ds:uri="http://schemas.openxmlformats.org/package/2006/metadata/core-properties"/>
    <ds:schemaRef ds:uri="http://schemas.microsoft.com/office/infopath/2007/PartnerControls"/>
    <ds:schemaRef ds:uri="f1dbda1a-7fbc-4c5c-b5bc-7a3a8ee7102f"/>
    <ds:schemaRef ds:uri="http://schemas.microsoft.com/sharepoint/v3"/>
    <ds:schemaRef ds:uri="http://purl.org/dc/dcmitype/"/>
  </ds:schemaRefs>
</ds:datastoreItem>
</file>

<file path=customXml/itemProps4.xml><?xml version="1.0" encoding="utf-8"?>
<ds:datastoreItem xmlns:ds="http://schemas.openxmlformats.org/officeDocument/2006/customXml" ds:itemID="{E27AF3EC-F08B-4490-813C-70A7869F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9A078F79.dotm</Template>
  <TotalTime>23</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Heading</vt:lpstr>
    </vt:vector>
  </TitlesOfParts>
  <Company>Australian Government</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dc:title>
  <dc:creator>Danny Thomas</dc:creator>
  <cp:lastModifiedBy>Maria Cavalli</cp:lastModifiedBy>
  <cp:revision>5</cp:revision>
  <cp:lastPrinted>2014-06-16T05:50:00Z</cp:lastPrinted>
  <dcterms:created xsi:type="dcterms:W3CDTF">2014-04-11T01:39:00Z</dcterms:created>
  <dcterms:modified xsi:type="dcterms:W3CDTF">2014-06-16T05:51:00Z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0x0101009EDC4876AF524A70BD125A9D2C0D191E000479EDFA51D86F45A0C81432ABAE4A67</vt:lpwstr>
  </property>
</Properties>
</file>