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04" w:rsidRPr="00683ECF" w:rsidRDefault="00A30234" w:rsidP="00FE1A04">
      <w:pPr>
        <w:rPr>
          <w:b/>
          <w:bCs/>
          <w:color w:val="FFFFFF" w:themeColor="background1"/>
        </w:rPr>
      </w:pPr>
      <w:r>
        <w:rPr>
          <w:noProof/>
        </w:rPr>
        <w:drawing>
          <wp:anchor distT="0" distB="0" distL="114300" distR="114300" simplePos="0" relativeHeight="251660288" behindDoc="0" locked="0" layoutInCell="1" allowOverlap="1" wp14:anchorId="2C4CEECE" wp14:editId="1E721234">
            <wp:simplePos x="0" y="0"/>
            <wp:positionH relativeFrom="page">
              <wp:posOffset>542290</wp:posOffset>
            </wp:positionH>
            <wp:positionV relativeFrom="paragraph">
              <wp:posOffset>39370</wp:posOffset>
            </wp:positionV>
            <wp:extent cx="6454800" cy="1429200"/>
            <wp:effectExtent l="0" t="0" r="3175"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54800" cy="1429200"/>
                    </a:xfrm>
                    <a:prstGeom prst="rect">
                      <a:avLst/>
                    </a:prstGeom>
                  </pic:spPr>
                </pic:pic>
              </a:graphicData>
            </a:graphic>
            <wp14:sizeRelH relativeFrom="page">
              <wp14:pctWidth>0</wp14:pctWidth>
            </wp14:sizeRelH>
            <wp14:sizeRelV relativeFrom="page">
              <wp14:pctHeight>0</wp14:pctHeight>
            </wp14:sizeRelV>
          </wp:anchor>
        </w:drawing>
      </w:r>
      <w:r w:rsidR="00FE1A04" w:rsidRPr="00683ECF">
        <w:rPr>
          <w:color w:val="FFFFFF" w:themeColor="background1"/>
        </w:rPr>
        <w:t>Australian Government, Department of Employment</w:t>
      </w:r>
    </w:p>
    <w:p w:rsidR="00FE1A04" w:rsidRDefault="00FE1A04" w:rsidP="00FE1A04">
      <w:pPr>
        <w:pStyle w:val="Title"/>
        <w:spacing w:before="420"/>
        <w:ind w:left="6237"/>
      </w:pPr>
      <w:r w:rsidRPr="008D5E52">
        <w:t>Australian Labour Market Update</w:t>
      </w:r>
    </w:p>
    <w:p w:rsidR="00FE1A04" w:rsidRDefault="00FE1A04" w:rsidP="00FE1A04">
      <w:pPr>
        <w:pStyle w:val="Date"/>
      </w:pPr>
      <w:r>
        <w:t>July</w:t>
      </w:r>
      <w:r w:rsidRPr="008D5E52">
        <w:t xml:space="preserve"> 2014</w:t>
      </w:r>
    </w:p>
    <w:p w:rsidR="002D5791" w:rsidRDefault="002D5791" w:rsidP="002D5791">
      <w:pPr>
        <w:pStyle w:val="Breakoutboxtext"/>
        <w:ind w:left="119" w:right="113"/>
        <w:jc w:val="both"/>
        <w:rPr>
          <w:rStyle w:val="Strong"/>
          <w:rFonts w:cs="Times New Roman"/>
          <w:szCs w:val="24"/>
          <w:lang w:eastAsia="en-AU"/>
        </w:rPr>
      </w:pPr>
      <w:r w:rsidRPr="00EB704C">
        <w:rPr>
          <w:rStyle w:val="Strong"/>
        </w:rPr>
        <w:t>Are you looking for a job in Australia?</w:t>
      </w:r>
    </w:p>
    <w:p w:rsidR="002D5791" w:rsidRPr="00EB704C" w:rsidRDefault="002D5791" w:rsidP="002D5791">
      <w:pPr>
        <w:pStyle w:val="Breakoutboxtext"/>
        <w:ind w:left="119" w:right="113"/>
        <w:jc w:val="both"/>
      </w:pPr>
      <w:r w:rsidRPr="00EB704C">
        <w:t xml:space="preserve">The </w:t>
      </w:r>
      <w:r w:rsidRPr="008D5E52">
        <w:t>Australian</w:t>
      </w:r>
      <w:r w:rsidRPr="00EB704C">
        <w:t xml:space="preserve"> Labour Market Update provides information on the Australian labour market on a quarterly basis. It is intended to </w:t>
      </w:r>
      <w:r>
        <w:t>inform</w:t>
      </w:r>
      <w:r w:rsidRPr="00EB704C">
        <w:t xml:space="preserve"> people interested in working in Australia on a temporary or permanent basis.</w:t>
      </w:r>
    </w:p>
    <w:p w:rsidR="002D5791" w:rsidRPr="00EB704C" w:rsidRDefault="002D5791" w:rsidP="002D5791">
      <w:pPr>
        <w:pStyle w:val="Breakoutboxtext"/>
        <w:ind w:left="119" w:right="113"/>
        <w:jc w:val="both"/>
      </w:pPr>
      <w:r w:rsidRPr="00EB704C">
        <w:t>Further information on job prospects, earnings and related information is at</w:t>
      </w:r>
      <w:r>
        <w:t xml:space="preserve"> the </w:t>
      </w:r>
      <w:hyperlink r:id="rId14" w:history="1">
        <w:r w:rsidRPr="00683ECF">
          <w:rPr>
            <w:rStyle w:val="Hyperlink"/>
            <w:color w:val="000000"/>
            <w:u w:val="none"/>
          </w:rPr>
          <w:t>Job Outlook</w:t>
        </w:r>
      </w:hyperlink>
      <w:r>
        <w:t xml:space="preserve"> website</w:t>
      </w:r>
      <w:r w:rsidRPr="00EB704C">
        <w:t>.</w:t>
      </w:r>
    </w:p>
    <w:p w:rsidR="008D5E52" w:rsidRPr="00EB704C" w:rsidRDefault="008D5E52" w:rsidP="00683ECF">
      <w:pPr>
        <w:pStyle w:val="Breakoutboxtext"/>
        <w:ind w:left="119" w:right="113"/>
        <w:jc w:val="both"/>
      </w:pPr>
      <w:r w:rsidRPr="00EB704C">
        <w:t xml:space="preserve">Unless otherwise stated, data are from the Australian Bureau of Statistics (ABS) Labour Force Survey, </w:t>
      </w:r>
      <w:r w:rsidR="00704B20">
        <w:t>May 2014</w:t>
      </w:r>
      <w:r w:rsidRPr="00EB704C">
        <w:t>.</w:t>
      </w:r>
      <w:r w:rsidR="009E28B7">
        <w:rPr>
          <w:rStyle w:val="FootnoteReference"/>
        </w:rPr>
        <w:footnoteReference w:id="2"/>
      </w:r>
    </w:p>
    <w:p w:rsidR="002D5791" w:rsidRPr="0038143D" w:rsidRDefault="002D5791" w:rsidP="002D5791">
      <w:pPr>
        <w:pStyle w:val="Heading1"/>
        <w:jc w:val="both"/>
      </w:pPr>
      <w:r>
        <w:t>Employment</w:t>
      </w:r>
    </w:p>
    <w:p w:rsidR="004265C8" w:rsidRPr="000533C6" w:rsidRDefault="004265C8" w:rsidP="000F6611">
      <w:pPr>
        <w:jc w:val="both"/>
      </w:pPr>
      <w:r w:rsidRPr="000533C6">
        <w:t xml:space="preserve">While trend employment has </w:t>
      </w:r>
      <w:r w:rsidR="007A4B3F">
        <w:t>continued to expand</w:t>
      </w:r>
      <w:r w:rsidRPr="000533C6">
        <w:t xml:space="preserve"> over the year to </w:t>
      </w:r>
      <w:r w:rsidR="007A4B3F">
        <w:t>May 2014</w:t>
      </w:r>
      <w:r w:rsidRPr="000533C6">
        <w:t xml:space="preserve">, increasing by </w:t>
      </w:r>
      <w:r w:rsidR="007A4B3F">
        <w:t>104</w:t>
      </w:r>
      <w:r w:rsidR="003D18B9" w:rsidRPr="000533C6">
        <w:t> </w:t>
      </w:r>
      <w:r w:rsidR="007A4B3F">
        <w:t>8</w:t>
      </w:r>
      <w:r w:rsidR="003D18B9" w:rsidRPr="000533C6">
        <w:t>00</w:t>
      </w:r>
      <w:r w:rsidRPr="000533C6">
        <w:t xml:space="preserve"> (or </w:t>
      </w:r>
      <w:r w:rsidR="007A4B3F">
        <w:t>0</w:t>
      </w:r>
      <w:r w:rsidR="003D18B9" w:rsidRPr="000533C6">
        <w:t>.</w:t>
      </w:r>
      <w:r w:rsidR="007A4B3F">
        <w:t>9</w:t>
      </w:r>
      <w:r w:rsidR="004271E8" w:rsidRPr="000533C6">
        <w:t> </w:t>
      </w:r>
      <w:r w:rsidRPr="000533C6">
        <w:t>per cent), underlying labour market c</w:t>
      </w:r>
      <w:r w:rsidR="00C37841" w:rsidRPr="000533C6">
        <w:t xml:space="preserve">onditions </w:t>
      </w:r>
      <w:r w:rsidR="007A4B3F">
        <w:t>remain soft</w:t>
      </w:r>
      <w:r w:rsidR="00C37841" w:rsidRPr="000533C6">
        <w:t>. T</w:t>
      </w:r>
      <w:r w:rsidRPr="000533C6">
        <w:t xml:space="preserve">he current pace of trend employment growth of </w:t>
      </w:r>
      <w:r w:rsidR="007A4B3F">
        <w:t>12</w:t>
      </w:r>
      <w:r w:rsidR="003D18B9" w:rsidRPr="000533C6">
        <w:t> </w:t>
      </w:r>
      <w:r w:rsidR="007A4B3F">
        <w:t>8</w:t>
      </w:r>
      <w:r w:rsidR="003D18B9" w:rsidRPr="000533C6">
        <w:t>00</w:t>
      </w:r>
      <w:r w:rsidRPr="000533C6">
        <w:t xml:space="preserve"> jobs per month </w:t>
      </w:r>
      <w:r w:rsidR="007A4B3F">
        <w:t>remains well below</w:t>
      </w:r>
      <w:r w:rsidR="00440CC0" w:rsidRPr="000533C6">
        <w:t xml:space="preserve"> </w:t>
      </w:r>
      <w:r w:rsidRPr="000533C6">
        <w:t xml:space="preserve">the recent peak of </w:t>
      </w:r>
      <w:r w:rsidR="007A4B3F">
        <w:t>18</w:t>
      </w:r>
      <w:r w:rsidR="003D18B9" w:rsidRPr="000533C6">
        <w:t> </w:t>
      </w:r>
      <w:r w:rsidR="007A4B3F">
        <w:t>7</w:t>
      </w:r>
      <w:r w:rsidR="003D18B9" w:rsidRPr="000533C6">
        <w:t>00</w:t>
      </w:r>
      <w:r w:rsidRPr="000533C6">
        <w:t xml:space="preserve"> jobs per month recorded in </w:t>
      </w:r>
      <w:r w:rsidR="007A4B3F">
        <w:t>February 2014</w:t>
      </w:r>
      <w:r w:rsidRPr="000533C6">
        <w:t>.</w:t>
      </w:r>
    </w:p>
    <w:p w:rsidR="004265C8" w:rsidRPr="004265C8" w:rsidRDefault="00C37841" w:rsidP="000F6611">
      <w:pPr>
        <w:jc w:val="both"/>
      </w:pPr>
      <w:r w:rsidRPr="000533C6">
        <w:t>I</w:t>
      </w:r>
      <w:r w:rsidR="004265C8" w:rsidRPr="000533C6">
        <w:t xml:space="preserve">n line with </w:t>
      </w:r>
      <w:r w:rsidR="004673C4">
        <w:t>the latest Budget Forecasts</w:t>
      </w:r>
      <w:r w:rsidR="004265C8" w:rsidRPr="000533C6">
        <w:t xml:space="preserve">, the pace of employment growth is likely to </w:t>
      </w:r>
      <w:r w:rsidR="004673C4">
        <w:t>remain reasonably modest</w:t>
      </w:r>
      <w:r w:rsidR="00440CC0" w:rsidRPr="000533C6">
        <w:t xml:space="preserve"> </w:t>
      </w:r>
      <w:r w:rsidR="004265C8" w:rsidRPr="000533C6">
        <w:t xml:space="preserve">over the coming months, with the unemployment rate </w:t>
      </w:r>
      <w:r w:rsidR="004673C4">
        <w:t>continuing to edge up</w:t>
      </w:r>
      <w:r w:rsidR="00440CC0" w:rsidRPr="000533C6">
        <w:t xml:space="preserve"> </w:t>
      </w:r>
      <w:r w:rsidR="00E319B8" w:rsidRPr="000533C6">
        <w:t>over the course of 2014.</w:t>
      </w:r>
    </w:p>
    <w:p w:rsidR="004265C8" w:rsidRPr="008D79E7" w:rsidRDefault="004265C8" w:rsidP="000F6611">
      <w:pPr>
        <w:jc w:val="both"/>
      </w:pPr>
      <w:r w:rsidRPr="008D79E7">
        <w:t xml:space="preserve">Over the 12 months to </w:t>
      </w:r>
      <w:r w:rsidR="00704B20">
        <w:t>May 2014</w:t>
      </w:r>
      <w:r w:rsidRPr="008D79E7">
        <w:t xml:space="preserve">, employment (in trend terms) increased in </w:t>
      </w:r>
      <w:r w:rsidR="00D20CA1">
        <w:t>the</w:t>
      </w:r>
      <w:r w:rsidR="00704B20">
        <w:t xml:space="preserve"> Northern Territory</w:t>
      </w:r>
      <w:r w:rsidR="00D20CA1">
        <w:t xml:space="preserve"> </w:t>
      </w:r>
      <w:r w:rsidRPr="008D79E7">
        <w:t>(</w:t>
      </w:r>
      <w:r w:rsidR="00704B20">
        <w:t xml:space="preserve">NT, </w:t>
      </w:r>
      <w:r w:rsidR="00866F36">
        <w:t>6.5</w:t>
      </w:r>
      <w:r w:rsidRPr="008D79E7">
        <w:t>%),</w:t>
      </w:r>
      <w:r w:rsidR="007A1565">
        <w:t xml:space="preserve"> </w:t>
      </w:r>
      <w:r w:rsidR="00866F36">
        <w:t>Western Australia (WA</w:t>
      </w:r>
      <w:r w:rsidR="00866F36" w:rsidRPr="008D79E7">
        <w:t xml:space="preserve">, </w:t>
      </w:r>
      <w:r w:rsidR="00866F36">
        <w:t>2.7</w:t>
      </w:r>
      <w:r w:rsidR="00866F36" w:rsidRPr="008D79E7">
        <w:t xml:space="preserve">%), </w:t>
      </w:r>
      <w:r w:rsidR="00704B20">
        <w:t>Queensland (2.6%), Tasman</w:t>
      </w:r>
      <w:bookmarkStart w:id="0" w:name="_GoBack"/>
      <w:bookmarkEnd w:id="0"/>
      <w:r w:rsidR="00704B20">
        <w:t>ia</w:t>
      </w:r>
      <w:r w:rsidR="00D20CA1" w:rsidRPr="008D79E7">
        <w:t xml:space="preserve"> (</w:t>
      </w:r>
      <w:r w:rsidR="00866F36">
        <w:t>1.8</w:t>
      </w:r>
      <w:r w:rsidR="00025454" w:rsidRPr="008D79E7">
        <w:t>%),</w:t>
      </w:r>
      <w:r w:rsidR="00B6516B">
        <w:t xml:space="preserve"> the </w:t>
      </w:r>
      <w:r w:rsidR="00704B20">
        <w:t xml:space="preserve">Australian Capital Territory </w:t>
      </w:r>
      <w:r w:rsidRPr="008D79E7">
        <w:t>(</w:t>
      </w:r>
      <w:r w:rsidR="00704B20">
        <w:t>ACT</w:t>
      </w:r>
      <w:r w:rsidR="001D70E5">
        <w:t>,</w:t>
      </w:r>
      <w:r w:rsidR="00EB1656">
        <w:t xml:space="preserve"> </w:t>
      </w:r>
      <w:r w:rsidR="00866F36">
        <w:t>0.6</w:t>
      </w:r>
      <w:r w:rsidRPr="008D79E7">
        <w:t xml:space="preserve">%) </w:t>
      </w:r>
      <w:r w:rsidR="00EB1656">
        <w:t>and New South Wales (NSW</w:t>
      </w:r>
      <w:r w:rsidR="00866F36">
        <w:t>, 0.1%</w:t>
      </w:r>
      <w:r w:rsidR="00EB1656">
        <w:t>)</w:t>
      </w:r>
      <w:r w:rsidR="00A764EE">
        <w:t>,</w:t>
      </w:r>
      <w:r w:rsidR="00EB1656">
        <w:t xml:space="preserve"> and </w:t>
      </w:r>
      <w:r w:rsidR="00A764EE">
        <w:t xml:space="preserve">was stable in </w:t>
      </w:r>
      <w:r w:rsidR="000533C6">
        <w:t>Victoria</w:t>
      </w:r>
      <w:r w:rsidR="00EB1656">
        <w:t xml:space="preserve">. </w:t>
      </w:r>
      <w:r w:rsidRPr="008D79E7">
        <w:t xml:space="preserve">Employment declined in </w:t>
      </w:r>
      <w:r w:rsidR="00EB1656">
        <w:t xml:space="preserve">South Australia </w:t>
      </w:r>
      <w:r w:rsidRPr="008D79E7">
        <w:t>(</w:t>
      </w:r>
      <w:r w:rsidR="00EB1656">
        <w:t>SA</w:t>
      </w:r>
      <w:r w:rsidRPr="008D79E7">
        <w:t>, down</w:t>
      </w:r>
      <w:r w:rsidR="00B6516B">
        <w:t> </w:t>
      </w:r>
      <w:r w:rsidR="00A764EE">
        <w:t>1.0</w:t>
      </w:r>
      <w:r w:rsidRPr="008D79E7">
        <w:t>%)</w:t>
      </w:r>
      <w:r w:rsidR="00EB1656">
        <w:t>.</w:t>
      </w:r>
    </w:p>
    <w:p w:rsidR="004265C8" w:rsidRDefault="004265C8" w:rsidP="000F6611">
      <w:pPr>
        <w:jc w:val="both"/>
      </w:pPr>
      <w:r w:rsidRPr="00AE05C8">
        <w:t xml:space="preserve">Employment opportunities and growth varied across industries. </w:t>
      </w:r>
      <w:r w:rsidR="0074075C" w:rsidRPr="00AE05C8">
        <w:t xml:space="preserve">Over the 12 months to </w:t>
      </w:r>
      <w:r w:rsidR="0074075C">
        <w:t>May 2014</w:t>
      </w:r>
      <w:r w:rsidRPr="00AE05C8">
        <w:t xml:space="preserve">, the largest increases in trend employment occurred in </w:t>
      </w:r>
      <w:r w:rsidR="003E6242">
        <w:t>Other Services</w:t>
      </w:r>
      <w:r w:rsidR="00483A12">
        <w:rPr>
          <w:rStyle w:val="FootnoteReference"/>
        </w:rPr>
        <w:footnoteReference w:id="3"/>
      </w:r>
      <w:r w:rsidR="003E6242">
        <w:t xml:space="preserve"> </w:t>
      </w:r>
      <w:r w:rsidR="00477D52" w:rsidRPr="00AE05C8">
        <w:t>(up</w:t>
      </w:r>
      <w:r w:rsidR="007575A5">
        <w:t> </w:t>
      </w:r>
      <w:r w:rsidR="003E6242">
        <w:t>46</w:t>
      </w:r>
      <w:r w:rsidR="00E319B8">
        <w:t> </w:t>
      </w:r>
      <w:r w:rsidR="003E6242">
        <w:t>8</w:t>
      </w:r>
      <w:r w:rsidR="00477D52" w:rsidRPr="00AE05C8">
        <w:t xml:space="preserve">00), </w:t>
      </w:r>
      <w:r w:rsidR="00F05D85" w:rsidRPr="00F05D85">
        <w:t>Health Care and Social Assistance</w:t>
      </w:r>
      <w:r w:rsidR="003E6242">
        <w:t xml:space="preserve"> </w:t>
      </w:r>
      <w:r w:rsidR="007575A5" w:rsidRPr="00AE05C8">
        <w:t>(up</w:t>
      </w:r>
      <w:r w:rsidR="007575A5">
        <w:t> </w:t>
      </w:r>
      <w:r w:rsidR="003E6242">
        <w:t>43</w:t>
      </w:r>
      <w:r w:rsidR="007575A5">
        <w:t> </w:t>
      </w:r>
      <w:r w:rsidR="003E6242">
        <w:t>2</w:t>
      </w:r>
      <w:r w:rsidR="007575A5">
        <w:t>00)</w:t>
      </w:r>
      <w:r w:rsidR="006422DE" w:rsidRPr="006422DE">
        <w:t xml:space="preserve"> </w:t>
      </w:r>
      <w:r w:rsidR="006422DE" w:rsidRPr="00AE05C8">
        <w:t>and</w:t>
      </w:r>
      <w:r w:rsidR="003E6242">
        <w:t xml:space="preserve"> Agriculture, Forestry and Fishing (up</w:t>
      </w:r>
      <w:r w:rsidR="00F05D85">
        <w:t> </w:t>
      </w:r>
      <w:r w:rsidR="003E6242">
        <w:t>33</w:t>
      </w:r>
      <w:r w:rsidR="00F05D85">
        <w:t> </w:t>
      </w:r>
      <w:r w:rsidR="003E6242">
        <w:t>400)</w:t>
      </w:r>
      <w:r w:rsidRPr="00AE05C8">
        <w:t xml:space="preserve">. The largest decreases in trend employment occurred in </w:t>
      </w:r>
      <w:r w:rsidR="003E6242">
        <w:t xml:space="preserve">Wholesale Trade </w:t>
      </w:r>
      <w:r w:rsidR="002D7202" w:rsidRPr="00AE05C8">
        <w:t>(</w:t>
      </w:r>
      <w:r w:rsidR="002D7202">
        <w:t>down </w:t>
      </w:r>
      <w:r w:rsidR="003E6242">
        <w:t>51</w:t>
      </w:r>
      <w:r w:rsidR="002D7202">
        <w:t> </w:t>
      </w:r>
      <w:r w:rsidR="003E6242">
        <w:t>1</w:t>
      </w:r>
      <w:r w:rsidR="002D7202">
        <w:t>00)</w:t>
      </w:r>
      <w:r w:rsidR="002D7202" w:rsidRPr="00AE05C8">
        <w:t xml:space="preserve"> </w:t>
      </w:r>
      <w:r w:rsidRPr="00AE05C8">
        <w:t xml:space="preserve">and </w:t>
      </w:r>
      <w:r w:rsidR="003E6242">
        <w:t xml:space="preserve">Accommodation and Food Services </w:t>
      </w:r>
      <w:r w:rsidR="002D7202" w:rsidRPr="00AE05C8">
        <w:t>(</w:t>
      </w:r>
      <w:r w:rsidR="002D7202">
        <w:t>down </w:t>
      </w:r>
      <w:r w:rsidR="003E6242">
        <w:t>33</w:t>
      </w:r>
      <w:r w:rsidR="002D7202">
        <w:t> </w:t>
      </w:r>
      <w:r w:rsidR="003E6242">
        <w:t>3</w:t>
      </w:r>
      <w:r w:rsidR="002D7202">
        <w:t>00)</w:t>
      </w:r>
      <w:r w:rsidRPr="00AE05C8">
        <w:t>. The strongest rate</w:t>
      </w:r>
      <w:r w:rsidR="006422DE">
        <w:t>s</w:t>
      </w:r>
      <w:r w:rsidRPr="00AE05C8">
        <w:t xml:space="preserve"> of employment growth </w:t>
      </w:r>
      <w:r w:rsidR="006422DE">
        <w:t>were</w:t>
      </w:r>
      <w:r w:rsidRPr="00AE05C8">
        <w:t xml:space="preserve"> in </w:t>
      </w:r>
      <w:r w:rsidR="003E6242">
        <w:t xml:space="preserve">Rental, Hiring and Real Estate Services </w:t>
      </w:r>
      <w:r w:rsidRPr="00AE05C8">
        <w:t>(up </w:t>
      </w:r>
      <w:r w:rsidR="003E6242">
        <w:t>13</w:t>
      </w:r>
      <w:r w:rsidR="00477D52" w:rsidRPr="00AE05C8">
        <w:t>.</w:t>
      </w:r>
      <w:r w:rsidR="003E6242">
        <w:t>3</w:t>
      </w:r>
      <w:r w:rsidRPr="00AE05C8">
        <w:t>%)</w:t>
      </w:r>
      <w:r w:rsidR="006422DE">
        <w:t xml:space="preserve"> </w:t>
      </w:r>
      <w:r w:rsidR="006422DE" w:rsidRPr="00AE05C8">
        <w:t>and</w:t>
      </w:r>
      <w:r w:rsidR="00477D52" w:rsidRPr="00AE05C8">
        <w:t xml:space="preserve"> </w:t>
      </w:r>
      <w:r w:rsidR="003E6242">
        <w:t>Agriculture, Forestry and Fishing (up</w:t>
      </w:r>
      <w:r w:rsidR="00FB50B5">
        <w:t> </w:t>
      </w:r>
      <w:r w:rsidR="003E6242">
        <w:t xml:space="preserve">11.4%) </w:t>
      </w:r>
      <w:r w:rsidRPr="00AE05C8">
        <w:t xml:space="preserve">while the strongest rate of trend employment decrease was in </w:t>
      </w:r>
      <w:r w:rsidR="003E6242">
        <w:t xml:space="preserve">Wholesale Trade </w:t>
      </w:r>
      <w:r w:rsidRPr="00AE05C8">
        <w:t>(down </w:t>
      </w:r>
      <w:r w:rsidR="003E6242">
        <w:t>11.9</w:t>
      </w:r>
      <w:r w:rsidRPr="00AE05C8">
        <w:t>%). Employment growth rates by industry are shown in Figure 1.</w:t>
      </w:r>
    </w:p>
    <w:p w:rsidR="00981B17" w:rsidRDefault="00BB637B">
      <w:pPr>
        <w:pStyle w:val="Figureheading"/>
      </w:pPr>
      <w:r>
        <w:t>Figure 1: Percentage change in trend employment by industry</w:t>
      </w:r>
      <w:r w:rsidRPr="00BB637B">
        <w:t>—</w:t>
      </w:r>
      <w:r w:rsidR="003E6242">
        <w:t xml:space="preserve">May 2013 </w:t>
      </w:r>
      <w:r>
        <w:t xml:space="preserve">to </w:t>
      </w:r>
      <w:r w:rsidR="003E6242">
        <w:t>May 2014</w:t>
      </w:r>
    </w:p>
    <w:p w:rsidR="00A30234" w:rsidRPr="00EB704C" w:rsidRDefault="00BF6B73">
      <w:pPr>
        <w:pStyle w:val="Figureheading"/>
      </w:pPr>
      <w:r w:rsidRPr="00BF6B73">
        <w:rPr>
          <w:noProof/>
          <w:lang w:eastAsia="en-AU"/>
        </w:rPr>
        <w:drawing>
          <wp:inline distT="0" distB="0" distL="0" distR="0" wp14:anchorId="0A39A1C7" wp14:editId="60000C82">
            <wp:extent cx="6417945" cy="3068955"/>
            <wp:effectExtent l="0" t="0" r="1905" b="0"/>
            <wp:docPr id="14" name="Picture 14" descr="Industry Percentage Change&#10;Agriculture, Forestry and Fishing 11.4&#10;Mining 1.5&#10;Manufacturing 2.1&#10;Electricity, Gas, Water and Waste Services 3.2&#10;Construction 1.4&#10;Wholesale Trade -11.9&#10;Retail Trade 1.0&#10;Accommodation and Food Services -4.2&#10;Transport, Postal and Warehousing -1.0&#10;Information Media and Telecommunications -4.7&#10;Financial and Insurance Services -2.2&#10;Rental, Hiring and Real Estate Services 13.3&#10;Professional, Scientific and Technical Services 1.1&#10;Administrative and Support Services 0.1&#10;Public Administration and Safety -1.3&#10;Education and Training 2.5&#10;Health Care and Social Assistance 3.2&#10;Arts and Recreation Services -7.6&#10;Other Service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7945" cy="3068955"/>
                    </a:xfrm>
                    <a:prstGeom prst="rect">
                      <a:avLst/>
                    </a:prstGeom>
                    <a:noFill/>
                    <a:ln>
                      <a:noFill/>
                    </a:ln>
                  </pic:spPr>
                </pic:pic>
              </a:graphicData>
            </a:graphic>
          </wp:inline>
        </w:drawing>
      </w:r>
    </w:p>
    <w:p w:rsidR="00070920" w:rsidRPr="00070920" w:rsidRDefault="00070920" w:rsidP="00DA5A02">
      <w:pPr>
        <w:pStyle w:val="Source"/>
      </w:pPr>
      <w:r w:rsidRPr="00070920">
        <w:t xml:space="preserve">Source: ABS, Labour Force, Australia, Detailed, Quarterly, </w:t>
      </w:r>
      <w:r w:rsidR="003D152D" w:rsidRPr="003D152D">
        <w:t>(</w:t>
      </w:r>
      <w:r w:rsidR="003E6242">
        <w:t>May 2014</w:t>
      </w:r>
      <w:r w:rsidR="003D152D" w:rsidRPr="003D152D">
        <w:t>)</w:t>
      </w:r>
      <w:r w:rsidRPr="00070920">
        <w:t>, ABS Cat. No. 6291.0.55.003.</w:t>
      </w:r>
    </w:p>
    <w:p w:rsidR="00591134" w:rsidRDefault="00070920">
      <w:pPr>
        <w:sectPr w:rsidR="00591134" w:rsidSect="0060171E">
          <w:footerReference w:type="default" r:id="rId16"/>
          <w:footerReference w:type="first" r:id="rId17"/>
          <w:type w:val="continuous"/>
          <w:pgSz w:w="11906" w:h="16838" w:code="9"/>
          <w:pgMar w:top="567" w:right="851" w:bottom="709" w:left="851" w:header="709" w:footer="0" w:gutter="0"/>
          <w:pgNumType w:start="1"/>
          <w:cols w:space="708"/>
          <w:docGrid w:linePitch="360"/>
        </w:sectPr>
      </w:pPr>
      <w:r w:rsidRPr="00070920">
        <w:rPr>
          <w:rFonts w:cs="Arial"/>
          <w:iCs/>
          <w:sz w:val="16"/>
          <w:szCs w:val="16"/>
        </w:rPr>
        <w:t>ISSN</w:t>
      </w:r>
      <w:r w:rsidR="00BD2578">
        <w:rPr>
          <w:rFonts w:cs="Arial"/>
          <w:iCs/>
          <w:sz w:val="16"/>
          <w:szCs w:val="16"/>
        </w:rPr>
        <w:t> </w:t>
      </w:r>
      <w:r w:rsidRPr="00070920">
        <w:rPr>
          <w:rFonts w:cs="Arial"/>
          <w:iCs/>
          <w:sz w:val="16"/>
          <w:szCs w:val="16"/>
        </w:rPr>
        <w:t>1833-413X</w:t>
      </w:r>
    </w:p>
    <w:p w:rsidR="000671D0" w:rsidRDefault="000671D0" w:rsidP="00593DB0">
      <w:pPr>
        <w:pStyle w:val="Heading1"/>
        <w:spacing w:before="0"/>
      </w:pPr>
      <w:r>
        <w:lastRenderedPageBreak/>
        <w:t>Unemployment</w:t>
      </w:r>
    </w:p>
    <w:p w:rsidR="000671D0" w:rsidRDefault="000671D0" w:rsidP="0022378B">
      <w:pPr>
        <w:pStyle w:val="Heading1"/>
        <w:sectPr w:rsidR="000671D0" w:rsidSect="0060171E">
          <w:footerReference w:type="default" r:id="rId18"/>
          <w:pgSz w:w="11906" w:h="16838" w:code="9"/>
          <w:pgMar w:top="567" w:right="851" w:bottom="709" w:left="851" w:header="709" w:footer="0" w:gutter="0"/>
          <w:pgNumType w:start="2"/>
          <w:cols w:space="708"/>
          <w:docGrid w:linePitch="360"/>
        </w:sectPr>
      </w:pPr>
    </w:p>
    <w:p w:rsidR="0022378B" w:rsidRPr="00006470" w:rsidRDefault="0022378B" w:rsidP="00F87924">
      <w:pPr>
        <w:spacing w:before="80"/>
        <w:jc w:val="both"/>
      </w:pPr>
      <w:r w:rsidRPr="00006470">
        <w:lastRenderedPageBreak/>
        <w:t xml:space="preserve">The trend rate of unemployment </w:t>
      </w:r>
      <w:r w:rsidR="00694E2B">
        <w:t xml:space="preserve">in Australia </w:t>
      </w:r>
      <w:r w:rsidRPr="00006470">
        <w:t xml:space="preserve">was </w:t>
      </w:r>
      <w:r w:rsidR="0032359C">
        <w:t>5.9</w:t>
      </w:r>
      <w:r w:rsidRPr="00006470">
        <w:t xml:space="preserve">% in </w:t>
      </w:r>
      <w:r w:rsidR="0032359C">
        <w:t xml:space="preserve">May 2014 </w:t>
      </w:r>
      <w:r w:rsidRPr="00006470">
        <w:t xml:space="preserve">compared with </w:t>
      </w:r>
      <w:r w:rsidR="00694E2B">
        <w:t>5.</w:t>
      </w:r>
      <w:r w:rsidR="0032359C">
        <w:t>6</w:t>
      </w:r>
      <w:r w:rsidRPr="00006470">
        <w:t xml:space="preserve">% in </w:t>
      </w:r>
      <w:r w:rsidR="0032359C">
        <w:t>May 2013.</w:t>
      </w:r>
    </w:p>
    <w:p w:rsidR="0022378B" w:rsidRPr="00006470" w:rsidRDefault="0022378B" w:rsidP="00F87924">
      <w:pPr>
        <w:jc w:val="both"/>
      </w:pPr>
      <w:r w:rsidRPr="00006470">
        <w:t xml:space="preserve">In the past year, the trend unemployment rate increased in all states and territories except </w:t>
      </w:r>
      <w:r w:rsidR="00694E2B">
        <w:t xml:space="preserve">the </w:t>
      </w:r>
      <w:r w:rsidR="0040200C">
        <w:t>NT</w:t>
      </w:r>
      <w:r w:rsidR="0032359C">
        <w:t xml:space="preserve"> </w:t>
      </w:r>
      <w:r w:rsidRPr="00006470">
        <w:t>(declined from</w:t>
      </w:r>
      <w:r w:rsidR="0032359C">
        <w:t xml:space="preserve"> </w:t>
      </w:r>
      <w:r w:rsidR="00DB2217">
        <w:t>5.5</w:t>
      </w:r>
      <w:r w:rsidRPr="00006470">
        <w:t xml:space="preserve">% to </w:t>
      </w:r>
      <w:r w:rsidR="00DB2217">
        <w:t>3.8</w:t>
      </w:r>
      <w:r w:rsidRPr="00006470">
        <w:t>%)</w:t>
      </w:r>
      <w:r w:rsidR="0032359C">
        <w:t xml:space="preserve">, Tasmania (declined from 7.8% to </w:t>
      </w:r>
      <w:r w:rsidR="00DB2217">
        <w:t>7.4</w:t>
      </w:r>
      <w:r w:rsidR="0032359C">
        <w:t>%)</w:t>
      </w:r>
      <w:r w:rsidRPr="00006470">
        <w:t xml:space="preserve"> and the </w:t>
      </w:r>
      <w:r w:rsidR="0032359C">
        <w:t xml:space="preserve">ACT </w:t>
      </w:r>
      <w:r w:rsidRPr="00006470">
        <w:t xml:space="preserve">(declined from </w:t>
      </w:r>
      <w:r w:rsidR="0032359C">
        <w:t>4.0</w:t>
      </w:r>
      <w:r w:rsidRPr="00006470">
        <w:t xml:space="preserve">% to </w:t>
      </w:r>
      <w:r w:rsidR="00DB2217">
        <w:t>3.6</w:t>
      </w:r>
      <w:r w:rsidRPr="00006470">
        <w:t>%).</w:t>
      </w:r>
    </w:p>
    <w:p w:rsidR="0022378B" w:rsidRDefault="0022378B" w:rsidP="00F87924">
      <w:pPr>
        <w:jc w:val="both"/>
      </w:pPr>
      <w:r w:rsidRPr="00006470">
        <w:t xml:space="preserve">In </w:t>
      </w:r>
      <w:r w:rsidR="0032359C">
        <w:t xml:space="preserve">May 2014, </w:t>
      </w:r>
      <w:r w:rsidRPr="00006470">
        <w:t xml:space="preserve">the trend unemployment rate was highest in </w:t>
      </w:r>
      <w:r w:rsidR="0032359C">
        <w:t>Tasmania (</w:t>
      </w:r>
      <w:r w:rsidR="0040200C">
        <w:t>7.4</w:t>
      </w:r>
      <w:r w:rsidR="0032359C">
        <w:t xml:space="preserve">%), SA </w:t>
      </w:r>
      <w:r w:rsidRPr="00006470">
        <w:t>(</w:t>
      </w:r>
      <w:r w:rsidR="0040200C">
        <w:t>6.9</w:t>
      </w:r>
      <w:r w:rsidRPr="00006470">
        <w:t xml:space="preserve">%), </w:t>
      </w:r>
      <w:r w:rsidR="0032359C">
        <w:t xml:space="preserve">Victoria </w:t>
      </w:r>
      <w:r w:rsidR="0040200C">
        <w:t xml:space="preserve">(6.4%) </w:t>
      </w:r>
      <w:r w:rsidR="0032359C">
        <w:t xml:space="preserve">and Queensland (6.3%) </w:t>
      </w:r>
      <w:r w:rsidRPr="00006470">
        <w:t xml:space="preserve">and lowest in </w:t>
      </w:r>
      <w:r w:rsidR="0032359C">
        <w:t>the ACT (</w:t>
      </w:r>
      <w:r w:rsidR="0040200C">
        <w:t>3.6</w:t>
      </w:r>
      <w:r w:rsidR="0032359C">
        <w:t>%)</w:t>
      </w:r>
      <w:r w:rsidR="0040200C">
        <w:t>,</w:t>
      </w:r>
      <w:r w:rsidR="0032359C">
        <w:t xml:space="preserve"> the </w:t>
      </w:r>
      <w:r w:rsidR="0040200C">
        <w:t>NT</w:t>
      </w:r>
      <w:r w:rsidR="0032359C">
        <w:t xml:space="preserve"> (3.3%)</w:t>
      </w:r>
      <w:r w:rsidR="0040200C">
        <w:t>,</w:t>
      </w:r>
      <w:r w:rsidR="0040200C" w:rsidRPr="0040200C">
        <w:t xml:space="preserve"> </w:t>
      </w:r>
      <w:r w:rsidR="0040200C">
        <w:t xml:space="preserve">WA </w:t>
      </w:r>
      <w:r w:rsidR="0040200C" w:rsidRPr="00006470">
        <w:t>(</w:t>
      </w:r>
      <w:r w:rsidR="0040200C">
        <w:t>5.1</w:t>
      </w:r>
      <w:r w:rsidR="0040200C" w:rsidRPr="00006470">
        <w:t>%)</w:t>
      </w:r>
      <w:r w:rsidR="0040200C" w:rsidRPr="0040200C">
        <w:t xml:space="preserve"> </w:t>
      </w:r>
      <w:r w:rsidR="0040200C">
        <w:t xml:space="preserve">and NSW </w:t>
      </w:r>
      <w:r w:rsidR="0040200C" w:rsidRPr="00006470">
        <w:t>(</w:t>
      </w:r>
      <w:r w:rsidR="0040200C">
        <w:t>5.5</w:t>
      </w:r>
      <w:r w:rsidR="0040200C" w:rsidRPr="00006470">
        <w:t>%)</w:t>
      </w:r>
      <w:r w:rsidR="0032359C">
        <w:t xml:space="preserve">. </w:t>
      </w:r>
      <w:r w:rsidRPr="00006470">
        <w:t>See Figure 2.</w:t>
      </w:r>
    </w:p>
    <w:p w:rsidR="007C43B3" w:rsidRDefault="00685230" w:rsidP="00F87924">
      <w:pPr>
        <w:spacing w:before="0" w:after="0"/>
        <w:jc w:val="both"/>
      </w:pPr>
      <w:r w:rsidRPr="00846015">
        <w:t xml:space="preserve">Generally, people in more highly-skilled occupational groups are less likely to experience unemployment. For the four quarters to </w:t>
      </w:r>
      <w:r w:rsidR="00846015" w:rsidRPr="00846015">
        <w:t xml:space="preserve">May 2014, </w:t>
      </w:r>
      <w:r w:rsidRPr="00846015">
        <w:t xml:space="preserve">the unemployment rate for those formerly employed as Labourers was </w:t>
      </w:r>
      <w:r w:rsidR="00815833">
        <w:t xml:space="preserve">around </w:t>
      </w:r>
      <w:r w:rsidR="00846015" w:rsidRPr="00846015">
        <w:t>three</w:t>
      </w:r>
      <w:r w:rsidR="00815833">
        <w:t> </w:t>
      </w:r>
      <w:r w:rsidRPr="00846015">
        <w:t>tim</w:t>
      </w:r>
      <w:r w:rsidR="005E25A3" w:rsidRPr="00846015">
        <w:t>es</w:t>
      </w:r>
      <w:r w:rsidR="002576C9" w:rsidRPr="00846015">
        <w:t> </w:t>
      </w:r>
      <w:r w:rsidR="005E25A3" w:rsidRPr="00846015">
        <w:t>that</w:t>
      </w:r>
      <w:r w:rsidR="002576C9" w:rsidRPr="00846015">
        <w:t> </w:t>
      </w:r>
      <w:r w:rsidR="005E25A3" w:rsidRPr="00846015">
        <w:t>of</w:t>
      </w:r>
      <w:r w:rsidR="002576C9" w:rsidRPr="00846015">
        <w:t> </w:t>
      </w:r>
      <w:r w:rsidR="005E25A3" w:rsidRPr="00846015">
        <w:t>former</w:t>
      </w:r>
      <w:r w:rsidR="002576C9" w:rsidRPr="00846015">
        <w:t> </w:t>
      </w:r>
      <w:r w:rsidR="005E25A3" w:rsidRPr="00846015">
        <w:t>Professionals.</w:t>
      </w:r>
    </w:p>
    <w:p w:rsidR="0022378B" w:rsidRPr="00DA5A02" w:rsidRDefault="0022378B" w:rsidP="006C5454">
      <w:pPr>
        <w:spacing w:before="0" w:after="0" w:line="140" w:lineRule="atLeast"/>
        <w:jc w:val="both"/>
        <w:rPr>
          <w:sz w:val="2"/>
          <w:szCs w:val="2"/>
        </w:rPr>
      </w:pPr>
      <w:r>
        <w:br w:type="column"/>
      </w:r>
    </w:p>
    <w:p w:rsidR="0022378B" w:rsidRDefault="0022378B" w:rsidP="00F20285">
      <w:pPr>
        <w:pStyle w:val="FigureandTableheading"/>
      </w:pPr>
      <w:r w:rsidRPr="00006470">
        <w:t>Figure 2: Unemployment rates (%) by</w:t>
      </w:r>
      <w:r w:rsidR="00061EA4">
        <w:br/>
      </w:r>
      <w:r w:rsidR="00593DB0">
        <w:t>State/Territory—</w:t>
      </w:r>
      <w:r w:rsidR="0032359C">
        <w:t>May 2014</w:t>
      </w:r>
    </w:p>
    <w:p w:rsidR="00F83857" w:rsidRPr="00006470" w:rsidRDefault="00375727" w:rsidP="00F83857">
      <w:pPr>
        <w:pStyle w:val="FigureandTableheading"/>
      </w:pPr>
      <w:r w:rsidRPr="00375727">
        <w:rPr>
          <w:noProof/>
          <w:lang w:eastAsia="en-AU"/>
        </w:rPr>
        <w:drawing>
          <wp:inline distT="0" distB="0" distL="0" distR="0" wp14:anchorId="5881951C" wp14:editId="7E4241C3">
            <wp:extent cx="2957195" cy="2256790"/>
            <wp:effectExtent l="0" t="0" r="0" b="0"/>
            <wp:docPr id="15" name="Picture 15" descr="State/Territory/Country Trend Unemployment Rate (percentage)&#10;New South Wales 5.5&#10;Victoria 6.4&#10;Queensland 6.3&#10;South Australia 6.9&#10;Western Australia 5.1&#10;Tasmania 7.4&#10;Northern Territory 3.8&#10;Australian Capital Territory 3.6&#10;Australi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7195" cy="2256790"/>
                    </a:xfrm>
                    <a:prstGeom prst="rect">
                      <a:avLst/>
                    </a:prstGeom>
                    <a:noFill/>
                    <a:ln>
                      <a:noFill/>
                    </a:ln>
                  </pic:spPr>
                </pic:pic>
              </a:graphicData>
            </a:graphic>
          </wp:inline>
        </w:drawing>
      </w:r>
    </w:p>
    <w:p w:rsidR="0022378B" w:rsidRDefault="0022378B" w:rsidP="0022378B">
      <w:pPr>
        <w:sectPr w:rsidR="0022378B" w:rsidSect="0060171E">
          <w:type w:val="continuous"/>
          <w:pgSz w:w="11906" w:h="16838" w:code="9"/>
          <w:pgMar w:top="567" w:right="851" w:bottom="709" w:left="851" w:header="709" w:footer="0" w:gutter="0"/>
          <w:pgNumType w:start="1"/>
          <w:cols w:num="2" w:space="708"/>
          <w:docGrid w:linePitch="360"/>
        </w:sectPr>
      </w:pPr>
    </w:p>
    <w:p w:rsidR="00AE05C8" w:rsidRDefault="008D6DD7" w:rsidP="00E319B8">
      <w:pPr>
        <w:pStyle w:val="Heading1"/>
        <w:jc w:val="both"/>
      </w:pPr>
      <w:r>
        <w:lastRenderedPageBreak/>
        <w:t>Migrant Unemployment</w:t>
      </w:r>
    </w:p>
    <w:p w:rsidR="008D6DD7" w:rsidRPr="00044910" w:rsidRDefault="008D6DD7" w:rsidP="000F6611">
      <w:pPr>
        <w:jc w:val="both"/>
      </w:pPr>
      <w:r w:rsidRPr="00044910">
        <w:t xml:space="preserve">The unemployment rates for people who migrate to Australia vary appreciably. Several factors influence migrant unemployment rates including skill level, age, English proficiency, recent and relevant work experience, and the period since arrival in Australia. Data consistently show recently-arrived migrants have a higher unemployment rate </w:t>
      </w:r>
      <w:r w:rsidR="003043DF">
        <w:t xml:space="preserve">on average </w:t>
      </w:r>
      <w:r w:rsidRPr="00044910">
        <w:t>than those who have lived in Australia for some years.</w:t>
      </w:r>
    </w:p>
    <w:p w:rsidR="008D6DD7" w:rsidRDefault="008D6DD7" w:rsidP="000F6611">
      <w:pPr>
        <w:jc w:val="both"/>
      </w:pPr>
      <w:r w:rsidRPr="00044910">
        <w:t xml:space="preserve">Figure 3 below shows unemployment rates (average of the last 12 months to </w:t>
      </w:r>
      <w:r w:rsidR="00846015">
        <w:t xml:space="preserve">May 2014) </w:t>
      </w:r>
      <w:r w:rsidRPr="00044910">
        <w:t xml:space="preserve">for people resident in Australia born in selected overseas countries. People born </w:t>
      </w:r>
      <w:r w:rsidR="00044910" w:rsidRPr="00044910">
        <w:t xml:space="preserve">in </w:t>
      </w:r>
      <w:r w:rsidR="00846015">
        <w:t xml:space="preserve">the Netherlands, UK and Ireland </w:t>
      </w:r>
      <w:r w:rsidRPr="00044910">
        <w:t xml:space="preserve">and </w:t>
      </w:r>
      <w:r w:rsidR="00846015">
        <w:t xml:space="preserve">Italy </w:t>
      </w:r>
      <w:r w:rsidRPr="00044910">
        <w:t>have relatively low unemployment rates (</w:t>
      </w:r>
      <w:r w:rsidR="00846015">
        <w:t>3</w:t>
      </w:r>
      <w:r w:rsidRPr="00044910">
        <w:t>.</w:t>
      </w:r>
      <w:r w:rsidR="00846015">
        <w:t>8</w:t>
      </w:r>
      <w:r w:rsidRPr="00044910">
        <w:t xml:space="preserve">%, </w:t>
      </w:r>
      <w:r w:rsidR="00846015">
        <w:t>3</w:t>
      </w:r>
      <w:r w:rsidRPr="00044910">
        <w:t>.</w:t>
      </w:r>
      <w:r w:rsidR="00846015">
        <w:t xml:space="preserve">8% </w:t>
      </w:r>
      <w:r w:rsidRPr="00044910">
        <w:t xml:space="preserve">and </w:t>
      </w:r>
      <w:r w:rsidR="00846015">
        <w:t>3.9</w:t>
      </w:r>
      <w:r w:rsidRPr="00044910">
        <w:t xml:space="preserve">% respectively), while unemployment rates for people born in </w:t>
      </w:r>
      <w:r w:rsidR="00846015">
        <w:t xml:space="preserve">Vietnam, Greece </w:t>
      </w:r>
      <w:r w:rsidRPr="00044910">
        <w:t xml:space="preserve">and </w:t>
      </w:r>
      <w:r w:rsidR="00846015">
        <w:t xml:space="preserve">Lebanon </w:t>
      </w:r>
      <w:r w:rsidRPr="00044910">
        <w:t>are relatively high (</w:t>
      </w:r>
      <w:r w:rsidR="00846015">
        <w:t>9.2</w:t>
      </w:r>
      <w:r w:rsidRPr="00044910">
        <w:t>%</w:t>
      </w:r>
      <w:r w:rsidR="00846015">
        <w:t xml:space="preserve">, 8.2% </w:t>
      </w:r>
      <w:r w:rsidR="00044910" w:rsidRPr="00044910">
        <w:t xml:space="preserve">and </w:t>
      </w:r>
      <w:r w:rsidR="00846015">
        <w:t xml:space="preserve">7.2% </w:t>
      </w:r>
      <w:r w:rsidR="00044910" w:rsidRPr="00044910">
        <w:t>respectively</w:t>
      </w:r>
      <w:r w:rsidRPr="00044910">
        <w:t>).</w:t>
      </w:r>
    </w:p>
    <w:p w:rsidR="002E0389" w:rsidRPr="00DA5A02" w:rsidRDefault="002E0389" w:rsidP="009A16E6">
      <w:pPr>
        <w:pStyle w:val="Figureheading"/>
      </w:pPr>
      <w:r w:rsidRPr="00591134">
        <w:t>Figure</w:t>
      </w:r>
      <w:r w:rsidRPr="00D90A85">
        <w:t xml:space="preserve"> 3: Unemployment rates (%) by selected countries of birth—12 months to</w:t>
      </w:r>
      <w:r w:rsidR="005353BA">
        <w:t xml:space="preserve"> May 2014</w:t>
      </w:r>
      <w:r w:rsidRPr="00DA5A02">
        <w:rPr>
          <w:rStyle w:val="FootnoteReference"/>
          <w:rFonts w:eastAsiaTheme="minorEastAsia"/>
          <w:b w:val="0"/>
          <w:iCs w:val="0"/>
          <w:szCs w:val="20"/>
        </w:rPr>
        <w:footnoteReference w:id="4"/>
      </w:r>
    </w:p>
    <w:p w:rsidR="002E0389" w:rsidRPr="00DA5A02" w:rsidRDefault="00EF44BF" w:rsidP="009A16E6">
      <w:pPr>
        <w:pStyle w:val="Figureheading"/>
        <w:rPr>
          <w:sz w:val="16"/>
          <w:szCs w:val="16"/>
        </w:rPr>
      </w:pPr>
      <w:r w:rsidRPr="00EF44BF">
        <w:rPr>
          <w:noProof/>
          <w:lang w:eastAsia="en-AU"/>
        </w:rPr>
        <w:drawing>
          <wp:inline distT="0" distB="0" distL="0" distR="0" wp14:anchorId="0EAA8A12" wp14:editId="3F7F9FB1">
            <wp:extent cx="6438900" cy="3228975"/>
            <wp:effectExtent l="0" t="0" r="0" b="0"/>
            <wp:docPr id="16" name="Picture 16" descr="Country or Country Grouping Unemployment Rate (percentage) at May 2014 (average of the last 12 months to May 2014)&#10;Australia 5.8&#10;Netherlands 3.8&#10;New Zealand 5.8&#10;Italy 3.9&#10;UK and Ireland 3.8&#10;Greece 8.2&#10;Malaysia 5.5&#10;Philippines 5.6&#10;Germany 5.3&#10;China 5.9&#10;India 5.6&#10;Vietnam 9.2&#10;Lebanon 7.2&#10;Main English Speaking Countries (MESC) 4.6&#10;Other Than Main English Speaking Countries (OTMESC)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0" cy="3228975"/>
                    </a:xfrm>
                    <a:prstGeom prst="rect">
                      <a:avLst/>
                    </a:prstGeom>
                    <a:noFill/>
                    <a:ln>
                      <a:noFill/>
                    </a:ln>
                  </pic:spPr>
                </pic:pic>
              </a:graphicData>
            </a:graphic>
          </wp:inline>
        </w:drawing>
      </w:r>
    </w:p>
    <w:p w:rsidR="006E24B0" w:rsidRPr="00DA5A02" w:rsidRDefault="00BA2A5F" w:rsidP="009A16E6">
      <w:pPr>
        <w:pStyle w:val="Figuretext"/>
      </w:pPr>
      <w:r>
        <w:tab/>
      </w:r>
      <w:r w:rsidR="006E24B0" w:rsidRPr="002B14D9">
        <w:t>MESC: Main English Speaking Countries</w:t>
      </w:r>
      <w:r w:rsidR="006E24B0" w:rsidRPr="00591134">
        <w:rPr>
          <w:rStyle w:val="FootnoteReference"/>
          <w:rFonts w:cs="Arial"/>
          <w:bCs w:val="0"/>
          <w:iCs w:val="0"/>
          <w:sz w:val="16"/>
          <w:szCs w:val="16"/>
        </w:rPr>
        <w:footnoteReference w:id="5"/>
      </w:r>
    </w:p>
    <w:p w:rsidR="006E24B0" w:rsidRPr="00DA5A02" w:rsidRDefault="00BA2A5F">
      <w:pPr>
        <w:pStyle w:val="Figuretext"/>
      </w:pPr>
      <w:r>
        <w:tab/>
      </w:r>
      <w:r w:rsidR="006E24B0" w:rsidRPr="002B14D9">
        <w:t>OTMESC: Other Than Main English Speaking Countries</w:t>
      </w:r>
    </w:p>
    <w:p w:rsidR="005B4E6C" w:rsidRDefault="005B4E6C" w:rsidP="000F6611">
      <w:pPr>
        <w:jc w:val="both"/>
        <w:sectPr w:rsidR="005B4E6C" w:rsidSect="0060171E">
          <w:type w:val="continuous"/>
          <w:pgSz w:w="11906" w:h="16838" w:code="9"/>
          <w:pgMar w:top="454" w:right="851" w:bottom="454" w:left="851" w:header="567" w:footer="0" w:gutter="0"/>
          <w:cols w:space="708"/>
          <w:docGrid w:linePitch="360"/>
        </w:sectPr>
      </w:pPr>
    </w:p>
    <w:p w:rsidR="00044910" w:rsidRPr="00006470" w:rsidRDefault="00044910" w:rsidP="006C5454">
      <w:pPr>
        <w:pStyle w:val="Heading1"/>
        <w:spacing w:before="200"/>
        <w:jc w:val="both"/>
      </w:pPr>
      <w:r>
        <w:lastRenderedPageBreak/>
        <w:t>Employment and Unemployment by Occupation</w:t>
      </w:r>
      <w:r w:rsidRPr="00DA5A02">
        <w:rPr>
          <w:rStyle w:val="FootnoteReference"/>
        </w:rPr>
        <w:footnoteReference w:id="6"/>
      </w:r>
    </w:p>
    <w:p w:rsidR="00044910" w:rsidRPr="00602C72" w:rsidRDefault="00044910" w:rsidP="006C5454">
      <w:pPr>
        <w:jc w:val="both"/>
      </w:pPr>
      <w:r w:rsidRPr="00602C72">
        <w:t xml:space="preserve">While employment growth is not the only factor influencing job prospects, it </w:t>
      </w:r>
      <w:r w:rsidR="004411E6">
        <w:t>may be</w:t>
      </w:r>
      <w:r w:rsidRPr="00602C72">
        <w:t xml:space="preserve"> easier to obtain a job in an occupation which is experiencing strong employment growth than one gr</w:t>
      </w:r>
      <w:r w:rsidR="00E319B8">
        <w:t>owing only slowly or declining.</w:t>
      </w:r>
    </w:p>
    <w:p w:rsidR="00044910" w:rsidRDefault="0074075C" w:rsidP="006C5454">
      <w:pPr>
        <w:jc w:val="both"/>
      </w:pPr>
      <w:r w:rsidRPr="00602C72">
        <w:t xml:space="preserve">Over the 12 months to </w:t>
      </w:r>
      <w:r>
        <w:t>May 2014</w:t>
      </w:r>
      <w:r w:rsidRPr="00602C72">
        <w:t xml:space="preserve"> (average of the last four quarters), </w:t>
      </w:r>
      <w:r w:rsidR="00044910" w:rsidRPr="00602C72">
        <w:t xml:space="preserve">the largest increases in employment occurred for </w:t>
      </w:r>
      <w:r w:rsidR="00C6305E">
        <w:t xml:space="preserve">Managers </w:t>
      </w:r>
      <w:r w:rsidR="00602C72" w:rsidRPr="00602C72">
        <w:t>(up</w:t>
      </w:r>
      <w:r w:rsidR="00AA68B0">
        <w:t> </w:t>
      </w:r>
      <w:r w:rsidR="00C6305E">
        <w:t>41</w:t>
      </w:r>
      <w:r w:rsidR="00E319B8">
        <w:t> </w:t>
      </w:r>
      <w:r w:rsidR="00C6305E">
        <w:t>0</w:t>
      </w:r>
      <w:r w:rsidR="00602C72" w:rsidRPr="00602C72">
        <w:t xml:space="preserve">00), </w:t>
      </w:r>
      <w:r w:rsidR="00C6305E">
        <w:t xml:space="preserve">Community and Personal Service Workers </w:t>
      </w:r>
      <w:r w:rsidR="00044910" w:rsidRPr="00602C72">
        <w:t>(</w:t>
      </w:r>
      <w:r w:rsidR="00A95E29" w:rsidRPr="00602C72">
        <w:t>up</w:t>
      </w:r>
      <w:r w:rsidR="00A95E29">
        <w:t> </w:t>
      </w:r>
      <w:r w:rsidR="00C6305E">
        <w:t>32</w:t>
      </w:r>
      <w:r w:rsidR="00A95E29">
        <w:t> </w:t>
      </w:r>
      <w:r w:rsidR="00C6305E">
        <w:t>4</w:t>
      </w:r>
      <w:r w:rsidR="00A95E29" w:rsidRPr="00602C72">
        <w:t>00</w:t>
      </w:r>
      <w:r w:rsidR="00044910" w:rsidRPr="00602C72">
        <w:t>)</w:t>
      </w:r>
      <w:r w:rsidR="00602C72" w:rsidRPr="00602C72">
        <w:t xml:space="preserve"> and </w:t>
      </w:r>
      <w:r w:rsidR="00C6305E">
        <w:t xml:space="preserve">Professionals </w:t>
      </w:r>
      <w:r w:rsidR="00044910" w:rsidRPr="00602C72">
        <w:t>(</w:t>
      </w:r>
      <w:r w:rsidR="00A95E29" w:rsidRPr="00602C72">
        <w:t>up</w:t>
      </w:r>
      <w:r w:rsidR="00A95E29">
        <w:t> </w:t>
      </w:r>
      <w:r w:rsidR="00C6305E">
        <w:t>22</w:t>
      </w:r>
      <w:r w:rsidR="00A95E29">
        <w:t> </w:t>
      </w:r>
      <w:r w:rsidR="00C6305E">
        <w:t>0</w:t>
      </w:r>
      <w:r w:rsidR="00A95E29" w:rsidRPr="00602C72">
        <w:t>00</w:t>
      </w:r>
      <w:r w:rsidR="00044910" w:rsidRPr="00602C72">
        <w:t xml:space="preserve">). Employment growth rates in descending skill order are shown </w:t>
      </w:r>
      <w:r w:rsidR="004602C5">
        <w:t xml:space="preserve">in Table 1 </w:t>
      </w:r>
      <w:r w:rsidR="00044910" w:rsidRPr="00602C72">
        <w:t>below.</w:t>
      </w:r>
    </w:p>
    <w:p w:rsidR="00E2363C" w:rsidRDefault="00E2363C" w:rsidP="00E2363C">
      <w:pPr>
        <w:pStyle w:val="Tableheading"/>
      </w:pPr>
      <w:r w:rsidRPr="008152B2">
        <w:t xml:space="preserve">Table 1: Employment </w:t>
      </w:r>
      <w:r>
        <w:t>growth r</w:t>
      </w:r>
      <w:r w:rsidRPr="008152B2">
        <w:t xml:space="preserve">ates and </w:t>
      </w:r>
      <w:r>
        <w:t>u</w:t>
      </w:r>
      <w:r w:rsidRPr="008152B2">
        <w:t xml:space="preserve">nemployment </w:t>
      </w:r>
      <w:r>
        <w:t>r</w:t>
      </w:r>
      <w:r w:rsidRPr="008152B2">
        <w:t xml:space="preserve">ates </w:t>
      </w:r>
      <w:r>
        <w:t>by</w:t>
      </w:r>
      <w:r w:rsidRPr="008152B2">
        <w:t xml:space="preserve"> </w:t>
      </w:r>
      <w:r>
        <w:t>o</w:t>
      </w:r>
      <w:r w:rsidRPr="008152B2">
        <w:t>ccupation—12</w:t>
      </w:r>
      <w:r>
        <w:t> </w:t>
      </w:r>
      <w:r w:rsidRPr="008152B2">
        <w:t xml:space="preserve">months to </w:t>
      </w:r>
      <w:r>
        <w:t>May 2014</w:t>
      </w:r>
    </w:p>
    <w:tbl>
      <w:tblPr>
        <w:tblStyle w:val="TableGrid"/>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Description w:val="Occupational Group Employment Growth Rate (percentage) Unemployment Rate (percentage)&#10;Managers 2.9 2.1&#10;Professionals 0.9 2.3&#10;Technicians and Trades Workers 0.8 3.4&#10;Community and Personal Service Workers 2.9 3.8&#10;Clerical and Administrative Workers -0.9 3.3&#10;Sales Workers 1.7 4.7&#10;Machinery Operators and Drivers -0.6 4.9&#10;Labourers -1.3 7.0"/>
      </w:tblPr>
      <w:tblGrid>
        <w:gridCol w:w="4103"/>
        <w:gridCol w:w="3049"/>
        <w:gridCol w:w="3054"/>
      </w:tblGrid>
      <w:tr w:rsidR="00E2363C" w:rsidTr="00A77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top w:val="single" w:sz="12" w:space="0" w:color="auto"/>
              <w:left w:val="single" w:sz="12" w:space="0" w:color="auto"/>
              <w:bottom w:val="single" w:sz="12" w:space="0" w:color="auto"/>
              <w:right w:val="single" w:sz="4" w:space="0" w:color="auto"/>
            </w:tcBorders>
          </w:tcPr>
          <w:p w:rsidR="00E2363C" w:rsidRDefault="00E2363C" w:rsidP="00A77EFC">
            <w:pPr>
              <w:jc w:val="both"/>
            </w:pPr>
            <w:r>
              <w:t>Occupational Group</w:t>
            </w:r>
          </w:p>
        </w:tc>
        <w:tc>
          <w:tcPr>
            <w:tcW w:w="3090" w:type="dxa"/>
            <w:tcBorders>
              <w:top w:val="single" w:sz="12" w:space="0" w:color="auto"/>
              <w:left w:val="single" w:sz="4" w:space="0" w:color="auto"/>
              <w:bottom w:val="single" w:sz="12" w:space="0" w:color="auto"/>
            </w:tcBorders>
          </w:tcPr>
          <w:p w:rsidR="00E2363C" w:rsidRDefault="00E2363C" w:rsidP="00A77EFC">
            <w:pPr>
              <w:jc w:val="center"/>
              <w:cnfStyle w:val="100000000000" w:firstRow="1" w:lastRow="0" w:firstColumn="0" w:lastColumn="0" w:oddVBand="0" w:evenVBand="0" w:oddHBand="0" w:evenHBand="0" w:firstRowFirstColumn="0" w:firstRowLastColumn="0" w:lastRowFirstColumn="0" w:lastRowLastColumn="0"/>
            </w:pPr>
            <w:r w:rsidRPr="00F10003">
              <w:t>Employment Growth Rate</w:t>
            </w:r>
            <w:r>
              <w:t xml:space="preserve"> (%)</w:t>
            </w:r>
          </w:p>
        </w:tc>
        <w:tc>
          <w:tcPr>
            <w:tcW w:w="3090" w:type="dxa"/>
            <w:tcBorders>
              <w:top w:val="single" w:sz="12" w:space="0" w:color="auto"/>
              <w:bottom w:val="single" w:sz="12" w:space="0" w:color="auto"/>
              <w:right w:val="single" w:sz="12" w:space="0" w:color="auto"/>
            </w:tcBorders>
          </w:tcPr>
          <w:p w:rsidR="00E2363C" w:rsidRDefault="00E2363C" w:rsidP="00A77EFC">
            <w:pPr>
              <w:jc w:val="center"/>
              <w:cnfStyle w:val="100000000000" w:firstRow="1" w:lastRow="0" w:firstColumn="0" w:lastColumn="0" w:oddVBand="0" w:evenVBand="0" w:oddHBand="0" w:evenHBand="0" w:firstRowFirstColumn="0" w:firstRowLastColumn="0" w:lastRowFirstColumn="0" w:lastRowLastColumn="0"/>
            </w:pPr>
            <w:r w:rsidRPr="00F10003">
              <w:t>Unemployment Rate</w:t>
            </w:r>
            <w:r>
              <w:t xml:space="preserve"> (%)</w:t>
            </w:r>
          </w:p>
        </w:tc>
      </w:tr>
      <w:tr w:rsidR="00E2363C" w:rsidTr="00A7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top w:val="single" w:sz="12" w:space="0" w:color="auto"/>
              <w:left w:val="single" w:sz="12" w:space="0" w:color="auto"/>
              <w:right w:val="single" w:sz="4" w:space="0" w:color="auto"/>
            </w:tcBorders>
          </w:tcPr>
          <w:p w:rsidR="00E2363C" w:rsidRDefault="00E2363C" w:rsidP="00A77EFC">
            <w:pPr>
              <w:jc w:val="both"/>
            </w:pPr>
            <w:r w:rsidRPr="00F10003">
              <w:t>Managers</w:t>
            </w:r>
          </w:p>
        </w:tc>
        <w:tc>
          <w:tcPr>
            <w:tcW w:w="3090" w:type="dxa"/>
            <w:tcBorders>
              <w:top w:val="single" w:sz="12" w:space="0" w:color="auto"/>
              <w:left w:val="single" w:sz="4"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2.9%</w:t>
            </w:r>
          </w:p>
        </w:tc>
        <w:tc>
          <w:tcPr>
            <w:tcW w:w="3090" w:type="dxa"/>
            <w:tcBorders>
              <w:top w:val="single" w:sz="12" w:space="0" w:color="auto"/>
              <w:right w:val="single" w:sz="12"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2.1%</w:t>
            </w:r>
          </w:p>
        </w:tc>
      </w:tr>
      <w:tr w:rsidR="00E2363C" w:rsidTr="00A77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bottom w:val="nil"/>
              <w:right w:val="single" w:sz="4" w:space="0" w:color="auto"/>
            </w:tcBorders>
          </w:tcPr>
          <w:p w:rsidR="00E2363C" w:rsidRDefault="00E2363C" w:rsidP="00A77EFC">
            <w:pPr>
              <w:jc w:val="both"/>
            </w:pPr>
            <w:r w:rsidRPr="00F10003">
              <w:t>Professionals</w:t>
            </w:r>
          </w:p>
        </w:tc>
        <w:tc>
          <w:tcPr>
            <w:tcW w:w="3090" w:type="dxa"/>
            <w:tcBorders>
              <w:left w:val="single" w:sz="4" w:space="0" w:color="auto"/>
              <w:bottom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0.9%</w:t>
            </w:r>
          </w:p>
        </w:tc>
        <w:tc>
          <w:tcPr>
            <w:tcW w:w="3090" w:type="dxa"/>
            <w:tcBorders>
              <w:bottom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2.3%</w:t>
            </w:r>
          </w:p>
        </w:tc>
      </w:tr>
      <w:tr w:rsidR="00E2363C" w:rsidTr="00A7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left w:val="single" w:sz="12" w:space="0" w:color="auto"/>
              <w:right w:val="single" w:sz="4" w:space="0" w:color="auto"/>
            </w:tcBorders>
          </w:tcPr>
          <w:p w:rsidR="00E2363C" w:rsidRDefault="00E2363C" w:rsidP="00A77EFC">
            <w:pPr>
              <w:jc w:val="both"/>
            </w:pPr>
            <w:r w:rsidRPr="00F10003">
              <w:t>Technicians and Trades Workers</w:t>
            </w:r>
          </w:p>
        </w:tc>
        <w:tc>
          <w:tcPr>
            <w:tcW w:w="3090" w:type="dxa"/>
            <w:tcBorders>
              <w:left w:val="single" w:sz="4"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0.8%</w:t>
            </w:r>
          </w:p>
        </w:tc>
        <w:tc>
          <w:tcPr>
            <w:tcW w:w="3090" w:type="dxa"/>
            <w:tcBorders>
              <w:right w:val="single" w:sz="12"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3.4%</w:t>
            </w:r>
          </w:p>
        </w:tc>
      </w:tr>
      <w:tr w:rsidR="00E2363C" w:rsidTr="00A77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top w:val="nil"/>
              <w:bottom w:val="nil"/>
              <w:right w:val="single" w:sz="4" w:space="0" w:color="auto"/>
            </w:tcBorders>
          </w:tcPr>
          <w:p w:rsidR="00E2363C" w:rsidRDefault="00E2363C" w:rsidP="00A77EFC">
            <w:pPr>
              <w:jc w:val="both"/>
            </w:pPr>
            <w:r w:rsidRPr="00F10003">
              <w:t>Community and Personal Service Workers</w:t>
            </w:r>
          </w:p>
        </w:tc>
        <w:tc>
          <w:tcPr>
            <w:tcW w:w="3090" w:type="dxa"/>
            <w:tcBorders>
              <w:top w:val="nil"/>
              <w:left w:val="single" w:sz="4" w:space="0" w:color="auto"/>
              <w:bottom w:val="nil"/>
              <w:right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2.9%</w:t>
            </w:r>
          </w:p>
        </w:tc>
        <w:tc>
          <w:tcPr>
            <w:tcW w:w="3090" w:type="dxa"/>
            <w:tcBorders>
              <w:top w:val="nil"/>
              <w:left w:val="nil"/>
              <w:bottom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3.8%</w:t>
            </w:r>
          </w:p>
        </w:tc>
      </w:tr>
      <w:tr w:rsidR="00E2363C" w:rsidTr="00A7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left w:val="single" w:sz="12" w:space="0" w:color="auto"/>
              <w:right w:val="single" w:sz="4" w:space="0" w:color="auto"/>
            </w:tcBorders>
          </w:tcPr>
          <w:p w:rsidR="00E2363C" w:rsidRDefault="00E2363C" w:rsidP="00A77EFC">
            <w:pPr>
              <w:jc w:val="both"/>
            </w:pPr>
            <w:r w:rsidRPr="00F10003">
              <w:t>Clerical and Administrative Workers</w:t>
            </w:r>
          </w:p>
        </w:tc>
        <w:tc>
          <w:tcPr>
            <w:tcW w:w="3090" w:type="dxa"/>
            <w:tcBorders>
              <w:left w:val="single" w:sz="4"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-0.9%</w:t>
            </w:r>
          </w:p>
        </w:tc>
        <w:tc>
          <w:tcPr>
            <w:tcW w:w="3090" w:type="dxa"/>
            <w:tcBorders>
              <w:right w:val="single" w:sz="12"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3.3%</w:t>
            </w:r>
          </w:p>
        </w:tc>
      </w:tr>
      <w:tr w:rsidR="00E2363C" w:rsidTr="00A77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top w:val="nil"/>
              <w:bottom w:val="nil"/>
              <w:right w:val="single" w:sz="4" w:space="0" w:color="auto"/>
            </w:tcBorders>
          </w:tcPr>
          <w:p w:rsidR="00E2363C" w:rsidRDefault="00E2363C" w:rsidP="00A77EFC">
            <w:pPr>
              <w:jc w:val="both"/>
            </w:pPr>
            <w:r w:rsidRPr="00F10003">
              <w:t>Sales Workers</w:t>
            </w:r>
          </w:p>
        </w:tc>
        <w:tc>
          <w:tcPr>
            <w:tcW w:w="3090" w:type="dxa"/>
            <w:tcBorders>
              <w:top w:val="nil"/>
              <w:left w:val="single" w:sz="4" w:space="0" w:color="auto"/>
              <w:bottom w:val="nil"/>
              <w:right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1.7%</w:t>
            </w:r>
          </w:p>
        </w:tc>
        <w:tc>
          <w:tcPr>
            <w:tcW w:w="3090" w:type="dxa"/>
            <w:tcBorders>
              <w:top w:val="nil"/>
              <w:left w:val="nil"/>
              <w:bottom w:val="nil"/>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4.7%</w:t>
            </w:r>
          </w:p>
        </w:tc>
      </w:tr>
      <w:tr w:rsidR="00E2363C" w:rsidTr="00A77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left w:val="single" w:sz="12" w:space="0" w:color="auto"/>
              <w:right w:val="single" w:sz="4" w:space="0" w:color="auto"/>
            </w:tcBorders>
          </w:tcPr>
          <w:p w:rsidR="00E2363C" w:rsidRDefault="00E2363C" w:rsidP="00A77EFC">
            <w:pPr>
              <w:jc w:val="both"/>
            </w:pPr>
            <w:r w:rsidRPr="00F10003">
              <w:t>Machinery Operators and Drivers</w:t>
            </w:r>
          </w:p>
        </w:tc>
        <w:tc>
          <w:tcPr>
            <w:tcW w:w="3090" w:type="dxa"/>
            <w:tcBorders>
              <w:left w:val="single" w:sz="4"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-0.6%</w:t>
            </w:r>
          </w:p>
        </w:tc>
        <w:tc>
          <w:tcPr>
            <w:tcW w:w="3090" w:type="dxa"/>
            <w:tcBorders>
              <w:right w:val="single" w:sz="12" w:space="0" w:color="auto"/>
            </w:tcBorders>
          </w:tcPr>
          <w:p w:rsidR="00E2363C" w:rsidRDefault="00E2363C" w:rsidP="00A77EFC">
            <w:pPr>
              <w:jc w:val="center"/>
              <w:cnfStyle w:val="000000100000" w:firstRow="0" w:lastRow="0" w:firstColumn="0" w:lastColumn="0" w:oddVBand="0" w:evenVBand="0" w:oddHBand="1" w:evenHBand="0" w:firstRowFirstColumn="0" w:firstRowLastColumn="0" w:lastRowFirstColumn="0" w:lastRowLastColumn="0"/>
            </w:pPr>
            <w:r>
              <w:t>4.9%</w:t>
            </w:r>
          </w:p>
        </w:tc>
      </w:tr>
      <w:tr w:rsidR="00E2363C" w:rsidTr="00A77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Borders>
              <w:bottom w:val="single" w:sz="12" w:space="0" w:color="auto"/>
              <w:right w:val="single" w:sz="4" w:space="0" w:color="auto"/>
            </w:tcBorders>
          </w:tcPr>
          <w:p w:rsidR="00E2363C" w:rsidRDefault="00E2363C" w:rsidP="00A77EFC">
            <w:pPr>
              <w:jc w:val="both"/>
            </w:pPr>
            <w:r w:rsidRPr="00F10003">
              <w:t>Labourers</w:t>
            </w:r>
          </w:p>
        </w:tc>
        <w:tc>
          <w:tcPr>
            <w:tcW w:w="3090" w:type="dxa"/>
            <w:tcBorders>
              <w:left w:val="single" w:sz="4" w:space="0" w:color="auto"/>
            </w:tcBorders>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-1.3%</w:t>
            </w:r>
          </w:p>
        </w:tc>
        <w:tc>
          <w:tcPr>
            <w:tcW w:w="3090" w:type="dxa"/>
          </w:tcPr>
          <w:p w:rsidR="00E2363C" w:rsidRDefault="00E2363C" w:rsidP="00A77EFC">
            <w:pPr>
              <w:jc w:val="center"/>
              <w:cnfStyle w:val="000000010000" w:firstRow="0" w:lastRow="0" w:firstColumn="0" w:lastColumn="0" w:oddVBand="0" w:evenVBand="0" w:oddHBand="0" w:evenHBand="1" w:firstRowFirstColumn="0" w:firstRowLastColumn="0" w:lastRowFirstColumn="0" w:lastRowLastColumn="0"/>
            </w:pPr>
            <w:r>
              <w:t>7.0%</w:t>
            </w:r>
          </w:p>
        </w:tc>
      </w:tr>
    </w:tbl>
    <w:p w:rsidR="00044910" w:rsidRPr="00602C72" w:rsidRDefault="00044910" w:rsidP="006C5454">
      <w:pPr>
        <w:spacing w:before="170"/>
        <w:jc w:val="both"/>
      </w:pPr>
      <w:r w:rsidRPr="00602C72">
        <w:t xml:space="preserve">Highly skilled occupational groups </w:t>
      </w:r>
      <w:r w:rsidR="00E651F9">
        <w:t xml:space="preserve">tend to </w:t>
      </w:r>
      <w:r w:rsidRPr="00602C72">
        <w:t>experience lower rates of unemployment</w:t>
      </w:r>
      <w:r w:rsidR="00E651F9">
        <w:t xml:space="preserve"> compared with less</w:t>
      </w:r>
      <w:r w:rsidR="009469D4" w:rsidRPr="00602C72">
        <w:t>-</w:t>
      </w:r>
      <w:r w:rsidR="00E651F9" w:rsidRPr="00602C72">
        <w:t>skilled occupation</w:t>
      </w:r>
      <w:r w:rsidR="00E651F9">
        <w:t>al groups</w:t>
      </w:r>
      <w:r w:rsidRPr="00602C72">
        <w:t>, while higher unemployment rates are generally associated with less-skilled occupations. The unemployment rates (for those who worked for two weeks or more in the past two years) by occupational group are presented in descending skill order (average of the last four quarters)</w:t>
      </w:r>
      <w:r w:rsidR="00F05920">
        <w:t xml:space="preserve"> in Table 1 above</w:t>
      </w:r>
      <w:r w:rsidRPr="00602C72">
        <w:t>.</w:t>
      </w:r>
    </w:p>
    <w:p w:rsidR="00044910" w:rsidRPr="00602C72" w:rsidRDefault="00044910" w:rsidP="006C5454">
      <w:pPr>
        <w:jc w:val="both"/>
      </w:pPr>
      <w:r w:rsidRPr="00602C72">
        <w:t>Additional information on occupational groups is provided in the following section on internet vacancy trends.</w:t>
      </w:r>
    </w:p>
    <w:p w:rsidR="00EA31A7" w:rsidRPr="00006470" w:rsidRDefault="00EA31A7" w:rsidP="006C5454">
      <w:pPr>
        <w:pStyle w:val="Heading1"/>
        <w:jc w:val="both"/>
      </w:pPr>
      <w:r>
        <w:t>Internet Vacancy Trends</w:t>
      </w:r>
    </w:p>
    <w:p w:rsidR="00EA31A7" w:rsidRPr="009A24DA" w:rsidRDefault="00EA31A7" w:rsidP="006C5454">
      <w:pPr>
        <w:jc w:val="both"/>
      </w:pPr>
      <w:r w:rsidRPr="009A24DA">
        <w:t xml:space="preserve">The Department of Employment produces </w:t>
      </w:r>
      <w:r w:rsidR="009A24DA">
        <w:t>the</w:t>
      </w:r>
      <w:r w:rsidRPr="009A24DA">
        <w:t xml:space="preserve"> monthly </w:t>
      </w:r>
      <w:hyperlink r:id="rId21" w:history="1">
        <w:r w:rsidRPr="009A24DA">
          <w:rPr>
            <w:rStyle w:val="Hyperlink"/>
            <w:u w:val="none"/>
          </w:rPr>
          <w:t>Vacancy Report</w:t>
        </w:r>
      </w:hyperlink>
      <w:r w:rsidRPr="009A24DA">
        <w:rPr>
          <w:rStyle w:val="FootnoteReference"/>
        </w:rPr>
        <w:footnoteReference w:id="7"/>
      </w:r>
      <w:r w:rsidRPr="009A24DA">
        <w:t>, containing the Internet Vacancy Index (IVI)</w:t>
      </w:r>
      <w:r w:rsidRPr="009A24DA">
        <w:rPr>
          <w:rStyle w:val="FootnoteReference"/>
        </w:rPr>
        <w:footnoteReference w:id="8"/>
      </w:r>
      <w:r w:rsidRPr="009A24DA">
        <w:t xml:space="preserve"> (see Figure</w:t>
      </w:r>
      <w:r w:rsidR="00660F7A" w:rsidRPr="009A24DA">
        <w:t> </w:t>
      </w:r>
      <w:r w:rsidRPr="009A24DA">
        <w:t xml:space="preserve">4). Over the year to </w:t>
      </w:r>
      <w:r w:rsidR="00922790" w:rsidRPr="009A24DA">
        <w:t>June</w:t>
      </w:r>
      <w:r w:rsidR="00EC519A" w:rsidRPr="009A24DA">
        <w:t xml:space="preserve"> 2014, </w:t>
      </w:r>
      <w:r w:rsidR="00922790" w:rsidRPr="009A24DA">
        <w:t>IVI (trend) in</w:t>
      </w:r>
      <w:r w:rsidRPr="009A24DA">
        <w:t>c</w:t>
      </w:r>
      <w:r w:rsidR="00EC519A" w:rsidRPr="009A24DA">
        <w:t>reased</w:t>
      </w:r>
      <w:r w:rsidRPr="009A24DA">
        <w:t xml:space="preserve"> by</w:t>
      </w:r>
      <w:r w:rsidR="00EC519A" w:rsidRPr="009A24DA">
        <w:t xml:space="preserve"> </w:t>
      </w:r>
      <w:r w:rsidR="00922790" w:rsidRPr="009A24DA">
        <w:t>10.6</w:t>
      </w:r>
      <w:r w:rsidRPr="009A24DA">
        <w:t xml:space="preserve">%, with </w:t>
      </w:r>
      <w:r w:rsidR="00922790" w:rsidRPr="009A24DA">
        <w:t>increases</w:t>
      </w:r>
      <w:r w:rsidRPr="009A24DA">
        <w:t xml:space="preserve"> recorded </w:t>
      </w:r>
      <w:r w:rsidR="00922790" w:rsidRPr="009A24DA">
        <w:t xml:space="preserve">in all of the </w:t>
      </w:r>
      <w:r w:rsidRPr="009A24DA">
        <w:t>eight</w:t>
      </w:r>
      <w:r w:rsidR="00D04082" w:rsidRPr="009A24DA">
        <w:t> </w:t>
      </w:r>
      <w:r w:rsidRPr="009A24DA">
        <w:t>occupational groups.</w:t>
      </w:r>
    </w:p>
    <w:p w:rsidR="00DE75EC" w:rsidRPr="009A24DA" w:rsidRDefault="00DE75EC" w:rsidP="006C5454">
      <w:pPr>
        <w:jc w:val="both"/>
      </w:pPr>
      <w:r w:rsidRPr="009A24DA">
        <w:t>The largest occupation</w:t>
      </w:r>
      <w:r w:rsidR="00F30555">
        <w:t>al</w:t>
      </w:r>
      <w:r w:rsidRPr="009A24DA">
        <w:t xml:space="preserve"> group increases were for </w:t>
      </w:r>
      <w:r w:rsidR="00EC519A" w:rsidRPr="009A24DA">
        <w:t xml:space="preserve">Community and Personal Service Workers </w:t>
      </w:r>
      <w:r w:rsidRPr="009A24DA">
        <w:t>(up</w:t>
      </w:r>
      <w:r w:rsidR="00D04082" w:rsidRPr="009A24DA">
        <w:t> </w:t>
      </w:r>
      <w:r w:rsidR="00922790" w:rsidRPr="009A24DA">
        <w:t>19.3</w:t>
      </w:r>
      <w:r w:rsidRPr="009A24DA">
        <w:t>%)</w:t>
      </w:r>
      <w:r w:rsidR="00922790" w:rsidRPr="009A24DA">
        <w:t xml:space="preserve"> and Technicians and Trades Workers (up 17.1%)</w:t>
      </w:r>
      <w:r w:rsidRPr="009A24DA">
        <w:t>.</w:t>
      </w:r>
      <w:r w:rsidR="00922790" w:rsidRPr="009A24DA">
        <w:t xml:space="preserve"> The weakest increases were for Labourers (up</w:t>
      </w:r>
      <w:r w:rsidR="000813AB">
        <w:t> </w:t>
      </w:r>
      <w:r w:rsidR="00922790" w:rsidRPr="009A24DA">
        <w:t>0.1%) and Machinery Operators and Drivers (up</w:t>
      </w:r>
      <w:r w:rsidR="000813AB">
        <w:t> </w:t>
      </w:r>
      <w:r w:rsidR="00922790" w:rsidRPr="009A24DA">
        <w:t>1.2%).</w:t>
      </w:r>
    </w:p>
    <w:p w:rsidR="00EA31A7" w:rsidRPr="009A24DA" w:rsidRDefault="00922790" w:rsidP="006C5454">
      <w:pPr>
        <w:jc w:val="both"/>
      </w:pPr>
      <w:r w:rsidRPr="009A24DA">
        <w:t>At the more detailed occupation level</w:t>
      </w:r>
      <w:r w:rsidR="0062519D" w:rsidRPr="009A24DA">
        <w:t xml:space="preserve">, </w:t>
      </w:r>
      <w:r w:rsidR="00520446" w:rsidRPr="009A24DA">
        <w:t>vacancies in</w:t>
      </w:r>
      <w:r w:rsidR="00EA31A7" w:rsidRPr="009A24DA">
        <w:t xml:space="preserve">creased in </w:t>
      </w:r>
      <w:r w:rsidR="0062519D" w:rsidRPr="009A24DA">
        <w:t>3</w:t>
      </w:r>
      <w:r w:rsidR="00520446" w:rsidRPr="009A24DA">
        <w:t>8</w:t>
      </w:r>
      <w:r w:rsidR="00660F7A" w:rsidRPr="009A24DA">
        <w:t xml:space="preserve"> </w:t>
      </w:r>
      <w:r w:rsidR="00EA31A7" w:rsidRPr="009A24DA">
        <w:t>of the 48 occupation clusters</w:t>
      </w:r>
      <w:r w:rsidRPr="009A24DA">
        <w:t xml:space="preserve"> over the year to </w:t>
      </w:r>
      <w:r w:rsidR="00520446" w:rsidRPr="009A24DA">
        <w:t>June</w:t>
      </w:r>
      <w:r w:rsidRPr="009A24DA">
        <w:t xml:space="preserve"> 2014</w:t>
      </w:r>
      <w:r w:rsidR="000A6729" w:rsidRPr="009A24DA">
        <w:t>,</w:t>
      </w:r>
      <w:r w:rsidR="00520446" w:rsidRPr="009A24DA">
        <w:t xml:space="preserve"> with the strongest in</w:t>
      </w:r>
      <w:r w:rsidR="00EA31A7" w:rsidRPr="009A24DA">
        <w:t xml:space="preserve">creases being for </w:t>
      </w:r>
      <w:r w:rsidR="00520446" w:rsidRPr="009A24DA">
        <w:t>Construction Trades (up</w:t>
      </w:r>
      <w:r w:rsidR="00E44F36">
        <w:t> </w:t>
      </w:r>
      <w:r w:rsidR="00520446" w:rsidRPr="009A24DA">
        <w:t xml:space="preserve">41.6%), Medical Practitioners and Nurses (up 40.4%), Sports, Travel and Personal Service Workers (up 21.3%) and Carers </w:t>
      </w:r>
      <w:r w:rsidR="00BA104C" w:rsidRPr="009A24DA">
        <w:t>a</w:t>
      </w:r>
      <w:r w:rsidR="00520446" w:rsidRPr="009A24DA">
        <w:t xml:space="preserve">nd Aides (up 20.8%). The strongest decreases over this period were for </w:t>
      </w:r>
      <w:r w:rsidR="0062519D" w:rsidRPr="009A24DA">
        <w:t xml:space="preserve">Engineers </w:t>
      </w:r>
      <w:r w:rsidR="00EA31A7" w:rsidRPr="009A24DA">
        <w:t>(down </w:t>
      </w:r>
      <w:r w:rsidR="00520446" w:rsidRPr="009A24DA">
        <w:t>28.4</w:t>
      </w:r>
      <w:r w:rsidR="00EA31A7" w:rsidRPr="009A24DA">
        <w:t xml:space="preserve">%), </w:t>
      </w:r>
      <w:r w:rsidR="0062519D" w:rsidRPr="009A24DA">
        <w:t xml:space="preserve">Science </w:t>
      </w:r>
      <w:r w:rsidR="005353BA" w:rsidRPr="009A24DA">
        <w:t>Professionals</w:t>
      </w:r>
      <w:r w:rsidR="0062519D" w:rsidRPr="009A24DA">
        <w:t xml:space="preserve"> and Veterinarians </w:t>
      </w:r>
      <w:r w:rsidR="00EA31A7" w:rsidRPr="009A24DA">
        <w:t>(down </w:t>
      </w:r>
      <w:r w:rsidR="00520446" w:rsidRPr="009A24DA">
        <w:t>20</w:t>
      </w:r>
      <w:r w:rsidR="0062519D" w:rsidRPr="009A24DA">
        <w:t>.8</w:t>
      </w:r>
      <w:r w:rsidR="00EA31A7" w:rsidRPr="009A24DA">
        <w:t>%)</w:t>
      </w:r>
      <w:r w:rsidR="000A668E">
        <w:t>,</w:t>
      </w:r>
      <w:r w:rsidR="00EA31A7" w:rsidRPr="009A24DA">
        <w:t xml:space="preserve"> </w:t>
      </w:r>
      <w:r w:rsidR="00520446" w:rsidRPr="009A24DA">
        <w:t>Farmers and Farm Managers (down</w:t>
      </w:r>
      <w:r w:rsidR="00DA269A">
        <w:t> </w:t>
      </w:r>
      <w:r w:rsidR="00520446" w:rsidRPr="009A24DA">
        <w:t>6.4%) and Machine and Stationary Plant Operators (down</w:t>
      </w:r>
      <w:r w:rsidR="004829AA">
        <w:t> </w:t>
      </w:r>
      <w:r w:rsidR="00520446" w:rsidRPr="009A24DA">
        <w:t>5.2%).</w:t>
      </w:r>
    </w:p>
    <w:p w:rsidR="00922790" w:rsidRPr="009A24DA" w:rsidRDefault="00847CCD" w:rsidP="00922790">
      <w:pPr>
        <w:jc w:val="both"/>
      </w:pPr>
      <w:r w:rsidRPr="009A24DA">
        <w:t>Over the year to June 2014, vacancies increased in five states and both territories, with the strongest increases in NSW</w:t>
      </w:r>
      <w:r w:rsidR="00C16573" w:rsidRPr="009A24DA">
        <w:t xml:space="preserve"> </w:t>
      </w:r>
      <w:r w:rsidR="00922790" w:rsidRPr="009A24DA">
        <w:t>(up</w:t>
      </w:r>
      <w:r w:rsidR="000E67C7">
        <w:t> </w:t>
      </w:r>
      <w:r w:rsidR="00922790" w:rsidRPr="009A24DA">
        <w:t>19.7%) and Victoria (up</w:t>
      </w:r>
      <w:r w:rsidR="000E67C7">
        <w:t> </w:t>
      </w:r>
      <w:r w:rsidR="00922790" w:rsidRPr="009A24DA">
        <w:t xml:space="preserve">12.7%). </w:t>
      </w:r>
      <w:r w:rsidR="00C16573" w:rsidRPr="009A24DA">
        <w:t>V</w:t>
      </w:r>
      <w:r w:rsidR="00922790" w:rsidRPr="009A24DA">
        <w:t>acancies declined in S</w:t>
      </w:r>
      <w:r w:rsidR="00C16573" w:rsidRPr="009A24DA">
        <w:t>A</w:t>
      </w:r>
      <w:r w:rsidR="00922790" w:rsidRPr="009A24DA">
        <w:t xml:space="preserve"> (down</w:t>
      </w:r>
      <w:r w:rsidR="000E67C7">
        <w:t> </w:t>
      </w:r>
      <w:r w:rsidR="00922790" w:rsidRPr="009A24DA">
        <w:t>0.7%).</w:t>
      </w:r>
    </w:p>
    <w:p w:rsidR="00A429B3" w:rsidRPr="009A24DA" w:rsidRDefault="00A429B3" w:rsidP="006C5454">
      <w:pPr>
        <w:pStyle w:val="Figureheading"/>
        <w:jc w:val="both"/>
        <w:sectPr w:rsidR="00A429B3" w:rsidRPr="009A24DA" w:rsidSect="0060171E">
          <w:footerReference w:type="default" r:id="rId22"/>
          <w:pgSz w:w="11906" w:h="16838" w:code="9"/>
          <w:pgMar w:top="454" w:right="851" w:bottom="454" w:left="851" w:header="709" w:footer="0" w:gutter="0"/>
          <w:pgNumType w:start="3"/>
          <w:cols w:space="708"/>
          <w:docGrid w:linePitch="360"/>
        </w:sectPr>
      </w:pPr>
    </w:p>
    <w:p w:rsidR="005A5BEE" w:rsidRPr="009A24DA" w:rsidRDefault="005A5BEE" w:rsidP="009A16E6">
      <w:pPr>
        <w:pStyle w:val="Figureheading"/>
      </w:pPr>
      <w:r w:rsidRPr="009A24DA">
        <w:lastRenderedPageBreak/>
        <w:t xml:space="preserve">Figure 4: Internet Vacancy Index, January 2006 to </w:t>
      </w:r>
      <w:r w:rsidR="00922790" w:rsidRPr="009A24DA">
        <w:t>June</w:t>
      </w:r>
      <w:r w:rsidR="0062519D" w:rsidRPr="009A24DA">
        <w:t xml:space="preserve"> 2014</w:t>
      </w:r>
    </w:p>
    <w:p w:rsidR="005A5BEE" w:rsidRPr="009A24DA" w:rsidRDefault="00E2363C">
      <w:pPr>
        <w:pStyle w:val="Figureheading"/>
      </w:pPr>
      <w:r w:rsidRPr="00E2363C">
        <w:rPr>
          <w:noProof/>
          <w:lang w:eastAsia="en-AU"/>
        </w:rPr>
        <w:drawing>
          <wp:inline distT="0" distB="0" distL="0" distR="0" wp14:anchorId="644013F7" wp14:editId="094AE1B8">
            <wp:extent cx="6391275" cy="2524125"/>
            <wp:effectExtent l="0" t="0" r="9525" b="9525"/>
            <wp:docPr id="1" name="Picture 1" descr="Month Australian Total (Trend Index) Professionals (Trend Index) Technicians and Trades Workers (Trend Index)&#10;January 2006 100.0 100.0 100.0&#10;February 2006 101.5 102.8 100.7&#10;March 2006 103.2 105.8 100.9&#10;April 2006 104.8 108.6 100.7&#10;May 2006 106.0 110.5 100.2&#10;June 2006 106.2 111.3 99.4&#10;July 2006 106.2 111.8 99.2&#10;August 2006 106.5 112.9 99.8&#10;September 2006 107.5 114.9 100.8&#10;October 2006 109.3 117.5 102.5&#10;November 2006 111.5 120.4 104.6&#10;December 2006 113.9 123.5 107.0&#10;January 2007 116.6 126.9 109.7&#10;February 2007 119.6 130.4 112.9&#10;March 2007 122.4 133.5 116.0&#10;April 2007 124.5 136.2 118.5&#10;May 2007 126.2 138.5 120.5&#10;June 2007 128.0 140.4 122.5&#10;July 2007 129.8 141.8 124.0&#10;August 2007 131.5 143.0 125.5&#10;September 2007 133.5 144.6 127.7&#10;October 2007 135.9 146.7 130.5&#10;November 2007 138.7 149.8 134.1&#10;December 2007 141.3 153.5 138.0&#10;January 2008 143.1 157.1 141.8&#10;February 2008 144.2 160.1 145.3&#10;March 2008 144.5 161.9 148.1&#10;April 2008 144.2 162.3 150.1&#10;May 2008 142.8 161.0 150.1&#10;June 2008 139.8 158.2 147.7&#10;July 2008 135.2 154.4 143.5&#10;August 2008 129.5 150.0 137.9&#10;September 2008 123.1 145.5 131.4&#10;October 2008 115.9 140.1 124.1&#10;November 2008 108.1 132.7 115.8&#10;December 2008 99.8 122.8 106.4&#10;January 2009 91.6 111.4 96.8&#10;February 2009 84.1 100.3 87.7&#10;March 2009 78.2 91.6 80.6&#10;April 2009 74.2 86.1 76.1&#10;May 2009 72.1 83.7 74.3&#10;June 2009 71.6 83.2 74.5&#10;July 2009 72.1 83.5 75.8&#10;August 2009 73.0 83.4 77.5&#10;September 2009 73.8 82.4 79.1&#10;October 2009 74.8 81.3 81.1&#10;November 2009 76.0 81.0 84.0&#10;December 2009 77.4 82.0 87.1&#10;January 2010 78.7 84.2 89.8&#10;February 2010 80.0 86.8 91.7&#10;March 2010 81.0 89.1 92.8&#10;April 2010 82.0 90.9 93.4&#10;May 2010 82.8 92.4 94.0&#10;June 2010 83.8 94.0 95.2&#10;July 2010 85.1 95.9 97.4&#10;August 2010 87.0 98.0 100.6&#10;September 2010 89.2 100.6 103.9&#10;October 2010 90.9 103.0 106.0&#10;November 2010 91.8 104.9 106.2&#10;December 2010 92.2 106.3 105.5&#10;January 2011 92.7 107.7 105.1&#10;February 2011 93.4 109.1 105.5&#10;March 2011 93.6 109.8 106.1&#10;April 2011 93.2 109.2 106.3&#10;May 2011 92.4 107.3 106.4&#10;June 2011 91.3 104.8 106.4&#10;July 2011 90.0 102.6 105.8&#10;August 2011 88.4 101.1 104.4&#10;September 2011 87.0 100.2 102.7&#10;October 2011 86.0 100.0 101.2&#10;November 2011 85.5 99.9 100.2&#10;December 2011 85.4 99.5 99.7&#10;January 2012 84.8 98.2 99.3&#10;February 2012 83.7 96.2 98.5&#10;March 2012 82.3 94.2 97.5&#10;April 2012 80.6 92.5 95.7&#10;May 2012 78.6 90.9 92.7&#10;June 2012 76.6 89.2 89.1&#10;July 2012 75.0 87.4 85.7&#10;August 2012 73.5 85.5 82.6&#10;September 2012 71.5 82.9 79.6&#10;October 2012 69.3 79.8 76.7&#10;November 2012 67.2 76.6 74.0&#10;December 2012 65.4 73.8 71.7&#10;January 2013 64.2 72.0 70.0&#10;February 2013 63.3 70.7 68.5&#10;March 2013 62.2 69.3 67.0&#10;April 2013 60.9 67.3 65.7&#10;May 2013 59.7 65.2 64.5&#10;June 2013 58.6 63.3 63.5&#10;July 2013 57.8 62.0 62.9&#10;August 2013 57.6 61.6 63.1&#10;September 2013 57.8 61.8 63.9&#10;October 2013 58.2 62.3 65.0&#10;November 2013 58.9 63.2 66.6&#10;December 2013 59.7 64.1 68.4&#10;January 2014 60.4 64.8 70.0&#10;February 2014 61.0 65.1 71.1&#10;March 2014 61.7 65.6 71.7&#10;April 2014 62.7 66.5 72.2&#10;May 2014 63.8 68.0 73.2&#10;June 2014 64.8 69.3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91275" cy="2524125"/>
                    </a:xfrm>
                    <a:prstGeom prst="rect">
                      <a:avLst/>
                    </a:prstGeom>
                    <a:noFill/>
                    <a:ln>
                      <a:noFill/>
                    </a:ln>
                  </pic:spPr>
                </pic:pic>
              </a:graphicData>
            </a:graphic>
          </wp:inline>
        </w:drawing>
      </w:r>
    </w:p>
    <w:p w:rsidR="005A5BEE" w:rsidRPr="009A24DA" w:rsidRDefault="005A5BEE">
      <w:pPr>
        <w:pStyle w:val="Source"/>
      </w:pPr>
      <w:r w:rsidRPr="009A24DA">
        <w:t xml:space="preserve">Source: </w:t>
      </w:r>
      <w:r w:rsidR="0096044B" w:rsidRPr="009A24DA">
        <w:t xml:space="preserve">Department of Employment, </w:t>
      </w:r>
      <w:hyperlink r:id="rId24" w:history="1">
        <w:r w:rsidR="0096044B" w:rsidRPr="009A24DA">
          <w:rPr>
            <w:rStyle w:val="Hyperlink"/>
            <w:color w:val="000000"/>
            <w:u w:val="none"/>
          </w:rPr>
          <w:t xml:space="preserve">Vacancy </w:t>
        </w:r>
        <w:r w:rsidR="008C4C0A" w:rsidRPr="009A24DA">
          <w:rPr>
            <w:rStyle w:val="Hyperlink"/>
            <w:color w:val="000000"/>
            <w:u w:val="none"/>
          </w:rPr>
          <w:t>Report</w:t>
        </w:r>
      </w:hyperlink>
      <w:r w:rsidR="0096044B" w:rsidRPr="009A24DA">
        <w:rPr>
          <w:color w:val="000000"/>
        </w:rPr>
        <w:t xml:space="preserve"> </w:t>
      </w:r>
      <w:r w:rsidR="0096044B" w:rsidRPr="009A24DA">
        <w:t>(</w:t>
      </w:r>
      <w:r w:rsidR="00922790" w:rsidRPr="009A24DA">
        <w:t>June</w:t>
      </w:r>
      <w:r w:rsidR="0062519D" w:rsidRPr="009A24DA">
        <w:t xml:space="preserve"> </w:t>
      </w:r>
      <w:r w:rsidR="0096044B" w:rsidRPr="009A24DA">
        <w:t>2014)</w:t>
      </w:r>
      <w:r w:rsidR="008C4C0A" w:rsidRPr="009A24DA">
        <w:t>, Trend Index</w:t>
      </w:r>
      <w:r w:rsidR="00E679D9" w:rsidRPr="009A24DA">
        <w:t xml:space="preserve"> data</w:t>
      </w:r>
      <w:r w:rsidR="0096044B" w:rsidRPr="009A24DA">
        <w:t>.</w:t>
      </w:r>
    </w:p>
    <w:p w:rsidR="005E59C1" w:rsidRPr="009A24DA" w:rsidRDefault="005E59C1" w:rsidP="006C5454">
      <w:pPr>
        <w:pStyle w:val="Heading1"/>
        <w:jc w:val="both"/>
      </w:pPr>
      <w:r w:rsidRPr="009A24DA">
        <w:t>Future Job Openings</w:t>
      </w:r>
    </w:p>
    <w:p w:rsidR="005E59C1" w:rsidRPr="009A24DA" w:rsidRDefault="005E59C1" w:rsidP="006C5454">
      <w:pPr>
        <w:jc w:val="both"/>
      </w:pPr>
      <w:r w:rsidRPr="009A24DA">
        <w:t xml:space="preserve">The </w:t>
      </w:r>
      <w:hyperlink r:id="rId25" w:history="1">
        <w:r w:rsidRPr="009A24DA">
          <w:rPr>
            <w:rStyle w:val="Hyperlink"/>
            <w:u w:val="none"/>
          </w:rPr>
          <w:t>Australian Jobs 201</w:t>
        </w:r>
        <w:r w:rsidR="00997502" w:rsidRPr="009A24DA">
          <w:rPr>
            <w:rStyle w:val="Hyperlink"/>
            <w:u w:val="none"/>
          </w:rPr>
          <w:t>4</w:t>
        </w:r>
        <w:r w:rsidRPr="009A24DA">
          <w:rPr>
            <w:rStyle w:val="Hyperlink"/>
            <w:u w:val="none"/>
          </w:rPr>
          <w:t xml:space="preserve"> publication</w:t>
        </w:r>
      </w:hyperlink>
      <w:r w:rsidRPr="009A24DA">
        <w:t xml:space="preserve"> contains information on future job openings, which reflects the number of new jobs expected to be created over the five years to November </w:t>
      </w:r>
      <w:r w:rsidR="0062519D" w:rsidRPr="009A24DA">
        <w:t xml:space="preserve">2018 </w:t>
      </w:r>
      <w:r w:rsidRPr="009A24DA">
        <w:t>and the number of openings likely due to workers leaving their occupation group for other employment or leaving the workforce. As there may be significant variation between and within states, information on job openings should be used with caution.</w:t>
      </w:r>
    </w:p>
    <w:p w:rsidR="005E59C1" w:rsidRPr="005E59C1" w:rsidRDefault="005E59C1" w:rsidP="006C5454">
      <w:pPr>
        <w:jc w:val="both"/>
      </w:pPr>
      <w:r w:rsidRPr="009A24DA">
        <w:t>Job Openings estimates are indicative only and are intended to provide a guide to opportunities likely to be available over the</w:t>
      </w:r>
      <w:r w:rsidRPr="005E59C1">
        <w:t xml:space="preserve"> five</w:t>
      </w:r>
      <w:r w:rsidR="001F1430">
        <w:t> </w:t>
      </w:r>
      <w:r w:rsidRPr="005E59C1">
        <w:t xml:space="preserve">years to November </w:t>
      </w:r>
      <w:r w:rsidR="0062519D">
        <w:t>2018</w:t>
      </w:r>
      <w:r w:rsidRPr="005E59C1">
        <w:t>. It is important to note these estimates do not provide any guidance about how many people are looking for opportunities in each occupation. The Australian labour market can change quickly so information on the Australian labour market should be re-assessed prior to making a decision to lodge a visa application.</w:t>
      </w:r>
    </w:p>
    <w:p w:rsidR="00690C14" w:rsidRDefault="00847CCD" w:rsidP="00847CCD">
      <w:pPr>
        <w:jc w:val="both"/>
      </w:pPr>
      <w:r w:rsidRPr="005E59C1">
        <w:t xml:space="preserve">Queries on the Australian Labour Market Update publication should be emailed to </w:t>
      </w:r>
      <w:hyperlink r:id="rId26" w:history="1">
        <w:r w:rsidRPr="005E59C1">
          <w:rPr>
            <w:u w:val="single"/>
          </w:rPr>
          <w:t>migration@employment.gov.au</w:t>
        </w:r>
      </w:hyperlink>
      <w:r w:rsidRPr="005E59C1">
        <w:t>.</w:t>
      </w:r>
    </w:p>
    <w:p w:rsidR="00690C14" w:rsidRDefault="00690C14" w:rsidP="00847CCD">
      <w:pPr>
        <w:jc w:val="both"/>
        <w:sectPr w:rsidR="00690C14" w:rsidSect="003C4CF9">
          <w:footerReference w:type="default" r:id="rId27"/>
          <w:pgSz w:w="11906" w:h="16838" w:code="9"/>
          <w:pgMar w:top="567" w:right="851" w:bottom="709" w:left="851" w:header="709" w:footer="0" w:gutter="0"/>
          <w:pgNumType w:start="1"/>
          <w:cols w:space="708"/>
          <w:docGrid w:linePitch="360"/>
        </w:sectPr>
      </w:pPr>
    </w:p>
    <w:p w:rsidR="005A6CBD" w:rsidRPr="00683ECF" w:rsidRDefault="005A6CBD" w:rsidP="005A6CBD">
      <w:pPr>
        <w:spacing w:line="240" w:lineRule="auto"/>
        <w:rPr>
          <w:b/>
          <w:bCs/>
          <w:color w:val="FFFFFF" w:themeColor="background1"/>
        </w:rPr>
      </w:pPr>
      <w:r>
        <w:rPr>
          <w:noProof/>
          <w:sz w:val="16"/>
          <w:szCs w:val="16"/>
        </w:rPr>
        <w:lastRenderedPageBreak/>
        <w:drawing>
          <wp:anchor distT="0" distB="0" distL="114300" distR="114300" simplePos="0" relativeHeight="251662336" behindDoc="0" locked="0" layoutInCell="1" allowOverlap="1" wp14:anchorId="0F02F05F" wp14:editId="7ECC1CD6">
            <wp:simplePos x="0" y="0"/>
            <wp:positionH relativeFrom="column">
              <wp:posOffset>0</wp:posOffset>
            </wp:positionH>
            <wp:positionV relativeFrom="paragraph">
              <wp:posOffset>25400</wp:posOffset>
            </wp:positionV>
            <wp:extent cx="6570000" cy="1425600"/>
            <wp:effectExtent l="0" t="0" r="2540" b="3175"/>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 Topic July 2014 banner.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570000" cy="1425600"/>
                    </a:xfrm>
                    <a:prstGeom prst="rect">
                      <a:avLst/>
                    </a:prstGeom>
                  </pic:spPr>
                </pic:pic>
              </a:graphicData>
            </a:graphic>
            <wp14:sizeRelH relativeFrom="page">
              <wp14:pctWidth>0</wp14:pctWidth>
            </wp14:sizeRelH>
            <wp14:sizeRelV relativeFrom="page">
              <wp14:pctHeight>0</wp14:pctHeight>
            </wp14:sizeRelV>
          </wp:anchor>
        </w:drawing>
      </w:r>
      <w:r w:rsidRPr="00683ECF">
        <w:rPr>
          <w:color w:val="FFFFFF" w:themeColor="background1"/>
        </w:rPr>
        <w:t>Australian Government, Department of Employment</w:t>
      </w:r>
    </w:p>
    <w:p w:rsidR="005A6CBD" w:rsidRDefault="005A6CBD" w:rsidP="005A6CBD">
      <w:pPr>
        <w:pStyle w:val="Title"/>
        <w:spacing w:before="420"/>
        <w:ind w:left="2835"/>
      </w:pPr>
      <w:r w:rsidRPr="008D5E52">
        <w:t>Australian Labour Market Update</w:t>
      </w:r>
    </w:p>
    <w:p w:rsidR="005A6CBD" w:rsidRPr="009405F6" w:rsidRDefault="005A6CBD" w:rsidP="005A6CBD">
      <w:pPr>
        <w:pStyle w:val="Title"/>
        <w:spacing w:before="420"/>
        <w:ind w:left="2835"/>
        <w:rPr>
          <w:bCs/>
        </w:rPr>
      </w:pPr>
      <w:r w:rsidRPr="00CF4C53">
        <w:rPr>
          <w:bCs/>
        </w:rPr>
        <w:t>Hot Topic</w:t>
      </w:r>
    </w:p>
    <w:p w:rsidR="005A6CBD" w:rsidRDefault="005A6CBD" w:rsidP="005A6CBD">
      <w:pPr>
        <w:pStyle w:val="Date"/>
      </w:pPr>
      <w:r>
        <w:t>July</w:t>
      </w:r>
      <w:r w:rsidRPr="008D5E52">
        <w:t xml:space="preserve"> 2014</w:t>
      </w:r>
    </w:p>
    <w:p w:rsidR="005A6CBD" w:rsidRDefault="005A6CBD" w:rsidP="005A6CBD">
      <w:pPr>
        <w:pStyle w:val="Heading1"/>
        <w:spacing w:before="0"/>
      </w:pPr>
      <w:r>
        <w:t>Architect</w:t>
      </w:r>
    </w:p>
    <w:p w:rsidR="005A6CBD" w:rsidRDefault="005A6CBD" w:rsidP="005A6CBD">
      <w:pPr>
        <w:jc w:val="both"/>
      </w:pPr>
      <w:r w:rsidRPr="00FD22A2">
        <w:t>Architects plan and design buildings, provide concepts, plans, specifications and detailed drawings, negotiate with builders and advise on the procurement of buildings.</w:t>
      </w:r>
      <w:r w:rsidRPr="00FD22A2">
        <w:rPr>
          <w:rStyle w:val="EndnoteReference"/>
        </w:rPr>
        <w:endnoteReference w:id="1"/>
      </w:r>
    </w:p>
    <w:p w:rsidR="005A6CBD" w:rsidRDefault="005A6CBD" w:rsidP="005A6CBD">
      <w:pPr>
        <w:jc w:val="both"/>
      </w:pPr>
      <w:r w:rsidRPr="0060270A">
        <w:t>The entry requirement for employment for architects in Australia is generally a three year Australian Qualification Framework (AQF) Bachelor degree plus a two year Masters degree</w:t>
      </w:r>
      <w:r>
        <w:t xml:space="preserve"> and </w:t>
      </w:r>
      <w:r w:rsidRPr="00AD2A38">
        <w:t xml:space="preserve">completion of the Architects Accreditation Council of Australia </w:t>
      </w:r>
      <w:r>
        <w:t xml:space="preserve">(AACA) </w:t>
      </w:r>
      <w:r w:rsidRPr="00AD2A38">
        <w:t>Architectural Practice Examination</w:t>
      </w:r>
      <w:r>
        <w:t xml:space="preserve"> (APE)</w:t>
      </w:r>
      <w:r w:rsidRPr="0060270A">
        <w:t xml:space="preserve">. In each state and territory of Australia, it is a legal requirement that a person using the title of architect or offering services to the public as an architect, must be registered with the </w:t>
      </w:r>
      <w:r>
        <w:t>Architect Registration Board</w:t>
      </w:r>
      <w:r w:rsidRPr="0060270A">
        <w:t xml:space="preserve"> in that jurisdiction.</w:t>
      </w:r>
      <w:r w:rsidRPr="0060270A">
        <w:rPr>
          <w:rStyle w:val="EndnoteReference"/>
        </w:rPr>
        <w:endnoteReference w:id="2"/>
      </w:r>
    </w:p>
    <w:p w:rsidR="005A6CBD" w:rsidRPr="00255EBC" w:rsidRDefault="005A6CBD" w:rsidP="005A6CBD">
      <w:pPr>
        <w:pStyle w:val="Heading1"/>
        <w:spacing w:before="100"/>
      </w:pPr>
      <w:r w:rsidRPr="00255EBC">
        <w:t>Labour Market Profile</w:t>
      </w:r>
    </w:p>
    <w:p w:rsidR="005A6CBD" w:rsidRDefault="005A6CBD" w:rsidP="005A6CBD">
      <w:pPr>
        <w:jc w:val="both"/>
      </w:pPr>
      <w:r w:rsidRPr="003C0ABF">
        <w:t>Employment in this occupation (</w:t>
      </w:r>
      <w:r>
        <w:t>19 6</w:t>
      </w:r>
      <w:r w:rsidRPr="003C0ABF">
        <w:t>00 in November 201</w:t>
      </w:r>
      <w:r>
        <w:t>3</w:t>
      </w:r>
      <w:r w:rsidRPr="003C0ABF">
        <w:t xml:space="preserve">) </w:t>
      </w:r>
      <w:r>
        <w:t>remained relatively steady</w:t>
      </w:r>
      <w:r w:rsidRPr="003C0ABF">
        <w:t xml:space="preserve"> in the past five years and </w:t>
      </w:r>
      <w:r>
        <w:t>e</w:t>
      </w:r>
      <w:r w:rsidRPr="003C0ABF">
        <w:t xml:space="preserve">mployment is projected to </w:t>
      </w:r>
      <w:r>
        <w:t>grow strongly in the next five years</w:t>
      </w:r>
      <w:r w:rsidRPr="003C0ABF">
        <w:t xml:space="preserve"> to </w:t>
      </w:r>
      <w:r>
        <w:t xml:space="preserve">reach </w:t>
      </w:r>
      <w:r w:rsidRPr="003C0ABF">
        <w:t>2</w:t>
      </w:r>
      <w:r>
        <w:t>1 8</w:t>
      </w:r>
      <w:r w:rsidRPr="003C0ABF">
        <w:t xml:space="preserve">00 in </w:t>
      </w:r>
      <w:r>
        <w:t xml:space="preserve">November </w:t>
      </w:r>
      <w:r w:rsidRPr="003C0ABF">
        <w:t>201</w:t>
      </w:r>
      <w:r>
        <w:t>8</w:t>
      </w:r>
      <w:r w:rsidRPr="003C0ABF">
        <w:t>. Architects and landscape architects are mainly employed in the Professional, Scientific and Technical Services and Construction industries. Table A provides a labour market profile</w:t>
      </w:r>
      <w:r>
        <w:t xml:space="preserve"> </w:t>
      </w:r>
      <w:r w:rsidRPr="004E4725">
        <w:t>from</w:t>
      </w:r>
      <w:r w:rsidRPr="003C0ABF">
        <w:t xml:space="preserve"> </w:t>
      </w:r>
      <w:r>
        <w:t xml:space="preserve">the </w:t>
      </w:r>
      <w:r w:rsidRPr="003C0ABF">
        <w:t xml:space="preserve">Job Outlook </w:t>
      </w:r>
      <w:r>
        <w:t>website</w:t>
      </w:r>
      <w:r w:rsidRPr="003C0ABF">
        <w:t xml:space="preserve"> </w:t>
      </w:r>
      <w:hyperlink r:id="rId29" w:history="1">
        <w:r w:rsidRPr="003C0ABF">
          <w:rPr>
            <w:rStyle w:val="Hyperlink"/>
            <w:color w:val="auto"/>
          </w:rPr>
          <w:t>www.joboutlook.gov.au</w:t>
        </w:r>
      </w:hyperlink>
      <w:r w:rsidRPr="003C0ABF">
        <w:t>.</w:t>
      </w:r>
    </w:p>
    <w:p w:rsidR="005A6CBD" w:rsidRPr="00255EBC" w:rsidRDefault="005A6CBD" w:rsidP="005A6CBD">
      <w:pPr>
        <w:pStyle w:val="Tableheading"/>
      </w:pPr>
      <w:r w:rsidRPr="00255EBC">
        <w:t>Table A: A</w:t>
      </w:r>
      <w:r w:rsidRPr="00544AFF">
        <w:t>rchitects and Landscape Architects</w:t>
      </w:r>
      <w:r w:rsidRPr="00030977">
        <w:t>—</w:t>
      </w:r>
      <w:r w:rsidRPr="00255EBC">
        <w:t>Key Labour Market Indicators</w:t>
      </w:r>
    </w:p>
    <w:tbl>
      <w:tblPr>
        <w:tblStyle w:val="TableGrid"/>
        <w:tblW w:w="10206" w:type="dxa"/>
        <w:tblInd w:w="108" w:type="dxa"/>
        <w:tblLook w:val="04A0" w:firstRow="1" w:lastRow="0" w:firstColumn="1" w:lastColumn="0" w:noHBand="0" w:noVBand="1"/>
        <w:tblDescription w:val="Key Indicator Architects and Landscape Architects&#10;Occupation size (November 2013) 19600 persons&#10;Females 33.0 per cent&#10;Most common level of educational attainment Bachelor degree (57.1 per cent)&#10;Median age 41 years&#10;Full-time share of employment 81.7 per cent&#10;Average weekly hours (full-time) 43.5 hours per week&#10;Median weekly earnings (full-time and before tax) $1634 per week&#10;Unemployment rate below average&#10;Projected (to November 2018) occupation size 21800 persons"/>
      </w:tblPr>
      <w:tblGrid>
        <w:gridCol w:w="6220"/>
        <w:gridCol w:w="3986"/>
      </w:tblGrid>
      <w:tr w:rsidR="005A6CBD" w:rsidRPr="00255EBC" w:rsidTr="00E45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single" w:sz="12" w:space="0" w:color="auto"/>
              <w:left w:val="single" w:sz="12" w:space="0" w:color="auto"/>
              <w:bottom w:val="single" w:sz="12" w:space="0" w:color="auto"/>
              <w:right w:val="single" w:sz="4" w:space="0" w:color="auto"/>
            </w:tcBorders>
          </w:tcPr>
          <w:p w:rsidR="005A6CBD" w:rsidRPr="00255EBC" w:rsidRDefault="005A6CBD" w:rsidP="00E45D64">
            <w:pPr>
              <w:jc w:val="both"/>
            </w:pPr>
            <w:r w:rsidRPr="00255EBC">
              <w:t>Key Indicator</w:t>
            </w:r>
          </w:p>
        </w:tc>
        <w:tc>
          <w:tcPr>
            <w:tcW w:w="3986" w:type="dxa"/>
            <w:tcBorders>
              <w:top w:val="single" w:sz="12" w:space="0" w:color="auto"/>
              <w:left w:val="single" w:sz="4" w:space="0" w:color="auto"/>
              <w:bottom w:val="single" w:sz="12" w:space="0" w:color="auto"/>
              <w:right w:val="single" w:sz="12" w:space="0" w:color="auto"/>
            </w:tcBorders>
          </w:tcPr>
          <w:p w:rsidR="005A6CBD" w:rsidRPr="00255EBC" w:rsidRDefault="005A6CBD" w:rsidP="00E45D64">
            <w:pPr>
              <w:jc w:val="center"/>
              <w:cnfStyle w:val="100000000000" w:firstRow="1" w:lastRow="0" w:firstColumn="0" w:lastColumn="0" w:oddVBand="0" w:evenVBand="0" w:oddHBand="0" w:evenHBand="0" w:firstRowFirstColumn="0" w:firstRowLastColumn="0" w:lastRowFirstColumn="0" w:lastRowLastColumn="0"/>
            </w:pPr>
            <w:r w:rsidRPr="00255EBC">
              <w:t>A</w:t>
            </w:r>
            <w:r w:rsidRPr="00544AFF">
              <w:t xml:space="preserve">rchitects and </w:t>
            </w:r>
            <w:r>
              <w:t>L</w:t>
            </w:r>
            <w:r w:rsidRPr="00544AFF">
              <w:t xml:space="preserve">andscape </w:t>
            </w:r>
            <w:r>
              <w:t>A</w:t>
            </w:r>
            <w:r w:rsidRPr="00544AFF">
              <w:t>rchitects</w:t>
            </w:r>
          </w:p>
        </w:tc>
      </w:tr>
      <w:tr w:rsidR="005A6CBD" w:rsidRPr="00255EBC" w:rsidTr="00E45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single" w:sz="12" w:space="0" w:color="auto"/>
              <w:left w:val="single" w:sz="12" w:space="0" w:color="auto"/>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 xml:space="preserve">Occupation size (November </w:t>
            </w:r>
            <w:r>
              <w:rPr>
                <w:sz w:val="16"/>
                <w:szCs w:val="16"/>
              </w:rPr>
              <w:t>2013</w:t>
            </w:r>
            <w:r w:rsidRPr="00255EBC">
              <w:rPr>
                <w:sz w:val="16"/>
                <w:szCs w:val="16"/>
              </w:rPr>
              <w:t>)</w:t>
            </w:r>
          </w:p>
        </w:tc>
        <w:tc>
          <w:tcPr>
            <w:tcW w:w="3986" w:type="dxa"/>
            <w:tcBorders>
              <w:top w:val="single" w:sz="12" w:space="0" w:color="auto"/>
              <w:right w:val="single" w:sz="12" w:space="0" w:color="auto"/>
            </w:tcBorders>
            <w:vAlign w:val="center"/>
          </w:tcPr>
          <w:p w:rsidR="005A6CBD" w:rsidRPr="00255EBC" w:rsidRDefault="005A6CBD" w:rsidP="00E45D64">
            <w:pPr>
              <w:spacing w:after="40"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19 6</w:t>
            </w:r>
            <w:r w:rsidRPr="00255EBC">
              <w:rPr>
                <w:sz w:val="16"/>
                <w:szCs w:val="16"/>
              </w:rPr>
              <w:t>00</w:t>
            </w:r>
          </w:p>
        </w:tc>
      </w:tr>
      <w:tr w:rsidR="005A6CBD" w:rsidRPr="00255EBC" w:rsidTr="00E45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nil"/>
              <w:left w:val="single" w:sz="12" w:space="0" w:color="auto"/>
              <w:bottom w:val="nil"/>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Females</w:t>
            </w:r>
          </w:p>
        </w:tc>
        <w:tc>
          <w:tcPr>
            <w:tcW w:w="3986" w:type="dxa"/>
            <w:tcBorders>
              <w:top w:val="nil"/>
              <w:bottom w:val="nil"/>
              <w:right w:val="single" w:sz="12" w:space="0" w:color="auto"/>
            </w:tcBorders>
            <w:vAlign w:val="center"/>
          </w:tcPr>
          <w:p w:rsidR="005A6CBD" w:rsidRPr="00255EBC" w:rsidRDefault="005A6CBD" w:rsidP="00E45D64">
            <w:pPr>
              <w:spacing w:after="40" w:line="240" w:lineRule="auto"/>
              <w:jc w:val="righ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33.0</w:t>
            </w:r>
            <w:r w:rsidRPr="00255EBC">
              <w:rPr>
                <w:sz w:val="16"/>
                <w:szCs w:val="16"/>
              </w:rPr>
              <w:t>%</w:t>
            </w:r>
          </w:p>
        </w:tc>
      </w:tr>
      <w:tr w:rsidR="005A6CBD" w:rsidRPr="00255EBC" w:rsidTr="00E45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left w:val="single" w:sz="12" w:space="0" w:color="auto"/>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M</w:t>
            </w:r>
            <w:r>
              <w:rPr>
                <w:sz w:val="16"/>
                <w:szCs w:val="16"/>
              </w:rPr>
              <w:t>ost common level of educational attainment</w:t>
            </w:r>
          </w:p>
        </w:tc>
        <w:tc>
          <w:tcPr>
            <w:tcW w:w="3986" w:type="dxa"/>
            <w:tcBorders>
              <w:right w:val="single" w:sz="12" w:space="0" w:color="auto"/>
            </w:tcBorders>
            <w:vAlign w:val="center"/>
          </w:tcPr>
          <w:p w:rsidR="005A6CBD" w:rsidRPr="00255EBC" w:rsidRDefault="005A6CBD" w:rsidP="00E45D64">
            <w:pPr>
              <w:spacing w:after="40"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Bachelor degree (57.1</w:t>
            </w:r>
            <w:r w:rsidRPr="00255EBC">
              <w:rPr>
                <w:sz w:val="16"/>
                <w:szCs w:val="16"/>
              </w:rPr>
              <w:t>%</w:t>
            </w:r>
            <w:r>
              <w:rPr>
                <w:sz w:val="16"/>
                <w:szCs w:val="16"/>
              </w:rPr>
              <w:t>)</w:t>
            </w:r>
          </w:p>
        </w:tc>
      </w:tr>
      <w:tr w:rsidR="005A6CBD" w:rsidRPr="00255EBC" w:rsidTr="00E45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nil"/>
              <w:left w:val="single" w:sz="12" w:space="0" w:color="auto"/>
              <w:bottom w:val="nil"/>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Median age</w:t>
            </w:r>
          </w:p>
        </w:tc>
        <w:tc>
          <w:tcPr>
            <w:tcW w:w="3986" w:type="dxa"/>
            <w:tcBorders>
              <w:top w:val="nil"/>
              <w:bottom w:val="nil"/>
              <w:right w:val="single" w:sz="12" w:space="0" w:color="auto"/>
            </w:tcBorders>
            <w:vAlign w:val="center"/>
          </w:tcPr>
          <w:p w:rsidR="005A6CBD" w:rsidRPr="00255EBC" w:rsidRDefault="005A6CBD" w:rsidP="00E45D64">
            <w:pPr>
              <w:spacing w:after="40" w:line="240" w:lineRule="auto"/>
              <w:jc w:val="righ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41</w:t>
            </w:r>
            <w:r w:rsidRPr="00255EBC">
              <w:rPr>
                <w:sz w:val="16"/>
                <w:szCs w:val="16"/>
              </w:rPr>
              <w:t xml:space="preserve"> years</w:t>
            </w:r>
          </w:p>
        </w:tc>
      </w:tr>
      <w:tr w:rsidR="005A6CBD" w:rsidRPr="00255EBC" w:rsidTr="00E45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left w:val="single" w:sz="12" w:space="0" w:color="auto"/>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Full-time share of employment</w:t>
            </w:r>
          </w:p>
        </w:tc>
        <w:tc>
          <w:tcPr>
            <w:tcW w:w="3986" w:type="dxa"/>
            <w:tcBorders>
              <w:right w:val="single" w:sz="12" w:space="0" w:color="auto"/>
            </w:tcBorders>
            <w:vAlign w:val="center"/>
          </w:tcPr>
          <w:p w:rsidR="005A6CBD" w:rsidRPr="00255EBC" w:rsidRDefault="005A6CBD" w:rsidP="00E45D64">
            <w:pPr>
              <w:spacing w:after="40"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81.7</w:t>
            </w:r>
            <w:r w:rsidRPr="00255EBC">
              <w:rPr>
                <w:sz w:val="16"/>
                <w:szCs w:val="16"/>
              </w:rPr>
              <w:t>%</w:t>
            </w:r>
          </w:p>
        </w:tc>
      </w:tr>
      <w:tr w:rsidR="005A6CBD" w:rsidRPr="00255EBC" w:rsidTr="00E45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nil"/>
              <w:left w:val="single" w:sz="12" w:space="0" w:color="auto"/>
              <w:bottom w:val="nil"/>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Average weekly hours (full-time)</w:t>
            </w:r>
          </w:p>
        </w:tc>
        <w:tc>
          <w:tcPr>
            <w:tcW w:w="3986" w:type="dxa"/>
            <w:tcBorders>
              <w:top w:val="nil"/>
              <w:bottom w:val="nil"/>
              <w:right w:val="single" w:sz="12" w:space="0" w:color="auto"/>
            </w:tcBorders>
            <w:vAlign w:val="center"/>
          </w:tcPr>
          <w:p w:rsidR="005A6CBD" w:rsidRPr="00255EBC" w:rsidRDefault="005A6CBD" w:rsidP="00E45D64">
            <w:pPr>
              <w:spacing w:after="40" w:line="240" w:lineRule="auto"/>
              <w:jc w:val="righ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43.5 hours</w:t>
            </w:r>
          </w:p>
        </w:tc>
      </w:tr>
      <w:tr w:rsidR="005A6CBD" w:rsidRPr="00255EBC" w:rsidTr="00E45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left w:val="single" w:sz="12" w:space="0" w:color="auto"/>
              <w:right w:val="single" w:sz="4" w:space="0" w:color="auto"/>
            </w:tcBorders>
            <w:vAlign w:val="center"/>
          </w:tcPr>
          <w:p w:rsidR="005A6CBD" w:rsidRPr="00115B99" w:rsidRDefault="005A6CBD" w:rsidP="00E45D64">
            <w:pPr>
              <w:spacing w:after="40" w:line="240" w:lineRule="auto"/>
              <w:rPr>
                <w:sz w:val="16"/>
                <w:szCs w:val="16"/>
              </w:rPr>
            </w:pPr>
            <w:r w:rsidRPr="00115B99">
              <w:rPr>
                <w:sz w:val="16"/>
                <w:szCs w:val="16"/>
              </w:rPr>
              <w:t>Median weekly earnings (full-time and before tax)</w:t>
            </w:r>
          </w:p>
        </w:tc>
        <w:tc>
          <w:tcPr>
            <w:tcW w:w="3986" w:type="dxa"/>
            <w:tcBorders>
              <w:right w:val="single" w:sz="12" w:space="0" w:color="auto"/>
            </w:tcBorders>
            <w:vAlign w:val="center"/>
          </w:tcPr>
          <w:p w:rsidR="005A6CBD" w:rsidRPr="00255EBC" w:rsidRDefault="005A6CBD" w:rsidP="00E45D64">
            <w:pPr>
              <w:spacing w:after="40"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115B99">
              <w:rPr>
                <w:sz w:val="16"/>
                <w:szCs w:val="16"/>
              </w:rPr>
              <w:t>$</w:t>
            </w:r>
            <w:r>
              <w:rPr>
                <w:sz w:val="16"/>
                <w:szCs w:val="16"/>
              </w:rPr>
              <w:t>1 634</w:t>
            </w:r>
          </w:p>
        </w:tc>
      </w:tr>
      <w:tr w:rsidR="005A6CBD" w:rsidRPr="00255EBC" w:rsidTr="00E45D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top w:val="nil"/>
              <w:left w:val="single" w:sz="12" w:space="0" w:color="auto"/>
              <w:bottom w:val="nil"/>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Unemployment rate</w:t>
            </w:r>
          </w:p>
        </w:tc>
        <w:tc>
          <w:tcPr>
            <w:tcW w:w="3986" w:type="dxa"/>
            <w:tcBorders>
              <w:top w:val="nil"/>
              <w:bottom w:val="nil"/>
              <w:right w:val="single" w:sz="12" w:space="0" w:color="auto"/>
            </w:tcBorders>
            <w:vAlign w:val="center"/>
          </w:tcPr>
          <w:p w:rsidR="005A6CBD" w:rsidRPr="00255EBC" w:rsidRDefault="005A6CBD" w:rsidP="00E45D64">
            <w:pPr>
              <w:spacing w:after="40" w:line="240" w:lineRule="auto"/>
              <w:jc w:val="righ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below average</w:t>
            </w:r>
          </w:p>
        </w:tc>
      </w:tr>
      <w:tr w:rsidR="005A6CBD" w:rsidRPr="00255EBC" w:rsidTr="00E45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0" w:type="dxa"/>
            <w:tcBorders>
              <w:left w:val="single" w:sz="12" w:space="0" w:color="auto"/>
              <w:bottom w:val="single" w:sz="12" w:space="0" w:color="auto"/>
              <w:right w:val="single" w:sz="4" w:space="0" w:color="auto"/>
            </w:tcBorders>
            <w:vAlign w:val="center"/>
          </w:tcPr>
          <w:p w:rsidR="005A6CBD" w:rsidRPr="00255EBC" w:rsidRDefault="005A6CBD" w:rsidP="00E45D64">
            <w:pPr>
              <w:spacing w:after="40" w:line="240" w:lineRule="auto"/>
              <w:rPr>
                <w:sz w:val="16"/>
                <w:szCs w:val="16"/>
              </w:rPr>
            </w:pPr>
            <w:r w:rsidRPr="00255EBC">
              <w:rPr>
                <w:sz w:val="16"/>
                <w:szCs w:val="16"/>
              </w:rPr>
              <w:t xml:space="preserve">Projected (to </w:t>
            </w:r>
            <w:r>
              <w:rPr>
                <w:sz w:val="16"/>
                <w:szCs w:val="16"/>
              </w:rPr>
              <w:t>November 2018</w:t>
            </w:r>
            <w:r w:rsidRPr="00255EBC">
              <w:rPr>
                <w:sz w:val="16"/>
                <w:szCs w:val="16"/>
              </w:rPr>
              <w:t>) occupation size</w:t>
            </w:r>
          </w:p>
        </w:tc>
        <w:tc>
          <w:tcPr>
            <w:tcW w:w="3986" w:type="dxa"/>
            <w:tcBorders>
              <w:bottom w:val="single" w:sz="12" w:space="0" w:color="auto"/>
              <w:right w:val="single" w:sz="12" w:space="0" w:color="auto"/>
            </w:tcBorders>
            <w:vAlign w:val="center"/>
          </w:tcPr>
          <w:p w:rsidR="005A6CBD" w:rsidRPr="00255EBC" w:rsidRDefault="005A6CBD" w:rsidP="00E45D64">
            <w:pPr>
              <w:spacing w:after="40"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21 8</w:t>
            </w:r>
            <w:r w:rsidRPr="00255EBC">
              <w:rPr>
                <w:sz w:val="16"/>
                <w:szCs w:val="16"/>
              </w:rPr>
              <w:t>00</w:t>
            </w:r>
          </w:p>
        </w:tc>
      </w:tr>
    </w:tbl>
    <w:p w:rsidR="005A6CBD" w:rsidRPr="00255EBC" w:rsidRDefault="005A6CBD" w:rsidP="005A6CBD">
      <w:pPr>
        <w:spacing w:before="170"/>
        <w:jc w:val="both"/>
      </w:pPr>
      <w:r w:rsidRPr="00CF2E9D">
        <w:t xml:space="preserve">Recent labour market research by the Department of Employment suggests there is no shortage of architects in Australia (see </w:t>
      </w:r>
      <w:hyperlink r:id="rId30" w:history="1">
        <w:r w:rsidRPr="00CF2E9D">
          <w:rPr>
            <w:rStyle w:val="Hyperlink"/>
            <w:color w:val="auto"/>
          </w:rPr>
          <w:t>http://docs.employment.gov.au/node/31501</w:t>
        </w:r>
      </w:hyperlink>
      <w:r w:rsidRPr="00CF2E9D">
        <w:t>).</w:t>
      </w:r>
    </w:p>
    <w:p w:rsidR="005A6CBD" w:rsidRPr="00255EBC" w:rsidRDefault="005A6CBD" w:rsidP="005A6CBD">
      <w:pPr>
        <w:pStyle w:val="Heading1"/>
        <w:spacing w:before="140"/>
      </w:pPr>
      <w:r w:rsidRPr="00255EBC">
        <w:t>Regional Employment</w:t>
      </w:r>
    </w:p>
    <w:p w:rsidR="005A6CBD" w:rsidRPr="00255EBC" w:rsidRDefault="005A6CBD" w:rsidP="005A6CBD">
      <w:pPr>
        <w:pStyle w:val="Heading1"/>
        <w:sectPr w:rsidR="005A6CBD" w:rsidRPr="00255EBC" w:rsidSect="003C4CF9">
          <w:footerReference w:type="default" r:id="rId31"/>
          <w:pgSz w:w="11906" w:h="16838" w:code="9"/>
          <w:pgMar w:top="567" w:right="851" w:bottom="709" w:left="851" w:header="709" w:footer="0" w:gutter="0"/>
          <w:pgNumType w:start="1"/>
          <w:cols w:space="708"/>
          <w:docGrid w:linePitch="360"/>
        </w:sectPr>
      </w:pPr>
    </w:p>
    <w:p w:rsidR="005A6CBD" w:rsidRPr="00255EBC" w:rsidRDefault="005A6CBD" w:rsidP="005A6CBD">
      <w:pPr>
        <w:spacing w:before="80"/>
        <w:jc w:val="both"/>
      </w:pPr>
      <w:r w:rsidRPr="003C0ABF">
        <w:lastRenderedPageBreak/>
        <w:t xml:space="preserve">Architects and landscape architects </w:t>
      </w:r>
      <w:r w:rsidRPr="00255EBC">
        <w:t xml:space="preserve">are employed in all </w:t>
      </w:r>
      <w:r>
        <w:t>s</w:t>
      </w:r>
      <w:r w:rsidRPr="00255EBC">
        <w:t xml:space="preserve">tates and </w:t>
      </w:r>
      <w:r>
        <w:t>t</w:t>
      </w:r>
      <w:r w:rsidRPr="00255EBC">
        <w:t>erritories in Australia.</w:t>
      </w:r>
    </w:p>
    <w:p w:rsidR="005A6CBD" w:rsidRPr="00255EBC" w:rsidRDefault="005A6CBD" w:rsidP="005A6CBD">
      <w:pPr>
        <w:spacing w:before="80"/>
        <w:jc w:val="both"/>
      </w:pPr>
      <w:r w:rsidRPr="00255EBC">
        <w:t xml:space="preserve">For the four quarters to </w:t>
      </w:r>
      <w:r w:rsidRPr="00464B9B">
        <w:t xml:space="preserve">November </w:t>
      </w:r>
      <w:r>
        <w:t>2013</w:t>
      </w:r>
      <w:r w:rsidRPr="00255EBC">
        <w:t xml:space="preserve">, the average employment of </w:t>
      </w:r>
      <w:r>
        <w:t>a</w:t>
      </w:r>
      <w:r w:rsidRPr="003C0ABF">
        <w:t xml:space="preserve">rchitects and landscape architects </w:t>
      </w:r>
      <w:r w:rsidRPr="00255EBC">
        <w:t xml:space="preserve">was highest in </w:t>
      </w:r>
      <w:r w:rsidRPr="00464B9B">
        <w:t xml:space="preserve">Victoria (VIC, </w:t>
      </w:r>
      <w:r>
        <w:t>31</w:t>
      </w:r>
      <w:r w:rsidRPr="00464B9B">
        <w:t>.</w:t>
      </w:r>
      <w:r>
        <w:t>8</w:t>
      </w:r>
      <w:r w:rsidRPr="00464B9B">
        <w:t>%)</w:t>
      </w:r>
      <w:r>
        <w:t xml:space="preserve">, </w:t>
      </w:r>
      <w:r w:rsidRPr="00255EBC">
        <w:t xml:space="preserve">New South Wales (NSW, </w:t>
      </w:r>
      <w:r>
        <w:t>31.6</w:t>
      </w:r>
      <w:r w:rsidRPr="00464B9B">
        <w:t xml:space="preserve">%) and Queensland (QLD, </w:t>
      </w:r>
      <w:r>
        <w:t>19.3</w:t>
      </w:r>
      <w:r w:rsidRPr="00464B9B">
        <w:t>%</w:t>
      </w:r>
      <w:r w:rsidRPr="00255EBC">
        <w:t>).</w:t>
      </w:r>
    </w:p>
    <w:p w:rsidR="005A6CBD" w:rsidRPr="00255EBC" w:rsidRDefault="005A6CBD" w:rsidP="005A6CBD">
      <w:pPr>
        <w:spacing w:before="80"/>
        <w:jc w:val="both"/>
      </w:pPr>
      <w:r w:rsidRPr="00255EBC">
        <w:t>The Northern Territory (NT), Tasmania (TAS), the Australian Capital Territory (ACT), South Australia (</w:t>
      </w:r>
      <w:r w:rsidRPr="00E21B2C">
        <w:t>SA) and Western Australia (WA) employed the smallest number of a</w:t>
      </w:r>
      <w:r w:rsidRPr="000D452F">
        <w:t>rchitects and landscape architects. See Figure</w:t>
      </w:r>
      <w:r w:rsidRPr="00E362A6">
        <w:t> A (</w:t>
      </w:r>
      <w:r w:rsidRPr="00464B9B">
        <w:t>original data</w:t>
      </w:r>
      <w:r w:rsidRPr="00E21B2C">
        <w:t>).</w:t>
      </w:r>
    </w:p>
    <w:p w:rsidR="005A6CBD" w:rsidRPr="00255EBC" w:rsidRDefault="005A6CBD" w:rsidP="005A6CBD">
      <w:pPr>
        <w:spacing w:before="0" w:after="0" w:line="140" w:lineRule="atLeast"/>
        <w:jc w:val="both"/>
        <w:rPr>
          <w:sz w:val="2"/>
          <w:szCs w:val="2"/>
        </w:rPr>
      </w:pPr>
      <w:r w:rsidRPr="00255EBC">
        <w:br w:type="column"/>
      </w:r>
    </w:p>
    <w:p w:rsidR="005A6CBD" w:rsidRPr="00255EBC" w:rsidRDefault="005A6CBD" w:rsidP="005A6CBD">
      <w:pPr>
        <w:pStyle w:val="FigureandTableheading"/>
      </w:pPr>
      <w:r w:rsidRPr="00255EBC">
        <w:t xml:space="preserve">Figure A: </w:t>
      </w:r>
      <w:r>
        <w:t xml:space="preserve">Employment Distribution of </w:t>
      </w:r>
      <w:r>
        <w:br/>
      </w:r>
      <w:r w:rsidRPr="00890099">
        <w:t xml:space="preserve">Architects and Landscape Architects </w:t>
      </w:r>
      <w:r w:rsidRPr="00255EBC">
        <w:br/>
        <w:t xml:space="preserve">by State/Territory to November </w:t>
      </w:r>
      <w:r>
        <w:t>2013 (%)</w:t>
      </w:r>
    </w:p>
    <w:p w:rsidR="005A6CBD" w:rsidRPr="00006470" w:rsidRDefault="005A6CBD" w:rsidP="005A6CBD">
      <w:pPr>
        <w:pStyle w:val="FigureandTableheading"/>
      </w:pPr>
      <w:r w:rsidRPr="00017C71">
        <w:rPr>
          <w:noProof/>
          <w:lang w:eastAsia="en-AU"/>
        </w:rPr>
        <w:drawing>
          <wp:inline distT="0" distB="0" distL="0" distR="0" wp14:anchorId="5CEF237A" wp14:editId="5D30F9C0">
            <wp:extent cx="3014980" cy="1304111"/>
            <wp:effectExtent l="0" t="0" r="0" b="0"/>
            <wp:docPr id="4" name="Picture 4" descr="State/Territory Percentage of the employed architects and landscape architects in Australia who are employed in the particular State/Territory (average of 4 quarters to November 2012; original data)&#10;New South Wales 31.6 per cent&#10;Victoria 31.8 per cent&#10;Queensland 19.3 per cent&#10;South Australia 6.2 per cent&#10;Western Australia 7.8 per cent&#10;Tasmania 1.1 per cent&#10;Northern Territory 0.7 per cent&#10;Australian Capital Territory 1.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14980" cy="1304111"/>
                    </a:xfrm>
                    <a:prstGeom prst="rect">
                      <a:avLst/>
                    </a:prstGeom>
                    <a:noFill/>
                    <a:ln>
                      <a:noFill/>
                    </a:ln>
                  </pic:spPr>
                </pic:pic>
              </a:graphicData>
            </a:graphic>
          </wp:inline>
        </w:drawing>
      </w:r>
    </w:p>
    <w:p w:rsidR="005A6CBD" w:rsidRDefault="005A6CBD" w:rsidP="005A6CBD">
      <w:pPr>
        <w:sectPr w:rsidR="005A6CBD" w:rsidSect="003C4CF9">
          <w:type w:val="continuous"/>
          <w:pgSz w:w="11906" w:h="16838" w:code="9"/>
          <w:pgMar w:top="567" w:right="851" w:bottom="709" w:left="851" w:header="709" w:footer="0" w:gutter="0"/>
          <w:pgNumType w:start="1"/>
          <w:cols w:num="2" w:space="708"/>
          <w:docGrid w:linePitch="360"/>
        </w:sectPr>
      </w:pPr>
    </w:p>
    <w:p w:rsidR="005A6CBD" w:rsidRDefault="005A6CBD" w:rsidP="005A6CBD">
      <w:pPr>
        <w:jc w:val="both"/>
        <w:rPr>
          <w:b/>
          <w:bCs/>
          <w:iCs/>
        </w:rPr>
        <w:sectPr w:rsidR="005A6CBD" w:rsidSect="009A16E6">
          <w:footerReference w:type="default" r:id="rId33"/>
          <w:type w:val="continuous"/>
          <w:pgSz w:w="11906" w:h="16838" w:code="9"/>
          <w:pgMar w:top="567" w:right="851" w:bottom="709" w:left="709" w:header="709" w:footer="0" w:gutter="0"/>
          <w:pgNumType w:start="1"/>
          <w:cols w:space="284"/>
          <w:docGrid w:linePitch="360"/>
        </w:sectPr>
      </w:pPr>
    </w:p>
    <w:p w:rsidR="005A6CBD" w:rsidRDefault="005A6CBD" w:rsidP="005A6CBD">
      <w:pPr>
        <w:jc w:val="both"/>
        <w:sectPr w:rsidR="005A6CBD" w:rsidSect="00542C09">
          <w:footerReference w:type="default" r:id="rId34"/>
          <w:type w:val="continuous"/>
          <w:pgSz w:w="11906" w:h="16838" w:code="9"/>
          <w:pgMar w:top="567" w:right="851" w:bottom="709" w:left="709" w:header="709" w:footer="0" w:gutter="0"/>
          <w:pgNumType w:start="1"/>
          <w:cols w:space="708"/>
          <w:docGrid w:linePitch="360"/>
        </w:sectPr>
      </w:pPr>
    </w:p>
    <w:p w:rsidR="005A6CBD" w:rsidRPr="001A66FB" w:rsidRDefault="005A6CBD" w:rsidP="005A6CBD">
      <w:pPr>
        <w:pStyle w:val="Heading1"/>
        <w:spacing w:before="0"/>
        <w:jc w:val="both"/>
      </w:pPr>
      <w:r w:rsidRPr="003F6F68">
        <w:lastRenderedPageBreak/>
        <w:t>Skills Assessment</w:t>
      </w:r>
    </w:p>
    <w:p w:rsidR="005A6CBD" w:rsidRDefault="005A6CBD" w:rsidP="005A6CBD">
      <w:pPr>
        <w:jc w:val="both"/>
      </w:pPr>
      <w:r w:rsidRPr="00A2243E">
        <w:t xml:space="preserve">The </w:t>
      </w:r>
      <w:r>
        <w:t>AACA</w:t>
      </w:r>
      <w:r w:rsidRPr="00A2243E">
        <w:t xml:space="preserve"> is the Australian assessing authority for architects. Individuals applying to migrate to Australia in this occupation must </w:t>
      </w:r>
      <w:r w:rsidRPr="004602B2">
        <w:t>have successfully completed</w:t>
      </w:r>
      <w:r>
        <w:t xml:space="preserve"> </w:t>
      </w:r>
      <w:r w:rsidRPr="00A2243E">
        <w:t>an assessment by the AACA of their qualifications prior to lodging a visa application.</w:t>
      </w:r>
    </w:p>
    <w:p w:rsidR="005A6CBD" w:rsidRDefault="005A6CBD" w:rsidP="005A6CBD">
      <w:pPr>
        <w:jc w:val="both"/>
      </w:pPr>
      <w:r w:rsidRPr="001F1406">
        <w:t>The assessment process depends on whether an applicant has an accredited academic qualification in architecture from an Australian school of architecture or holds overseas qualifications. A positive assessment or verification of qualifications for migration purposes is part of a three</w:t>
      </w:r>
      <w:r>
        <w:t xml:space="preserve"> </w:t>
      </w:r>
      <w:r w:rsidRPr="001F1406">
        <w:t>step process leading to registration as an architect in Australia.</w:t>
      </w:r>
    </w:p>
    <w:p w:rsidR="005A6CBD" w:rsidRDefault="005A6CBD" w:rsidP="005A6CBD">
      <w:pPr>
        <w:jc w:val="both"/>
      </w:pPr>
      <w:r w:rsidRPr="00521AA5">
        <w:t>The National Competency Standards in Architecture (NCSA) performance standards apply to all individuals applying for registration as an architect in Australia. While there are multiple pathways to registration as an architect in Australia, the following three steps outline the requirements for registration. Firstly, an individual must have a recognised academic qualification in architecture or a pass in the National Program of Assessment (NPrA) or relevant Registration Board Prescribed Examinations. Secondly, an individual must have a period of training through experience followed by successful completion of the AACA three</w:t>
      </w:r>
      <w:r>
        <w:t> </w:t>
      </w:r>
      <w:r w:rsidRPr="00521AA5">
        <w:t xml:space="preserve">part </w:t>
      </w:r>
      <w:r>
        <w:t>APE</w:t>
      </w:r>
      <w:r w:rsidRPr="00521AA5">
        <w:t xml:space="preserve">. Thirdly, an individual must apply for registration to the </w:t>
      </w:r>
      <w:r>
        <w:t>Architect Registration Board</w:t>
      </w:r>
      <w:r w:rsidRPr="00521AA5">
        <w:t xml:space="preserve"> in the state or territory in which registration is sought.</w:t>
      </w:r>
    </w:p>
    <w:p w:rsidR="005A6CBD" w:rsidRDefault="005A6CBD" w:rsidP="005A6CBD">
      <w:pPr>
        <w:jc w:val="both"/>
      </w:pPr>
      <w:r>
        <w:t xml:space="preserve">Where applicable, </w:t>
      </w:r>
      <w:r w:rsidRPr="000D2785">
        <w:t>individual</w:t>
      </w:r>
      <w:r>
        <w:t>s</w:t>
      </w:r>
      <w:r w:rsidRPr="000D2785">
        <w:t xml:space="preserve"> </w:t>
      </w:r>
      <w:r>
        <w:t xml:space="preserve">applying for registration as an architect in Australia </w:t>
      </w:r>
      <w:r w:rsidRPr="000D2785">
        <w:t>will need to demonstrate they have</w:t>
      </w:r>
      <w:r>
        <w:t xml:space="preserve"> scored an overall band score of 6.5 in the </w:t>
      </w:r>
      <w:r w:rsidRPr="00425545">
        <w:t>International English Language Testing System</w:t>
      </w:r>
      <w:r>
        <w:t xml:space="preserve"> (or equivalent) or</w:t>
      </w:r>
      <w:r w:rsidRPr="00425545">
        <w:t xml:space="preserve"> provide certification from an employer or educator </w:t>
      </w:r>
      <w:r>
        <w:t xml:space="preserve">their </w:t>
      </w:r>
      <w:r w:rsidRPr="00425545">
        <w:t>written and spoken English is adequate for professional communication.</w:t>
      </w:r>
    </w:p>
    <w:p w:rsidR="005A6CBD" w:rsidRDefault="005A6CBD" w:rsidP="005A6CBD">
      <w:pPr>
        <w:jc w:val="both"/>
      </w:pPr>
      <w:r>
        <w:t>The AACA website (</w:t>
      </w:r>
      <w:hyperlink r:id="rId35" w:history="1">
        <w:r w:rsidRPr="00955FCD">
          <w:rPr>
            <w:rStyle w:val="Hyperlink"/>
          </w:rPr>
          <w:t>www.aaca.org.au</w:t>
        </w:r>
      </w:hyperlink>
      <w:r>
        <w:t xml:space="preserve">) includes a full </w:t>
      </w:r>
      <w:r w:rsidRPr="00425545">
        <w:t>list of accredited Australian qualifications in architecture</w:t>
      </w:r>
      <w:r w:rsidRPr="00425545">
        <w:rPr>
          <w:rStyle w:val="EndnoteReference"/>
        </w:rPr>
        <w:endnoteReference w:id="3"/>
      </w:r>
      <w:r>
        <w:t>, provisions for applicants nominated under employer-sponsored migration programmes</w:t>
      </w:r>
      <w:r>
        <w:rPr>
          <w:rStyle w:val="EndnoteReference"/>
        </w:rPr>
        <w:endnoteReference w:id="4"/>
      </w:r>
      <w:r>
        <w:t xml:space="preserve"> and more detailed information on skills assessment for architects</w:t>
      </w:r>
      <w:r w:rsidRPr="00425545">
        <w:t xml:space="preserve">. </w:t>
      </w:r>
      <w:r>
        <w:t xml:space="preserve">The </w:t>
      </w:r>
      <w:r w:rsidRPr="00425545">
        <w:t>Australian Skills Recognition Information website (</w:t>
      </w:r>
      <w:hyperlink r:id="rId36" w:history="1">
        <w:r w:rsidRPr="00425545">
          <w:rPr>
            <w:rStyle w:val="Hyperlink"/>
            <w:color w:val="auto"/>
          </w:rPr>
          <w:t>www.immi.gov.au/asri</w:t>
        </w:r>
      </w:hyperlink>
      <w:r w:rsidRPr="00425545">
        <w:t>)</w:t>
      </w:r>
      <w:r>
        <w:t xml:space="preserve"> also provides relevant information.</w:t>
      </w:r>
    </w:p>
    <w:p w:rsidR="005A6CBD" w:rsidRPr="001A66FB" w:rsidRDefault="005A6CBD" w:rsidP="005A6CBD">
      <w:pPr>
        <w:pStyle w:val="Heading1"/>
        <w:spacing w:before="100"/>
        <w:jc w:val="both"/>
      </w:pPr>
      <w:r w:rsidRPr="00FD01F4">
        <w:t>Employer-</w:t>
      </w:r>
      <w:r>
        <w:t>S</w:t>
      </w:r>
      <w:r w:rsidRPr="00FD01F4">
        <w:t>ponsored Migration</w:t>
      </w:r>
    </w:p>
    <w:p w:rsidR="005A6CBD" w:rsidRDefault="005A6CBD" w:rsidP="005A6CBD">
      <w:pPr>
        <w:jc w:val="both"/>
      </w:pPr>
      <w:r w:rsidRPr="00FD01F4">
        <w:t xml:space="preserve">The Australian Government has several employer-sponsored migration programmes, including the Temporary Work Skilled, the Employer Nomination Scheme and the Regional Sponsored Migration Scheme. Information on these programmes is on the Department of Immigration and Border Protection website at </w:t>
      </w:r>
      <w:hyperlink r:id="rId37" w:history="1">
        <w:r w:rsidRPr="00FD01F4">
          <w:rPr>
            <w:rStyle w:val="Hyperlink"/>
            <w:color w:val="auto"/>
          </w:rPr>
          <w:t>www.immi.gov.au</w:t>
        </w:r>
      </w:hyperlink>
      <w:r w:rsidRPr="00FD01F4">
        <w:t>.</w:t>
      </w:r>
    </w:p>
    <w:p w:rsidR="005A6CBD" w:rsidRPr="001A66FB" w:rsidRDefault="005A6CBD" w:rsidP="005A6CBD">
      <w:pPr>
        <w:pStyle w:val="Heading1"/>
        <w:spacing w:before="100"/>
        <w:jc w:val="both"/>
      </w:pPr>
      <w:r w:rsidRPr="00FD01F4">
        <w:t>Seeking Employment in Australia</w:t>
      </w:r>
    </w:p>
    <w:p w:rsidR="005A6CBD" w:rsidRDefault="005A6CBD" w:rsidP="005A6CBD">
      <w:pPr>
        <w:jc w:val="both"/>
      </w:pPr>
      <w:r>
        <w:t xml:space="preserve">Architects </w:t>
      </w:r>
      <w:r w:rsidRPr="00FD01F4">
        <w:t xml:space="preserve">should note </w:t>
      </w:r>
      <w:r>
        <w:t xml:space="preserve">that neither </w:t>
      </w:r>
      <w:r w:rsidRPr="00FD01F4">
        <w:t xml:space="preserve">acceptance of qualifications for migration purposes </w:t>
      </w:r>
      <w:r>
        <w:t xml:space="preserve">nor registration as an architect in Australia </w:t>
      </w:r>
      <w:r w:rsidRPr="00FD01F4">
        <w:t>assure</w:t>
      </w:r>
      <w:r>
        <w:t>s</w:t>
      </w:r>
      <w:r w:rsidRPr="00FD01F4">
        <w:t xml:space="preserve"> employment in the occupation in Australia. </w:t>
      </w:r>
      <w:r>
        <w:t>E</w:t>
      </w:r>
      <w:r w:rsidRPr="00FD01F4">
        <w:t>mployment will depend on other factors such as the number of vacancies, skill needs in the Australian labour market, and suitability of an applicant for employment in a particular job in Australia.</w:t>
      </w:r>
    </w:p>
    <w:p w:rsidR="00727AFD" w:rsidRDefault="005A6CBD" w:rsidP="0032359C">
      <w:pPr>
        <w:jc w:val="both"/>
      </w:pPr>
      <w:r w:rsidRPr="00FD01F4">
        <w:t>The Department of Employment is not an employment agency and is not able to assist visa applicants or potential migrants to obtain employment in Australia. Australian employers are increasingly using the internet to advertise vacancies and websites of Australian professional bodies (which may recognise membership of affiliated overseas bodies) and industry bodies often include information on vacancies.</w:t>
      </w:r>
    </w:p>
    <w:sectPr w:rsidR="00727AFD" w:rsidSect="00395E7D">
      <w:pgSz w:w="11906" w:h="16838" w:code="9"/>
      <w:pgMar w:top="567" w:right="851" w:bottom="709" w:left="709" w:header="709"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20" w:rsidRDefault="00704B20" w:rsidP="006F463A">
      <w:r>
        <w:separator/>
      </w:r>
    </w:p>
  </w:endnote>
  <w:endnote w:type="continuationSeparator" w:id="0">
    <w:p w:rsidR="00704B20" w:rsidRDefault="00704B20" w:rsidP="006F463A">
      <w:r>
        <w:continuationSeparator/>
      </w:r>
    </w:p>
  </w:endnote>
  <w:endnote w:id="1">
    <w:p w:rsidR="005A6CBD" w:rsidRPr="00E362A6" w:rsidRDefault="005A6CBD" w:rsidP="005A6CBD">
      <w:pPr>
        <w:pStyle w:val="EndnoteText"/>
        <w:jc w:val="both"/>
      </w:pPr>
      <w:r w:rsidRPr="00E362A6">
        <w:rPr>
          <w:rStyle w:val="EndnoteReference"/>
        </w:rPr>
        <w:endnoteRef/>
      </w:r>
      <w:r>
        <w:t> </w:t>
      </w:r>
      <w:r w:rsidRPr="00E362A6">
        <w:t xml:space="preserve">Australian Bureau of Statistics </w:t>
      </w:r>
      <w:r>
        <w:t xml:space="preserve">and Statistics New Zealand, </w:t>
      </w:r>
      <w:r w:rsidRPr="00E362A6">
        <w:t xml:space="preserve">Australian and New Zealand Standard Classification of Occupations, </w:t>
      </w:r>
      <w:r>
        <w:t>C</w:t>
      </w:r>
      <w:r w:rsidRPr="00E362A6">
        <w:t>at.</w:t>
      </w:r>
      <w:r>
        <w:t> N</w:t>
      </w:r>
      <w:r w:rsidRPr="00E362A6">
        <w:t>o.</w:t>
      </w:r>
      <w:r>
        <w:t> </w:t>
      </w:r>
      <w:r w:rsidRPr="00E362A6">
        <w:t>1220.0</w:t>
      </w:r>
      <w:r>
        <w:t xml:space="preserve">, First Edition, </w:t>
      </w:r>
      <w:hyperlink r:id="rId1" w:history="1">
        <w:r w:rsidRPr="00464B9B">
          <w:rPr>
            <w:rStyle w:val="Hyperlink"/>
            <w:color w:val="auto"/>
          </w:rPr>
          <w:t>www.abs.gov.au</w:t>
        </w:r>
      </w:hyperlink>
      <w:r w:rsidRPr="00E362A6">
        <w:t>.</w:t>
      </w:r>
      <w:r>
        <w:t xml:space="preserve"> A more detailed description is at</w:t>
      </w:r>
      <w:r w:rsidRPr="0060270A">
        <w:t xml:space="preserve"> </w:t>
      </w:r>
      <w:hyperlink r:id="rId2" w:history="1">
        <w:r w:rsidRPr="00020CEE">
          <w:rPr>
            <w:rStyle w:val="Hyperlink"/>
            <w:color w:val="auto"/>
          </w:rPr>
          <w:t>www.aaca.org.au</w:t>
        </w:r>
      </w:hyperlink>
      <w:r w:rsidRPr="0060270A">
        <w:t>.</w:t>
      </w:r>
    </w:p>
  </w:endnote>
  <w:endnote w:id="2">
    <w:p w:rsidR="005A6CBD" w:rsidRPr="00E362A6" w:rsidRDefault="005A6CBD" w:rsidP="005A6CBD">
      <w:pPr>
        <w:pStyle w:val="EndnoteText"/>
        <w:jc w:val="both"/>
      </w:pPr>
      <w:r w:rsidRPr="0060270A">
        <w:rPr>
          <w:rStyle w:val="EndnoteReference"/>
        </w:rPr>
        <w:endnoteRef/>
      </w:r>
      <w:r>
        <w:t> </w:t>
      </w:r>
      <w:r w:rsidRPr="0060270A">
        <w:t xml:space="preserve">Architects Accreditation Council of Australia, Architect Registration, </w:t>
      </w:r>
      <w:hyperlink r:id="rId3" w:history="1">
        <w:r w:rsidRPr="0060270A">
          <w:rPr>
            <w:rStyle w:val="Hyperlink"/>
          </w:rPr>
          <w:t>www.aaca.org.au/architect-registration</w:t>
        </w:r>
      </w:hyperlink>
      <w:r w:rsidRPr="0060270A">
        <w:t>.</w:t>
      </w:r>
    </w:p>
  </w:endnote>
  <w:endnote w:id="3">
    <w:p w:rsidR="005A6CBD" w:rsidRDefault="005A6CBD" w:rsidP="005A6CBD">
      <w:pPr>
        <w:pStyle w:val="EndnoteText"/>
        <w:jc w:val="both"/>
      </w:pPr>
      <w:r w:rsidRPr="00E362A6">
        <w:rPr>
          <w:rStyle w:val="EndnoteReference"/>
        </w:rPr>
        <w:endnoteRef/>
      </w:r>
      <w:r>
        <w:t xml:space="preserve"> Recognised Architecture Qualifications, </w:t>
      </w:r>
      <w:hyperlink r:id="rId4" w:history="1">
        <w:r w:rsidRPr="00464B9B">
          <w:rPr>
            <w:rStyle w:val="Hyperlink"/>
            <w:color w:val="auto"/>
          </w:rPr>
          <w:t>www.aaca.org.au/architect-registration/recognised-architecture-qualifications</w:t>
        </w:r>
      </w:hyperlink>
      <w:r w:rsidRPr="00E362A6">
        <w:t>.</w:t>
      </w:r>
    </w:p>
  </w:endnote>
  <w:endnote w:id="4">
    <w:p w:rsidR="005A6CBD" w:rsidRPr="00E362A6" w:rsidRDefault="005A6CBD" w:rsidP="005A6CBD">
      <w:pPr>
        <w:pStyle w:val="EndnoteText"/>
        <w:jc w:val="both"/>
      </w:pPr>
      <w:r w:rsidRPr="00E362A6">
        <w:rPr>
          <w:rStyle w:val="EndnoteReference"/>
        </w:rPr>
        <w:endnoteRef/>
      </w:r>
      <w:r>
        <w:t> </w:t>
      </w:r>
      <w:r w:rsidRPr="00E362A6">
        <w:t xml:space="preserve">Migration Skills Assessment, </w:t>
      </w:r>
      <w:hyperlink r:id="rId5" w:history="1">
        <w:r w:rsidRPr="00E362A6">
          <w:rPr>
            <w:rStyle w:val="Hyperlink"/>
            <w:color w:val="auto"/>
          </w:rPr>
          <w:t>www.aaca.org.au/migration-skills-assessment</w:t>
        </w:r>
      </w:hyperlink>
      <w:r w:rsidRPr="00E362A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20" w:rsidRDefault="00704B20" w:rsidP="006C5454">
    <w:pPr>
      <w:pStyle w:val="Footer"/>
      <w:tabs>
        <w:tab w:val="clear" w:pos="4513"/>
        <w:tab w:val="clear" w:pos="9026"/>
        <w:tab w:val="right" w:pos="10348"/>
      </w:tabs>
      <w:spacing w:after="400"/>
    </w:pPr>
    <w:r>
      <w:t>Australian Labour Market Update</w:t>
    </w:r>
    <w:r w:rsidRPr="00D61264">
      <w:t>—</w:t>
    </w:r>
    <w:r w:rsidR="0032359C">
      <w:t xml:space="preserve">July </w:t>
    </w:r>
    <w:r>
      <w:t>2014</w:t>
    </w:r>
    <w:r>
      <w:tab/>
    </w:r>
    <w:r w:rsidR="00D852ED">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37086"/>
      <w:docPartObj>
        <w:docPartGallery w:val="Page Numbers (Bottom of Page)"/>
        <w:docPartUnique/>
      </w:docPartObj>
    </w:sdtPr>
    <w:sdtEndPr>
      <w:rPr>
        <w:rStyle w:val="Heading3Char"/>
        <w:b w:val="0"/>
        <w:i/>
        <w:color w:val="0D0D0D" w:themeColor="text1" w:themeTint="F2"/>
        <w:sz w:val="22"/>
      </w:rPr>
    </w:sdtEndPr>
    <w:sdtContent>
      <w:p w:rsidR="00704B20" w:rsidRPr="00D17319" w:rsidRDefault="00704B20">
        <w:pPr>
          <w:pStyle w:val="Footer"/>
          <w:jc w:val="right"/>
          <w:rPr>
            <w:rStyle w:val="Heading3Char"/>
          </w:rPr>
        </w:pPr>
        <w:r w:rsidRPr="00D17319">
          <w:rPr>
            <w:rStyle w:val="Heading3Char"/>
          </w:rPr>
          <w:fldChar w:fldCharType="begin"/>
        </w:r>
        <w:r w:rsidRPr="00D17319">
          <w:rPr>
            <w:rStyle w:val="Heading3Char"/>
          </w:rPr>
          <w:instrText xml:space="preserve"> PAGE   \* MERGEFORMAT </w:instrText>
        </w:r>
        <w:r w:rsidRPr="00D17319">
          <w:rPr>
            <w:rStyle w:val="Heading3Char"/>
          </w:rPr>
          <w:fldChar w:fldCharType="separate"/>
        </w:r>
        <w:r>
          <w:rPr>
            <w:rStyle w:val="Heading3Char"/>
            <w:noProof/>
          </w:rPr>
          <w:t>0</w:t>
        </w:r>
        <w:r w:rsidRPr="00D17319">
          <w:rPr>
            <w:rStyle w:val="Heading3Char"/>
          </w:rPr>
          <w:fldChar w:fldCharType="end"/>
        </w:r>
      </w:p>
    </w:sdtContent>
  </w:sdt>
  <w:p w:rsidR="00704B20" w:rsidRDefault="00704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ED" w:rsidRDefault="00D852ED" w:rsidP="006C5454">
    <w:pPr>
      <w:pStyle w:val="Footer"/>
      <w:tabs>
        <w:tab w:val="clear" w:pos="4513"/>
        <w:tab w:val="clear" w:pos="9026"/>
        <w:tab w:val="right" w:pos="10348"/>
      </w:tabs>
      <w:spacing w:after="400"/>
    </w:pPr>
    <w:r>
      <w:t>Australian Labour Market Update</w:t>
    </w:r>
    <w:r w:rsidRPr="00D61264">
      <w:t>—</w:t>
    </w:r>
    <w:r>
      <w:t>July 2014</w:t>
    </w:r>
    <w:r>
      <w:tab/>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ED" w:rsidRDefault="00D852ED" w:rsidP="006C5454">
    <w:pPr>
      <w:pStyle w:val="Footer"/>
      <w:tabs>
        <w:tab w:val="clear" w:pos="4513"/>
        <w:tab w:val="clear" w:pos="9026"/>
        <w:tab w:val="right" w:pos="10348"/>
      </w:tabs>
      <w:spacing w:after="400"/>
    </w:pPr>
    <w:r>
      <w:t>Australian Labour Market Update</w:t>
    </w:r>
    <w:r w:rsidRPr="00D61264">
      <w:t>—</w:t>
    </w:r>
    <w:r>
      <w:t>July 2014</w:t>
    </w:r>
    <w:r>
      <w:tab/>
    </w:r>
    <w:r w:rsidR="00354504">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04" w:rsidRDefault="00354504" w:rsidP="006C5454">
    <w:pPr>
      <w:pStyle w:val="Footer"/>
      <w:tabs>
        <w:tab w:val="clear" w:pos="4513"/>
        <w:tab w:val="clear" w:pos="9026"/>
        <w:tab w:val="right" w:pos="10348"/>
      </w:tabs>
      <w:spacing w:after="400"/>
    </w:pPr>
    <w:r>
      <w:t>Australian Labour Market Update</w:t>
    </w:r>
    <w:r w:rsidRPr="00D61264">
      <w:t>—</w:t>
    </w:r>
    <w:r>
      <w:t>July 2014</w:t>
    </w:r>
    <w:r>
      <w:tab/>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04" w:rsidRDefault="00354504" w:rsidP="00FE37FA">
    <w:pPr>
      <w:pStyle w:val="Footer"/>
      <w:tabs>
        <w:tab w:val="clear" w:pos="4513"/>
        <w:tab w:val="clear" w:pos="9026"/>
        <w:tab w:val="right" w:pos="5171"/>
        <w:tab w:val="right" w:pos="10348"/>
      </w:tabs>
      <w:spacing w:after="400"/>
    </w:pPr>
    <w:r>
      <w:t>Australian Labour Market Update</w:t>
    </w:r>
    <w:r w:rsidRPr="00D61264">
      <w:t>—</w:t>
    </w:r>
    <w:r>
      <w:t>July 2014</w:t>
    </w:r>
    <w:r>
      <w:tab/>
      <w:t>Hot Topic</w:t>
    </w:r>
    <w:r>
      <w:tab/>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BD" w:rsidRDefault="005A6CBD" w:rsidP="00FE37FA">
    <w:pPr>
      <w:pStyle w:val="Footer"/>
      <w:tabs>
        <w:tab w:val="clear" w:pos="4513"/>
        <w:tab w:val="clear" w:pos="9026"/>
        <w:tab w:val="right" w:pos="5171"/>
        <w:tab w:val="right" w:pos="10348"/>
      </w:tabs>
      <w:spacing w:after="400"/>
    </w:pPr>
    <w:r>
      <w:t>Australian Labour Market Update</w:t>
    </w:r>
    <w:r w:rsidRPr="00D61264">
      <w:t>—</w:t>
    </w:r>
    <w:r>
      <w:t>April 2014</w:t>
    </w:r>
    <w:r>
      <w:tab/>
      <w:t>Hot Topic</w:t>
    </w:r>
    <w:r>
      <w:tab/>
    </w:r>
    <w:r>
      <w:fldChar w:fldCharType="begin"/>
    </w:r>
    <w:r>
      <w:instrText xml:space="preserve"> PAGE  \* Arabic  \* MERGEFORMAT </w:instrText>
    </w:r>
    <w:r>
      <w:fldChar w:fldCharType="separate"/>
    </w:r>
    <w:r>
      <w:rPr>
        <w:noProof/>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BD" w:rsidRDefault="005A6CBD" w:rsidP="00FE37FA">
    <w:pPr>
      <w:pStyle w:val="Footer"/>
      <w:tabs>
        <w:tab w:val="clear" w:pos="4513"/>
        <w:tab w:val="clear" w:pos="9026"/>
        <w:tab w:val="right" w:pos="5171"/>
        <w:tab w:val="right" w:pos="10348"/>
      </w:tabs>
      <w:spacing w:after="400"/>
    </w:pPr>
    <w:r>
      <w:t>Australian Labour Market Update</w:t>
    </w:r>
    <w:r w:rsidRPr="00D61264">
      <w:t>—</w:t>
    </w:r>
    <w:r>
      <w:t>July 2014</w:t>
    </w:r>
    <w:r>
      <w:tab/>
      <w:t>Hot Topic</w:t>
    </w:r>
    <w:r>
      <w:tab/>
    </w:r>
    <w:r>
      <w:fldChar w:fldCharType="begin"/>
    </w:r>
    <w:r>
      <w:instrText xml:space="preserve"> PAGE  \* Arabic  \* MERGEFORMAT </w:instrText>
    </w:r>
    <w:r>
      <w:fldChar w:fldCharType="separate"/>
    </w:r>
    <w:r w:rsidR="008A2B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20" w:rsidRDefault="00704B20" w:rsidP="006F463A">
      <w:r>
        <w:separator/>
      </w:r>
    </w:p>
  </w:footnote>
  <w:footnote w:type="continuationSeparator" w:id="0">
    <w:p w:rsidR="00704B20" w:rsidRDefault="00704B20" w:rsidP="006F463A">
      <w:r>
        <w:continuationSeparator/>
      </w:r>
    </w:p>
  </w:footnote>
  <w:footnote w:type="continuationNotice" w:id="1">
    <w:p w:rsidR="00704B20" w:rsidRDefault="00704B20">
      <w:pPr>
        <w:spacing w:after="0" w:line="240" w:lineRule="auto"/>
      </w:pPr>
    </w:p>
  </w:footnote>
  <w:footnote w:id="2">
    <w:p w:rsidR="009E28B7" w:rsidRDefault="009E28B7" w:rsidP="000533C6">
      <w:pPr>
        <w:pStyle w:val="FootnoteText"/>
        <w:spacing w:before="0"/>
        <w:jc w:val="both"/>
      </w:pPr>
      <w:r>
        <w:rPr>
          <w:rStyle w:val="FootnoteReference"/>
        </w:rPr>
        <w:footnoteRef/>
      </w:r>
      <w:r>
        <w:t xml:space="preserve"> </w:t>
      </w:r>
      <w:r w:rsidRPr="009E28B7">
        <w:t xml:space="preserve">Data in first and third paragraphs of the Employment section and data in the Unemployment section (other than the fourth paragraph) are from the ABS Labour Force Survey, </w:t>
      </w:r>
      <w:r>
        <w:t>June</w:t>
      </w:r>
      <w:r w:rsidRPr="009E28B7">
        <w:t xml:space="preserve"> 2014.</w:t>
      </w:r>
    </w:p>
  </w:footnote>
  <w:footnote w:id="3">
    <w:p w:rsidR="00483A12" w:rsidRDefault="00483A12" w:rsidP="000533C6">
      <w:pPr>
        <w:pStyle w:val="FootnoteText"/>
        <w:spacing w:before="0"/>
        <w:jc w:val="both"/>
      </w:pPr>
      <w:r>
        <w:rPr>
          <w:rStyle w:val="FootnoteReference"/>
        </w:rPr>
        <w:footnoteRef/>
      </w:r>
      <w:r>
        <w:t xml:space="preserve"> </w:t>
      </w:r>
      <w:r w:rsidRPr="000848B7">
        <w:t xml:space="preserve">Other Services </w:t>
      </w:r>
      <w:r>
        <w:t>includes a range of personal services (such as hair, beauty, diet and weight management), religious, civic and other interest group services, repair and maintenance of equipment and machinery, and private households employing staff.</w:t>
      </w:r>
    </w:p>
  </w:footnote>
  <w:footnote w:id="4">
    <w:p w:rsidR="00704B20" w:rsidRPr="00C412EA" w:rsidRDefault="00704B20" w:rsidP="006C5454">
      <w:pPr>
        <w:pStyle w:val="FootnoteText"/>
        <w:spacing w:before="0"/>
        <w:jc w:val="both"/>
        <w:rPr>
          <w:szCs w:val="14"/>
        </w:rPr>
      </w:pPr>
      <w:r w:rsidRPr="00DA5A02">
        <w:rPr>
          <w:rStyle w:val="FootnoteReference"/>
          <w:rFonts w:cs="Arial"/>
          <w:szCs w:val="14"/>
        </w:rPr>
        <w:footnoteRef/>
      </w:r>
      <w:r w:rsidRPr="00C412EA">
        <w:rPr>
          <w:szCs w:val="14"/>
        </w:rPr>
        <w:t xml:space="preserve"> </w:t>
      </w:r>
      <w:r>
        <w:rPr>
          <w:szCs w:val="14"/>
        </w:rPr>
        <w:t>E</w:t>
      </w:r>
      <w:r w:rsidRPr="00C412EA">
        <w:rPr>
          <w:szCs w:val="14"/>
        </w:rPr>
        <w:t xml:space="preserve">stimates for individual countries in Figure 3 may be subject to high </w:t>
      </w:r>
      <w:r w:rsidRPr="00DA5A02">
        <w:rPr>
          <w:szCs w:val="14"/>
        </w:rPr>
        <w:t>sampling</w:t>
      </w:r>
      <w:r w:rsidRPr="00C412EA">
        <w:rPr>
          <w:szCs w:val="14"/>
        </w:rPr>
        <w:t xml:space="preserve"> variability. Figure 3 uses original data.</w:t>
      </w:r>
    </w:p>
  </w:footnote>
  <w:footnote w:id="5">
    <w:p w:rsidR="00704B20" w:rsidRPr="00C412EA" w:rsidRDefault="00704B20" w:rsidP="006C5454">
      <w:pPr>
        <w:pStyle w:val="FootnoteText"/>
        <w:spacing w:before="0"/>
        <w:jc w:val="both"/>
        <w:rPr>
          <w:szCs w:val="14"/>
        </w:rPr>
      </w:pPr>
      <w:r w:rsidRPr="00DA5A02">
        <w:rPr>
          <w:rStyle w:val="FootnoteReference"/>
          <w:rFonts w:cs="Arial"/>
          <w:szCs w:val="14"/>
        </w:rPr>
        <w:footnoteRef/>
      </w:r>
      <w:r w:rsidRPr="00C412EA">
        <w:rPr>
          <w:szCs w:val="14"/>
        </w:rPr>
        <w:t xml:space="preserve"> MESC are the United Kingdom, </w:t>
      </w:r>
      <w:r w:rsidRPr="00DA5A02">
        <w:rPr>
          <w:szCs w:val="14"/>
        </w:rPr>
        <w:t>Republic</w:t>
      </w:r>
      <w:r w:rsidRPr="00C412EA">
        <w:rPr>
          <w:szCs w:val="14"/>
        </w:rPr>
        <w:t xml:space="preserve"> of Ireland, South Africa, Canada, the United States of America and New Zealand.</w:t>
      </w:r>
    </w:p>
  </w:footnote>
  <w:footnote w:id="6">
    <w:p w:rsidR="00704B20" w:rsidRPr="00C412EA" w:rsidRDefault="00704B20" w:rsidP="00DC44E2">
      <w:pPr>
        <w:pStyle w:val="FootnoteText"/>
        <w:spacing w:before="0"/>
        <w:jc w:val="both"/>
        <w:rPr>
          <w:szCs w:val="14"/>
        </w:rPr>
      </w:pPr>
      <w:r w:rsidRPr="00DA5A02">
        <w:rPr>
          <w:rStyle w:val="FootnoteReference"/>
          <w:rFonts w:cs="Arial"/>
          <w:szCs w:val="14"/>
        </w:rPr>
        <w:footnoteRef/>
      </w:r>
      <w:r w:rsidRPr="00C412EA">
        <w:rPr>
          <w:szCs w:val="14"/>
        </w:rPr>
        <w:t xml:space="preserve"> This section is based on ABS Labour Force </w:t>
      </w:r>
      <w:r w:rsidRPr="00DA5A02">
        <w:rPr>
          <w:szCs w:val="14"/>
        </w:rPr>
        <w:t>Survey</w:t>
      </w:r>
      <w:r w:rsidRPr="00C412EA">
        <w:rPr>
          <w:szCs w:val="14"/>
        </w:rPr>
        <w:t xml:space="preserve"> original data.</w:t>
      </w:r>
      <w:r>
        <w:rPr>
          <w:szCs w:val="14"/>
        </w:rPr>
        <w:t xml:space="preserve"> Occupational Groups are from </w:t>
      </w:r>
      <w:r w:rsidRPr="00C412EA">
        <w:rPr>
          <w:szCs w:val="14"/>
        </w:rPr>
        <w:t>the Australian and New Zealand Standard Classification of Occupations (ANZSCO) (ABS Cat. No. 1220.0).</w:t>
      </w:r>
    </w:p>
  </w:footnote>
  <w:footnote w:id="7">
    <w:p w:rsidR="00704B20" w:rsidRPr="009A24DA" w:rsidRDefault="00704B20" w:rsidP="006C5454">
      <w:pPr>
        <w:pStyle w:val="FootnoteText"/>
        <w:spacing w:before="0"/>
        <w:jc w:val="both"/>
        <w:rPr>
          <w:szCs w:val="14"/>
        </w:rPr>
      </w:pPr>
      <w:r w:rsidRPr="009A24DA">
        <w:rPr>
          <w:rStyle w:val="FootnoteReference"/>
          <w:rFonts w:cs="Arial"/>
          <w:szCs w:val="14"/>
        </w:rPr>
        <w:footnoteRef/>
      </w:r>
      <w:r w:rsidRPr="009A24DA">
        <w:rPr>
          <w:szCs w:val="14"/>
        </w:rPr>
        <w:t xml:space="preserve"> </w:t>
      </w:r>
      <w:r w:rsidR="005F7683" w:rsidRPr="009A24DA">
        <w:rPr>
          <w:szCs w:val="14"/>
        </w:rPr>
        <w:t xml:space="preserve">See </w:t>
      </w:r>
      <w:r w:rsidRPr="009A24DA">
        <w:rPr>
          <w:szCs w:val="14"/>
        </w:rPr>
        <w:t>Department of Employmen</w:t>
      </w:r>
      <w:r w:rsidR="005F7683" w:rsidRPr="009A24DA">
        <w:rPr>
          <w:szCs w:val="14"/>
        </w:rPr>
        <w:t>t</w:t>
      </w:r>
      <w:r w:rsidRPr="009A24DA">
        <w:rPr>
          <w:szCs w:val="14"/>
        </w:rPr>
        <w:t xml:space="preserve"> </w:t>
      </w:r>
      <w:hyperlink r:id="rId1" w:history="1">
        <w:r w:rsidRPr="009A24DA">
          <w:rPr>
            <w:rStyle w:val="Hyperlink"/>
            <w:color w:val="000000"/>
            <w:u w:val="none"/>
          </w:rPr>
          <w:t>Labour Market Information Portal</w:t>
        </w:r>
      </w:hyperlink>
      <w:r w:rsidRPr="009A24DA">
        <w:rPr>
          <w:szCs w:val="14"/>
        </w:rPr>
        <w:t xml:space="preserve"> website</w:t>
      </w:r>
      <w:r w:rsidR="00BF5A67" w:rsidRPr="009A24DA">
        <w:rPr>
          <w:szCs w:val="14"/>
        </w:rPr>
        <w:t xml:space="preserve"> (</w:t>
      </w:r>
      <w:hyperlink r:id="rId2" w:history="1">
        <w:r w:rsidR="00BF5A67" w:rsidRPr="009A24DA">
          <w:rPr>
            <w:rStyle w:val="Hyperlink"/>
            <w:szCs w:val="14"/>
          </w:rPr>
          <w:t>www.lmip.gov.au</w:t>
        </w:r>
      </w:hyperlink>
      <w:r w:rsidR="00BF5A67" w:rsidRPr="009A24DA">
        <w:rPr>
          <w:szCs w:val="14"/>
        </w:rPr>
        <w:t>)</w:t>
      </w:r>
      <w:r w:rsidRPr="009A24DA">
        <w:rPr>
          <w:szCs w:val="14"/>
        </w:rPr>
        <w:t>.</w:t>
      </w:r>
    </w:p>
  </w:footnote>
  <w:footnote w:id="8">
    <w:p w:rsidR="00704B20" w:rsidRPr="00C412EA" w:rsidRDefault="00704B20" w:rsidP="00DC44E2">
      <w:pPr>
        <w:pStyle w:val="FootnoteText"/>
        <w:spacing w:before="0"/>
        <w:jc w:val="both"/>
        <w:rPr>
          <w:szCs w:val="14"/>
        </w:rPr>
      </w:pPr>
      <w:r w:rsidRPr="009A24DA">
        <w:rPr>
          <w:rStyle w:val="FootnoteReference"/>
          <w:rFonts w:cs="Arial"/>
          <w:szCs w:val="14"/>
        </w:rPr>
        <w:footnoteRef/>
      </w:r>
      <w:r w:rsidRPr="009A24DA">
        <w:rPr>
          <w:szCs w:val="14"/>
        </w:rPr>
        <w:t> The Internet Vacancy Index (IVI) is based on a count of online job advertisements newly lodged on SEEK, MyCareer, CareerOne and Australian JobSearch during the month. Duplicate advertisements are removed before IVI vacancies are coded by the Department of Employment to occupations based on ANZSCO. The data are seasonally adjusted and trended, t</w:t>
      </w:r>
      <w:r w:rsidR="00520446" w:rsidRPr="009A24DA">
        <w:rPr>
          <w:szCs w:val="14"/>
        </w:rPr>
        <w:t>hen indexed (January 2006=100).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ED67C"/>
    <w:lvl w:ilvl="0">
      <w:start w:val="1"/>
      <w:numFmt w:val="decimal"/>
      <w:lvlText w:val="%1."/>
      <w:lvlJc w:val="left"/>
      <w:pPr>
        <w:tabs>
          <w:tab w:val="num" w:pos="1492"/>
        </w:tabs>
        <w:ind w:left="1492" w:hanging="360"/>
      </w:pPr>
    </w:lvl>
  </w:abstractNum>
  <w:abstractNum w:abstractNumId="1">
    <w:nsid w:val="FFFFFF7D"/>
    <w:multiLevelType w:val="singleLevel"/>
    <w:tmpl w:val="9708A6C6"/>
    <w:lvl w:ilvl="0">
      <w:start w:val="1"/>
      <w:numFmt w:val="decimal"/>
      <w:lvlText w:val="%1."/>
      <w:lvlJc w:val="left"/>
      <w:pPr>
        <w:tabs>
          <w:tab w:val="num" w:pos="1209"/>
        </w:tabs>
        <w:ind w:left="1209" w:hanging="360"/>
      </w:pPr>
    </w:lvl>
  </w:abstractNum>
  <w:abstractNum w:abstractNumId="2">
    <w:nsid w:val="FFFFFF7E"/>
    <w:multiLevelType w:val="singleLevel"/>
    <w:tmpl w:val="6FACB6BA"/>
    <w:lvl w:ilvl="0">
      <w:start w:val="1"/>
      <w:numFmt w:val="decimal"/>
      <w:lvlText w:val="%1."/>
      <w:lvlJc w:val="left"/>
      <w:pPr>
        <w:tabs>
          <w:tab w:val="num" w:pos="926"/>
        </w:tabs>
        <w:ind w:left="926" w:hanging="360"/>
      </w:pPr>
    </w:lvl>
  </w:abstractNum>
  <w:abstractNum w:abstractNumId="3">
    <w:nsid w:val="FFFFFF7F"/>
    <w:multiLevelType w:val="singleLevel"/>
    <w:tmpl w:val="11065FCC"/>
    <w:lvl w:ilvl="0">
      <w:start w:val="1"/>
      <w:numFmt w:val="decimal"/>
      <w:lvlText w:val="%1."/>
      <w:lvlJc w:val="left"/>
      <w:pPr>
        <w:tabs>
          <w:tab w:val="num" w:pos="643"/>
        </w:tabs>
        <w:ind w:left="643" w:hanging="360"/>
      </w:pPr>
    </w:lvl>
  </w:abstractNum>
  <w:abstractNum w:abstractNumId="4">
    <w:nsid w:val="FFFFFF80"/>
    <w:multiLevelType w:val="singleLevel"/>
    <w:tmpl w:val="BF5CC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E11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D29F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FE84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E085D8"/>
    <w:lvl w:ilvl="0">
      <w:start w:val="1"/>
      <w:numFmt w:val="decimal"/>
      <w:lvlText w:val="%1."/>
      <w:lvlJc w:val="left"/>
      <w:pPr>
        <w:tabs>
          <w:tab w:val="num" w:pos="360"/>
        </w:tabs>
        <w:ind w:left="360" w:hanging="360"/>
      </w:pPr>
    </w:lvl>
  </w:abstractNum>
  <w:abstractNum w:abstractNumId="9">
    <w:nsid w:val="FFFFFF89"/>
    <w:multiLevelType w:val="singleLevel"/>
    <w:tmpl w:val="68982866"/>
    <w:lvl w:ilvl="0">
      <w:start w:val="1"/>
      <w:numFmt w:val="bullet"/>
      <w:lvlText w:val=""/>
      <w:lvlJc w:val="left"/>
      <w:pPr>
        <w:tabs>
          <w:tab w:val="num" w:pos="360"/>
        </w:tabs>
        <w:ind w:left="360" w:hanging="360"/>
      </w:pPr>
      <w:rPr>
        <w:rFonts w:ascii="Symbol" w:hAnsi="Symbol" w:hint="default"/>
      </w:rPr>
    </w:lvl>
  </w:abstractNum>
  <w:abstractNum w:abstractNumId="10">
    <w:nsid w:val="107F113A"/>
    <w:multiLevelType w:val="hybridMultilevel"/>
    <w:tmpl w:val="B04CE0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DC1A51"/>
    <w:multiLevelType w:val="hybridMultilevel"/>
    <w:tmpl w:val="DFF2D980"/>
    <w:lvl w:ilvl="0" w:tplc="A670B6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1EA1347"/>
    <w:multiLevelType w:val="hybridMultilevel"/>
    <w:tmpl w:val="99AAA9B0"/>
    <w:lvl w:ilvl="0" w:tplc="0C090001">
      <w:start w:val="1"/>
      <w:numFmt w:val="bullet"/>
      <w:lvlText w:val=""/>
      <w:lvlJc w:val="left"/>
      <w:pPr>
        <w:tabs>
          <w:tab w:val="num" w:pos="719"/>
        </w:tabs>
        <w:ind w:left="719" w:hanging="360"/>
      </w:pPr>
      <w:rPr>
        <w:rFonts w:ascii="Symbol" w:hAnsi="Symbol" w:hint="default"/>
      </w:rPr>
    </w:lvl>
    <w:lvl w:ilvl="1" w:tplc="E04C70E4">
      <w:start w:val="1"/>
      <w:numFmt w:val="bullet"/>
      <w:lvlText w:val="o"/>
      <w:lvlJc w:val="left"/>
      <w:pPr>
        <w:tabs>
          <w:tab w:val="num" w:pos="1799"/>
        </w:tabs>
        <w:ind w:left="1799" w:hanging="360"/>
      </w:pPr>
      <w:rPr>
        <w:rFonts w:ascii="Courier New" w:hAnsi="Courier New" w:hint="default"/>
      </w:rPr>
    </w:lvl>
    <w:lvl w:ilvl="2" w:tplc="0C090005" w:tentative="1">
      <w:start w:val="1"/>
      <w:numFmt w:val="bullet"/>
      <w:lvlText w:val=""/>
      <w:lvlJc w:val="left"/>
      <w:pPr>
        <w:tabs>
          <w:tab w:val="num" w:pos="2519"/>
        </w:tabs>
        <w:ind w:left="2519" w:hanging="360"/>
      </w:pPr>
      <w:rPr>
        <w:rFonts w:ascii="Wingdings" w:hAnsi="Wingdings" w:hint="default"/>
      </w:rPr>
    </w:lvl>
    <w:lvl w:ilvl="3" w:tplc="0C090001" w:tentative="1">
      <w:start w:val="1"/>
      <w:numFmt w:val="bullet"/>
      <w:lvlText w:val=""/>
      <w:lvlJc w:val="left"/>
      <w:pPr>
        <w:tabs>
          <w:tab w:val="num" w:pos="3239"/>
        </w:tabs>
        <w:ind w:left="3239" w:hanging="360"/>
      </w:pPr>
      <w:rPr>
        <w:rFonts w:ascii="Symbol" w:hAnsi="Symbol" w:hint="default"/>
      </w:rPr>
    </w:lvl>
    <w:lvl w:ilvl="4" w:tplc="0C090003" w:tentative="1">
      <w:start w:val="1"/>
      <w:numFmt w:val="bullet"/>
      <w:lvlText w:val="o"/>
      <w:lvlJc w:val="left"/>
      <w:pPr>
        <w:tabs>
          <w:tab w:val="num" w:pos="3959"/>
        </w:tabs>
        <w:ind w:left="3959" w:hanging="360"/>
      </w:pPr>
      <w:rPr>
        <w:rFonts w:ascii="Courier New" w:hAnsi="Courier New" w:cs="Courier New" w:hint="default"/>
      </w:rPr>
    </w:lvl>
    <w:lvl w:ilvl="5" w:tplc="0C090005" w:tentative="1">
      <w:start w:val="1"/>
      <w:numFmt w:val="bullet"/>
      <w:lvlText w:val=""/>
      <w:lvlJc w:val="left"/>
      <w:pPr>
        <w:tabs>
          <w:tab w:val="num" w:pos="4679"/>
        </w:tabs>
        <w:ind w:left="4679" w:hanging="360"/>
      </w:pPr>
      <w:rPr>
        <w:rFonts w:ascii="Wingdings" w:hAnsi="Wingdings" w:hint="default"/>
      </w:rPr>
    </w:lvl>
    <w:lvl w:ilvl="6" w:tplc="0C090001" w:tentative="1">
      <w:start w:val="1"/>
      <w:numFmt w:val="bullet"/>
      <w:lvlText w:val=""/>
      <w:lvlJc w:val="left"/>
      <w:pPr>
        <w:tabs>
          <w:tab w:val="num" w:pos="5399"/>
        </w:tabs>
        <w:ind w:left="5399" w:hanging="360"/>
      </w:pPr>
      <w:rPr>
        <w:rFonts w:ascii="Symbol" w:hAnsi="Symbol" w:hint="default"/>
      </w:rPr>
    </w:lvl>
    <w:lvl w:ilvl="7" w:tplc="0C090003" w:tentative="1">
      <w:start w:val="1"/>
      <w:numFmt w:val="bullet"/>
      <w:lvlText w:val="o"/>
      <w:lvlJc w:val="left"/>
      <w:pPr>
        <w:tabs>
          <w:tab w:val="num" w:pos="6119"/>
        </w:tabs>
        <w:ind w:left="6119" w:hanging="360"/>
      </w:pPr>
      <w:rPr>
        <w:rFonts w:ascii="Courier New" w:hAnsi="Courier New" w:cs="Courier New" w:hint="default"/>
      </w:rPr>
    </w:lvl>
    <w:lvl w:ilvl="8" w:tplc="0C090005" w:tentative="1">
      <w:start w:val="1"/>
      <w:numFmt w:val="bullet"/>
      <w:lvlText w:val=""/>
      <w:lvlJc w:val="left"/>
      <w:pPr>
        <w:tabs>
          <w:tab w:val="num" w:pos="6839"/>
        </w:tabs>
        <w:ind w:left="6839" w:hanging="360"/>
      </w:pPr>
      <w:rPr>
        <w:rFonts w:ascii="Wingdings" w:hAnsi="Wingdings" w:hint="default"/>
      </w:rPr>
    </w:lvl>
  </w:abstractNum>
  <w:abstractNum w:abstractNumId="13">
    <w:nsid w:val="3BAC7016"/>
    <w:multiLevelType w:val="hybridMultilevel"/>
    <w:tmpl w:val="7DE0928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AE71206"/>
    <w:multiLevelType w:val="hybridMultilevel"/>
    <w:tmpl w:val="4FA84A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B50719C"/>
    <w:multiLevelType w:val="hybridMultilevel"/>
    <w:tmpl w:val="65DAE8A2"/>
    <w:lvl w:ilvl="0" w:tplc="F788AE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BE71BC3"/>
    <w:multiLevelType w:val="hybridMultilevel"/>
    <w:tmpl w:val="C5E21FB2"/>
    <w:lvl w:ilvl="0" w:tplc="304E795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6"/>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28467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A2"/>
    <w:rsid w:val="0000467D"/>
    <w:rsid w:val="00005000"/>
    <w:rsid w:val="000056D4"/>
    <w:rsid w:val="00012531"/>
    <w:rsid w:val="00012CD6"/>
    <w:rsid w:val="00023430"/>
    <w:rsid w:val="000235BB"/>
    <w:rsid w:val="00025454"/>
    <w:rsid w:val="00030943"/>
    <w:rsid w:val="00030977"/>
    <w:rsid w:val="00032144"/>
    <w:rsid w:val="00032567"/>
    <w:rsid w:val="0003347F"/>
    <w:rsid w:val="00033EEE"/>
    <w:rsid w:val="00035E03"/>
    <w:rsid w:val="000424EE"/>
    <w:rsid w:val="0004346A"/>
    <w:rsid w:val="00044910"/>
    <w:rsid w:val="0004541C"/>
    <w:rsid w:val="00051339"/>
    <w:rsid w:val="00052B65"/>
    <w:rsid w:val="000533C6"/>
    <w:rsid w:val="000558DC"/>
    <w:rsid w:val="00055FBE"/>
    <w:rsid w:val="00057D9A"/>
    <w:rsid w:val="00061EA4"/>
    <w:rsid w:val="00065D26"/>
    <w:rsid w:val="000669E5"/>
    <w:rsid w:val="00066B63"/>
    <w:rsid w:val="000671D0"/>
    <w:rsid w:val="00070920"/>
    <w:rsid w:val="0007160A"/>
    <w:rsid w:val="000774E3"/>
    <w:rsid w:val="000813AB"/>
    <w:rsid w:val="000848B7"/>
    <w:rsid w:val="000A668E"/>
    <w:rsid w:val="000A6729"/>
    <w:rsid w:val="000A6D82"/>
    <w:rsid w:val="000B5012"/>
    <w:rsid w:val="000B5B8D"/>
    <w:rsid w:val="000B5E0E"/>
    <w:rsid w:val="000B6974"/>
    <w:rsid w:val="000C20CC"/>
    <w:rsid w:val="000C53DE"/>
    <w:rsid w:val="000C66F8"/>
    <w:rsid w:val="000D2465"/>
    <w:rsid w:val="000D57FF"/>
    <w:rsid w:val="000D59C5"/>
    <w:rsid w:val="000E04A7"/>
    <w:rsid w:val="000E0B8D"/>
    <w:rsid w:val="000E2667"/>
    <w:rsid w:val="000E3B72"/>
    <w:rsid w:val="000E67C7"/>
    <w:rsid w:val="000E7125"/>
    <w:rsid w:val="000E7AA1"/>
    <w:rsid w:val="000F0B9D"/>
    <w:rsid w:val="000F1EF2"/>
    <w:rsid w:val="000F361C"/>
    <w:rsid w:val="000F44E8"/>
    <w:rsid w:val="000F6611"/>
    <w:rsid w:val="001028BC"/>
    <w:rsid w:val="00104C6C"/>
    <w:rsid w:val="00105174"/>
    <w:rsid w:val="001057AB"/>
    <w:rsid w:val="00105A53"/>
    <w:rsid w:val="00106ECE"/>
    <w:rsid w:val="0011095A"/>
    <w:rsid w:val="00111482"/>
    <w:rsid w:val="00115901"/>
    <w:rsid w:val="00115E2D"/>
    <w:rsid w:val="001160B5"/>
    <w:rsid w:val="00117DB5"/>
    <w:rsid w:val="00117EB4"/>
    <w:rsid w:val="00121958"/>
    <w:rsid w:val="00122231"/>
    <w:rsid w:val="00124AC5"/>
    <w:rsid w:val="0013025D"/>
    <w:rsid w:val="0013077B"/>
    <w:rsid w:val="00136C74"/>
    <w:rsid w:val="001402C1"/>
    <w:rsid w:val="00146B99"/>
    <w:rsid w:val="001511A2"/>
    <w:rsid w:val="00151932"/>
    <w:rsid w:val="00157FDC"/>
    <w:rsid w:val="001610F6"/>
    <w:rsid w:val="00166AA4"/>
    <w:rsid w:val="0016711D"/>
    <w:rsid w:val="001770FA"/>
    <w:rsid w:val="00182004"/>
    <w:rsid w:val="001837C8"/>
    <w:rsid w:val="00184742"/>
    <w:rsid w:val="00184EFD"/>
    <w:rsid w:val="00185C5F"/>
    <w:rsid w:val="00187B3A"/>
    <w:rsid w:val="00191F24"/>
    <w:rsid w:val="0019466F"/>
    <w:rsid w:val="001948F3"/>
    <w:rsid w:val="00195135"/>
    <w:rsid w:val="001A0C8D"/>
    <w:rsid w:val="001A67F6"/>
    <w:rsid w:val="001B28D5"/>
    <w:rsid w:val="001B2E59"/>
    <w:rsid w:val="001B49E6"/>
    <w:rsid w:val="001B7B35"/>
    <w:rsid w:val="001B7BB7"/>
    <w:rsid w:val="001C08B6"/>
    <w:rsid w:val="001D0CC8"/>
    <w:rsid w:val="001D5AD2"/>
    <w:rsid w:val="001D70E5"/>
    <w:rsid w:val="001D7FF0"/>
    <w:rsid w:val="001E1D17"/>
    <w:rsid w:val="001E3314"/>
    <w:rsid w:val="001E631B"/>
    <w:rsid w:val="001F0626"/>
    <w:rsid w:val="001F1430"/>
    <w:rsid w:val="001F785F"/>
    <w:rsid w:val="002028E6"/>
    <w:rsid w:val="00203293"/>
    <w:rsid w:val="00205977"/>
    <w:rsid w:val="00211B9C"/>
    <w:rsid w:val="00212BE7"/>
    <w:rsid w:val="00212D98"/>
    <w:rsid w:val="00213098"/>
    <w:rsid w:val="00214486"/>
    <w:rsid w:val="0022018F"/>
    <w:rsid w:val="00220E5D"/>
    <w:rsid w:val="0022116C"/>
    <w:rsid w:val="0022378B"/>
    <w:rsid w:val="00224077"/>
    <w:rsid w:val="0022474E"/>
    <w:rsid w:val="002250A9"/>
    <w:rsid w:val="00227456"/>
    <w:rsid w:val="002317BA"/>
    <w:rsid w:val="00235975"/>
    <w:rsid w:val="00240D05"/>
    <w:rsid w:val="00245C7D"/>
    <w:rsid w:val="002576C9"/>
    <w:rsid w:val="00266F13"/>
    <w:rsid w:val="00271836"/>
    <w:rsid w:val="00272582"/>
    <w:rsid w:val="00272FC5"/>
    <w:rsid w:val="00274A30"/>
    <w:rsid w:val="002759A0"/>
    <w:rsid w:val="0028005E"/>
    <w:rsid w:val="002807A2"/>
    <w:rsid w:val="002863FC"/>
    <w:rsid w:val="00287F6B"/>
    <w:rsid w:val="00293C7F"/>
    <w:rsid w:val="002955A6"/>
    <w:rsid w:val="00295B03"/>
    <w:rsid w:val="002A1811"/>
    <w:rsid w:val="002A5C33"/>
    <w:rsid w:val="002A6BA7"/>
    <w:rsid w:val="002B01CD"/>
    <w:rsid w:val="002B0EBD"/>
    <w:rsid w:val="002B14D9"/>
    <w:rsid w:val="002B4240"/>
    <w:rsid w:val="002B44AE"/>
    <w:rsid w:val="002C4BB7"/>
    <w:rsid w:val="002C7CD0"/>
    <w:rsid w:val="002D157C"/>
    <w:rsid w:val="002D30A1"/>
    <w:rsid w:val="002D5243"/>
    <w:rsid w:val="002D5791"/>
    <w:rsid w:val="002D5FCA"/>
    <w:rsid w:val="002D7202"/>
    <w:rsid w:val="002D7583"/>
    <w:rsid w:val="002E0389"/>
    <w:rsid w:val="002E098A"/>
    <w:rsid w:val="002E204B"/>
    <w:rsid w:val="002E394B"/>
    <w:rsid w:val="002E5544"/>
    <w:rsid w:val="002E59CA"/>
    <w:rsid w:val="002E5AAD"/>
    <w:rsid w:val="002E7583"/>
    <w:rsid w:val="002E7DCE"/>
    <w:rsid w:val="002F32A4"/>
    <w:rsid w:val="002F488A"/>
    <w:rsid w:val="002F50DC"/>
    <w:rsid w:val="002F5470"/>
    <w:rsid w:val="002F585E"/>
    <w:rsid w:val="00303EFB"/>
    <w:rsid w:val="003043DF"/>
    <w:rsid w:val="00306BC7"/>
    <w:rsid w:val="00311F32"/>
    <w:rsid w:val="00314ACF"/>
    <w:rsid w:val="00315612"/>
    <w:rsid w:val="00315D45"/>
    <w:rsid w:val="003174AB"/>
    <w:rsid w:val="0032332A"/>
    <w:rsid w:val="0032359C"/>
    <w:rsid w:val="00325063"/>
    <w:rsid w:val="00327021"/>
    <w:rsid w:val="00327530"/>
    <w:rsid w:val="003276A2"/>
    <w:rsid w:val="00330E91"/>
    <w:rsid w:val="00333212"/>
    <w:rsid w:val="0033388D"/>
    <w:rsid w:val="00343553"/>
    <w:rsid w:val="00344C30"/>
    <w:rsid w:val="00347002"/>
    <w:rsid w:val="00354504"/>
    <w:rsid w:val="003567A5"/>
    <w:rsid w:val="00356DB5"/>
    <w:rsid w:val="00364771"/>
    <w:rsid w:val="00367A83"/>
    <w:rsid w:val="00373409"/>
    <w:rsid w:val="00375727"/>
    <w:rsid w:val="003769D8"/>
    <w:rsid w:val="00377467"/>
    <w:rsid w:val="0038143D"/>
    <w:rsid w:val="003822D5"/>
    <w:rsid w:val="00387700"/>
    <w:rsid w:val="00395E7D"/>
    <w:rsid w:val="003A05D3"/>
    <w:rsid w:val="003A208C"/>
    <w:rsid w:val="003A7FD8"/>
    <w:rsid w:val="003B2828"/>
    <w:rsid w:val="003B2AF6"/>
    <w:rsid w:val="003B3FD4"/>
    <w:rsid w:val="003B548B"/>
    <w:rsid w:val="003C13C6"/>
    <w:rsid w:val="003C1960"/>
    <w:rsid w:val="003C1A0A"/>
    <w:rsid w:val="003C1F86"/>
    <w:rsid w:val="003C4CF9"/>
    <w:rsid w:val="003D02A0"/>
    <w:rsid w:val="003D152D"/>
    <w:rsid w:val="003D18B9"/>
    <w:rsid w:val="003D41F9"/>
    <w:rsid w:val="003D7100"/>
    <w:rsid w:val="003D7354"/>
    <w:rsid w:val="003E3A88"/>
    <w:rsid w:val="003E6088"/>
    <w:rsid w:val="003E6242"/>
    <w:rsid w:val="003F311D"/>
    <w:rsid w:val="003F574B"/>
    <w:rsid w:val="003F58B9"/>
    <w:rsid w:val="003F62C3"/>
    <w:rsid w:val="003F6F68"/>
    <w:rsid w:val="0040200C"/>
    <w:rsid w:val="00403C80"/>
    <w:rsid w:val="00404D3A"/>
    <w:rsid w:val="0041541A"/>
    <w:rsid w:val="00417AD7"/>
    <w:rsid w:val="00421711"/>
    <w:rsid w:val="0042379F"/>
    <w:rsid w:val="004238D3"/>
    <w:rsid w:val="004238E5"/>
    <w:rsid w:val="00424BF0"/>
    <w:rsid w:val="004262F8"/>
    <w:rsid w:val="004265C8"/>
    <w:rsid w:val="004271E8"/>
    <w:rsid w:val="004318A2"/>
    <w:rsid w:val="00434F79"/>
    <w:rsid w:val="00440CC0"/>
    <w:rsid w:val="00440FD6"/>
    <w:rsid w:val="004411E6"/>
    <w:rsid w:val="00441C20"/>
    <w:rsid w:val="00444EDD"/>
    <w:rsid w:val="00445ABB"/>
    <w:rsid w:val="00446207"/>
    <w:rsid w:val="00446272"/>
    <w:rsid w:val="004474E7"/>
    <w:rsid w:val="004515F2"/>
    <w:rsid w:val="00452382"/>
    <w:rsid w:val="00454C4E"/>
    <w:rsid w:val="00455142"/>
    <w:rsid w:val="00455C5C"/>
    <w:rsid w:val="00456C81"/>
    <w:rsid w:val="00457EB9"/>
    <w:rsid w:val="004602C5"/>
    <w:rsid w:val="00460D43"/>
    <w:rsid w:val="004673C4"/>
    <w:rsid w:val="0047362D"/>
    <w:rsid w:val="00473BC2"/>
    <w:rsid w:val="00475255"/>
    <w:rsid w:val="00477B5E"/>
    <w:rsid w:val="00477D52"/>
    <w:rsid w:val="0048040D"/>
    <w:rsid w:val="004829AA"/>
    <w:rsid w:val="00483A12"/>
    <w:rsid w:val="00487D35"/>
    <w:rsid w:val="00492089"/>
    <w:rsid w:val="004924D7"/>
    <w:rsid w:val="004978B0"/>
    <w:rsid w:val="004A0D76"/>
    <w:rsid w:val="004A334F"/>
    <w:rsid w:val="004B032A"/>
    <w:rsid w:val="004B08CD"/>
    <w:rsid w:val="004C18DE"/>
    <w:rsid w:val="004C2495"/>
    <w:rsid w:val="004C5C33"/>
    <w:rsid w:val="004C68D0"/>
    <w:rsid w:val="004D46C7"/>
    <w:rsid w:val="004D6C0D"/>
    <w:rsid w:val="004E3C72"/>
    <w:rsid w:val="004E5619"/>
    <w:rsid w:val="004E6F8B"/>
    <w:rsid w:val="004F00B3"/>
    <w:rsid w:val="004F0117"/>
    <w:rsid w:val="004F263A"/>
    <w:rsid w:val="004F2BDE"/>
    <w:rsid w:val="004F3B30"/>
    <w:rsid w:val="004F3FFA"/>
    <w:rsid w:val="004F7D6D"/>
    <w:rsid w:val="0050043B"/>
    <w:rsid w:val="00504E78"/>
    <w:rsid w:val="00515BDA"/>
    <w:rsid w:val="00516083"/>
    <w:rsid w:val="00516087"/>
    <w:rsid w:val="00520446"/>
    <w:rsid w:val="0052293F"/>
    <w:rsid w:val="00524622"/>
    <w:rsid w:val="00525E15"/>
    <w:rsid w:val="005260F3"/>
    <w:rsid w:val="005267F7"/>
    <w:rsid w:val="0052686F"/>
    <w:rsid w:val="005271FA"/>
    <w:rsid w:val="005311E0"/>
    <w:rsid w:val="00533507"/>
    <w:rsid w:val="00533F56"/>
    <w:rsid w:val="0053474C"/>
    <w:rsid w:val="005353BA"/>
    <w:rsid w:val="00541282"/>
    <w:rsid w:val="0054150C"/>
    <w:rsid w:val="005417FC"/>
    <w:rsid w:val="00542C09"/>
    <w:rsid w:val="005449AE"/>
    <w:rsid w:val="00545DF1"/>
    <w:rsid w:val="00546211"/>
    <w:rsid w:val="00547ACA"/>
    <w:rsid w:val="00547FF0"/>
    <w:rsid w:val="005534C5"/>
    <w:rsid w:val="00561FE4"/>
    <w:rsid w:val="005658D7"/>
    <w:rsid w:val="00565ED4"/>
    <w:rsid w:val="00566A8C"/>
    <w:rsid w:val="00571438"/>
    <w:rsid w:val="00575843"/>
    <w:rsid w:val="00577407"/>
    <w:rsid w:val="00581452"/>
    <w:rsid w:val="00581B08"/>
    <w:rsid w:val="005825EE"/>
    <w:rsid w:val="00582D0C"/>
    <w:rsid w:val="005838D0"/>
    <w:rsid w:val="00591134"/>
    <w:rsid w:val="00591635"/>
    <w:rsid w:val="00593DB0"/>
    <w:rsid w:val="00593E38"/>
    <w:rsid w:val="0059444F"/>
    <w:rsid w:val="00596724"/>
    <w:rsid w:val="0059755F"/>
    <w:rsid w:val="005A349F"/>
    <w:rsid w:val="005A4EFC"/>
    <w:rsid w:val="005A4F39"/>
    <w:rsid w:val="005A5BEE"/>
    <w:rsid w:val="005A6A4D"/>
    <w:rsid w:val="005A6CBD"/>
    <w:rsid w:val="005B0705"/>
    <w:rsid w:val="005B4457"/>
    <w:rsid w:val="005B4E5E"/>
    <w:rsid w:val="005B4E6C"/>
    <w:rsid w:val="005C34A1"/>
    <w:rsid w:val="005C4594"/>
    <w:rsid w:val="005D1053"/>
    <w:rsid w:val="005D5551"/>
    <w:rsid w:val="005D5806"/>
    <w:rsid w:val="005D7C4A"/>
    <w:rsid w:val="005E25A3"/>
    <w:rsid w:val="005E49AC"/>
    <w:rsid w:val="005E59C1"/>
    <w:rsid w:val="005F1678"/>
    <w:rsid w:val="005F5784"/>
    <w:rsid w:val="005F7683"/>
    <w:rsid w:val="0060171E"/>
    <w:rsid w:val="00602C72"/>
    <w:rsid w:val="006065D1"/>
    <w:rsid w:val="0061147F"/>
    <w:rsid w:val="00616A19"/>
    <w:rsid w:val="00622196"/>
    <w:rsid w:val="00624101"/>
    <w:rsid w:val="0062519D"/>
    <w:rsid w:val="006254EF"/>
    <w:rsid w:val="00631BB2"/>
    <w:rsid w:val="00633459"/>
    <w:rsid w:val="00633E97"/>
    <w:rsid w:val="00634222"/>
    <w:rsid w:val="006401B6"/>
    <w:rsid w:val="00641385"/>
    <w:rsid w:val="006422DE"/>
    <w:rsid w:val="006505C8"/>
    <w:rsid w:val="006557C5"/>
    <w:rsid w:val="006575ED"/>
    <w:rsid w:val="00660F7A"/>
    <w:rsid w:val="00663163"/>
    <w:rsid w:val="0066417B"/>
    <w:rsid w:val="006651BC"/>
    <w:rsid w:val="00665BAF"/>
    <w:rsid w:val="00667C5B"/>
    <w:rsid w:val="00670285"/>
    <w:rsid w:val="00671773"/>
    <w:rsid w:val="00680167"/>
    <w:rsid w:val="00683ECF"/>
    <w:rsid w:val="00684570"/>
    <w:rsid w:val="00685230"/>
    <w:rsid w:val="00690C14"/>
    <w:rsid w:val="00690C63"/>
    <w:rsid w:val="00692A22"/>
    <w:rsid w:val="00694E2B"/>
    <w:rsid w:val="00697FA6"/>
    <w:rsid w:val="006A03D7"/>
    <w:rsid w:val="006B0074"/>
    <w:rsid w:val="006B0693"/>
    <w:rsid w:val="006B1714"/>
    <w:rsid w:val="006B1AAD"/>
    <w:rsid w:val="006B2721"/>
    <w:rsid w:val="006B796A"/>
    <w:rsid w:val="006C5454"/>
    <w:rsid w:val="006C687C"/>
    <w:rsid w:val="006C7EFD"/>
    <w:rsid w:val="006D0101"/>
    <w:rsid w:val="006D1F88"/>
    <w:rsid w:val="006D608B"/>
    <w:rsid w:val="006D7198"/>
    <w:rsid w:val="006E24B0"/>
    <w:rsid w:val="006E32EA"/>
    <w:rsid w:val="006E35B1"/>
    <w:rsid w:val="006E40C8"/>
    <w:rsid w:val="006E4409"/>
    <w:rsid w:val="006E491C"/>
    <w:rsid w:val="006E7E67"/>
    <w:rsid w:val="006F463A"/>
    <w:rsid w:val="006F742E"/>
    <w:rsid w:val="0070064E"/>
    <w:rsid w:val="00704B20"/>
    <w:rsid w:val="00704E67"/>
    <w:rsid w:val="00704E90"/>
    <w:rsid w:val="00705A9E"/>
    <w:rsid w:val="007125AC"/>
    <w:rsid w:val="00713F10"/>
    <w:rsid w:val="00714BB1"/>
    <w:rsid w:val="007159EA"/>
    <w:rsid w:val="007170D5"/>
    <w:rsid w:val="00721068"/>
    <w:rsid w:val="00721E9C"/>
    <w:rsid w:val="00722D97"/>
    <w:rsid w:val="00723CF1"/>
    <w:rsid w:val="00725BFF"/>
    <w:rsid w:val="00727AFD"/>
    <w:rsid w:val="00731B84"/>
    <w:rsid w:val="00732330"/>
    <w:rsid w:val="00732D9F"/>
    <w:rsid w:val="00733C33"/>
    <w:rsid w:val="00734C8D"/>
    <w:rsid w:val="0073780B"/>
    <w:rsid w:val="0074075C"/>
    <w:rsid w:val="007416B8"/>
    <w:rsid w:val="007424AC"/>
    <w:rsid w:val="00744F97"/>
    <w:rsid w:val="0074608D"/>
    <w:rsid w:val="0074701D"/>
    <w:rsid w:val="00750BEF"/>
    <w:rsid w:val="00750F70"/>
    <w:rsid w:val="00752DCF"/>
    <w:rsid w:val="0075556F"/>
    <w:rsid w:val="007575A5"/>
    <w:rsid w:val="00762205"/>
    <w:rsid w:val="007627A5"/>
    <w:rsid w:val="007629A3"/>
    <w:rsid w:val="00763960"/>
    <w:rsid w:val="0076728C"/>
    <w:rsid w:val="00767F83"/>
    <w:rsid w:val="00770638"/>
    <w:rsid w:val="00771171"/>
    <w:rsid w:val="00771276"/>
    <w:rsid w:val="00771706"/>
    <w:rsid w:val="00773968"/>
    <w:rsid w:val="00773A63"/>
    <w:rsid w:val="00776744"/>
    <w:rsid w:val="007773F9"/>
    <w:rsid w:val="007846CE"/>
    <w:rsid w:val="00790C08"/>
    <w:rsid w:val="007930F0"/>
    <w:rsid w:val="0079719C"/>
    <w:rsid w:val="007A1565"/>
    <w:rsid w:val="007A19A2"/>
    <w:rsid w:val="007A4560"/>
    <w:rsid w:val="007A4B3F"/>
    <w:rsid w:val="007A5637"/>
    <w:rsid w:val="007B66CB"/>
    <w:rsid w:val="007C43B3"/>
    <w:rsid w:val="007C7E81"/>
    <w:rsid w:val="007D113F"/>
    <w:rsid w:val="007D291E"/>
    <w:rsid w:val="007D4449"/>
    <w:rsid w:val="007D72E1"/>
    <w:rsid w:val="007E29B3"/>
    <w:rsid w:val="007E2A32"/>
    <w:rsid w:val="007E6E40"/>
    <w:rsid w:val="007F1288"/>
    <w:rsid w:val="007F1A9A"/>
    <w:rsid w:val="007F4D5E"/>
    <w:rsid w:val="007F6A60"/>
    <w:rsid w:val="007F7A1F"/>
    <w:rsid w:val="008005A1"/>
    <w:rsid w:val="008025CE"/>
    <w:rsid w:val="00802CC6"/>
    <w:rsid w:val="008033B8"/>
    <w:rsid w:val="00803E51"/>
    <w:rsid w:val="00803F7F"/>
    <w:rsid w:val="00804BA4"/>
    <w:rsid w:val="00805C2C"/>
    <w:rsid w:val="00810CEF"/>
    <w:rsid w:val="00810EF1"/>
    <w:rsid w:val="00812ADC"/>
    <w:rsid w:val="008152B2"/>
    <w:rsid w:val="00815833"/>
    <w:rsid w:val="00816B02"/>
    <w:rsid w:val="00820D3E"/>
    <w:rsid w:val="00822942"/>
    <w:rsid w:val="0082327B"/>
    <w:rsid w:val="00823E88"/>
    <w:rsid w:val="00826EED"/>
    <w:rsid w:val="00833888"/>
    <w:rsid w:val="00833CCD"/>
    <w:rsid w:val="00834079"/>
    <w:rsid w:val="00834551"/>
    <w:rsid w:val="0083585C"/>
    <w:rsid w:val="00842904"/>
    <w:rsid w:val="00842AC4"/>
    <w:rsid w:val="00845D89"/>
    <w:rsid w:val="00846015"/>
    <w:rsid w:val="00847CCD"/>
    <w:rsid w:val="00847CF7"/>
    <w:rsid w:val="00852195"/>
    <w:rsid w:val="00856342"/>
    <w:rsid w:val="0085636A"/>
    <w:rsid w:val="00856ED2"/>
    <w:rsid w:val="00857DBB"/>
    <w:rsid w:val="00862DD5"/>
    <w:rsid w:val="00864B7C"/>
    <w:rsid w:val="00865D5D"/>
    <w:rsid w:val="00866F36"/>
    <w:rsid w:val="008673A7"/>
    <w:rsid w:val="00876020"/>
    <w:rsid w:val="008765FF"/>
    <w:rsid w:val="00876915"/>
    <w:rsid w:val="00877F1B"/>
    <w:rsid w:val="00885F31"/>
    <w:rsid w:val="008865D0"/>
    <w:rsid w:val="00886EF0"/>
    <w:rsid w:val="00890D00"/>
    <w:rsid w:val="00892791"/>
    <w:rsid w:val="00895532"/>
    <w:rsid w:val="00895626"/>
    <w:rsid w:val="00896030"/>
    <w:rsid w:val="008A195F"/>
    <w:rsid w:val="008A2B13"/>
    <w:rsid w:val="008A356A"/>
    <w:rsid w:val="008B0A1F"/>
    <w:rsid w:val="008B2A2C"/>
    <w:rsid w:val="008B316E"/>
    <w:rsid w:val="008B6E80"/>
    <w:rsid w:val="008C46F9"/>
    <w:rsid w:val="008C4C0A"/>
    <w:rsid w:val="008C50B1"/>
    <w:rsid w:val="008C6735"/>
    <w:rsid w:val="008D5025"/>
    <w:rsid w:val="008D5E52"/>
    <w:rsid w:val="008D6DD7"/>
    <w:rsid w:val="008D78FC"/>
    <w:rsid w:val="008D79E7"/>
    <w:rsid w:val="008E33F2"/>
    <w:rsid w:val="008E3963"/>
    <w:rsid w:val="008E3E9A"/>
    <w:rsid w:val="008F0377"/>
    <w:rsid w:val="008F06CE"/>
    <w:rsid w:val="008F5082"/>
    <w:rsid w:val="008F5D06"/>
    <w:rsid w:val="0090106D"/>
    <w:rsid w:val="00905A17"/>
    <w:rsid w:val="009079B4"/>
    <w:rsid w:val="009103B4"/>
    <w:rsid w:val="0091146E"/>
    <w:rsid w:val="00911E6A"/>
    <w:rsid w:val="009209F4"/>
    <w:rsid w:val="00922790"/>
    <w:rsid w:val="00927992"/>
    <w:rsid w:val="00930BE4"/>
    <w:rsid w:val="00930EAA"/>
    <w:rsid w:val="009322B8"/>
    <w:rsid w:val="00933655"/>
    <w:rsid w:val="00933CD3"/>
    <w:rsid w:val="0093754E"/>
    <w:rsid w:val="009405F6"/>
    <w:rsid w:val="00943691"/>
    <w:rsid w:val="00943836"/>
    <w:rsid w:val="00943F92"/>
    <w:rsid w:val="009449B2"/>
    <w:rsid w:val="00944C01"/>
    <w:rsid w:val="009469D4"/>
    <w:rsid w:val="009477F1"/>
    <w:rsid w:val="00947AF8"/>
    <w:rsid w:val="009500B0"/>
    <w:rsid w:val="00951039"/>
    <w:rsid w:val="00951977"/>
    <w:rsid w:val="009528B9"/>
    <w:rsid w:val="009548F1"/>
    <w:rsid w:val="00955098"/>
    <w:rsid w:val="00956441"/>
    <w:rsid w:val="00957788"/>
    <w:rsid w:val="0096044B"/>
    <w:rsid w:val="00965E1B"/>
    <w:rsid w:val="00966462"/>
    <w:rsid w:val="0096763A"/>
    <w:rsid w:val="00967662"/>
    <w:rsid w:val="009705CC"/>
    <w:rsid w:val="009714FF"/>
    <w:rsid w:val="0097499B"/>
    <w:rsid w:val="00976985"/>
    <w:rsid w:val="009810EF"/>
    <w:rsid w:val="00981354"/>
    <w:rsid w:val="00981B17"/>
    <w:rsid w:val="009915FB"/>
    <w:rsid w:val="00992C52"/>
    <w:rsid w:val="00994E84"/>
    <w:rsid w:val="00995264"/>
    <w:rsid w:val="00997502"/>
    <w:rsid w:val="009A16E6"/>
    <w:rsid w:val="009A20FC"/>
    <w:rsid w:val="009A24DA"/>
    <w:rsid w:val="009A33E9"/>
    <w:rsid w:val="009A399F"/>
    <w:rsid w:val="009A43D4"/>
    <w:rsid w:val="009A5B08"/>
    <w:rsid w:val="009C204F"/>
    <w:rsid w:val="009C3B67"/>
    <w:rsid w:val="009D15E5"/>
    <w:rsid w:val="009D179C"/>
    <w:rsid w:val="009D37FD"/>
    <w:rsid w:val="009D5AE8"/>
    <w:rsid w:val="009D75CA"/>
    <w:rsid w:val="009D79C6"/>
    <w:rsid w:val="009E0088"/>
    <w:rsid w:val="009E0C05"/>
    <w:rsid w:val="009E28B7"/>
    <w:rsid w:val="009E629F"/>
    <w:rsid w:val="009F4BE3"/>
    <w:rsid w:val="009F5059"/>
    <w:rsid w:val="009F51E1"/>
    <w:rsid w:val="009F5540"/>
    <w:rsid w:val="009F65BC"/>
    <w:rsid w:val="00A05974"/>
    <w:rsid w:val="00A11488"/>
    <w:rsid w:val="00A12436"/>
    <w:rsid w:val="00A15122"/>
    <w:rsid w:val="00A15593"/>
    <w:rsid w:val="00A23739"/>
    <w:rsid w:val="00A24907"/>
    <w:rsid w:val="00A25BE7"/>
    <w:rsid w:val="00A2698A"/>
    <w:rsid w:val="00A30234"/>
    <w:rsid w:val="00A4063E"/>
    <w:rsid w:val="00A429B3"/>
    <w:rsid w:val="00A449CE"/>
    <w:rsid w:val="00A53849"/>
    <w:rsid w:val="00A55D1B"/>
    <w:rsid w:val="00A56130"/>
    <w:rsid w:val="00A571AF"/>
    <w:rsid w:val="00A60E44"/>
    <w:rsid w:val="00A653FF"/>
    <w:rsid w:val="00A70D3D"/>
    <w:rsid w:val="00A71F75"/>
    <w:rsid w:val="00A746E4"/>
    <w:rsid w:val="00A764EE"/>
    <w:rsid w:val="00A813B0"/>
    <w:rsid w:val="00A82648"/>
    <w:rsid w:val="00A848B3"/>
    <w:rsid w:val="00A8542D"/>
    <w:rsid w:val="00A85B57"/>
    <w:rsid w:val="00A87FD8"/>
    <w:rsid w:val="00A9463E"/>
    <w:rsid w:val="00A94770"/>
    <w:rsid w:val="00A95E29"/>
    <w:rsid w:val="00AA308D"/>
    <w:rsid w:val="00AA3B34"/>
    <w:rsid w:val="00AA3E4D"/>
    <w:rsid w:val="00AA44F0"/>
    <w:rsid w:val="00AA68B0"/>
    <w:rsid w:val="00AA7613"/>
    <w:rsid w:val="00AB1D63"/>
    <w:rsid w:val="00AB2F14"/>
    <w:rsid w:val="00AC1394"/>
    <w:rsid w:val="00AC1E63"/>
    <w:rsid w:val="00AC479F"/>
    <w:rsid w:val="00AC5422"/>
    <w:rsid w:val="00AC725B"/>
    <w:rsid w:val="00AC74B4"/>
    <w:rsid w:val="00AC767A"/>
    <w:rsid w:val="00AD27F6"/>
    <w:rsid w:val="00AD4ACD"/>
    <w:rsid w:val="00AE05C8"/>
    <w:rsid w:val="00AF074F"/>
    <w:rsid w:val="00AF1D21"/>
    <w:rsid w:val="00B0199F"/>
    <w:rsid w:val="00B02D21"/>
    <w:rsid w:val="00B03868"/>
    <w:rsid w:val="00B03887"/>
    <w:rsid w:val="00B045D7"/>
    <w:rsid w:val="00B106C8"/>
    <w:rsid w:val="00B1261A"/>
    <w:rsid w:val="00B1468A"/>
    <w:rsid w:val="00B168A5"/>
    <w:rsid w:val="00B208DE"/>
    <w:rsid w:val="00B22267"/>
    <w:rsid w:val="00B25633"/>
    <w:rsid w:val="00B257D5"/>
    <w:rsid w:val="00B2741E"/>
    <w:rsid w:val="00B31AEF"/>
    <w:rsid w:val="00B320BC"/>
    <w:rsid w:val="00B32455"/>
    <w:rsid w:val="00B333E5"/>
    <w:rsid w:val="00B3598A"/>
    <w:rsid w:val="00B35BFD"/>
    <w:rsid w:val="00B41D34"/>
    <w:rsid w:val="00B439F9"/>
    <w:rsid w:val="00B44FB8"/>
    <w:rsid w:val="00B461A6"/>
    <w:rsid w:val="00B51066"/>
    <w:rsid w:val="00B55A8B"/>
    <w:rsid w:val="00B567D1"/>
    <w:rsid w:val="00B621B5"/>
    <w:rsid w:val="00B62381"/>
    <w:rsid w:val="00B62C48"/>
    <w:rsid w:val="00B63C76"/>
    <w:rsid w:val="00B641CF"/>
    <w:rsid w:val="00B6516B"/>
    <w:rsid w:val="00B67F05"/>
    <w:rsid w:val="00B700B8"/>
    <w:rsid w:val="00B7443E"/>
    <w:rsid w:val="00B75CA0"/>
    <w:rsid w:val="00B75D6E"/>
    <w:rsid w:val="00B77096"/>
    <w:rsid w:val="00B80E56"/>
    <w:rsid w:val="00B8253C"/>
    <w:rsid w:val="00B941D8"/>
    <w:rsid w:val="00B96168"/>
    <w:rsid w:val="00BA104C"/>
    <w:rsid w:val="00BA2A5F"/>
    <w:rsid w:val="00BA33A4"/>
    <w:rsid w:val="00BA77B4"/>
    <w:rsid w:val="00BB4BF7"/>
    <w:rsid w:val="00BB50CA"/>
    <w:rsid w:val="00BB57BB"/>
    <w:rsid w:val="00BB637B"/>
    <w:rsid w:val="00BC03A5"/>
    <w:rsid w:val="00BC192E"/>
    <w:rsid w:val="00BC1C13"/>
    <w:rsid w:val="00BC44FC"/>
    <w:rsid w:val="00BC4518"/>
    <w:rsid w:val="00BC456C"/>
    <w:rsid w:val="00BC5348"/>
    <w:rsid w:val="00BC575C"/>
    <w:rsid w:val="00BC74C2"/>
    <w:rsid w:val="00BD1426"/>
    <w:rsid w:val="00BD167D"/>
    <w:rsid w:val="00BD2578"/>
    <w:rsid w:val="00BD3305"/>
    <w:rsid w:val="00BD742A"/>
    <w:rsid w:val="00BD7733"/>
    <w:rsid w:val="00BE675E"/>
    <w:rsid w:val="00BF0832"/>
    <w:rsid w:val="00BF21CB"/>
    <w:rsid w:val="00BF5A67"/>
    <w:rsid w:val="00BF5A9D"/>
    <w:rsid w:val="00BF6B73"/>
    <w:rsid w:val="00C05550"/>
    <w:rsid w:val="00C1101E"/>
    <w:rsid w:val="00C15A02"/>
    <w:rsid w:val="00C15A56"/>
    <w:rsid w:val="00C15C74"/>
    <w:rsid w:val="00C16573"/>
    <w:rsid w:val="00C16845"/>
    <w:rsid w:val="00C20519"/>
    <w:rsid w:val="00C25714"/>
    <w:rsid w:val="00C27299"/>
    <w:rsid w:val="00C33435"/>
    <w:rsid w:val="00C33A66"/>
    <w:rsid w:val="00C35457"/>
    <w:rsid w:val="00C370A0"/>
    <w:rsid w:val="00C37841"/>
    <w:rsid w:val="00C4008C"/>
    <w:rsid w:val="00C412EA"/>
    <w:rsid w:val="00C41B89"/>
    <w:rsid w:val="00C45997"/>
    <w:rsid w:val="00C467A6"/>
    <w:rsid w:val="00C47C84"/>
    <w:rsid w:val="00C5340D"/>
    <w:rsid w:val="00C60083"/>
    <w:rsid w:val="00C6305E"/>
    <w:rsid w:val="00C64675"/>
    <w:rsid w:val="00C73BA8"/>
    <w:rsid w:val="00C842CA"/>
    <w:rsid w:val="00C9341D"/>
    <w:rsid w:val="00C96357"/>
    <w:rsid w:val="00CB133D"/>
    <w:rsid w:val="00CB7AF5"/>
    <w:rsid w:val="00CC0ABA"/>
    <w:rsid w:val="00CC1637"/>
    <w:rsid w:val="00CC2E50"/>
    <w:rsid w:val="00CC3C99"/>
    <w:rsid w:val="00CC6A47"/>
    <w:rsid w:val="00CD0FC3"/>
    <w:rsid w:val="00CD4BD8"/>
    <w:rsid w:val="00CD518D"/>
    <w:rsid w:val="00CD693B"/>
    <w:rsid w:val="00CD6EEC"/>
    <w:rsid w:val="00CD76C3"/>
    <w:rsid w:val="00CE3AE3"/>
    <w:rsid w:val="00CE4EF4"/>
    <w:rsid w:val="00CF16C8"/>
    <w:rsid w:val="00CF4C53"/>
    <w:rsid w:val="00D04082"/>
    <w:rsid w:val="00D042C4"/>
    <w:rsid w:val="00D07DEE"/>
    <w:rsid w:val="00D126A0"/>
    <w:rsid w:val="00D12F5E"/>
    <w:rsid w:val="00D17319"/>
    <w:rsid w:val="00D207E4"/>
    <w:rsid w:val="00D20CA1"/>
    <w:rsid w:val="00D23349"/>
    <w:rsid w:val="00D24AF3"/>
    <w:rsid w:val="00D24D59"/>
    <w:rsid w:val="00D267DA"/>
    <w:rsid w:val="00D30A41"/>
    <w:rsid w:val="00D30CD2"/>
    <w:rsid w:val="00D3588A"/>
    <w:rsid w:val="00D37EA2"/>
    <w:rsid w:val="00D4084A"/>
    <w:rsid w:val="00D413E4"/>
    <w:rsid w:val="00D42135"/>
    <w:rsid w:val="00D44F31"/>
    <w:rsid w:val="00D47540"/>
    <w:rsid w:val="00D560A2"/>
    <w:rsid w:val="00D566C4"/>
    <w:rsid w:val="00D57206"/>
    <w:rsid w:val="00D607EC"/>
    <w:rsid w:val="00D61264"/>
    <w:rsid w:val="00D63EE3"/>
    <w:rsid w:val="00D65C72"/>
    <w:rsid w:val="00D76182"/>
    <w:rsid w:val="00D76C37"/>
    <w:rsid w:val="00D80491"/>
    <w:rsid w:val="00D80537"/>
    <w:rsid w:val="00D80C15"/>
    <w:rsid w:val="00D852ED"/>
    <w:rsid w:val="00D90A85"/>
    <w:rsid w:val="00D91210"/>
    <w:rsid w:val="00D91A61"/>
    <w:rsid w:val="00D94A5F"/>
    <w:rsid w:val="00DA19E6"/>
    <w:rsid w:val="00DA1F95"/>
    <w:rsid w:val="00DA269A"/>
    <w:rsid w:val="00DA2981"/>
    <w:rsid w:val="00DA544E"/>
    <w:rsid w:val="00DA5464"/>
    <w:rsid w:val="00DA5A02"/>
    <w:rsid w:val="00DA7220"/>
    <w:rsid w:val="00DA7926"/>
    <w:rsid w:val="00DB2217"/>
    <w:rsid w:val="00DB4F02"/>
    <w:rsid w:val="00DB5969"/>
    <w:rsid w:val="00DB7E3A"/>
    <w:rsid w:val="00DC0830"/>
    <w:rsid w:val="00DC2B13"/>
    <w:rsid w:val="00DC44E2"/>
    <w:rsid w:val="00DC4972"/>
    <w:rsid w:val="00DD0CEC"/>
    <w:rsid w:val="00DD42C6"/>
    <w:rsid w:val="00DE3175"/>
    <w:rsid w:val="00DE3806"/>
    <w:rsid w:val="00DE64C5"/>
    <w:rsid w:val="00DE75EC"/>
    <w:rsid w:val="00DF3643"/>
    <w:rsid w:val="00DF4DBD"/>
    <w:rsid w:val="00DF5EB1"/>
    <w:rsid w:val="00E044BF"/>
    <w:rsid w:val="00E108C0"/>
    <w:rsid w:val="00E13CB4"/>
    <w:rsid w:val="00E140F9"/>
    <w:rsid w:val="00E22329"/>
    <w:rsid w:val="00E2363C"/>
    <w:rsid w:val="00E23C8A"/>
    <w:rsid w:val="00E24B4B"/>
    <w:rsid w:val="00E319B8"/>
    <w:rsid w:val="00E32310"/>
    <w:rsid w:val="00E360C3"/>
    <w:rsid w:val="00E36C4A"/>
    <w:rsid w:val="00E44F36"/>
    <w:rsid w:val="00E452E6"/>
    <w:rsid w:val="00E46A55"/>
    <w:rsid w:val="00E53AC9"/>
    <w:rsid w:val="00E54C49"/>
    <w:rsid w:val="00E605A2"/>
    <w:rsid w:val="00E609C6"/>
    <w:rsid w:val="00E61265"/>
    <w:rsid w:val="00E650CF"/>
    <w:rsid w:val="00E651F9"/>
    <w:rsid w:val="00E66BB5"/>
    <w:rsid w:val="00E679D9"/>
    <w:rsid w:val="00E823B7"/>
    <w:rsid w:val="00E82529"/>
    <w:rsid w:val="00E85DF5"/>
    <w:rsid w:val="00E85FC5"/>
    <w:rsid w:val="00E91C4A"/>
    <w:rsid w:val="00EA092D"/>
    <w:rsid w:val="00EA0BA4"/>
    <w:rsid w:val="00EA1EFC"/>
    <w:rsid w:val="00EA31A7"/>
    <w:rsid w:val="00EA5AB9"/>
    <w:rsid w:val="00EA5CE6"/>
    <w:rsid w:val="00EA7C1D"/>
    <w:rsid w:val="00EB03AC"/>
    <w:rsid w:val="00EB1656"/>
    <w:rsid w:val="00EB2A3C"/>
    <w:rsid w:val="00EB3C95"/>
    <w:rsid w:val="00EB4C9F"/>
    <w:rsid w:val="00EB63F6"/>
    <w:rsid w:val="00EB704C"/>
    <w:rsid w:val="00EB77F5"/>
    <w:rsid w:val="00EC44DF"/>
    <w:rsid w:val="00EC519A"/>
    <w:rsid w:val="00EC6854"/>
    <w:rsid w:val="00EC6EA3"/>
    <w:rsid w:val="00ED2C8B"/>
    <w:rsid w:val="00ED48E4"/>
    <w:rsid w:val="00ED4B16"/>
    <w:rsid w:val="00ED6009"/>
    <w:rsid w:val="00ED7020"/>
    <w:rsid w:val="00EE5A8E"/>
    <w:rsid w:val="00EF1B08"/>
    <w:rsid w:val="00EF28E5"/>
    <w:rsid w:val="00EF44BF"/>
    <w:rsid w:val="00EF4DC1"/>
    <w:rsid w:val="00EF76B6"/>
    <w:rsid w:val="00F01C3B"/>
    <w:rsid w:val="00F045F5"/>
    <w:rsid w:val="00F05274"/>
    <w:rsid w:val="00F05920"/>
    <w:rsid w:val="00F05D85"/>
    <w:rsid w:val="00F078A4"/>
    <w:rsid w:val="00F10003"/>
    <w:rsid w:val="00F11609"/>
    <w:rsid w:val="00F116F6"/>
    <w:rsid w:val="00F11FAF"/>
    <w:rsid w:val="00F12EE5"/>
    <w:rsid w:val="00F15E68"/>
    <w:rsid w:val="00F16E7F"/>
    <w:rsid w:val="00F17C3F"/>
    <w:rsid w:val="00F20285"/>
    <w:rsid w:val="00F20A5F"/>
    <w:rsid w:val="00F22064"/>
    <w:rsid w:val="00F2415C"/>
    <w:rsid w:val="00F25FDE"/>
    <w:rsid w:val="00F303A1"/>
    <w:rsid w:val="00F30555"/>
    <w:rsid w:val="00F334A3"/>
    <w:rsid w:val="00F40E2A"/>
    <w:rsid w:val="00F424B7"/>
    <w:rsid w:val="00F43385"/>
    <w:rsid w:val="00F55EC8"/>
    <w:rsid w:val="00F56F7E"/>
    <w:rsid w:val="00F64F08"/>
    <w:rsid w:val="00F7218D"/>
    <w:rsid w:val="00F754E2"/>
    <w:rsid w:val="00F75D4A"/>
    <w:rsid w:val="00F75D69"/>
    <w:rsid w:val="00F802E0"/>
    <w:rsid w:val="00F83857"/>
    <w:rsid w:val="00F8398B"/>
    <w:rsid w:val="00F86B15"/>
    <w:rsid w:val="00F870F5"/>
    <w:rsid w:val="00F87924"/>
    <w:rsid w:val="00F91179"/>
    <w:rsid w:val="00F92CAA"/>
    <w:rsid w:val="00F9353A"/>
    <w:rsid w:val="00F951A6"/>
    <w:rsid w:val="00F96019"/>
    <w:rsid w:val="00FA000F"/>
    <w:rsid w:val="00FA1511"/>
    <w:rsid w:val="00FA1954"/>
    <w:rsid w:val="00FA280E"/>
    <w:rsid w:val="00FA6B1A"/>
    <w:rsid w:val="00FB1F10"/>
    <w:rsid w:val="00FB32D2"/>
    <w:rsid w:val="00FB50B5"/>
    <w:rsid w:val="00FB57CC"/>
    <w:rsid w:val="00FB5A69"/>
    <w:rsid w:val="00FB6F76"/>
    <w:rsid w:val="00FB7A3F"/>
    <w:rsid w:val="00FC011C"/>
    <w:rsid w:val="00FC3EDB"/>
    <w:rsid w:val="00FC4417"/>
    <w:rsid w:val="00FC457E"/>
    <w:rsid w:val="00FD01F4"/>
    <w:rsid w:val="00FD0957"/>
    <w:rsid w:val="00FD288C"/>
    <w:rsid w:val="00FD33DB"/>
    <w:rsid w:val="00FE1602"/>
    <w:rsid w:val="00FE1A04"/>
    <w:rsid w:val="00FE36E5"/>
    <w:rsid w:val="00FE37FA"/>
    <w:rsid w:val="00FE690B"/>
    <w:rsid w:val="00FF0E9F"/>
    <w:rsid w:val="00FF2D8D"/>
    <w:rsid w:val="00FF3352"/>
    <w:rsid w:val="00FF5BDE"/>
    <w:rsid w:val="00FF7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List Bullet" w:qFormat="1"/>
    <w:lsdException w:name="List Number"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5B8D"/>
    <w:pPr>
      <w:spacing w:before="40" w:after="80" w:line="240" w:lineRule="atLeast"/>
    </w:pPr>
    <w:rPr>
      <w:rFonts w:ascii="Arial" w:hAnsi="Arial"/>
      <w:sz w:val="18"/>
      <w:szCs w:val="24"/>
    </w:rPr>
  </w:style>
  <w:style w:type="paragraph" w:styleId="Heading1">
    <w:name w:val="heading 1"/>
    <w:basedOn w:val="Normal"/>
    <w:next w:val="Normal"/>
    <w:link w:val="Heading1Char"/>
    <w:qFormat/>
    <w:rsid w:val="00A05974"/>
    <w:pPr>
      <w:keepNext/>
      <w:keepLines/>
      <w:spacing w:before="240" w:after="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B03887"/>
    <w:pPr>
      <w:spacing w:before="120"/>
      <w:outlineLvl w:val="1"/>
    </w:pPr>
    <w:rPr>
      <w:b/>
      <w:sz w:val="28"/>
    </w:rPr>
  </w:style>
  <w:style w:type="paragraph" w:styleId="Heading3">
    <w:name w:val="heading 3"/>
    <w:basedOn w:val="Normal"/>
    <w:next w:val="Normal"/>
    <w:link w:val="Heading3Char"/>
    <w:unhideWhenUsed/>
    <w:qFormat/>
    <w:rsid w:val="00BE675E"/>
    <w:pPr>
      <w:spacing w:before="120"/>
      <w:outlineLvl w:val="2"/>
    </w:pPr>
    <w:rPr>
      <w:b/>
      <w:i/>
      <w:sz w:val="22"/>
    </w:rPr>
  </w:style>
  <w:style w:type="paragraph" w:styleId="Heading4">
    <w:name w:val="heading 4"/>
    <w:basedOn w:val="Normal"/>
    <w:next w:val="Normal"/>
    <w:link w:val="Heading4Char"/>
    <w:unhideWhenUsed/>
    <w:qFormat/>
    <w:rsid w:val="00BE675E"/>
    <w:pPr>
      <w:keepNext/>
      <w:keepLines/>
      <w:outlineLvl w:val="3"/>
    </w:pPr>
    <w:rPr>
      <w:rFonts w:eastAsiaTheme="majorEastAsia" w:cstheme="majorBidi"/>
      <w:b/>
      <w:bCs/>
      <w:iCs/>
      <w:color w:val="262626" w:themeColor="text1" w:themeTint="D9"/>
      <w:sz w:val="20"/>
    </w:rPr>
  </w:style>
  <w:style w:type="paragraph" w:styleId="Heading5">
    <w:name w:val="heading 5"/>
    <w:basedOn w:val="Normal"/>
    <w:next w:val="Normal"/>
    <w:link w:val="Heading5Char"/>
    <w:unhideWhenUsed/>
    <w:qFormat/>
    <w:rsid w:val="00FE36E5"/>
    <w:pPr>
      <w:keepNext/>
      <w:keepLines/>
      <w:spacing w:before="120" w:after="60"/>
      <w:outlineLvl w:val="4"/>
    </w:pPr>
    <w:rPr>
      <w:rFonts w:eastAsiaTheme="majorEastAsia" w:cstheme="majorBidi"/>
      <w:b/>
      <w:color w:val="808080" w:themeColor="background1" w:themeShade="80"/>
      <w:sz w:val="20"/>
    </w:rPr>
  </w:style>
  <w:style w:type="paragraph" w:styleId="Heading6">
    <w:name w:val="heading 6"/>
    <w:basedOn w:val="Normal"/>
    <w:next w:val="Normal"/>
    <w:link w:val="Heading6Char"/>
    <w:unhideWhenUsed/>
    <w:rsid w:val="00FE36E5"/>
    <w:pPr>
      <w:keepNext/>
      <w:keepLines/>
      <w:spacing w:before="120"/>
      <w:outlineLvl w:val="5"/>
    </w:pPr>
    <w:rPr>
      <w:rFonts w:eastAsiaTheme="majorEastAsia" w:cstheme="majorBidi"/>
      <w:iCs/>
      <w:color w:val="808080" w:themeColor="background1" w:themeShade="80"/>
      <w:sz w:val="20"/>
    </w:rPr>
  </w:style>
  <w:style w:type="paragraph" w:styleId="Heading7">
    <w:name w:val="heading 7"/>
    <w:basedOn w:val="Normal"/>
    <w:next w:val="Normal"/>
    <w:link w:val="Heading7Char"/>
    <w:unhideWhenUsed/>
    <w:qFormat/>
    <w:rsid w:val="00BE675E"/>
    <w:pPr>
      <w:keepNext/>
      <w:keepLines/>
      <w:spacing w:before="200" w:after="0"/>
      <w:outlineLvl w:val="6"/>
    </w:pPr>
    <w:rPr>
      <w:rFonts w:eastAsiaTheme="majorEastAsia" w:cstheme="majorBidi"/>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974"/>
    <w:rPr>
      <w:rFonts w:ascii="Arial" w:eastAsiaTheme="majorEastAsia" w:hAnsi="Arial" w:cstheme="majorBidi"/>
      <w:b/>
      <w:bCs/>
      <w:color w:val="0D0D0D" w:themeColor="text1" w:themeTint="F2"/>
      <w:sz w:val="32"/>
      <w:szCs w:val="28"/>
    </w:rPr>
  </w:style>
  <w:style w:type="character" w:customStyle="1" w:styleId="Heading2Char">
    <w:name w:val="Heading 2 Char"/>
    <w:basedOn w:val="DefaultParagraphFont"/>
    <w:link w:val="Heading2"/>
    <w:rsid w:val="00B03887"/>
    <w:rPr>
      <w:rFonts w:ascii="Arial" w:hAnsi="Arial"/>
      <w:b/>
      <w:color w:val="0D0D0D" w:themeColor="text1" w:themeTint="F2"/>
      <w:sz w:val="28"/>
      <w:szCs w:val="24"/>
    </w:rPr>
  </w:style>
  <w:style w:type="character" w:customStyle="1" w:styleId="Heading3Char">
    <w:name w:val="Heading 3 Char"/>
    <w:basedOn w:val="DefaultParagraphFont"/>
    <w:link w:val="Heading3"/>
    <w:rsid w:val="00BE675E"/>
    <w:rPr>
      <w:rFonts w:ascii="Arial" w:hAnsi="Arial"/>
      <w:b/>
      <w:i/>
      <w:color w:val="0D0D0D" w:themeColor="text1" w:themeTint="F2"/>
      <w:sz w:val="22"/>
      <w:szCs w:val="24"/>
    </w:rPr>
  </w:style>
  <w:style w:type="character" w:customStyle="1" w:styleId="Heading4Char">
    <w:name w:val="Heading 4 Char"/>
    <w:basedOn w:val="DefaultParagraphFont"/>
    <w:link w:val="Heading4"/>
    <w:rsid w:val="00BE675E"/>
    <w:rPr>
      <w:rFonts w:ascii="Arial" w:eastAsiaTheme="majorEastAsia" w:hAnsi="Arial" w:cstheme="majorBidi"/>
      <w:b/>
      <w:bCs/>
      <w:iCs/>
      <w:color w:val="262626" w:themeColor="text1" w:themeTint="D9"/>
      <w:szCs w:val="24"/>
    </w:rPr>
  </w:style>
  <w:style w:type="character" w:customStyle="1" w:styleId="Heading5Char">
    <w:name w:val="Heading 5 Char"/>
    <w:basedOn w:val="DefaultParagraphFont"/>
    <w:link w:val="Heading5"/>
    <w:rsid w:val="00FE36E5"/>
    <w:rPr>
      <w:rFonts w:ascii="Arial" w:eastAsiaTheme="majorEastAsia" w:hAnsi="Arial" w:cstheme="majorBidi"/>
      <w:b/>
      <w:color w:val="808080" w:themeColor="background1" w:themeShade="80"/>
      <w:szCs w:val="24"/>
    </w:rPr>
  </w:style>
  <w:style w:type="character" w:customStyle="1" w:styleId="Heading6Char">
    <w:name w:val="Heading 6 Char"/>
    <w:basedOn w:val="DefaultParagraphFont"/>
    <w:link w:val="Heading6"/>
    <w:rsid w:val="00FE36E5"/>
    <w:rPr>
      <w:rFonts w:ascii="Arial" w:eastAsiaTheme="majorEastAsia" w:hAnsi="Arial" w:cstheme="majorBidi"/>
      <w:iCs/>
      <w:color w:val="808080" w:themeColor="background1" w:themeShade="80"/>
      <w:szCs w:val="24"/>
    </w:rPr>
  </w:style>
  <w:style w:type="character" w:styleId="Emphasis">
    <w:name w:val="Emphasis"/>
    <w:basedOn w:val="DefaultParagraphFont"/>
    <w:uiPriority w:val="20"/>
    <w:qFormat/>
    <w:rsid w:val="00BE675E"/>
    <w:rPr>
      <w:rFonts w:ascii="Arial" w:hAnsi="Arial"/>
      <w:i/>
      <w:iCs/>
      <w:sz w:val="18"/>
    </w:rPr>
  </w:style>
  <w:style w:type="paragraph" w:styleId="Title">
    <w:name w:val="Title"/>
    <w:basedOn w:val="Normal"/>
    <w:next w:val="Normal"/>
    <w:link w:val="TitleChar"/>
    <w:qFormat/>
    <w:rsid w:val="007D72E1"/>
    <w:pPr>
      <w:spacing w:before="120" w:after="400" w:line="240" w:lineRule="auto"/>
      <w:ind w:left="4536"/>
      <w:contextualSpacing/>
    </w:pPr>
    <w:rPr>
      <w:rFonts w:eastAsiaTheme="majorEastAsia" w:cstheme="majorBidi"/>
      <w:b/>
      <w:color w:val="FFFFFF" w:themeColor="background1"/>
      <w:spacing w:val="5"/>
      <w:kern w:val="28"/>
      <w:sz w:val="44"/>
      <w:szCs w:val="52"/>
    </w:rPr>
  </w:style>
  <w:style w:type="character" w:customStyle="1" w:styleId="TitleChar">
    <w:name w:val="Title Char"/>
    <w:basedOn w:val="DefaultParagraphFont"/>
    <w:link w:val="Title"/>
    <w:rsid w:val="007D72E1"/>
    <w:rPr>
      <w:rFonts w:ascii="Arial" w:eastAsiaTheme="majorEastAsia" w:hAnsi="Arial" w:cstheme="majorBidi"/>
      <w:b/>
      <w:color w:val="FFFFFF" w:themeColor="background1"/>
      <w:spacing w:val="5"/>
      <w:kern w:val="28"/>
      <w:sz w:val="44"/>
      <w:szCs w:val="52"/>
    </w:rPr>
  </w:style>
  <w:style w:type="paragraph" w:styleId="Subtitle">
    <w:name w:val="Subtitle"/>
    <w:basedOn w:val="Normal"/>
    <w:next w:val="Normal"/>
    <w:link w:val="SubtitleChar"/>
    <w:qFormat/>
    <w:rsid w:val="00AB1D63"/>
    <w:pPr>
      <w:jc w:val="right"/>
    </w:pPr>
    <w:rPr>
      <w:rFonts w:eastAsiaTheme="majorEastAsia"/>
      <w:b/>
      <w:color w:val="1D1B11" w:themeColor="background2" w:themeShade="1A"/>
      <w:sz w:val="24"/>
    </w:rPr>
  </w:style>
  <w:style w:type="character" w:customStyle="1" w:styleId="SubtitleChar">
    <w:name w:val="Subtitle Char"/>
    <w:basedOn w:val="DefaultParagraphFont"/>
    <w:link w:val="Subtitle"/>
    <w:rsid w:val="00AB1D63"/>
    <w:rPr>
      <w:rFonts w:ascii="Arial" w:eastAsiaTheme="majorEastAsia" w:hAnsi="Arial"/>
      <w:b/>
      <w:color w:val="1D1B11" w:themeColor="background2" w:themeShade="1A"/>
      <w:sz w:val="24"/>
      <w:szCs w:val="24"/>
    </w:rPr>
  </w:style>
  <w:style w:type="character" w:styleId="Strong">
    <w:name w:val="Strong"/>
    <w:basedOn w:val="DefaultParagraphFont"/>
    <w:qFormat/>
    <w:rsid w:val="0022116C"/>
    <w:rPr>
      <w:b/>
      <w:bCs/>
    </w:rPr>
  </w:style>
  <w:style w:type="table" w:styleId="TableGrid">
    <w:name w:val="Table Grid"/>
    <w:aliases w:val="Employment table style"/>
    <w:basedOn w:val="TableNormal"/>
    <w:rsid w:val="00842904"/>
    <w:rPr>
      <w:rFonts w:ascii="Arial" w:hAnsi="Arial"/>
      <w:sz w:val="18"/>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rPr>
        <w:rFonts w:ascii="Arial" w:hAnsi="Arial"/>
        <w:b/>
        <w:color w:val="FFFFFF" w:themeColor="background1"/>
        <w:sz w:val="18"/>
      </w:rPr>
      <w:tblPr/>
      <w:trPr>
        <w:tblHeader/>
      </w:trPr>
      <w:tcPr>
        <w:tcBorders>
          <w:top w:val="nil"/>
          <w:left w:val="nil"/>
          <w:bottom w:val="nil"/>
          <w:right w:val="nil"/>
          <w:insideH w:val="nil"/>
          <w:insideV w:val="nil"/>
          <w:tl2br w:val="nil"/>
          <w:tr2bl w:val="nil"/>
        </w:tcBorders>
        <w:shd w:val="clear" w:color="auto" w:fill="00746B"/>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rPr>
        <w:rFonts w:ascii="Arial" w:hAnsi="Arial"/>
        <w:sz w:val="18"/>
      </w:rPr>
    </w:tblStylePr>
  </w:style>
  <w:style w:type="paragraph" w:styleId="BalloonText">
    <w:name w:val="Balloon Text"/>
    <w:basedOn w:val="Normal"/>
    <w:next w:val="Normal"/>
    <w:link w:val="BalloonTextChar"/>
    <w:rsid w:val="00FE3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6E5"/>
    <w:rPr>
      <w:rFonts w:ascii="Tahoma" w:hAnsi="Tahoma" w:cs="Tahoma"/>
      <w:sz w:val="16"/>
      <w:szCs w:val="16"/>
    </w:rPr>
  </w:style>
  <w:style w:type="character" w:styleId="PlaceholderText">
    <w:name w:val="Placeholder Text"/>
    <w:basedOn w:val="DefaultParagraphFont"/>
    <w:uiPriority w:val="99"/>
    <w:semiHidden/>
    <w:rsid w:val="008B316E"/>
    <w:rPr>
      <w:color w:val="808080"/>
    </w:rPr>
  </w:style>
  <w:style w:type="character" w:customStyle="1" w:styleId="Heading7Char">
    <w:name w:val="Heading 7 Char"/>
    <w:basedOn w:val="DefaultParagraphFont"/>
    <w:link w:val="Heading7"/>
    <w:rsid w:val="00BE675E"/>
    <w:rPr>
      <w:rFonts w:ascii="Arial" w:eastAsiaTheme="majorEastAsia" w:hAnsi="Arial" w:cstheme="majorBidi"/>
      <w:i/>
      <w:iCs/>
      <w:color w:val="808080" w:themeColor="background1" w:themeShade="80"/>
      <w:sz w:val="18"/>
      <w:szCs w:val="24"/>
    </w:rPr>
  </w:style>
  <w:style w:type="paragraph" w:styleId="NormalWeb">
    <w:name w:val="Normal (Web)"/>
    <w:basedOn w:val="Normal"/>
    <w:uiPriority w:val="99"/>
    <w:rsid w:val="00FE36E5"/>
    <w:rPr>
      <w:rFonts w:ascii="Times New Roman" w:hAnsi="Times New Roman"/>
      <w:sz w:val="24"/>
    </w:rPr>
  </w:style>
  <w:style w:type="paragraph" w:styleId="Header">
    <w:name w:val="header"/>
    <w:basedOn w:val="Normal"/>
    <w:link w:val="HeaderChar"/>
    <w:uiPriority w:val="99"/>
    <w:rsid w:val="00D1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19"/>
    <w:rPr>
      <w:rFonts w:ascii="Arial" w:hAnsi="Arial"/>
      <w:color w:val="0D0D0D" w:themeColor="text1" w:themeTint="F2"/>
      <w:sz w:val="18"/>
      <w:szCs w:val="24"/>
    </w:rPr>
  </w:style>
  <w:style w:type="character" w:styleId="Hyperlink">
    <w:name w:val="Hyperlink"/>
    <w:basedOn w:val="DefaultParagraphFont"/>
    <w:unhideWhenUsed/>
    <w:rsid w:val="00591635"/>
    <w:rPr>
      <w:strike w:val="0"/>
      <w:dstrike w:val="0"/>
      <w:color w:val="0D0D0D" w:themeColor="text1" w:themeTint="F2"/>
      <w:u w:val="single"/>
      <w:effect w:val="none"/>
    </w:rPr>
  </w:style>
  <w:style w:type="paragraph" w:styleId="Date">
    <w:name w:val="Date"/>
    <w:basedOn w:val="Normal"/>
    <w:next w:val="Normal"/>
    <w:link w:val="DateChar"/>
    <w:rsid w:val="007D72E1"/>
    <w:pPr>
      <w:spacing w:after="0" w:line="240" w:lineRule="auto"/>
      <w:ind w:left="2835"/>
      <w:jc w:val="right"/>
    </w:pPr>
    <w:rPr>
      <w:b/>
      <w:color w:val="FFFFFF" w:themeColor="background1"/>
    </w:rPr>
  </w:style>
  <w:style w:type="paragraph" w:customStyle="1" w:styleId="Source">
    <w:name w:val="Source"/>
    <w:basedOn w:val="Normal"/>
    <w:next w:val="Normal"/>
    <w:qFormat/>
    <w:rsid w:val="00A2698A"/>
    <w:pPr>
      <w:spacing w:after="0" w:line="276" w:lineRule="auto"/>
    </w:pPr>
    <w:rPr>
      <w:rFonts w:eastAsiaTheme="minorEastAsia" w:cstheme="minorHAnsi"/>
      <w:i/>
      <w:sz w:val="16"/>
      <w:szCs w:val="20"/>
      <w:lang w:eastAsia="en-US"/>
    </w:rPr>
  </w:style>
  <w:style w:type="character" w:customStyle="1" w:styleId="DateChar">
    <w:name w:val="Date Char"/>
    <w:basedOn w:val="DefaultParagraphFont"/>
    <w:link w:val="Date"/>
    <w:rsid w:val="007D72E1"/>
    <w:rPr>
      <w:rFonts w:ascii="Arial" w:hAnsi="Arial"/>
      <w:b/>
      <w:color w:val="FFFFFF" w:themeColor="background1"/>
      <w:sz w:val="18"/>
      <w:szCs w:val="24"/>
    </w:rPr>
  </w:style>
  <w:style w:type="paragraph" w:customStyle="1" w:styleId="Breakoutboxtext">
    <w:name w:val="Break out box text"/>
    <w:basedOn w:val="Normal"/>
    <w:next w:val="Normal"/>
    <w:qFormat/>
    <w:rsid w:val="00327021"/>
    <w:pPr>
      <w:pBdr>
        <w:top w:val="single" w:sz="6" w:space="4" w:color="0D0D0D" w:themeColor="text1" w:themeTint="F2"/>
        <w:left w:val="single" w:sz="6" w:space="4" w:color="0D0D0D" w:themeColor="text1" w:themeTint="F2"/>
        <w:bottom w:val="single" w:sz="6" w:space="4" w:color="0D0D0D" w:themeColor="text1" w:themeTint="F2"/>
        <w:right w:val="single" w:sz="6" w:space="4" w:color="0D0D0D" w:themeColor="text1" w:themeTint="F2"/>
      </w:pBdr>
      <w:spacing w:before="100" w:after="100" w:line="276" w:lineRule="auto"/>
      <w:ind w:right="284"/>
    </w:pPr>
    <w:rPr>
      <w:rFonts w:eastAsiaTheme="minorEastAsia" w:cstheme="minorBidi"/>
      <w:szCs w:val="22"/>
      <w:lang w:eastAsia="en-US"/>
    </w:rPr>
  </w:style>
  <w:style w:type="character" w:styleId="FootnoteReference">
    <w:name w:val="footnote reference"/>
    <w:basedOn w:val="DefaultParagraphFont"/>
    <w:unhideWhenUsed/>
    <w:rsid w:val="00187B3A"/>
    <w:rPr>
      <w:vertAlign w:val="superscript"/>
    </w:rPr>
  </w:style>
  <w:style w:type="paragraph" w:styleId="FootnoteText">
    <w:name w:val="footnote text"/>
    <w:basedOn w:val="Normal"/>
    <w:link w:val="FootnoteTextChar"/>
    <w:unhideWhenUsed/>
    <w:rsid w:val="00E91C4A"/>
    <w:pPr>
      <w:spacing w:after="0" w:line="240" w:lineRule="auto"/>
    </w:pPr>
    <w:rPr>
      <w:rFonts w:eastAsiaTheme="minorEastAsia" w:cstheme="minorBidi"/>
      <w:sz w:val="14"/>
      <w:szCs w:val="20"/>
      <w:lang w:eastAsia="en-US"/>
    </w:rPr>
  </w:style>
  <w:style w:type="character" w:customStyle="1" w:styleId="FootnoteTextChar">
    <w:name w:val="Footnote Text Char"/>
    <w:basedOn w:val="DefaultParagraphFont"/>
    <w:link w:val="FootnoteText"/>
    <w:rsid w:val="00E91C4A"/>
    <w:rPr>
      <w:rFonts w:ascii="Arial" w:eastAsiaTheme="minorEastAsia" w:hAnsi="Arial" w:cstheme="minorBidi"/>
      <w:color w:val="0D0D0D" w:themeColor="text1" w:themeTint="F2"/>
      <w:sz w:val="14"/>
      <w:lang w:eastAsia="en-US"/>
    </w:rPr>
  </w:style>
  <w:style w:type="paragraph" w:customStyle="1" w:styleId="Figureheading">
    <w:name w:val="Figure heading"/>
    <w:autoRedefine/>
    <w:qFormat/>
    <w:rsid w:val="00542C09"/>
    <w:pPr>
      <w:keepNext/>
      <w:pBdr>
        <w:top w:val="single" w:sz="12" w:space="3" w:color="000000"/>
        <w:left w:val="single" w:sz="12" w:space="4" w:color="000000"/>
        <w:bottom w:val="single" w:sz="12" w:space="1" w:color="000000"/>
        <w:right w:val="single" w:sz="12" w:space="4" w:color="000000"/>
      </w:pBdr>
      <w:spacing w:before="100" w:line="240" w:lineRule="atLeast"/>
      <w:ind w:left="119" w:right="113"/>
      <w:jc w:val="center"/>
    </w:pPr>
    <w:rPr>
      <w:rFonts w:ascii="Arial" w:eastAsiaTheme="majorEastAsia" w:hAnsi="Arial" w:cstheme="majorBidi"/>
      <w:b/>
      <w:bCs/>
      <w:iCs/>
      <w:color w:val="0D0D0D" w:themeColor="text1" w:themeTint="F2"/>
      <w:szCs w:val="22"/>
      <w:lang w:eastAsia="en-US"/>
    </w:rPr>
  </w:style>
  <w:style w:type="table" w:styleId="TableList1">
    <w:name w:val="Table List 1"/>
    <w:aliases w:val="Employmnet tables"/>
    <w:basedOn w:val="TableNormal"/>
    <w:rsid w:val="00ED7020"/>
    <w:pPr>
      <w:spacing w:before="80" w:after="80"/>
      <w:contextualSpacing/>
    </w:pPr>
    <w:rPr>
      <w:rFonts w:ascii="Arial" w:hAnsi="Arial"/>
      <w:sz w:val="18"/>
    </w:rPr>
    <w:tblPr>
      <w:tblStyleRowBandSize w:val="1"/>
      <w:tblStyleColBandSize w:val="1"/>
      <w:tblInd w:w="0" w:type="dxa"/>
      <w:tblBorders>
        <w:top w:val="single" w:sz="6" w:space="0" w:color="0D0D0D" w:themeColor="text1" w:themeTint="F2"/>
        <w:left w:val="single" w:sz="6" w:space="0" w:color="0D0D0D" w:themeColor="text1" w:themeTint="F2"/>
        <w:bottom w:val="single" w:sz="6" w:space="0" w:color="0D0D0D" w:themeColor="text1" w:themeTint="F2"/>
        <w:right w:val="single" w:sz="6" w:space="0" w:color="0D0D0D" w:themeColor="text1" w:themeTint="F2"/>
      </w:tblBorders>
      <w:tblCellMar>
        <w:top w:w="0" w:type="dxa"/>
        <w:left w:w="108" w:type="dxa"/>
        <w:bottom w:w="0" w:type="dxa"/>
        <w:right w:w="108" w:type="dxa"/>
      </w:tblCellMar>
    </w:tblPr>
    <w:tblStylePr w:type="firstRow">
      <w:pPr>
        <w:wordWrap/>
        <w:spacing w:beforeLines="50" w:before="50" w:beforeAutospacing="0" w:afterLines="50" w:after="50" w:afterAutospacing="0" w:line="240" w:lineRule="auto"/>
        <w:contextualSpacing w:val="0"/>
      </w:pPr>
      <w:rPr>
        <w:rFonts w:ascii="Arial" w:hAnsi="Arial"/>
        <w:b/>
        <w:bCs/>
        <w:i w:val="0"/>
        <w:iCs/>
        <w:color w:val="FFFFFF" w:themeColor="background1"/>
        <w:sz w:val="18"/>
      </w:rPr>
      <w:tblPr/>
      <w:tcPr>
        <w:tcBorders>
          <w:top w:val="nil"/>
          <w:left w:val="nil"/>
          <w:bottom w:val="nil"/>
          <w:right w:val="nil"/>
          <w:insideH w:val="nil"/>
          <w:insideV w:val="nil"/>
          <w:tl2br w:val="nil"/>
          <w:tr2bl w:val="nil"/>
        </w:tcBorders>
        <w:shd w:val="solid" w:color="00746B" w:fill="FFFFFF"/>
      </w:tcPr>
    </w:tblStylePr>
    <w:tblStylePr w:type="lastRow">
      <w:rPr>
        <w:rFonts w:ascii="Arial" w:hAnsi="Arial"/>
        <w:b w:val="0"/>
        <w:sz w:val="18"/>
      </w:rPr>
      <w:tblPr/>
      <w:tcPr>
        <w:tcBorders>
          <w:top w:val="nil"/>
          <w:left w:val="nil"/>
          <w:bottom w:val="single" w:sz="6" w:space="0" w:color="000000"/>
          <w:right w:val="nil"/>
          <w:insideH w:val="nil"/>
          <w:insideV w:val="nil"/>
          <w:tl2br w:val="nil"/>
          <w:tr2bl w:val="nil"/>
        </w:tcBorders>
      </w:tcPr>
    </w:tblStylePr>
    <w:tblStylePr w:type="firstCol">
      <w:rPr>
        <w:rFonts w:ascii="Arial" w:hAnsi="Arial"/>
        <w:b w:val="0"/>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18"/>
      </w:rPr>
      <w:tblPr/>
      <w:tcPr>
        <w:tcBorders>
          <w:top w:val="nil"/>
          <w:left w:val="nil"/>
          <w:bottom w:val="nil"/>
          <w:right w:val="nil"/>
          <w:insideH w:val="nil"/>
          <w:insideV w:val="nil"/>
          <w:tl2br w:val="nil"/>
          <w:tr2bl w:val="nil"/>
        </w:tcBorders>
        <w:shd w:val="solid" w:color="F2F2F2" w:themeColor="background1" w:themeShade="F2" w:fill="FFFFFF"/>
      </w:tcPr>
    </w:tblStylePr>
    <w:tblStylePr w:type="band2Horz">
      <w:rPr>
        <w:rFonts w:ascii="Arial" w:hAnsi="Arial"/>
        <w:color w:val="auto"/>
        <w:sz w:val="18"/>
      </w:rPr>
      <w:tblPr/>
      <w:tcPr>
        <w:tcBorders>
          <w:top w:val="nil"/>
          <w:left w:val="nil"/>
          <w:bottom w:val="nil"/>
          <w:right w:val="nil"/>
          <w:insideH w:val="nil"/>
          <w:insideV w:val="nil"/>
          <w:tl2br w:val="nil"/>
          <w:tr2bl w:val="nil"/>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7D72E1"/>
    <w:pPr>
      <w:tabs>
        <w:tab w:val="center" w:pos="4513"/>
        <w:tab w:val="right" w:pos="9026"/>
      </w:tabs>
      <w:spacing w:after="0" w:line="240" w:lineRule="auto"/>
    </w:pPr>
    <w:rPr>
      <w:b/>
      <w:color w:val="00746B"/>
    </w:rPr>
  </w:style>
  <w:style w:type="character" w:customStyle="1" w:styleId="FooterChar">
    <w:name w:val="Footer Char"/>
    <w:basedOn w:val="DefaultParagraphFont"/>
    <w:link w:val="Footer"/>
    <w:uiPriority w:val="99"/>
    <w:rsid w:val="007D72E1"/>
    <w:rPr>
      <w:rFonts w:ascii="Arial" w:hAnsi="Arial"/>
      <w:b/>
      <w:color w:val="00746B"/>
      <w:sz w:val="18"/>
      <w:szCs w:val="24"/>
    </w:rPr>
  </w:style>
  <w:style w:type="paragraph" w:customStyle="1" w:styleId="Figuretext">
    <w:name w:val="Figure text"/>
    <w:basedOn w:val="Figureheading"/>
    <w:qFormat/>
    <w:rsid w:val="007D72E1"/>
    <w:pPr>
      <w:spacing w:before="0" w:after="40"/>
    </w:pPr>
    <w:rPr>
      <w:b w:val="0"/>
      <w:sz w:val="18"/>
    </w:rPr>
  </w:style>
  <w:style w:type="paragraph" w:customStyle="1" w:styleId="BasicParagraph">
    <w:name w:val="[Basic Paragraph]"/>
    <w:basedOn w:val="Normal"/>
    <w:uiPriority w:val="99"/>
    <w:rsid w:val="007D72E1"/>
    <w:pPr>
      <w:autoSpaceDE w:val="0"/>
      <w:autoSpaceDN w:val="0"/>
      <w:adjustRightInd w:val="0"/>
      <w:spacing w:after="0" w:line="288" w:lineRule="auto"/>
      <w:textAlignment w:val="center"/>
    </w:pPr>
    <w:rPr>
      <w:rFonts w:ascii="Minion Pro" w:hAnsi="Minion Pro" w:cs="Minion Pro"/>
      <w:color w:val="000000"/>
      <w:sz w:val="24"/>
      <w:lang w:val="en-GB"/>
    </w:rPr>
  </w:style>
  <w:style w:type="table" w:customStyle="1" w:styleId="Employmenttables">
    <w:name w:val="Employment tables"/>
    <w:basedOn w:val="TableNormal"/>
    <w:uiPriority w:val="99"/>
    <w:rsid w:val="00D607EC"/>
    <w:rPr>
      <w:rFonts w:ascii="Arial" w:hAnsi="Arial"/>
      <w:sz w:val="18"/>
    </w:rPr>
    <w:tblPr>
      <w:tblInd w:w="0" w:type="dxa"/>
      <w:tblCellMar>
        <w:top w:w="0" w:type="dxa"/>
        <w:left w:w="108" w:type="dxa"/>
        <w:bottom w:w="0" w:type="dxa"/>
        <w:right w:w="108" w:type="dxa"/>
      </w:tblCellMar>
    </w:tblPr>
  </w:style>
  <w:style w:type="paragraph" w:customStyle="1" w:styleId="Tableheading">
    <w:name w:val="Table heading"/>
    <w:basedOn w:val="Figureheading"/>
    <w:qFormat/>
    <w:rsid w:val="00FE36E5"/>
    <w:pPr>
      <w:pBdr>
        <w:top w:val="none" w:sz="0" w:space="0" w:color="auto"/>
        <w:left w:val="none" w:sz="0" w:space="0" w:color="auto"/>
        <w:bottom w:val="none" w:sz="0" w:space="0" w:color="auto"/>
        <w:right w:val="none" w:sz="0" w:space="0" w:color="auto"/>
      </w:pBdr>
    </w:pPr>
  </w:style>
  <w:style w:type="paragraph" w:customStyle="1" w:styleId="SectionHeading">
    <w:name w:val="Section Heading"/>
    <w:basedOn w:val="Normal"/>
    <w:rsid w:val="0048040D"/>
    <w:pPr>
      <w:spacing w:before="0" w:after="0" w:line="240" w:lineRule="auto"/>
    </w:pPr>
    <w:rPr>
      <w:rFonts w:ascii="Arial Black" w:hAnsi="Arial Black" w:cs="Arial"/>
      <w:sz w:val="28"/>
      <w:szCs w:val="28"/>
    </w:rPr>
  </w:style>
  <w:style w:type="paragraph" w:customStyle="1" w:styleId="Default">
    <w:name w:val="Default"/>
    <w:rsid w:val="004265C8"/>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65C8"/>
    <w:pPr>
      <w:spacing w:before="0" w:after="120" w:line="240" w:lineRule="auto"/>
      <w:ind w:left="283"/>
    </w:pPr>
    <w:rPr>
      <w:sz w:val="22"/>
      <w:szCs w:val="20"/>
      <w:lang w:eastAsia="en-US"/>
    </w:rPr>
  </w:style>
  <w:style w:type="character" w:customStyle="1" w:styleId="BodyTextIndentChar">
    <w:name w:val="Body Text Indent Char"/>
    <w:basedOn w:val="DefaultParagraphFont"/>
    <w:link w:val="BodyTextIndent"/>
    <w:rsid w:val="004265C8"/>
    <w:rPr>
      <w:rFonts w:ascii="Arial" w:hAnsi="Arial"/>
      <w:sz w:val="22"/>
      <w:lang w:eastAsia="en-US"/>
    </w:rPr>
  </w:style>
  <w:style w:type="paragraph" w:styleId="Caption">
    <w:name w:val="caption"/>
    <w:basedOn w:val="Normal"/>
    <w:next w:val="Normal"/>
    <w:uiPriority w:val="35"/>
    <w:unhideWhenUsed/>
    <w:qFormat/>
    <w:rsid w:val="00D3588A"/>
    <w:pPr>
      <w:spacing w:before="0" w:after="200" w:line="240" w:lineRule="auto"/>
    </w:pPr>
    <w:rPr>
      <w:b/>
      <w:bCs/>
      <w:color w:val="4F81BD" w:themeColor="accent1"/>
      <w:szCs w:val="18"/>
    </w:rPr>
  </w:style>
  <w:style w:type="paragraph" w:customStyle="1" w:styleId="FigureandTableheading">
    <w:name w:val="Figure and Table heading"/>
    <w:autoRedefine/>
    <w:qFormat/>
    <w:rsid w:val="004F263A"/>
    <w:pPr>
      <w:keepNext/>
      <w:pBdr>
        <w:top w:val="single" w:sz="12" w:space="3" w:color="000000"/>
        <w:left w:val="single" w:sz="12" w:space="4" w:color="000000"/>
        <w:bottom w:val="single" w:sz="12" w:space="1" w:color="000000"/>
        <w:right w:val="single" w:sz="12" w:space="4" w:color="000000"/>
      </w:pBdr>
      <w:spacing w:line="240" w:lineRule="atLeast"/>
      <w:ind w:right="113"/>
      <w:jc w:val="center"/>
    </w:pPr>
    <w:rPr>
      <w:rFonts w:ascii="Arial" w:eastAsiaTheme="majorEastAsia" w:hAnsi="Arial" w:cstheme="majorBidi"/>
      <w:b/>
      <w:bCs/>
      <w:iCs/>
      <w:color w:val="0D0D0D" w:themeColor="text1" w:themeTint="F2"/>
      <w:szCs w:val="22"/>
      <w:lang w:eastAsia="en-US"/>
    </w:rPr>
  </w:style>
  <w:style w:type="character" w:styleId="CommentReference">
    <w:name w:val="annotation reference"/>
    <w:basedOn w:val="DefaultParagraphFont"/>
    <w:rsid w:val="00C412EA"/>
    <w:rPr>
      <w:sz w:val="16"/>
      <w:szCs w:val="16"/>
    </w:rPr>
  </w:style>
  <w:style w:type="paragraph" w:styleId="CommentText">
    <w:name w:val="annotation text"/>
    <w:basedOn w:val="Normal"/>
    <w:link w:val="CommentTextChar"/>
    <w:rsid w:val="00C412EA"/>
    <w:pPr>
      <w:spacing w:line="240" w:lineRule="auto"/>
    </w:pPr>
    <w:rPr>
      <w:sz w:val="20"/>
      <w:szCs w:val="20"/>
    </w:rPr>
  </w:style>
  <w:style w:type="character" w:customStyle="1" w:styleId="CommentTextChar">
    <w:name w:val="Comment Text Char"/>
    <w:basedOn w:val="DefaultParagraphFont"/>
    <w:link w:val="CommentText"/>
    <w:rsid w:val="00C412EA"/>
    <w:rPr>
      <w:rFonts w:ascii="Arial" w:hAnsi="Arial"/>
    </w:rPr>
  </w:style>
  <w:style w:type="paragraph" w:styleId="CommentSubject">
    <w:name w:val="annotation subject"/>
    <w:basedOn w:val="CommentText"/>
    <w:next w:val="CommentText"/>
    <w:link w:val="CommentSubjectChar"/>
    <w:rsid w:val="00C412EA"/>
    <w:rPr>
      <w:b/>
      <w:bCs/>
    </w:rPr>
  </w:style>
  <w:style w:type="character" w:customStyle="1" w:styleId="CommentSubjectChar">
    <w:name w:val="Comment Subject Char"/>
    <w:basedOn w:val="CommentTextChar"/>
    <w:link w:val="CommentSubject"/>
    <w:rsid w:val="00C412EA"/>
    <w:rPr>
      <w:rFonts w:ascii="Arial" w:hAnsi="Arial"/>
      <w:b/>
      <w:bCs/>
    </w:rPr>
  </w:style>
  <w:style w:type="paragraph" w:styleId="Revision">
    <w:name w:val="Revision"/>
    <w:hidden/>
    <w:uiPriority w:val="99"/>
    <w:semiHidden/>
    <w:rsid w:val="00C412EA"/>
    <w:rPr>
      <w:rFonts w:ascii="Arial" w:hAnsi="Arial"/>
      <w:sz w:val="18"/>
      <w:szCs w:val="24"/>
    </w:rPr>
  </w:style>
  <w:style w:type="character" w:styleId="FollowedHyperlink">
    <w:name w:val="FollowedHyperlink"/>
    <w:basedOn w:val="DefaultParagraphFont"/>
    <w:rsid w:val="00146B99"/>
    <w:rPr>
      <w:color w:val="800080" w:themeColor="followedHyperlink"/>
      <w:u w:val="single"/>
    </w:rPr>
  </w:style>
  <w:style w:type="paragraph" w:styleId="EndnoteText">
    <w:name w:val="endnote text"/>
    <w:basedOn w:val="Normal"/>
    <w:link w:val="EndnoteTextChar"/>
    <w:rsid w:val="00B641CF"/>
    <w:pPr>
      <w:spacing w:before="0" w:after="0" w:line="240" w:lineRule="auto"/>
    </w:pPr>
    <w:rPr>
      <w:sz w:val="14"/>
      <w:szCs w:val="20"/>
    </w:rPr>
  </w:style>
  <w:style w:type="character" w:customStyle="1" w:styleId="EndnoteTextChar">
    <w:name w:val="Endnote Text Char"/>
    <w:basedOn w:val="DefaultParagraphFont"/>
    <w:link w:val="EndnoteText"/>
    <w:rsid w:val="00B641CF"/>
    <w:rPr>
      <w:rFonts w:ascii="Arial" w:hAnsi="Arial"/>
      <w:sz w:val="14"/>
    </w:rPr>
  </w:style>
  <w:style w:type="character" w:styleId="EndnoteReference">
    <w:name w:val="endnote reference"/>
    <w:basedOn w:val="DefaultParagraphFont"/>
    <w:rsid w:val="00B641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List Bullet" w:qFormat="1"/>
    <w:lsdException w:name="List Number"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B5B8D"/>
    <w:pPr>
      <w:spacing w:before="40" w:after="80" w:line="240" w:lineRule="atLeast"/>
    </w:pPr>
    <w:rPr>
      <w:rFonts w:ascii="Arial" w:hAnsi="Arial"/>
      <w:sz w:val="18"/>
      <w:szCs w:val="24"/>
    </w:rPr>
  </w:style>
  <w:style w:type="paragraph" w:styleId="Heading1">
    <w:name w:val="heading 1"/>
    <w:basedOn w:val="Normal"/>
    <w:next w:val="Normal"/>
    <w:link w:val="Heading1Char"/>
    <w:qFormat/>
    <w:rsid w:val="00A05974"/>
    <w:pPr>
      <w:keepNext/>
      <w:keepLines/>
      <w:spacing w:before="240" w:after="0"/>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B03887"/>
    <w:pPr>
      <w:spacing w:before="120"/>
      <w:outlineLvl w:val="1"/>
    </w:pPr>
    <w:rPr>
      <w:b/>
      <w:sz w:val="28"/>
    </w:rPr>
  </w:style>
  <w:style w:type="paragraph" w:styleId="Heading3">
    <w:name w:val="heading 3"/>
    <w:basedOn w:val="Normal"/>
    <w:next w:val="Normal"/>
    <w:link w:val="Heading3Char"/>
    <w:unhideWhenUsed/>
    <w:qFormat/>
    <w:rsid w:val="00BE675E"/>
    <w:pPr>
      <w:spacing w:before="120"/>
      <w:outlineLvl w:val="2"/>
    </w:pPr>
    <w:rPr>
      <w:b/>
      <w:i/>
      <w:sz w:val="22"/>
    </w:rPr>
  </w:style>
  <w:style w:type="paragraph" w:styleId="Heading4">
    <w:name w:val="heading 4"/>
    <w:basedOn w:val="Normal"/>
    <w:next w:val="Normal"/>
    <w:link w:val="Heading4Char"/>
    <w:unhideWhenUsed/>
    <w:qFormat/>
    <w:rsid w:val="00BE675E"/>
    <w:pPr>
      <w:keepNext/>
      <w:keepLines/>
      <w:outlineLvl w:val="3"/>
    </w:pPr>
    <w:rPr>
      <w:rFonts w:eastAsiaTheme="majorEastAsia" w:cstheme="majorBidi"/>
      <w:b/>
      <w:bCs/>
      <w:iCs/>
      <w:color w:val="262626" w:themeColor="text1" w:themeTint="D9"/>
      <w:sz w:val="20"/>
    </w:rPr>
  </w:style>
  <w:style w:type="paragraph" w:styleId="Heading5">
    <w:name w:val="heading 5"/>
    <w:basedOn w:val="Normal"/>
    <w:next w:val="Normal"/>
    <w:link w:val="Heading5Char"/>
    <w:unhideWhenUsed/>
    <w:qFormat/>
    <w:rsid w:val="00FE36E5"/>
    <w:pPr>
      <w:keepNext/>
      <w:keepLines/>
      <w:spacing w:before="120" w:after="60"/>
      <w:outlineLvl w:val="4"/>
    </w:pPr>
    <w:rPr>
      <w:rFonts w:eastAsiaTheme="majorEastAsia" w:cstheme="majorBidi"/>
      <w:b/>
      <w:color w:val="808080" w:themeColor="background1" w:themeShade="80"/>
      <w:sz w:val="20"/>
    </w:rPr>
  </w:style>
  <w:style w:type="paragraph" w:styleId="Heading6">
    <w:name w:val="heading 6"/>
    <w:basedOn w:val="Normal"/>
    <w:next w:val="Normal"/>
    <w:link w:val="Heading6Char"/>
    <w:unhideWhenUsed/>
    <w:rsid w:val="00FE36E5"/>
    <w:pPr>
      <w:keepNext/>
      <w:keepLines/>
      <w:spacing w:before="120"/>
      <w:outlineLvl w:val="5"/>
    </w:pPr>
    <w:rPr>
      <w:rFonts w:eastAsiaTheme="majorEastAsia" w:cstheme="majorBidi"/>
      <w:iCs/>
      <w:color w:val="808080" w:themeColor="background1" w:themeShade="80"/>
      <w:sz w:val="20"/>
    </w:rPr>
  </w:style>
  <w:style w:type="paragraph" w:styleId="Heading7">
    <w:name w:val="heading 7"/>
    <w:basedOn w:val="Normal"/>
    <w:next w:val="Normal"/>
    <w:link w:val="Heading7Char"/>
    <w:unhideWhenUsed/>
    <w:qFormat/>
    <w:rsid w:val="00BE675E"/>
    <w:pPr>
      <w:keepNext/>
      <w:keepLines/>
      <w:spacing w:before="200" w:after="0"/>
      <w:outlineLvl w:val="6"/>
    </w:pPr>
    <w:rPr>
      <w:rFonts w:eastAsiaTheme="majorEastAsia" w:cstheme="majorBidi"/>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974"/>
    <w:rPr>
      <w:rFonts w:ascii="Arial" w:eastAsiaTheme="majorEastAsia" w:hAnsi="Arial" w:cstheme="majorBidi"/>
      <w:b/>
      <w:bCs/>
      <w:color w:val="0D0D0D" w:themeColor="text1" w:themeTint="F2"/>
      <w:sz w:val="32"/>
      <w:szCs w:val="28"/>
    </w:rPr>
  </w:style>
  <w:style w:type="character" w:customStyle="1" w:styleId="Heading2Char">
    <w:name w:val="Heading 2 Char"/>
    <w:basedOn w:val="DefaultParagraphFont"/>
    <w:link w:val="Heading2"/>
    <w:rsid w:val="00B03887"/>
    <w:rPr>
      <w:rFonts w:ascii="Arial" w:hAnsi="Arial"/>
      <w:b/>
      <w:color w:val="0D0D0D" w:themeColor="text1" w:themeTint="F2"/>
      <w:sz w:val="28"/>
      <w:szCs w:val="24"/>
    </w:rPr>
  </w:style>
  <w:style w:type="character" w:customStyle="1" w:styleId="Heading3Char">
    <w:name w:val="Heading 3 Char"/>
    <w:basedOn w:val="DefaultParagraphFont"/>
    <w:link w:val="Heading3"/>
    <w:rsid w:val="00BE675E"/>
    <w:rPr>
      <w:rFonts w:ascii="Arial" w:hAnsi="Arial"/>
      <w:b/>
      <w:i/>
      <w:color w:val="0D0D0D" w:themeColor="text1" w:themeTint="F2"/>
      <w:sz w:val="22"/>
      <w:szCs w:val="24"/>
    </w:rPr>
  </w:style>
  <w:style w:type="character" w:customStyle="1" w:styleId="Heading4Char">
    <w:name w:val="Heading 4 Char"/>
    <w:basedOn w:val="DefaultParagraphFont"/>
    <w:link w:val="Heading4"/>
    <w:rsid w:val="00BE675E"/>
    <w:rPr>
      <w:rFonts w:ascii="Arial" w:eastAsiaTheme="majorEastAsia" w:hAnsi="Arial" w:cstheme="majorBidi"/>
      <w:b/>
      <w:bCs/>
      <w:iCs/>
      <w:color w:val="262626" w:themeColor="text1" w:themeTint="D9"/>
      <w:szCs w:val="24"/>
    </w:rPr>
  </w:style>
  <w:style w:type="character" w:customStyle="1" w:styleId="Heading5Char">
    <w:name w:val="Heading 5 Char"/>
    <w:basedOn w:val="DefaultParagraphFont"/>
    <w:link w:val="Heading5"/>
    <w:rsid w:val="00FE36E5"/>
    <w:rPr>
      <w:rFonts w:ascii="Arial" w:eastAsiaTheme="majorEastAsia" w:hAnsi="Arial" w:cstheme="majorBidi"/>
      <w:b/>
      <w:color w:val="808080" w:themeColor="background1" w:themeShade="80"/>
      <w:szCs w:val="24"/>
    </w:rPr>
  </w:style>
  <w:style w:type="character" w:customStyle="1" w:styleId="Heading6Char">
    <w:name w:val="Heading 6 Char"/>
    <w:basedOn w:val="DefaultParagraphFont"/>
    <w:link w:val="Heading6"/>
    <w:rsid w:val="00FE36E5"/>
    <w:rPr>
      <w:rFonts w:ascii="Arial" w:eastAsiaTheme="majorEastAsia" w:hAnsi="Arial" w:cstheme="majorBidi"/>
      <w:iCs/>
      <w:color w:val="808080" w:themeColor="background1" w:themeShade="80"/>
      <w:szCs w:val="24"/>
    </w:rPr>
  </w:style>
  <w:style w:type="character" w:styleId="Emphasis">
    <w:name w:val="Emphasis"/>
    <w:basedOn w:val="DefaultParagraphFont"/>
    <w:uiPriority w:val="20"/>
    <w:qFormat/>
    <w:rsid w:val="00BE675E"/>
    <w:rPr>
      <w:rFonts w:ascii="Arial" w:hAnsi="Arial"/>
      <w:i/>
      <w:iCs/>
      <w:sz w:val="18"/>
    </w:rPr>
  </w:style>
  <w:style w:type="paragraph" w:styleId="Title">
    <w:name w:val="Title"/>
    <w:basedOn w:val="Normal"/>
    <w:next w:val="Normal"/>
    <w:link w:val="TitleChar"/>
    <w:qFormat/>
    <w:rsid w:val="007D72E1"/>
    <w:pPr>
      <w:spacing w:before="120" w:after="400" w:line="240" w:lineRule="auto"/>
      <w:ind w:left="4536"/>
      <w:contextualSpacing/>
    </w:pPr>
    <w:rPr>
      <w:rFonts w:eastAsiaTheme="majorEastAsia" w:cstheme="majorBidi"/>
      <w:b/>
      <w:color w:val="FFFFFF" w:themeColor="background1"/>
      <w:spacing w:val="5"/>
      <w:kern w:val="28"/>
      <w:sz w:val="44"/>
      <w:szCs w:val="52"/>
    </w:rPr>
  </w:style>
  <w:style w:type="character" w:customStyle="1" w:styleId="TitleChar">
    <w:name w:val="Title Char"/>
    <w:basedOn w:val="DefaultParagraphFont"/>
    <w:link w:val="Title"/>
    <w:rsid w:val="007D72E1"/>
    <w:rPr>
      <w:rFonts w:ascii="Arial" w:eastAsiaTheme="majorEastAsia" w:hAnsi="Arial" w:cstheme="majorBidi"/>
      <w:b/>
      <w:color w:val="FFFFFF" w:themeColor="background1"/>
      <w:spacing w:val="5"/>
      <w:kern w:val="28"/>
      <w:sz w:val="44"/>
      <w:szCs w:val="52"/>
    </w:rPr>
  </w:style>
  <w:style w:type="paragraph" w:styleId="Subtitle">
    <w:name w:val="Subtitle"/>
    <w:basedOn w:val="Normal"/>
    <w:next w:val="Normal"/>
    <w:link w:val="SubtitleChar"/>
    <w:qFormat/>
    <w:rsid w:val="00AB1D63"/>
    <w:pPr>
      <w:jc w:val="right"/>
    </w:pPr>
    <w:rPr>
      <w:rFonts w:eastAsiaTheme="majorEastAsia"/>
      <w:b/>
      <w:color w:val="1D1B11" w:themeColor="background2" w:themeShade="1A"/>
      <w:sz w:val="24"/>
    </w:rPr>
  </w:style>
  <w:style w:type="character" w:customStyle="1" w:styleId="SubtitleChar">
    <w:name w:val="Subtitle Char"/>
    <w:basedOn w:val="DefaultParagraphFont"/>
    <w:link w:val="Subtitle"/>
    <w:rsid w:val="00AB1D63"/>
    <w:rPr>
      <w:rFonts w:ascii="Arial" w:eastAsiaTheme="majorEastAsia" w:hAnsi="Arial"/>
      <w:b/>
      <w:color w:val="1D1B11" w:themeColor="background2" w:themeShade="1A"/>
      <w:sz w:val="24"/>
      <w:szCs w:val="24"/>
    </w:rPr>
  </w:style>
  <w:style w:type="character" w:styleId="Strong">
    <w:name w:val="Strong"/>
    <w:basedOn w:val="DefaultParagraphFont"/>
    <w:qFormat/>
    <w:rsid w:val="0022116C"/>
    <w:rPr>
      <w:b/>
      <w:bCs/>
    </w:rPr>
  </w:style>
  <w:style w:type="table" w:styleId="TableGrid">
    <w:name w:val="Table Grid"/>
    <w:aliases w:val="Employment table style"/>
    <w:basedOn w:val="TableNormal"/>
    <w:rsid w:val="00842904"/>
    <w:rPr>
      <w:rFonts w:ascii="Arial" w:hAnsi="Arial"/>
      <w:sz w:val="18"/>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rPr>
        <w:rFonts w:ascii="Arial" w:hAnsi="Arial"/>
        <w:b/>
        <w:color w:val="FFFFFF" w:themeColor="background1"/>
        <w:sz w:val="18"/>
      </w:rPr>
      <w:tblPr/>
      <w:trPr>
        <w:tblHeader/>
      </w:trPr>
      <w:tcPr>
        <w:tcBorders>
          <w:top w:val="nil"/>
          <w:left w:val="nil"/>
          <w:bottom w:val="nil"/>
          <w:right w:val="nil"/>
          <w:insideH w:val="nil"/>
          <w:insideV w:val="nil"/>
          <w:tl2br w:val="nil"/>
          <w:tr2bl w:val="nil"/>
        </w:tcBorders>
        <w:shd w:val="clear" w:color="auto" w:fill="00746B"/>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rPr>
        <w:rFonts w:ascii="Arial" w:hAnsi="Arial"/>
        <w:sz w:val="18"/>
      </w:rPr>
    </w:tblStylePr>
  </w:style>
  <w:style w:type="paragraph" w:styleId="BalloonText">
    <w:name w:val="Balloon Text"/>
    <w:basedOn w:val="Normal"/>
    <w:next w:val="Normal"/>
    <w:link w:val="BalloonTextChar"/>
    <w:rsid w:val="00FE36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6E5"/>
    <w:rPr>
      <w:rFonts w:ascii="Tahoma" w:hAnsi="Tahoma" w:cs="Tahoma"/>
      <w:sz w:val="16"/>
      <w:szCs w:val="16"/>
    </w:rPr>
  </w:style>
  <w:style w:type="character" w:styleId="PlaceholderText">
    <w:name w:val="Placeholder Text"/>
    <w:basedOn w:val="DefaultParagraphFont"/>
    <w:uiPriority w:val="99"/>
    <w:semiHidden/>
    <w:rsid w:val="008B316E"/>
    <w:rPr>
      <w:color w:val="808080"/>
    </w:rPr>
  </w:style>
  <w:style w:type="character" w:customStyle="1" w:styleId="Heading7Char">
    <w:name w:val="Heading 7 Char"/>
    <w:basedOn w:val="DefaultParagraphFont"/>
    <w:link w:val="Heading7"/>
    <w:rsid w:val="00BE675E"/>
    <w:rPr>
      <w:rFonts w:ascii="Arial" w:eastAsiaTheme="majorEastAsia" w:hAnsi="Arial" w:cstheme="majorBidi"/>
      <w:i/>
      <w:iCs/>
      <w:color w:val="808080" w:themeColor="background1" w:themeShade="80"/>
      <w:sz w:val="18"/>
      <w:szCs w:val="24"/>
    </w:rPr>
  </w:style>
  <w:style w:type="paragraph" w:styleId="NormalWeb">
    <w:name w:val="Normal (Web)"/>
    <w:basedOn w:val="Normal"/>
    <w:uiPriority w:val="99"/>
    <w:rsid w:val="00FE36E5"/>
    <w:rPr>
      <w:rFonts w:ascii="Times New Roman" w:hAnsi="Times New Roman"/>
      <w:sz w:val="24"/>
    </w:rPr>
  </w:style>
  <w:style w:type="paragraph" w:styleId="Header">
    <w:name w:val="header"/>
    <w:basedOn w:val="Normal"/>
    <w:link w:val="HeaderChar"/>
    <w:uiPriority w:val="99"/>
    <w:rsid w:val="00D1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19"/>
    <w:rPr>
      <w:rFonts w:ascii="Arial" w:hAnsi="Arial"/>
      <w:color w:val="0D0D0D" w:themeColor="text1" w:themeTint="F2"/>
      <w:sz w:val="18"/>
      <w:szCs w:val="24"/>
    </w:rPr>
  </w:style>
  <w:style w:type="character" w:styleId="Hyperlink">
    <w:name w:val="Hyperlink"/>
    <w:basedOn w:val="DefaultParagraphFont"/>
    <w:unhideWhenUsed/>
    <w:rsid w:val="00591635"/>
    <w:rPr>
      <w:strike w:val="0"/>
      <w:dstrike w:val="0"/>
      <w:color w:val="0D0D0D" w:themeColor="text1" w:themeTint="F2"/>
      <w:u w:val="single"/>
      <w:effect w:val="none"/>
    </w:rPr>
  </w:style>
  <w:style w:type="paragraph" w:styleId="Date">
    <w:name w:val="Date"/>
    <w:basedOn w:val="Normal"/>
    <w:next w:val="Normal"/>
    <w:link w:val="DateChar"/>
    <w:rsid w:val="007D72E1"/>
    <w:pPr>
      <w:spacing w:after="0" w:line="240" w:lineRule="auto"/>
      <w:ind w:left="2835"/>
      <w:jc w:val="right"/>
    </w:pPr>
    <w:rPr>
      <w:b/>
      <w:color w:val="FFFFFF" w:themeColor="background1"/>
    </w:rPr>
  </w:style>
  <w:style w:type="paragraph" w:customStyle="1" w:styleId="Source">
    <w:name w:val="Source"/>
    <w:basedOn w:val="Normal"/>
    <w:next w:val="Normal"/>
    <w:qFormat/>
    <w:rsid w:val="00A2698A"/>
    <w:pPr>
      <w:spacing w:after="0" w:line="276" w:lineRule="auto"/>
    </w:pPr>
    <w:rPr>
      <w:rFonts w:eastAsiaTheme="minorEastAsia" w:cstheme="minorHAnsi"/>
      <w:i/>
      <w:sz w:val="16"/>
      <w:szCs w:val="20"/>
      <w:lang w:eastAsia="en-US"/>
    </w:rPr>
  </w:style>
  <w:style w:type="character" w:customStyle="1" w:styleId="DateChar">
    <w:name w:val="Date Char"/>
    <w:basedOn w:val="DefaultParagraphFont"/>
    <w:link w:val="Date"/>
    <w:rsid w:val="007D72E1"/>
    <w:rPr>
      <w:rFonts w:ascii="Arial" w:hAnsi="Arial"/>
      <w:b/>
      <w:color w:val="FFFFFF" w:themeColor="background1"/>
      <w:sz w:val="18"/>
      <w:szCs w:val="24"/>
    </w:rPr>
  </w:style>
  <w:style w:type="paragraph" w:customStyle="1" w:styleId="Breakoutboxtext">
    <w:name w:val="Break out box text"/>
    <w:basedOn w:val="Normal"/>
    <w:next w:val="Normal"/>
    <w:qFormat/>
    <w:rsid w:val="00327021"/>
    <w:pPr>
      <w:pBdr>
        <w:top w:val="single" w:sz="6" w:space="4" w:color="0D0D0D" w:themeColor="text1" w:themeTint="F2"/>
        <w:left w:val="single" w:sz="6" w:space="4" w:color="0D0D0D" w:themeColor="text1" w:themeTint="F2"/>
        <w:bottom w:val="single" w:sz="6" w:space="4" w:color="0D0D0D" w:themeColor="text1" w:themeTint="F2"/>
        <w:right w:val="single" w:sz="6" w:space="4" w:color="0D0D0D" w:themeColor="text1" w:themeTint="F2"/>
      </w:pBdr>
      <w:spacing w:before="100" w:after="100" w:line="276" w:lineRule="auto"/>
      <w:ind w:right="284"/>
    </w:pPr>
    <w:rPr>
      <w:rFonts w:eastAsiaTheme="minorEastAsia" w:cstheme="minorBidi"/>
      <w:szCs w:val="22"/>
      <w:lang w:eastAsia="en-US"/>
    </w:rPr>
  </w:style>
  <w:style w:type="character" w:styleId="FootnoteReference">
    <w:name w:val="footnote reference"/>
    <w:basedOn w:val="DefaultParagraphFont"/>
    <w:unhideWhenUsed/>
    <w:rsid w:val="00187B3A"/>
    <w:rPr>
      <w:vertAlign w:val="superscript"/>
    </w:rPr>
  </w:style>
  <w:style w:type="paragraph" w:styleId="FootnoteText">
    <w:name w:val="footnote text"/>
    <w:basedOn w:val="Normal"/>
    <w:link w:val="FootnoteTextChar"/>
    <w:unhideWhenUsed/>
    <w:rsid w:val="00E91C4A"/>
    <w:pPr>
      <w:spacing w:after="0" w:line="240" w:lineRule="auto"/>
    </w:pPr>
    <w:rPr>
      <w:rFonts w:eastAsiaTheme="minorEastAsia" w:cstheme="minorBidi"/>
      <w:sz w:val="14"/>
      <w:szCs w:val="20"/>
      <w:lang w:eastAsia="en-US"/>
    </w:rPr>
  </w:style>
  <w:style w:type="character" w:customStyle="1" w:styleId="FootnoteTextChar">
    <w:name w:val="Footnote Text Char"/>
    <w:basedOn w:val="DefaultParagraphFont"/>
    <w:link w:val="FootnoteText"/>
    <w:rsid w:val="00E91C4A"/>
    <w:rPr>
      <w:rFonts w:ascii="Arial" w:eastAsiaTheme="minorEastAsia" w:hAnsi="Arial" w:cstheme="minorBidi"/>
      <w:color w:val="0D0D0D" w:themeColor="text1" w:themeTint="F2"/>
      <w:sz w:val="14"/>
      <w:lang w:eastAsia="en-US"/>
    </w:rPr>
  </w:style>
  <w:style w:type="paragraph" w:customStyle="1" w:styleId="Figureheading">
    <w:name w:val="Figure heading"/>
    <w:autoRedefine/>
    <w:qFormat/>
    <w:rsid w:val="00542C09"/>
    <w:pPr>
      <w:keepNext/>
      <w:pBdr>
        <w:top w:val="single" w:sz="12" w:space="3" w:color="000000"/>
        <w:left w:val="single" w:sz="12" w:space="4" w:color="000000"/>
        <w:bottom w:val="single" w:sz="12" w:space="1" w:color="000000"/>
        <w:right w:val="single" w:sz="12" w:space="4" w:color="000000"/>
      </w:pBdr>
      <w:spacing w:before="100" w:line="240" w:lineRule="atLeast"/>
      <w:ind w:left="119" w:right="113"/>
      <w:jc w:val="center"/>
    </w:pPr>
    <w:rPr>
      <w:rFonts w:ascii="Arial" w:eastAsiaTheme="majorEastAsia" w:hAnsi="Arial" w:cstheme="majorBidi"/>
      <w:b/>
      <w:bCs/>
      <w:iCs/>
      <w:color w:val="0D0D0D" w:themeColor="text1" w:themeTint="F2"/>
      <w:szCs w:val="22"/>
      <w:lang w:eastAsia="en-US"/>
    </w:rPr>
  </w:style>
  <w:style w:type="table" w:styleId="TableList1">
    <w:name w:val="Table List 1"/>
    <w:aliases w:val="Employmnet tables"/>
    <w:basedOn w:val="TableNormal"/>
    <w:rsid w:val="00ED7020"/>
    <w:pPr>
      <w:spacing w:before="80" w:after="80"/>
      <w:contextualSpacing/>
    </w:pPr>
    <w:rPr>
      <w:rFonts w:ascii="Arial" w:hAnsi="Arial"/>
      <w:sz w:val="18"/>
    </w:rPr>
    <w:tblPr>
      <w:tblStyleRowBandSize w:val="1"/>
      <w:tblStyleColBandSize w:val="1"/>
      <w:tblInd w:w="0" w:type="dxa"/>
      <w:tblBorders>
        <w:top w:val="single" w:sz="6" w:space="0" w:color="0D0D0D" w:themeColor="text1" w:themeTint="F2"/>
        <w:left w:val="single" w:sz="6" w:space="0" w:color="0D0D0D" w:themeColor="text1" w:themeTint="F2"/>
        <w:bottom w:val="single" w:sz="6" w:space="0" w:color="0D0D0D" w:themeColor="text1" w:themeTint="F2"/>
        <w:right w:val="single" w:sz="6" w:space="0" w:color="0D0D0D" w:themeColor="text1" w:themeTint="F2"/>
      </w:tblBorders>
      <w:tblCellMar>
        <w:top w:w="0" w:type="dxa"/>
        <w:left w:w="108" w:type="dxa"/>
        <w:bottom w:w="0" w:type="dxa"/>
        <w:right w:w="108" w:type="dxa"/>
      </w:tblCellMar>
    </w:tblPr>
    <w:tblStylePr w:type="firstRow">
      <w:pPr>
        <w:wordWrap/>
        <w:spacing w:beforeLines="50" w:before="50" w:beforeAutospacing="0" w:afterLines="50" w:after="50" w:afterAutospacing="0" w:line="240" w:lineRule="auto"/>
        <w:contextualSpacing w:val="0"/>
      </w:pPr>
      <w:rPr>
        <w:rFonts w:ascii="Arial" w:hAnsi="Arial"/>
        <w:b/>
        <w:bCs/>
        <w:i w:val="0"/>
        <w:iCs/>
        <w:color w:val="FFFFFF" w:themeColor="background1"/>
        <w:sz w:val="18"/>
      </w:rPr>
      <w:tblPr/>
      <w:tcPr>
        <w:tcBorders>
          <w:top w:val="nil"/>
          <w:left w:val="nil"/>
          <w:bottom w:val="nil"/>
          <w:right w:val="nil"/>
          <w:insideH w:val="nil"/>
          <w:insideV w:val="nil"/>
          <w:tl2br w:val="nil"/>
          <w:tr2bl w:val="nil"/>
        </w:tcBorders>
        <w:shd w:val="solid" w:color="00746B" w:fill="FFFFFF"/>
      </w:tcPr>
    </w:tblStylePr>
    <w:tblStylePr w:type="lastRow">
      <w:rPr>
        <w:rFonts w:ascii="Arial" w:hAnsi="Arial"/>
        <w:b w:val="0"/>
        <w:sz w:val="18"/>
      </w:rPr>
      <w:tblPr/>
      <w:tcPr>
        <w:tcBorders>
          <w:top w:val="nil"/>
          <w:left w:val="nil"/>
          <w:bottom w:val="single" w:sz="6" w:space="0" w:color="000000"/>
          <w:right w:val="nil"/>
          <w:insideH w:val="nil"/>
          <w:insideV w:val="nil"/>
          <w:tl2br w:val="nil"/>
          <w:tr2bl w:val="nil"/>
        </w:tcBorders>
      </w:tcPr>
    </w:tblStylePr>
    <w:tblStylePr w:type="firstCol">
      <w:rPr>
        <w:rFonts w:ascii="Arial" w:hAnsi="Arial"/>
        <w:b w:val="0"/>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color w:val="auto"/>
        <w:sz w:val="18"/>
      </w:rPr>
      <w:tblPr/>
      <w:tcPr>
        <w:tcBorders>
          <w:top w:val="nil"/>
          <w:left w:val="nil"/>
          <w:bottom w:val="nil"/>
          <w:right w:val="nil"/>
          <w:insideH w:val="nil"/>
          <w:insideV w:val="nil"/>
          <w:tl2br w:val="nil"/>
          <w:tr2bl w:val="nil"/>
        </w:tcBorders>
        <w:shd w:val="solid" w:color="F2F2F2" w:themeColor="background1" w:themeShade="F2" w:fill="FFFFFF"/>
      </w:tcPr>
    </w:tblStylePr>
    <w:tblStylePr w:type="band2Horz">
      <w:rPr>
        <w:rFonts w:ascii="Arial" w:hAnsi="Arial"/>
        <w:color w:val="auto"/>
        <w:sz w:val="18"/>
      </w:rPr>
      <w:tblPr/>
      <w:tcPr>
        <w:tcBorders>
          <w:top w:val="nil"/>
          <w:left w:val="nil"/>
          <w:bottom w:val="nil"/>
          <w:right w:val="nil"/>
          <w:insideH w:val="nil"/>
          <w:insideV w:val="nil"/>
          <w:tl2br w:val="nil"/>
          <w:tr2bl w:val="nil"/>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7D72E1"/>
    <w:pPr>
      <w:tabs>
        <w:tab w:val="center" w:pos="4513"/>
        <w:tab w:val="right" w:pos="9026"/>
      </w:tabs>
      <w:spacing w:after="0" w:line="240" w:lineRule="auto"/>
    </w:pPr>
    <w:rPr>
      <w:b/>
      <w:color w:val="00746B"/>
    </w:rPr>
  </w:style>
  <w:style w:type="character" w:customStyle="1" w:styleId="FooterChar">
    <w:name w:val="Footer Char"/>
    <w:basedOn w:val="DefaultParagraphFont"/>
    <w:link w:val="Footer"/>
    <w:uiPriority w:val="99"/>
    <w:rsid w:val="007D72E1"/>
    <w:rPr>
      <w:rFonts w:ascii="Arial" w:hAnsi="Arial"/>
      <w:b/>
      <w:color w:val="00746B"/>
      <w:sz w:val="18"/>
      <w:szCs w:val="24"/>
    </w:rPr>
  </w:style>
  <w:style w:type="paragraph" w:customStyle="1" w:styleId="Figuretext">
    <w:name w:val="Figure text"/>
    <w:basedOn w:val="Figureheading"/>
    <w:qFormat/>
    <w:rsid w:val="007D72E1"/>
    <w:pPr>
      <w:spacing w:before="0" w:after="40"/>
    </w:pPr>
    <w:rPr>
      <w:b w:val="0"/>
      <w:sz w:val="18"/>
    </w:rPr>
  </w:style>
  <w:style w:type="paragraph" w:customStyle="1" w:styleId="BasicParagraph">
    <w:name w:val="[Basic Paragraph]"/>
    <w:basedOn w:val="Normal"/>
    <w:uiPriority w:val="99"/>
    <w:rsid w:val="007D72E1"/>
    <w:pPr>
      <w:autoSpaceDE w:val="0"/>
      <w:autoSpaceDN w:val="0"/>
      <w:adjustRightInd w:val="0"/>
      <w:spacing w:after="0" w:line="288" w:lineRule="auto"/>
      <w:textAlignment w:val="center"/>
    </w:pPr>
    <w:rPr>
      <w:rFonts w:ascii="Minion Pro" w:hAnsi="Minion Pro" w:cs="Minion Pro"/>
      <w:color w:val="000000"/>
      <w:sz w:val="24"/>
      <w:lang w:val="en-GB"/>
    </w:rPr>
  </w:style>
  <w:style w:type="table" w:customStyle="1" w:styleId="Employmenttables">
    <w:name w:val="Employment tables"/>
    <w:basedOn w:val="TableNormal"/>
    <w:uiPriority w:val="99"/>
    <w:rsid w:val="00D607EC"/>
    <w:rPr>
      <w:rFonts w:ascii="Arial" w:hAnsi="Arial"/>
      <w:sz w:val="18"/>
    </w:rPr>
    <w:tblPr>
      <w:tblInd w:w="0" w:type="dxa"/>
      <w:tblCellMar>
        <w:top w:w="0" w:type="dxa"/>
        <w:left w:w="108" w:type="dxa"/>
        <w:bottom w:w="0" w:type="dxa"/>
        <w:right w:w="108" w:type="dxa"/>
      </w:tblCellMar>
    </w:tblPr>
  </w:style>
  <w:style w:type="paragraph" w:customStyle="1" w:styleId="Tableheading">
    <w:name w:val="Table heading"/>
    <w:basedOn w:val="Figureheading"/>
    <w:qFormat/>
    <w:rsid w:val="00FE36E5"/>
    <w:pPr>
      <w:pBdr>
        <w:top w:val="none" w:sz="0" w:space="0" w:color="auto"/>
        <w:left w:val="none" w:sz="0" w:space="0" w:color="auto"/>
        <w:bottom w:val="none" w:sz="0" w:space="0" w:color="auto"/>
        <w:right w:val="none" w:sz="0" w:space="0" w:color="auto"/>
      </w:pBdr>
    </w:pPr>
  </w:style>
  <w:style w:type="paragraph" w:customStyle="1" w:styleId="SectionHeading">
    <w:name w:val="Section Heading"/>
    <w:basedOn w:val="Normal"/>
    <w:rsid w:val="0048040D"/>
    <w:pPr>
      <w:spacing w:before="0" w:after="0" w:line="240" w:lineRule="auto"/>
    </w:pPr>
    <w:rPr>
      <w:rFonts w:ascii="Arial Black" w:hAnsi="Arial Black" w:cs="Arial"/>
      <w:sz w:val="28"/>
      <w:szCs w:val="28"/>
    </w:rPr>
  </w:style>
  <w:style w:type="paragraph" w:customStyle="1" w:styleId="Default">
    <w:name w:val="Default"/>
    <w:rsid w:val="004265C8"/>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65C8"/>
    <w:pPr>
      <w:spacing w:before="0" w:after="120" w:line="240" w:lineRule="auto"/>
      <w:ind w:left="283"/>
    </w:pPr>
    <w:rPr>
      <w:sz w:val="22"/>
      <w:szCs w:val="20"/>
      <w:lang w:eastAsia="en-US"/>
    </w:rPr>
  </w:style>
  <w:style w:type="character" w:customStyle="1" w:styleId="BodyTextIndentChar">
    <w:name w:val="Body Text Indent Char"/>
    <w:basedOn w:val="DefaultParagraphFont"/>
    <w:link w:val="BodyTextIndent"/>
    <w:rsid w:val="004265C8"/>
    <w:rPr>
      <w:rFonts w:ascii="Arial" w:hAnsi="Arial"/>
      <w:sz w:val="22"/>
      <w:lang w:eastAsia="en-US"/>
    </w:rPr>
  </w:style>
  <w:style w:type="paragraph" w:styleId="Caption">
    <w:name w:val="caption"/>
    <w:basedOn w:val="Normal"/>
    <w:next w:val="Normal"/>
    <w:uiPriority w:val="35"/>
    <w:unhideWhenUsed/>
    <w:qFormat/>
    <w:rsid w:val="00D3588A"/>
    <w:pPr>
      <w:spacing w:before="0" w:after="200" w:line="240" w:lineRule="auto"/>
    </w:pPr>
    <w:rPr>
      <w:b/>
      <w:bCs/>
      <w:color w:val="4F81BD" w:themeColor="accent1"/>
      <w:szCs w:val="18"/>
    </w:rPr>
  </w:style>
  <w:style w:type="paragraph" w:customStyle="1" w:styleId="FigureandTableheading">
    <w:name w:val="Figure and Table heading"/>
    <w:autoRedefine/>
    <w:qFormat/>
    <w:rsid w:val="004F263A"/>
    <w:pPr>
      <w:keepNext/>
      <w:pBdr>
        <w:top w:val="single" w:sz="12" w:space="3" w:color="000000"/>
        <w:left w:val="single" w:sz="12" w:space="4" w:color="000000"/>
        <w:bottom w:val="single" w:sz="12" w:space="1" w:color="000000"/>
        <w:right w:val="single" w:sz="12" w:space="4" w:color="000000"/>
      </w:pBdr>
      <w:spacing w:line="240" w:lineRule="atLeast"/>
      <w:ind w:right="113"/>
      <w:jc w:val="center"/>
    </w:pPr>
    <w:rPr>
      <w:rFonts w:ascii="Arial" w:eastAsiaTheme="majorEastAsia" w:hAnsi="Arial" w:cstheme="majorBidi"/>
      <w:b/>
      <w:bCs/>
      <w:iCs/>
      <w:color w:val="0D0D0D" w:themeColor="text1" w:themeTint="F2"/>
      <w:szCs w:val="22"/>
      <w:lang w:eastAsia="en-US"/>
    </w:rPr>
  </w:style>
  <w:style w:type="character" w:styleId="CommentReference">
    <w:name w:val="annotation reference"/>
    <w:basedOn w:val="DefaultParagraphFont"/>
    <w:rsid w:val="00C412EA"/>
    <w:rPr>
      <w:sz w:val="16"/>
      <w:szCs w:val="16"/>
    </w:rPr>
  </w:style>
  <w:style w:type="paragraph" w:styleId="CommentText">
    <w:name w:val="annotation text"/>
    <w:basedOn w:val="Normal"/>
    <w:link w:val="CommentTextChar"/>
    <w:rsid w:val="00C412EA"/>
    <w:pPr>
      <w:spacing w:line="240" w:lineRule="auto"/>
    </w:pPr>
    <w:rPr>
      <w:sz w:val="20"/>
      <w:szCs w:val="20"/>
    </w:rPr>
  </w:style>
  <w:style w:type="character" w:customStyle="1" w:styleId="CommentTextChar">
    <w:name w:val="Comment Text Char"/>
    <w:basedOn w:val="DefaultParagraphFont"/>
    <w:link w:val="CommentText"/>
    <w:rsid w:val="00C412EA"/>
    <w:rPr>
      <w:rFonts w:ascii="Arial" w:hAnsi="Arial"/>
    </w:rPr>
  </w:style>
  <w:style w:type="paragraph" w:styleId="CommentSubject">
    <w:name w:val="annotation subject"/>
    <w:basedOn w:val="CommentText"/>
    <w:next w:val="CommentText"/>
    <w:link w:val="CommentSubjectChar"/>
    <w:rsid w:val="00C412EA"/>
    <w:rPr>
      <w:b/>
      <w:bCs/>
    </w:rPr>
  </w:style>
  <w:style w:type="character" w:customStyle="1" w:styleId="CommentSubjectChar">
    <w:name w:val="Comment Subject Char"/>
    <w:basedOn w:val="CommentTextChar"/>
    <w:link w:val="CommentSubject"/>
    <w:rsid w:val="00C412EA"/>
    <w:rPr>
      <w:rFonts w:ascii="Arial" w:hAnsi="Arial"/>
      <w:b/>
      <w:bCs/>
    </w:rPr>
  </w:style>
  <w:style w:type="paragraph" w:styleId="Revision">
    <w:name w:val="Revision"/>
    <w:hidden/>
    <w:uiPriority w:val="99"/>
    <w:semiHidden/>
    <w:rsid w:val="00C412EA"/>
    <w:rPr>
      <w:rFonts w:ascii="Arial" w:hAnsi="Arial"/>
      <w:sz w:val="18"/>
      <w:szCs w:val="24"/>
    </w:rPr>
  </w:style>
  <w:style w:type="character" w:styleId="FollowedHyperlink">
    <w:name w:val="FollowedHyperlink"/>
    <w:basedOn w:val="DefaultParagraphFont"/>
    <w:rsid w:val="00146B99"/>
    <w:rPr>
      <w:color w:val="800080" w:themeColor="followedHyperlink"/>
      <w:u w:val="single"/>
    </w:rPr>
  </w:style>
  <w:style w:type="paragraph" w:styleId="EndnoteText">
    <w:name w:val="endnote text"/>
    <w:basedOn w:val="Normal"/>
    <w:link w:val="EndnoteTextChar"/>
    <w:rsid w:val="00B641CF"/>
    <w:pPr>
      <w:spacing w:before="0" w:after="0" w:line="240" w:lineRule="auto"/>
    </w:pPr>
    <w:rPr>
      <w:sz w:val="14"/>
      <w:szCs w:val="20"/>
    </w:rPr>
  </w:style>
  <w:style w:type="character" w:customStyle="1" w:styleId="EndnoteTextChar">
    <w:name w:val="Endnote Text Char"/>
    <w:basedOn w:val="DefaultParagraphFont"/>
    <w:link w:val="EndnoteText"/>
    <w:rsid w:val="00B641CF"/>
    <w:rPr>
      <w:rFonts w:ascii="Arial" w:hAnsi="Arial"/>
      <w:sz w:val="14"/>
    </w:rPr>
  </w:style>
  <w:style w:type="character" w:styleId="EndnoteReference">
    <w:name w:val="endnote reference"/>
    <w:basedOn w:val="DefaultParagraphFont"/>
    <w:rsid w:val="00B64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440">
      <w:bodyDiv w:val="1"/>
      <w:marLeft w:val="0"/>
      <w:marRight w:val="0"/>
      <w:marTop w:val="0"/>
      <w:marBottom w:val="0"/>
      <w:divBdr>
        <w:top w:val="none" w:sz="0" w:space="0" w:color="auto"/>
        <w:left w:val="none" w:sz="0" w:space="0" w:color="auto"/>
        <w:bottom w:val="none" w:sz="0" w:space="0" w:color="auto"/>
        <w:right w:val="none" w:sz="0" w:space="0" w:color="auto"/>
      </w:divBdr>
    </w:div>
    <w:div w:id="552548078">
      <w:bodyDiv w:val="1"/>
      <w:marLeft w:val="0"/>
      <w:marRight w:val="0"/>
      <w:marTop w:val="0"/>
      <w:marBottom w:val="0"/>
      <w:divBdr>
        <w:top w:val="none" w:sz="0" w:space="0" w:color="auto"/>
        <w:left w:val="none" w:sz="0" w:space="0" w:color="auto"/>
        <w:bottom w:val="none" w:sz="0" w:space="0" w:color="auto"/>
        <w:right w:val="none" w:sz="0" w:space="0" w:color="auto"/>
      </w:divBdr>
      <w:divsChild>
        <w:div w:id="1947538224">
          <w:marLeft w:val="0"/>
          <w:marRight w:val="0"/>
          <w:marTop w:val="0"/>
          <w:marBottom w:val="0"/>
          <w:divBdr>
            <w:top w:val="none" w:sz="0" w:space="0" w:color="auto"/>
            <w:left w:val="none" w:sz="0" w:space="0" w:color="auto"/>
            <w:bottom w:val="none" w:sz="0" w:space="0" w:color="auto"/>
            <w:right w:val="none" w:sz="0" w:space="0" w:color="auto"/>
          </w:divBdr>
          <w:divsChild>
            <w:div w:id="14597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5574">
      <w:bodyDiv w:val="1"/>
      <w:marLeft w:val="0"/>
      <w:marRight w:val="0"/>
      <w:marTop w:val="0"/>
      <w:marBottom w:val="0"/>
      <w:divBdr>
        <w:top w:val="none" w:sz="0" w:space="0" w:color="auto"/>
        <w:left w:val="none" w:sz="0" w:space="0" w:color="auto"/>
        <w:bottom w:val="none" w:sz="0" w:space="0" w:color="auto"/>
        <w:right w:val="none" w:sz="0" w:space="0" w:color="auto"/>
      </w:divBdr>
    </w:div>
    <w:div w:id="698967941">
      <w:bodyDiv w:val="1"/>
      <w:marLeft w:val="0"/>
      <w:marRight w:val="0"/>
      <w:marTop w:val="0"/>
      <w:marBottom w:val="0"/>
      <w:divBdr>
        <w:top w:val="none" w:sz="0" w:space="0" w:color="auto"/>
        <w:left w:val="none" w:sz="0" w:space="0" w:color="auto"/>
        <w:bottom w:val="none" w:sz="0" w:space="0" w:color="auto"/>
        <w:right w:val="none" w:sz="0" w:space="0" w:color="auto"/>
      </w:divBdr>
    </w:div>
    <w:div w:id="810288954">
      <w:bodyDiv w:val="1"/>
      <w:marLeft w:val="0"/>
      <w:marRight w:val="0"/>
      <w:marTop w:val="0"/>
      <w:marBottom w:val="0"/>
      <w:divBdr>
        <w:top w:val="none" w:sz="0" w:space="0" w:color="auto"/>
        <w:left w:val="none" w:sz="0" w:space="0" w:color="auto"/>
        <w:bottom w:val="none" w:sz="0" w:space="0" w:color="auto"/>
        <w:right w:val="none" w:sz="0" w:space="0" w:color="auto"/>
      </w:divBdr>
    </w:div>
    <w:div w:id="17131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mailto:migration@employment.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lmip.gov.au/default.aspx?LMIP/VacancyReport" TargetMode="Externa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employment.gov.au/australian-jobs-publication"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29" Type="http://schemas.openxmlformats.org/officeDocument/2006/relationships/hyperlink" Target="http://www.joboutlook.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lmip.gov.au/default.aspx?LMIP/VacancyReport" TargetMode="External"/><Relationship Id="rId32" Type="http://schemas.openxmlformats.org/officeDocument/2006/relationships/image" Target="media/image7.emf"/><Relationship Id="rId37" Type="http://schemas.openxmlformats.org/officeDocument/2006/relationships/hyperlink" Target="http://www.immi.gov.au"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image" Target="media/image6.jpeg"/><Relationship Id="rId36" Type="http://schemas.openxmlformats.org/officeDocument/2006/relationships/hyperlink" Target="http://www.immi.gov.au/asri" TargetMode="Externa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oboutlook.gov.au"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docs.employment.gov.au/node/31501" TargetMode="External"/><Relationship Id="rId35" Type="http://schemas.openxmlformats.org/officeDocument/2006/relationships/hyperlink" Target="http://www.aaca.org.a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aaca.org.au/architect-registration" TargetMode="External"/><Relationship Id="rId2" Type="http://schemas.openxmlformats.org/officeDocument/2006/relationships/hyperlink" Target="http://www.aaca.org.au" TargetMode="External"/><Relationship Id="rId1" Type="http://schemas.openxmlformats.org/officeDocument/2006/relationships/hyperlink" Target="http://www.abs.gov.au" TargetMode="External"/><Relationship Id="rId5" Type="http://schemas.openxmlformats.org/officeDocument/2006/relationships/hyperlink" Target="http://www.aaca.org.au/migration-skills-assessment" TargetMode="External"/><Relationship Id="rId4" Type="http://schemas.openxmlformats.org/officeDocument/2006/relationships/hyperlink" Target="http://www.aaca.org.au/architect-registration/recognised-architecture-qualific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mip.gov.au" TargetMode="External"/><Relationship Id="rId1" Type="http://schemas.openxmlformats.org/officeDocument/2006/relationships/hyperlink" Target="http://www.lmi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the document abstract here. The abstract should describe the purpose of the policy/guide, and is a document metadata field that is used to help establish relevance for search engines, etc. The abstract is also used to populate library cards for any documents publishable under the Information Publication Scheme. You cannot use paragraphs in the abstract so keep it brief.</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EEWRDocument" ma:contentTypeID="0x0101009EDC4876AF524A70BD125A9D2C0D191E00E72F7E1E9F25F843B7D6B09CF161C944" ma:contentTypeVersion="0" ma:contentTypeDescription="Create a new DEEWR Document." ma:contentTypeScope="" ma:versionID="65c581f5e21fa66e71946881d7b7c26d">
  <xsd:schema xmlns:xsd="http://www.w3.org/2001/XMLSchema" xmlns:xs="http://www.w3.org/2001/XMLSchema" xmlns:p="http://schemas.microsoft.com/office/2006/metadata/properties" xmlns:ns1="http://schemas.microsoft.com/sharepoint/v3" targetNamespace="http://schemas.microsoft.com/office/2006/metadata/properties" ma:root="true" ma:fieldsID="616c6ac491c96ea62d39309f95a4a6f8" ns1:_="">
    <xsd:import namespace="http://schemas.microsoft.com/sharepoint/v3"/>
    <xsd:element name="properties">
      <xsd:complexType>
        <xsd:sequence>
          <xsd:element name="documentManagement">
            <xsd:complexType>
              <xsd:all>
                <xsd:element ref="ns1:DEEWRCategory" minOccurs="0"/>
                <xsd:element ref="ns1:DEEWRResourceType" minOccurs="0"/>
                <xsd:element ref="ns1:DEEWR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Category" ma:internalName="DEEWRCategory" ma:readOnly="false">
      <xsd:simpleType>
        <xsd:restriction base="dms:Choice">
          <xsd:enumeration value="Category 1"/>
          <xsd:enumeration value="Category 2"/>
          <xsd:enumeration value="Category 3"/>
          <xsd:enumeration value="Category 4"/>
          <xsd:enumeration value="Category 5"/>
        </xsd:restriction>
      </xsd:simpleType>
    </xsd:element>
    <xsd:element name="DEEWRResourceType" ma:index="9" nillable="true" ma:displayName="Resource Type" ma:internalName="DEEWRResourceType" ma:readOnly="false">
      <xsd:simpleType>
        <xsd:restriction base="dms:Choice">
          <xsd:enumeration value="Resource Type 1"/>
          <xsd:enumeration value="Resource Type 2"/>
          <xsd:enumeration value="Resource Type 3"/>
          <xsd:enumeration value="Resource Type 4"/>
          <xsd:enumeration value="Resource Type 5"/>
        </xsd:restriction>
      </xsd:simpleType>
    </xsd:element>
    <xsd:element name="DEEWRSubject" ma:index="10" nillable="true" ma:displayName="Subject" ma:internalName="DEEWRSubject" ma:readOnly="false">
      <xsd:simpleType>
        <xsd:restriction base="dms:Choice">
          <xsd:enumeration value="Subject 1"/>
          <xsd:enumeration value="Subject 2"/>
          <xsd:enumeration value="Subject 3"/>
          <xsd:enumeration value="Subject 4"/>
          <xsd:enumeration value="Subject 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EWRCategory xmlns="http://schemas.microsoft.com/sharepoint/v3" xsi:nil="true"/>
    <DEEWRSubject xmlns="http://schemas.microsoft.com/sharepoint/v3" xsi:nil="true"/>
    <DEEWRResourceTyp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A9F0A-CA98-4636-B1FA-BDF0DE18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93746-C7CB-47C7-9427-5E12F449EAC1}">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sharepoint/v3"/>
  </ds:schemaRefs>
</ds:datastoreItem>
</file>

<file path=customXml/itemProps4.xml><?xml version="1.0" encoding="utf-8"?>
<ds:datastoreItem xmlns:ds="http://schemas.openxmlformats.org/officeDocument/2006/customXml" ds:itemID="{D5689F65-F63A-4697-AD0F-1160F9070C97}">
  <ds:schemaRefs>
    <ds:schemaRef ds:uri="http://schemas.microsoft.com/sharepoint/v3/contenttype/forms"/>
  </ds:schemaRefs>
</ds:datastoreItem>
</file>

<file path=customXml/itemProps5.xml><?xml version="1.0" encoding="utf-8"?>
<ds:datastoreItem xmlns:ds="http://schemas.openxmlformats.org/officeDocument/2006/customXml" ds:itemID="{9FFC8CA6-1341-4767-9A2C-27E0267C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F1DD8EA0.dotm</Template>
  <TotalTime>1</TotalTime>
  <Pages>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Australian Labour Market Update</vt:lpstr>
    </vt:vector>
  </TitlesOfParts>
  <Company>Australian Government</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Update</dc:title>
  <dc:creator>Jane Press</dc:creator>
  <cp:lastModifiedBy>Jane Press</cp:lastModifiedBy>
  <cp:revision>2</cp:revision>
  <cp:lastPrinted>2014-07-22T03:14:00Z</cp:lastPrinted>
  <dcterms:created xsi:type="dcterms:W3CDTF">2014-07-28T07:38:00Z</dcterms:created>
  <dcterms:modified xsi:type="dcterms:W3CDTF">2014-07-28T07:38:00Z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0x0101009EDC4876AF524A70BD125A9D2C0D191E00E72F7E1E9F25F843B7D6B09CF161C944</vt:lpwstr>
  </property>
  <property fmtid="{D5CDD505-2E9C-101B-9397-08002B2CF9AE}" pid="3" name="_dlc_ExpireDate">
    <vt:lpwstr>2016-09-15T00:04:33+00:00</vt:lpwstr>
  </property>
</Properties>
</file>