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A6" w:rsidRDefault="00FD26A6" w:rsidP="00FD26A6">
      <w:pPr>
        <w:pStyle w:val="ProgramHeading"/>
      </w:pPr>
      <w:bookmarkStart w:id="0" w:name="_Toc190682312"/>
      <w:bookmarkStart w:id="1" w:name="_Toc190682530"/>
      <w:r>
        <w:t>Outcome 2: Facilitate jobs growth through policies that promote fair, productive and safe workplaces.</w:t>
      </w:r>
    </w:p>
    <w:p w:rsidR="00FD26A6" w:rsidRDefault="00FD26A6" w:rsidP="00FD26A6">
      <w:pPr>
        <w:pStyle w:val="Heading4"/>
      </w:pPr>
      <w:r>
        <w:t>Outcome 2 strategy</w:t>
      </w:r>
    </w:p>
    <w:p w:rsidR="00FD26A6" w:rsidRDefault="00FD26A6" w:rsidP="00FD26A6">
      <w:r>
        <w:t xml:space="preserve">Through this outcome, the department supports the Australian Government to deliver a national workplace relations system that encourages </w:t>
      </w:r>
      <w:r w:rsidRPr="005202D0">
        <w:t>employers and emp</w:t>
      </w:r>
      <w:r>
        <w:t>loyees to agree on productive and competitive</w:t>
      </w:r>
      <w:r w:rsidRPr="005202D0">
        <w:t xml:space="preserve"> working arrangements</w:t>
      </w:r>
      <w:r>
        <w:t xml:space="preserve"> to support jobs growth. </w:t>
      </w:r>
    </w:p>
    <w:p w:rsidR="00FD26A6" w:rsidRDefault="00FD26A6" w:rsidP="00FD26A6">
      <w:r>
        <w:t>The department also supports the government to improve workplace health and safety and workers’ compensation arrangements for Commonwealth and private sector employers and their employees under the Comcare scheme.</w:t>
      </w:r>
    </w:p>
    <w:p w:rsidR="00FD26A6" w:rsidRDefault="00FD26A6" w:rsidP="00FD26A6">
      <w:r>
        <w:t xml:space="preserve">The Productivity Commission review of the workplace relations system is an important initiative that will inform the department’s policy development work. </w:t>
      </w:r>
    </w:p>
    <w:p w:rsidR="00FD26A6" w:rsidRDefault="00FD26A6" w:rsidP="00FD26A6">
      <w:r>
        <w:t>Strategies for achieving this outcome in 2015–16 include:</w:t>
      </w:r>
    </w:p>
    <w:p w:rsidR="00FD26A6" w:rsidRDefault="00FD26A6" w:rsidP="00FD26A6">
      <w:pPr>
        <w:pStyle w:val="Bullets"/>
        <w:numPr>
          <w:ilvl w:val="0"/>
          <w:numId w:val="5"/>
        </w:numPr>
      </w:pPr>
      <w:r>
        <w:t>providing legal and policy advice to the government on the implementation of its workplace relations, work health and safety and workers’ compensation reform agenda</w:t>
      </w:r>
    </w:p>
    <w:p w:rsidR="00FD26A6" w:rsidRDefault="00FD26A6" w:rsidP="00FD26A6">
      <w:pPr>
        <w:pStyle w:val="Bullets"/>
        <w:numPr>
          <w:ilvl w:val="0"/>
          <w:numId w:val="5"/>
        </w:numPr>
      </w:pPr>
      <w:r>
        <w:t>preparing submissions and participating in hearings and inquiries on behalf of the government</w:t>
      </w:r>
    </w:p>
    <w:p w:rsidR="00FD26A6" w:rsidRDefault="00FD26A6" w:rsidP="00FD26A6">
      <w:pPr>
        <w:pStyle w:val="Bullets"/>
        <w:numPr>
          <w:ilvl w:val="0"/>
          <w:numId w:val="5"/>
        </w:numPr>
      </w:pPr>
      <w:r>
        <w:t>continuing to prepare legislation and working closely with stakeholders to implement government priorities</w:t>
      </w:r>
    </w:p>
    <w:p w:rsidR="00FD26A6" w:rsidRDefault="00FD26A6" w:rsidP="00FD26A6">
      <w:pPr>
        <w:pStyle w:val="Bullets"/>
        <w:numPr>
          <w:ilvl w:val="0"/>
          <w:numId w:val="5"/>
        </w:numPr>
      </w:pPr>
      <w:r w:rsidRPr="00545E54">
        <w:t>contribut</w:t>
      </w:r>
      <w:r>
        <w:t>ing</w:t>
      </w:r>
      <w:r w:rsidRPr="00545E54">
        <w:t xml:space="preserve"> to </w:t>
      </w:r>
      <w:r>
        <w:t xml:space="preserve">safer workplaces and </w:t>
      </w:r>
      <w:r w:rsidRPr="00545E54">
        <w:t>higher productivity through implementation of national approaches to workplace health and safety and workers’ compensation laws</w:t>
      </w:r>
    </w:p>
    <w:p w:rsidR="00FD26A6" w:rsidRDefault="00FD26A6" w:rsidP="00FD26A6">
      <w:pPr>
        <w:pStyle w:val="Bullets"/>
        <w:numPr>
          <w:ilvl w:val="0"/>
          <w:numId w:val="5"/>
        </w:numPr>
      </w:pPr>
      <w:r>
        <w:t xml:space="preserve">leading legislative and non-legislative measures to improve the Comcare scheme </w:t>
      </w:r>
    </w:p>
    <w:p w:rsidR="00FD26A6" w:rsidRDefault="00FD26A6" w:rsidP="00FD26A6">
      <w:pPr>
        <w:pStyle w:val="Bullets"/>
        <w:numPr>
          <w:ilvl w:val="0"/>
          <w:numId w:val="5"/>
        </w:numPr>
      </w:pPr>
      <w:proofErr w:type="gramStart"/>
      <w:r>
        <w:t>continuing</w:t>
      </w:r>
      <w:proofErr w:type="gramEnd"/>
      <w:r>
        <w:t xml:space="preserve"> to implement the improvements agreed by the government to modernise and streamline the work health and safety accreditation scheme (for contractors that undertake Commonwealth funded building work). </w:t>
      </w:r>
    </w:p>
    <w:p w:rsidR="00FD26A6" w:rsidRDefault="00FD26A6" w:rsidP="00FD26A6">
      <w:pPr>
        <w:pStyle w:val="Bullets"/>
        <w:numPr>
          <w:ilvl w:val="0"/>
          <w:numId w:val="5"/>
        </w:numPr>
      </w:pPr>
      <w:r w:rsidRPr="006F07FD">
        <w:t>streamlin</w:t>
      </w:r>
      <w:r>
        <w:t>ing</w:t>
      </w:r>
      <w:r w:rsidRPr="006F07FD">
        <w:t xml:space="preserve"> </w:t>
      </w:r>
      <w:r>
        <w:t xml:space="preserve">gender reporting </w:t>
      </w:r>
      <w:r w:rsidRPr="006F07FD">
        <w:t>while maintaining a focus on driving gender equality in the workplace</w:t>
      </w:r>
      <w:r>
        <w:t xml:space="preserve"> through supporting a working group that is examining better ways to implement gender reporting</w:t>
      </w:r>
    </w:p>
    <w:p w:rsidR="00FD26A6" w:rsidRDefault="00FD26A6" w:rsidP="00FD26A6">
      <w:pPr>
        <w:pStyle w:val="Bullets"/>
        <w:numPr>
          <w:ilvl w:val="0"/>
          <w:numId w:val="5"/>
        </w:numPr>
      </w:pPr>
      <w:r w:rsidRPr="00BE537D">
        <w:t>continu</w:t>
      </w:r>
      <w:r>
        <w:t>ing to work</w:t>
      </w:r>
      <w:r w:rsidRPr="00BE537D">
        <w:t xml:space="preserve"> cooperatively with states and territories to ensure</w:t>
      </w:r>
      <w:r w:rsidRPr="006F07FD">
        <w:t xml:space="preserve"> ongoing effectiveness of the national workplace relations system</w:t>
      </w:r>
      <w:r>
        <w:t>, and work health and safety frameworks</w:t>
      </w:r>
    </w:p>
    <w:p w:rsidR="00FD26A6" w:rsidRDefault="00FD26A6" w:rsidP="00FD26A6">
      <w:pPr>
        <w:pStyle w:val="Bullets"/>
        <w:numPr>
          <w:ilvl w:val="0"/>
          <w:numId w:val="5"/>
        </w:numPr>
      </w:pPr>
      <w:r>
        <w:t>supporting the integrity of the workplace relations framework through strategic interventions in key cases before courts and tribunals</w:t>
      </w:r>
    </w:p>
    <w:p w:rsidR="00FD26A6" w:rsidRDefault="00FD26A6" w:rsidP="00FD26A6">
      <w:pPr>
        <w:pStyle w:val="Bullets"/>
        <w:numPr>
          <w:ilvl w:val="0"/>
          <w:numId w:val="5"/>
        </w:numPr>
      </w:pPr>
      <w:r>
        <w:t xml:space="preserve">promoting the effective operation of the workplace relations system through working closely with existing workplace relations agencies including the </w:t>
      </w:r>
      <w:r>
        <w:lastRenderedPageBreak/>
        <w:t xml:space="preserve">Fair Work Commission, the Fair Work Ombudsman, Office of the Fair Work Building Industry Inspectorate and, subject to passage of legislation by the parliament, its replacement the Australian Building and Construction Commission </w:t>
      </w:r>
    </w:p>
    <w:p w:rsidR="00FD26A6" w:rsidRPr="00BE537D" w:rsidRDefault="00FD26A6" w:rsidP="00FD26A6">
      <w:pPr>
        <w:pStyle w:val="Bullets"/>
        <w:numPr>
          <w:ilvl w:val="0"/>
          <w:numId w:val="5"/>
        </w:numPr>
      </w:pPr>
      <w:r>
        <w:t xml:space="preserve">working with Safe Work Australia, Comcare and the Asbestos Safety and Eradication Agency to promote the safety </w:t>
      </w:r>
      <w:r w:rsidRPr="00BE537D">
        <w:t>and wellbeing of employees and the Workplace Gender Equality Agency to promote gender equality in workplaces</w:t>
      </w:r>
    </w:p>
    <w:p w:rsidR="00FD26A6" w:rsidRDefault="00FD26A6" w:rsidP="00FD26A6">
      <w:pPr>
        <w:pStyle w:val="Bullets"/>
        <w:numPr>
          <w:ilvl w:val="0"/>
          <w:numId w:val="5"/>
        </w:numPr>
      </w:pPr>
      <w:proofErr w:type="gramStart"/>
      <w:r>
        <w:t>maintaining</w:t>
      </w:r>
      <w:proofErr w:type="gramEnd"/>
      <w:r>
        <w:t xml:space="preserve"> the workplace agreement database and preparing quarterly published reports, </w:t>
      </w:r>
      <w:r w:rsidRPr="00950B98">
        <w:rPr>
          <w:rFonts w:cs="Times New Roman"/>
        </w:rPr>
        <w:t>policy advice and programme administration of the Fair Entitlements Guarantee programme</w:t>
      </w:r>
      <w:r w:rsidRPr="00124986">
        <w:rPr>
          <w:rFonts w:cs="Times New Roman"/>
        </w:rPr>
        <w:t>,</w:t>
      </w:r>
      <w:r>
        <w:t xml:space="preserve"> research and evaluation and support to the International Labour Organization. </w:t>
      </w:r>
    </w:p>
    <w:p w:rsidR="00FD26A6" w:rsidRDefault="00FD26A6" w:rsidP="00FD26A6">
      <w:pPr>
        <w:pStyle w:val="TableHeading"/>
      </w:pPr>
      <w:r>
        <w:br w:type="page"/>
      </w:r>
    </w:p>
    <w:p w:rsidR="00FD26A6" w:rsidRDefault="00FD26A6" w:rsidP="00FD26A6">
      <w:pPr>
        <w:pStyle w:val="Heading5"/>
      </w:pPr>
      <w:r>
        <w:lastRenderedPageBreak/>
        <w:t>Outcome expense statement</w:t>
      </w:r>
    </w:p>
    <w:p w:rsidR="00FD26A6" w:rsidRDefault="00FD26A6" w:rsidP="00FD26A6">
      <w:r>
        <w:t>Table 2.2 provides an overview of the total expenses for Outcome</w:t>
      </w:r>
      <w:r w:rsidRPr="00193C99">
        <w:t xml:space="preserve"> </w:t>
      </w:r>
      <w:r>
        <w:t>2 by programme.</w:t>
      </w:r>
    </w:p>
    <w:p w:rsidR="00FD26A6" w:rsidRDefault="00FD26A6" w:rsidP="00FD26A6">
      <w:pPr>
        <w:pStyle w:val="TableHeading"/>
      </w:pPr>
      <w:r>
        <w:t>Table 2.2</w:t>
      </w:r>
      <w:r>
        <w:tab/>
        <w:t>Budgeted expenses and resources for Outcome 2</w:t>
      </w:r>
    </w:p>
    <w:p w:rsidR="00FD26A6" w:rsidRDefault="00FD26A6" w:rsidP="00FD26A6">
      <w:pPr>
        <w:pStyle w:val="FootnoteText"/>
        <w:rPr>
          <w:b/>
        </w:rPr>
      </w:pPr>
      <w:r>
        <w:rPr>
          <w:b/>
          <w:noProof/>
        </w:rPr>
        <w:drawing>
          <wp:inline distT="0" distB="0" distL="0" distR="0" wp14:anchorId="385915B8" wp14:editId="4CA2F5B5">
            <wp:extent cx="4893945" cy="4159885"/>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3945" cy="4159885"/>
                    </a:xfrm>
                    <a:prstGeom prst="rect">
                      <a:avLst/>
                    </a:prstGeom>
                    <a:noFill/>
                    <a:ln>
                      <a:noFill/>
                    </a:ln>
                  </pic:spPr>
                </pic:pic>
              </a:graphicData>
            </a:graphic>
          </wp:inline>
        </w:drawing>
      </w:r>
    </w:p>
    <w:p w:rsidR="00FD26A6" w:rsidRPr="00A919E7" w:rsidRDefault="00FD26A6" w:rsidP="00FD26A6">
      <w:pPr>
        <w:pStyle w:val="FootnoteText"/>
      </w:pPr>
      <w:r w:rsidRPr="00A919E7">
        <w:rPr>
          <w:vertAlign w:val="superscript"/>
        </w:rPr>
        <w:t>1</w:t>
      </w:r>
      <w:r w:rsidRPr="00A919E7">
        <w:t xml:space="preserve"> Departmental appropriation combines 'Ordinary annual services (Appropriation Bill No. 1)' and 'Revenue from independent sources (s 74)'.</w:t>
      </w:r>
    </w:p>
    <w:p w:rsidR="00FD26A6" w:rsidRPr="00A919E7" w:rsidRDefault="00FD26A6" w:rsidP="00FD26A6">
      <w:pPr>
        <w:pStyle w:val="FootnoteText"/>
      </w:pPr>
      <w:r w:rsidRPr="00A919E7">
        <w:rPr>
          <w:vertAlign w:val="superscript"/>
        </w:rPr>
        <w:t>2</w:t>
      </w:r>
      <w:r w:rsidRPr="00A919E7">
        <w:t xml:space="preserve"> Expenses not requiring appropriation in the Budget year are made up of depreciation expenses, amortisation expenses, and audit fees.</w:t>
      </w:r>
      <w:r w:rsidRPr="00A919E7">
        <w:tab/>
      </w:r>
    </w:p>
    <w:p w:rsidR="00FD26A6" w:rsidRPr="00A919E7" w:rsidRDefault="00FD26A6" w:rsidP="00FD26A6">
      <w:pPr>
        <w:pStyle w:val="FootnoteText"/>
      </w:pPr>
      <w:r>
        <w:tab/>
      </w:r>
      <w:r w:rsidRPr="00A919E7">
        <w:t>Note: Departmental appropriation splits and totals are indicative estimates and may change in the course of the budget year as government priorities change.</w:t>
      </w:r>
    </w:p>
    <w:p w:rsidR="00FD26A6" w:rsidRDefault="00FD26A6" w:rsidP="00FD26A6">
      <w:pPr>
        <w:pStyle w:val="Heading4"/>
      </w:pPr>
      <w:r>
        <w:br w:type="page"/>
      </w:r>
    </w:p>
    <w:p w:rsidR="00FD26A6" w:rsidRDefault="00FD26A6" w:rsidP="00FD26A6">
      <w:pPr>
        <w:pStyle w:val="Heading4"/>
      </w:pPr>
      <w:r>
        <w:lastRenderedPageBreak/>
        <w:t>Contributions to Outcome 2</w:t>
      </w:r>
    </w:p>
    <w:p w:rsidR="00FD26A6" w:rsidRPr="006D7EDC" w:rsidRDefault="00FD26A6" w:rsidP="00FD26A6">
      <w:pPr>
        <w:pStyle w:val="ProgramHeading"/>
      </w:pPr>
      <w:r>
        <w:t>Programme 2.1: Employee Assistance</w:t>
      </w:r>
    </w:p>
    <w:p w:rsidR="00FD26A6" w:rsidRPr="005267FB" w:rsidRDefault="00FD26A6" w:rsidP="00FD26A6">
      <w:pPr>
        <w:pStyle w:val="Heading5"/>
        <w:rPr>
          <w:lang w:eastAsia="en-US"/>
        </w:rPr>
      </w:pPr>
      <w:r w:rsidRPr="005267FB">
        <w:rPr>
          <w:lang w:eastAsia="en-US"/>
        </w:rPr>
        <w:t>Programme objective</w:t>
      </w:r>
    </w:p>
    <w:p w:rsidR="00FD26A6" w:rsidRPr="005267FB" w:rsidRDefault="00FD26A6" w:rsidP="00FD26A6">
      <w:proofErr w:type="gramStart"/>
      <w:r w:rsidRPr="005267FB">
        <w:t>The promotion of fair workplaces by ensuring the protection of employee entitlements in certain circumstances.</w:t>
      </w:r>
      <w:proofErr w:type="gramEnd"/>
      <w:r w:rsidRPr="005267FB">
        <w:t xml:space="preserve">  </w:t>
      </w:r>
    </w:p>
    <w:p w:rsidR="00FD26A6" w:rsidRPr="008908C0" w:rsidRDefault="00FD26A6" w:rsidP="00FD26A6">
      <w:pPr>
        <w:pStyle w:val="Heading6"/>
      </w:pPr>
      <w:r w:rsidRPr="008908C0">
        <w:t>Administered items</w:t>
      </w:r>
    </w:p>
    <w:p w:rsidR="00FD26A6" w:rsidRPr="00E771A6" w:rsidRDefault="00FD26A6" w:rsidP="00FD26A6">
      <w:pPr>
        <w:pStyle w:val="Bullets"/>
        <w:numPr>
          <w:ilvl w:val="0"/>
          <w:numId w:val="5"/>
        </w:numPr>
        <w:spacing w:before="20" w:after="20"/>
      </w:pPr>
      <w:r w:rsidRPr="00224BA9">
        <w:rPr>
          <w:i/>
        </w:rPr>
        <w:t>Coal Mining Industry (Long Service Leave) Administration Act 1992</w:t>
      </w:r>
      <w:r w:rsidRPr="00E771A6">
        <w:t xml:space="preserve"> financing arrangements—under this Act the cost of portable long service leave entitlements is managed through a central fund administered by the Coal Mining Industry (Long Service Leave Funding) Corporation. Monthly levy collection transfers are made from the consolidated revenue fund to the central fund.</w:t>
      </w:r>
    </w:p>
    <w:p w:rsidR="00FD26A6" w:rsidRPr="00E771A6" w:rsidRDefault="00FD26A6" w:rsidP="00FD26A6">
      <w:pPr>
        <w:pStyle w:val="Bullets"/>
        <w:numPr>
          <w:ilvl w:val="0"/>
          <w:numId w:val="5"/>
        </w:numPr>
        <w:spacing w:before="20" w:after="20"/>
      </w:pPr>
      <w:r>
        <w:t>Fair Entitlements Guarantee</w:t>
      </w:r>
      <w:r w:rsidRPr="00E771A6">
        <w:t xml:space="preserve">—established under the </w:t>
      </w:r>
      <w:r w:rsidRPr="00224BA9">
        <w:rPr>
          <w:i/>
        </w:rPr>
        <w:t xml:space="preserve">Fair Entitlements Guarantee Act 2012 </w:t>
      </w:r>
      <w:r w:rsidRPr="00E771A6">
        <w:t>to provide financial assistance for certain unpaid employment entitlements when an employee loses their job through the liquidation or bankruptcy of their employer on or after 5 December 2012.</w:t>
      </w:r>
      <w:r>
        <w:t xml:space="preserve"> The </w:t>
      </w:r>
      <w:r w:rsidRPr="00232047">
        <w:t xml:space="preserve">recovery of costs to the Fair Entitlements Guarantee programme </w:t>
      </w:r>
      <w:r>
        <w:t xml:space="preserve">will be strengthened </w:t>
      </w:r>
      <w:r w:rsidRPr="00232047">
        <w:t>through a two year trial of enhanced recovery activity, including an evaluation to assess the success of the programme and review whether further funding should be provided.</w:t>
      </w:r>
    </w:p>
    <w:p w:rsidR="00FD26A6" w:rsidRPr="007E4B2D" w:rsidRDefault="00FD26A6" w:rsidP="00FD26A6">
      <w:pPr>
        <w:pStyle w:val="TableHeading"/>
      </w:pPr>
      <w:r>
        <w:t>Table 2.2.1</w:t>
      </w:r>
      <w:r>
        <w:tab/>
        <w:t>Budgeted expenses for Programme 2.1</w:t>
      </w:r>
    </w:p>
    <w:p w:rsidR="00FD26A6" w:rsidRDefault="00FD26A6" w:rsidP="00FD26A6">
      <w:pPr>
        <w:pStyle w:val="TableGraphic"/>
      </w:pPr>
      <w:r>
        <w:rPr>
          <w:noProof/>
        </w:rPr>
        <w:drawing>
          <wp:inline distT="0" distB="0" distL="0" distR="0" wp14:anchorId="22B8EDA2" wp14:editId="2B812144">
            <wp:extent cx="4610735" cy="17125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735" cy="1712595"/>
                    </a:xfrm>
                    <a:prstGeom prst="rect">
                      <a:avLst/>
                    </a:prstGeom>
                    <a:noFill/>
                    <a:ln>
                      <a:noFill/>
                    </a:ln>
                  </pic:spPr>
                </pic:pic>
              </a:graphicData>
            </a:graphic>
          </wp:inline>
        </w:drawing>
      </w:r>
      <w:r>
        <w:br w:type="page"/>
      </w:r>
    </w:p>
    <w:p w:rsidR="00FD26A6" w:rsidRDefault="00FD26A6" w:rsidP="00FD26A6">
      <w:pPr>
        <w:pStyle w:val="ProgramHeading"/>
        <w:rPr>
          <w:lang w:eastAsia="en-US"/>
        </w:rPr>
      </w:pPr>
      <w:r>
        <w:lastRenderedPageBreak/>
        <w:t>Programme 2.2: Workplace Assistance</w:t>
      </w:r>
    </w:p>
    <w:p w:rsidR="00FD26A6" w:rsidRPr="005267FB" w:rsidRDefault="00FD26A6" w:rsidP="00FD26A6">
      <w:pPr>
        <w:pStyle w:val="Heading5"/>
        <w:rPr>
          <w:lang w:eastAsia="en-US"/>
        </w:rPr>
      </w:pPr>
      <w:r w:rsidRPr="005267FB">
        <w:rPr>
          <w:lang w:eastAsia="en-US"/>
        </w:rPr>
        <w:t>Programme objective</w:t>
      </w:r>
    </w:p>
    <w:p w:rsidR="00FD26A6" w:rsidRPr="00D518B3" w:rsidRDefault="00FD26A6" w:rsidP="00FD26A6">
      <w:pPr>
        <w:rPr>
          <w:lang w:eastAsia="en-US"/>
        </w:rPr>
      </w:pPr>
      <w:r w:rsidRPr="005267FB">
        <w:rPr>
          <w:lang w:eastAsia="en-US"/>
        </w:rPr>
        <w:t>To contribute to the productivity agenda by ensuring the operation of the workplace relations system through initiatives designed to encourage employers and employees to adopt flexible and modern workplace relations.</w:t>
      </w:r>
      <w:r w:rsidRPr="00D518B3">
        <w:rPr>
          <w:lang w:eastAsia="en-US"/>
        </w:rPr>
        <w:t xml:space="preserve"> </w:t>
      </w:r>
    </w:p>
    <w:p w:rsidR="00FD26A6" w:rsidRPr="00D87D30" w:rsidRDefault="00FD26A6" w:rsidP="00FD26A6">
      <w:pPr>
        <w:pStyle w:val="Heading6"/>
      </w:pPr>
      <w:r w:rsidRPr="00D87D30">
        <w:t>Administered items</w:t>
      </w:r>
    </w:p>
    <w:p w:rsidR="00FD26A6" w:rsidRPr="00224BA9" w:rsidRDefault="00FD26A6" w:rsidP="00FD26A6">
      <w:pPr>
        <w:pStyle w:val="Bullets"/>
        <w:numPr>
          <w:ilvl w:val="0"/>
          <w:numId w:val="5"/>
        </w:numPr>
      </w:pPr>
      <w:r w:rsidRPr="00224BA9">
        <w:t>International Labour Organization (</w:t>
      </w:r>
      <w:proofErr w:type="spellStart"/>
      <w:r w:rsidRPr="00224BA9">
        <w:t>ILO</w:t>
      </w:r>
      <w:proofErr w:type="spellEnd"/>
      <w:r w:rsidRPr="00224BA9">
        <w:t xml:space="preserve">)—the Australian Government’s annual membership subscription to the </w:t>
      </w:r>
      <w:proofErr w:type="spellStart"/>
      <w:r w:rsidRPr="00224BA9">
        <w:t>ILO</w:t>
      </w:r>
      <w:proofErr w:type="spellEnd"/>
      <w:r w:rsidRPr="00224BA9">
        <w:t xml:space="preserve">. The government works with other member states and representatives from employer and employee organisations to: participate in international policy discussions on labour issues; contribute to technical cooperation in the Asia-Pacific region; report on standards at the national level; and participate as a member of the </w:t>
      </w:r>
      <w:proofErr w:type="spellStart"/>
      <w:r w:rsidRPr="00224BA9">
        <w:t>ILO</w:t>
      </w:r>
      <w:proofErr w:type="spellEnd"/>
      <w:r w:rsidRPr="00224BA9">
        <w:t xml:space="preserve"> Governing Body.</w:t>
      </w:r>
    </w:p>
    <w:p w:rsidR="00FD26A6" w:rsidRPr="00224BA9" w:rsidRDefault="00FD26A6" w:rsidP="00FD26A6">
      <w:pPr>
        <w:pStyle w:val="Bullets"/>
        <w:numPr>
          <w:ilvl w:val="0"/>
          <w:numId w:val="5"/>
        </w:numPr>
      </w:pPr>
      <w:r w:rsidRPr="00224BA9">
        <w:t xml:space="preserve">Protected Action Ballots Scheme—costs incurred by the Australian Electoral Commission in relation to protected action ballots. A protected action ballot is a statutory prerequisite to protected industrial action under the </w:t>
      </w:r>
      <w:r w:rsidRPr="00101440">
        <w:rPr>
          <w:i/>
        </w:rPr>
        <w:t>Fair Work Act 2009</w:t>
      </w:r>
      <w:r w:rsidRPr="00224BA9">
        <w:t>.</w:t>
      </w:r>
    </w:p>
    <w:p w:rsidR="00FD26A6" w:rsidRDefault="00FD26A6" w:rsidP="00FD26A6">
      <w:pPr>
        <w:pStyle w:val="Bullets"/>
        <w:numPr>
          <w:ilvl w:val="0"/>
          <w:numId w:val="5"/>
        </w:numPr>
      </w:pPr>
      <w:r w:rsidRPr="00224BA9">
        <w:t xml:space="preserve">Centre </w:t>
      </w:r>
      <w:r>
        <w:t>f</w:t>
      </w:r>
      <w:r w:rsidRPr="00224BA9">
        <w:t xml:space="preserve">or Workplace Leadership—the government’s contribution to the Centre. </w:t>
      </w:r>
      <w:r>
        <w:t>Funding to the Centre will cease at the end of the 2015–16 year as contracted.</w:t>
      </w:r>
    </w:p>
    <w:p w:rsidR="00FD26A6" w:rsidRPr="00EE7C90" w:rsidRDefault="00FD26A6" w:rsidP="00FD26A6">
      <w:pPr>
        <w:pStyle w:val="TableHeading"/>
      </w:pPr>
      <w:r w:rsidRPr="00EE7C90">
        <w:t xml:space="preserve">Table </w:t>
      </w:r>
      <w:r>
        <w:t>2.2.2</w:t>
      </w:r>
      <w:r w:rsidRPr="00EE7C90">
        <w:tab/>
        <w:t>Budgeted expenses for Programme 2.</w:t>
      </w:r>
      <w:r>
        <w:t>2</w:t>
      </w:r>
    </w:p>
    <w:p w:rsidR="00FD26A6" w:rsidRDefault="00FD26A6" w:rsidP="00FD26A6">
      <w:pPr>
        <w:pStyle w:val="Bullets"/>
        <w:numPr>
          <w:ilvl w:val="0"/>
          <w:numId w:val="0"/>
        </w:numPr>
        <w:rPr>
          <w:rFonts w:cs="Times New Roman"/>
          <w:color w:val="auto"/>
          <w:szCs w:val="20"/>
          <w:lang w:eastAsia="en-AU"/>
        </w:rPr>
      </w:pPr>
      <w:r>
        <w:rPr>
          <w:rFonts w:cs="Times New Roman"/>
          <w:noProof/>
          <w:color w:val="auto"/>
          <w:szCs w:val="20"/>
          <w:lang w:eastAsia="en-AU"/>
        </w:rPr>
        <w:drawing>
          <wp:inline distT="0" distB="0" distL="0" distR="0" wp14:anchorId="13E5F723" wp14:editId="7846AD7D">
            <wp:extent cx="4430395" cy="1326515"/>
            <wp:effectExtent l="0" t="0" r="825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0395" cy="1326515"/>
                    </a:xfrm>
                    <a:prstGeom prst="rect">
                      <a:avLst/>
                    </a:prstGeom>
                    <a:noFill/>
                    <a:ln>
                      <a:noFill/>
                    </a:ln>
                  </pic:spPr>
                </pic:pic>
              </a:graphicData>
            </a:graphic>
          </wp:inline>
        </w:drawing>
      </w:r>
    </w:p>
    <w:p w:rsidR="00FD26A6" w:rsidRDefault="00FD26A6" w:rsidP="00FD26A6">
      <w:pPr>
        <w:pStyle w:val="Bullets"/>
        <w:numPr>
          <w:ilvl w:val="0"/>
          <w:numId w:val="0"/>
        </w:numPr>
        <w:rPr>
          <w:rFonts w:cs="Times New Roman"/>
          <w:color w:val="auto"/>
          <w:szCs w:val="20"/>
          <w:lang w:eastAsia="en-AU"/>
        </w:rPr>
      </w:pPr>
      <w:r>
        <w:rPr>
          <w:rFonts w:cs="Times New Roman"/>
          <w:color w:val="auto"/>
          <w:szCs w:val="20"/>
          <w:lang w:eastAsia="en-AU"/>
        </w:rPr>
        <w:br w:type="page"/>
      </w:r>
    </w:p>
    <w:p w:rsidR="00FD26A6" w:rsidRDefault="00FD26A6" w:rsidP="00FD26A6">
      <w:pPr>
        <w:pStyle w:val="ProgramHeading"/>
      </w:pPr>
      <w:r>
        <w:lastRenderedPageBreak/>
        <w:t>Programme 2.3: Workers’ Compensation Payments</w:t>
      </w:r>
    </w:p>
    <w:p w:rsidR="00FD26A6" w:rsidRDefault="00FD26A6" w:rsidP="00FD26A6">
      <w:r>
        <w:t xml:space="preserve">Information on Workers’ Compensation Payments can be found in Comcare, the Safety, Rehabilitation and Compensation Commission, and the Seafarers Safety, Rehabilitation and Compensation Authority </w:t>
      </w:r>
      <w:r w:rsidRPr="00E2256F">
        <w:t>on page 94.</w:t>
      </w:r>
    </w:p>
    <w:p w:rsidR="00FD26A6" w:rsidRPr="00EE7C90" w:rsidRDefault="00FD26A6" w:rsidP="00FD26A6">
      <w:pPr>
        <w:pStyle w:val="TableHeading"/>
      </w:pPr>
      <w:r w:rsidRPr="00EE7C90">
        <w:t xml:space="preserve">Table </w:t>
      </w:r>
      <w:r>
        <w:t>2.2.3</w:t>
      </w:r>
      <w:r w:rsidRPr="00EE7C90">
        <w:tab/>
        <w:t>Budgeted expenses for Programme 2.</w:t>
      </w:r>
      <w:r>
        <w:t>3</w:t>
      </w:r>
    </w:p>
    <w:p w:rsidR="00FD26A6" w:rsidRDefault="00FD26A6" w:rsidP="00FD26A6">
      <w:pPr>
        <w:pStyle w:val="TableGraphic"/>
      </w:pPr>
      <w:r>
        <w:rPr>
          <w:noProof/>
        </w:rPr>
        <w:drawing>
          <wp:inline distT="0" distB="0" distL="0" distR="0" wp14:anchorId="4A7A81F4" wp14:editId="58D85CE8">
            <wp:extent cx="4559300" cy="14427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300" cy="1442720"/>
                    </a:xfrm>
                    <a:prstGeom prst="rect">
                      <a:avLst/>
                    </a:prstGeom>
                    <a:noFill/>
                    <a:ln>
                      <a:noFill/>
                    </a:ln>
                  </pic:spPr>
                </pic:pic>
              </a:graphicData>
            </a:graphic>
          </wp:inline>
        </w:drawing>
      </w:r>
    </w:p>
    <w:p w:rsidR="00FD26A6" w:rsidRDefault="00FD26A6" w:rsidP="00FD26A6">
      <w:pPr>
        <w:pStyle w:val="TableGraphic"/>
      </w:pPr>
      <w:r>
        <w:br w:type="page"/>
      </w:r>
    </w:p>
    <w:p w:rsidR="00FD26A6" w:rsidRDefault="00FD26A6" w:rsidP="00FD26A6">
      <w:pPr>
        <w:pStyle w:val="ProgramHeading"/>
      </w:pPr>
      <w:r w:rsidRPr="00926ED2">
        <w:lastRenderedPageBreak/>
        <w:t>Outcome 2: Effectiveness Indicators</w:t>
      </w:r>
    </w:p>
    <w:p w:rsidR="00FD26A6" w:rsidRDefault="00FD26A6" w:rsidP="00FD26A6">
      <w:r>
        <w:t xml:space="preserve">Three effectiveness indicators are used to assess the ‘health’ of the workplace relations system: productivity and wages growth; levels of industrial action; and use of enterprise bargaining. </w:t>
      </w:r>
    </w:p>
    <w:p w:rsidR="00FD26A6" w:rsidRPr="0046637E" w:rsidRDefault="00FD26A6" w:rsidP="00FD26A6">
      <w:pPr>
        <w:pStyle w:val="TableHeading"/>
      </w:pPr>
      <w:r>
        <w:t xml:space="preserve">Table </w:t>
      </w:r>
      <w:proofErr w:type="spellStart"/>
      <w:r>
        <w:t>2.2.A</w:t>
      </w:r>
      <w:proofErr w:type="spellEnd"/>
      <w:r>
        <w:tab/>
      </w:r>
      <w:proofErr w:type="gramStart"/>
      <w:r w:rsidRPr="0046637E">
        <w:t>The</w:t>
      </w:r>
      <w:proofErr w:type="gramEnd"/>
      <w:r w:rsidRPr="0046637E">
        <w:t xml:space="preserve"> </w:t>
      </w:r>
      <w:r>
        <w:t>national</w:t>
      </w:r>
      <w:r w:rsidRPr="0046637E">
        <w:t xml:space="preserve"> workplace relations system supports improved productivity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274"/>
        <w:gridCol w:w="1274"/>
        <w:gridCol w:w="2821"/>
      </w:tblGrid>
      <w:tr w:rsidR="00FD26A6" w:rsidRPr="0046637E" w:rsidTr="005C0033">
        <w:trPr>
          <w:tblHeader/>
        </w:trPr>
        <w:tc>
          <w:tcPr>
            <w:tcW w:w="1951" w:type="dxa"/>
          </w:tcPr>
          <w:p w:rsidR="00FD26A6" w:rsidRPr="0046637E" w:rsidRDefault="00FD26A6" w:rsidP="005C0033">
            <w:pPr>
              <w:pStyle w:val="TableTextBold"/>
            </w:pPr>
            <w:r w:rsidRPr="0046637E">
              <w:t>Performance measure</w:t>
            </w:r>
          </w:p>
        </w:tc>
        <w:tc>
          <w:tcPr>
            <w:tcW w:w="1276" w:type="dxa"/>
          </w:tcPr>
          <w:p w:rsidR="00FD26A6" w:rsidRPr="0046637E" w:rsidRDefault="00FD26A6" w:rsidP="005C0033">
            <w:pPr>
              <w:pStyle w:val="TableTextBoldRight"/>
            </w:pPr>
            <w:r w:rsidRPr="0046637E">
              <w:t>December quarter 201</w:t>
            </w:r>
            <w:r>
              <w:t>3</w:t>
            </w:r>
          </w:p>
        </w:tc>
        <w:tc>
          <w:tcPr>
            <w:tcW w:w="1276" w:type="dxa"/>
            <w:shd w:val="clear" w:color="auto" w:fill="D9D9D9"/>
          </w:tcPr>
          <w:p w:rsidR="00FD26A6" w:rsidRPr="0046637E" w:rsidRDefault="00FD26A6" w:rsidP="005C0033">
            <w:pPr>
              <w:pStyle w:val="TableTextBoldRight"/>
            </w:pPr>
            <w:r w:rsidRPr="0046637E">
              <w:t>December quarter 201</w:t>
            </w:r>
            <w:r>
              <w:t>4</w:t>
            </w:r>
          </w:p>
        </w:tc>
        <w:tc>
          <w:tcPr>
            <w:tcW w:w="2835" w:type="dxa"/>
            <w:shd w:val="clear" w:color="auto" w:fill="auto"/>
          </w:tcPr>
          <w:p w:rsidR="00FD26A6" w:rsidRPr="00427538" w:rsidRDefault="00FD26A6" w:rsidP="005C0033">
            <w:pPr>
              <w:pStyle w:val="TableTextBoldRight"/>
            </w:pPr>
            <w:r w:rsidRPr="00427538">
              <w:t>Comments</w:t>
            </w:r>
          </w:p>
        </w:tc>
      </w:tr>
      <w:tr w:rsidR="00FD26A6" w:rsidRPr="0046637E" w:rsidTr="005C0033">
        <w:tc>
          <w:tcPr>
            <w:tcW w:w="1951" w:type="dxa"/>
          </w:tcPr>
          <w:p w:rsidR="00FD26A6" w:rsidRPr="0046637E" w:rsidRDefault="00FD26A6" w:rsidP="005C0033">
            <w:pPr>
              <w:pStyle w:val="TableText"/>
            </w:pPr>
            <w:r w:rsidRPr="0046637E">
              <w:t xml:space="preserve">Productivity </w:t>
            </w:r>
            <w:r>
              <w:t xml:space="preserve">growth </w:t>
            </w:r>
            <w:r w:rsidRPr="0046637E">
              <w:t>as measured by output per hour worked in the market sector (annual, trend terms)</w:t>
            </w:r>
          </w:p>
        </w:tc>
        <w:tc>
          <w:tcPr>
            <w:tcW w:w="1276" w:type="dxa"/>
          </w:tcPr>
          <w:p w:rsidR="00FD26A6" w:rsidRPr="0046637E" w:rsidRDefault="00FD26A6" w:rsidP="005C0033">
            <w:pPr>
              <w:pStyle w:val="TableTextRight"/>
            </w:pPr>
            <w:r>
              <w:t>1.9%</w:t>
            </w:r>
          </w:p>
        </w:tc>
        <w:tc>
          <w:tcPr>
            <w:tcW w:w="1276" w:type="dxa"/>
            <w:shd w:val="clear" w:color="auto" w:fill="D9D9D9"/>
          </w:tcPr>
          <w:p w:rsidR="00FD26A6" w:rsidRPr="0046637E" w:rsidRDefault="00FD26A6" w:rsidP="005C0033">
            <w:pPr>
              <w:pStyle w:val="TableTextRight"/>
            </w:pPr>
            <w:r>
              <w:t>0.3%</w:t>
            </w:r>
          </w:p>
        </w:tc>
        <w:tc>
          <w:tcPr>
            <w:tcW w:w="2835" w:type="dxa"/>
            <w:shd w:val="clear" w:color="auto" w:fill="auto"/>
          </w:tcPr>
          <w:p w:rsidR="00FD26A6" w:rsidRPr="00427538" w:rsidRDefault="00FD26A6" w:rsidP="005C0033">
            <w:pPr>
              <w:pStyle w:val="TableTextRight"/>
            </w:pPr>
            <w:r w:rsidRPr="00427538">
              <w:t>The data show that productivity fell from 1.9 per cent growth over the year to the December quarter 2013 to 0.3 per cent over the year to the December quarter 2014. Recent productivity growth numbers may be subject to revision.</w:t>
            </w:r>
          </w:p>
        </w:tc>
      </w:tr>
      <w:tr w:rsidR="00FD26A6" w:rsidRPr="0046637E" w:rsidTr="005C0033">
        <w:tc>
          <w:tcPr>
            <w:tcW w:w="1951" w:type="dxa"/>
          </w:tcPr>
          <w:p w:rsidR="00FD26A6" w:rsidRPr="0046637E" w:rsidRDefault="00FD26A6" w:rsidP="005C0033">
            <w:pPr>
              <w:pStyle w:val="TableText"/>
            </w:pPr>
            <w:r w:rsidRPr="0046637E">
              <w:t>ABS Wage Price Index (annual, seasonal adjusted terms)</w:t>
            </w:r>
          </w:p>
        </w:tc>
        <w:tc>
          <w:tcPr>
            <w:tcW w:w="1276" w:type="dxa"/>
          </w:tcPr>
          <w:p w:rsidR="00FD26A6" w:rsidRPr="0046637E" w:rsidRDefault="00FD26A6" w:rsidP="005C0033">
            <w:pPr>
              <w:pStyle w:val="TableTextRight"/>
            </w:pPr>
            <w:r>
              <w:t>2.6%</w:t>
            </w:r>
          </w:p>
        </w:tc>
        <w:tc>
          <w:tcPr>
            <w:tcW w:w="1276" w:type="dxa"/>
            <w:shd w:val="clear" w:color="auto" w:fill="D9D9D9"/>
          </w:tcPr>
          <w:p w:rsidR="00FD26A6" w:rsidRPr="0046637E" w:rsidRDefault="00FD26A6" w:rsidP="005C0033">
            <w:pPr>
              <w:pStyle w:val="TableTextRight"/>
            </w:pPr>
            <w:r>
              <w:t>2.5%</w:t>
            </w:r>
          </w:p>
        </w:tc>
        <w:tc>
          <w:tcPr>
            <w:tcW w:w="2835" w:type="dxa"/>
            <w:shd w:val="clear" w:color="auto" w:fill="auto"/>
          </w:tcPr>
          <w:p w:rsidR="00FD26A6" w:rsidRPr="00427538" w:rsidRDefault="00FD26A6" w:rsidP="005C0033">
            <w:pPr>
              <w:pStyle w:val="TableTextRight"/>
            </w:pPr>
            <w:r w:rsidRPr="00427538">
              <w:t>The Wage Price Index remained steady at 2.5 per cent, compared to 2.6 per cent the previous year.</w:t>
            </w:r>
          </w:p>
        </w:tc>
      </w:tr>
    </w:tbl>
    <w:p w:rsidR="00FD26A6" w:rsidRPr="0046637E" w:rsidRDefault="00FD26A6" w:rsidP="00FD26A6">
      <w:pPr>
        <w:pStyle w:val="TableHeading"/>
      </w:pPr>
      <w:r>
        <w:t xml:space="preserve">Table </w:t>
      </w:r>
      <w:proofErr w:type="spellStart"/>
      <w:r>
        <w:t>2.2.B</w:t>
      </w:r>
      <w:proofErr w:type="spellEnd"/>
      <w:r>
        <w:tab/>
        <w:t>I</w:t>
      </w:r>
      <w:r w:rsidRPr="0046637E">
        <w:t>ncidence of industrial action (allowing for variations in the bargaining cycle)</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76"/>
        <w:gridCol w:w="1276"/>
        <w:gridCol w:w="2835"/>
      </w:tblGrid>
      <w:tr w:rsidR="00FD26A6" w:rsidRPr="0046637E" w:rsidTr="005C0033">
        <w:trPr>
          <w:tblHeader/>
        </w:trPr>
        <w:tc>
          <w:tcPr>
            <w:tcW w:w="1951" w:type="dxa"/>
          </w:tcPr>
          <w:p w:rsidR="00FD26A6" w:rsidRPr="0046637E" w:rsidRDefault="00FD26A6" w:rsidP="005C0033">
            <w:pPr>
              <w:pStyle w:val="TableTextBold"/>
            </w:pPr>
            <w:r w:rsidRPr="0046637E">
              <w:t>Performance measure</w:t>
            </w:r>
          </w:p>
        </w:tc>
        <w:tc>
          <w:tcPr>
            <w:tcW w:w="1276" w:type="dxa"/>
          </w:tcPr>
          <w:p w:rsidR="00FD26A6" w:rsidRPr="0046637E" w:rsidRDefault="00FD26A6" w:rsidP="005C0033">
            <w:pPr>
              <w:pStyle w:val="TableTextBoldRight"/>
            </w:pPr>
            <w:r w:rsidRPr="0046637E">
              <w:t>December quarter 201</w:t>
            </w:r>
            <w:r>
              <w:t>3</w:t>
            </w:r>
          </w:p>
        </w:tc>
        <w:tc>
          <w:tcPr>
            <w:tcW w:w="1276" w:type="dxa"/>
            <w:shd w:val="clear" w:color="auto" w:fill="D9D9D9" w:themeFill="background1" w:themeFillShade="D9"/>
          </w:tcPr>
          <w:p w:rsidR="00FD26A6" w:rsidRPr="0046637E" w:rsidRDefault="00FD26A6" w:rsidP="005C0033">
            <w:pPr>
              <w:pStyle w:val="TableTextBoldRight"/>
            </w:pPr>
            <w:r w:rsidRPr="0046637E">
              <w:t>December quarter 201</w:t>
            </w:r>
            <w:r>
              <w:t>4</w:t>
            </w:r>
          </w:p>
        </w:tc>
        <w:tc>
          <w:tcPr>
            <w:tcW w:w="2835" w:type="dxa"/>
            <w:shd w:val="clear" w:color="auto" w:fill="auto"/>
          </w:tcPr>
          <w:p w:rsidR="00FD26A6" w:rsidRPr="0046637E" w:rsidRDefault="00FD26A6" w:rsidP="005C0033">
            <w:pPr>
              <w:pStyle w:val="TableTextBoldRight"/>
            </w:pPr>
            <w:r>
              <w:t>Comments</w:t>
            </w:r>
          </w:p>
        </w:tc>
      </w:tr>
      <w:tr w:rsidR="00FD26A6" w:rsidRPr="0046637E" w:rsidTr="005C0033">
        <w:tc>
          <w:tcPr>
            <w:tcW w:w="1951" w:type="dxa"/>
          </w:tcPr>
          <w:p w:rsidR="00FD26A6" w:rsidRPr="0046637E" w:rsidRDefault="00FD26A6" w:rsidP="005C0033">
            <w:pPr>
              <w:pStyle w:val="TableText"/>
            </w:pPr>
            <w:r w:rsidRPr="0046637E">
              <w:t xml:space="preserve">Working days lost per thousand employees (annual </w:t>
            </w:r>
            <w:proofErr w:type="spellStart"/>
            <w:r w:rsidRPr="0046637E">
              <w:t>WDL</w:t>
            </w:r>
            <w:proofErr w:type="spellEnd"/>
            <w:r w:rsidRPr="0046637E">
              <w:t>/</w:t>
            </w:r>
            <w:proofErr w:type="spellStart"/>
            <w:r w:rsidRPr="0046637E">
              <w:t>1000E</w:t>
            </w:r>
            <w:proofErr w:type="spellEnd"/>
            <w:r w:rsidRPr="0046637E">
              <w:t>)</w:t>
            </w:r>
          </w:p>
        </w:tc>
        <w:tc>
          <w:tcPr>
            <w:tcW w:w="1276" w:type="dxa"/>
          </w:tcPr>
          <w:p w:rsidR="00FD26A6" w:rsidRPr="0046637E" w:rsidRDefault="00FD26A6" w:rsidP="005C0033">
            <w:pPr>
              <w:pStyle w:val="TableTextRight"/>
            </w:pPr>
            <w:r>
              <w:t>12.6</w:t>
            </w:r>
          </w:p>
        </w:tc>
        <w:tc>
          <w:tcPr>
            <w:tcW w:w="1276" w:type="dxa"/>
            <w:shd w:val="clear" w:color="auto" w:fill="D9D9D9" w:themeFill="background1" w:themeFillShade="D9"/>
          </w:tcPr>
          <w:p w:rsidR="00FD26A6" w:rsidRPr="0046637E" w:rsidRDefault="00FD26A6" w:rsidP="005C0033">
            <w:pPr>
              <w:pStyle w:val="TableTextRight"/>
            </w:pPr>
            <w:r>
              <w:t>6.8</w:t>
            </w:r>
          </w:p>
        </w:tc>
        <w:tc>
          <w:tcPr>
            <w:tcW w:w="2835" w:type="dxa"/>
            <w:shd w:val="clear" w:color="auto" w:fill="auto"/>
          </w:tcPr>
          <w:p w:rsidR="00FD26A6" w:rsidRDefault="00FD26A6" w:rsidP="005C0033">
            <w:pPr>
              <w:pStyle w:val="TableTextRight"/>
            </w:pPr>
            <w:r>
              <w:t xml:space="preserve">The incidence of industrial disputes for the December quarter 2014 fell to 6.8 working days lost per thousand employees, compared to 12.6 working days lost per thousand employees in the same quarter of 2013. The data have limitations as only disputes that result in a total of 10 or more working days lost are counted by the ABS survey and include industrial action taken by state system employees. </w:t>
            </w:r>
            <w:proofErr w:type="gramStart"/>
            <w:r>
              <w:t>Working days lost is</w:t>
            </w:r>
            <w:proofErr w:type="gramEnd"/>
            <w:r>
              <w:t xml:space="preserve"> a volatile measure which is affected by a range of factors such as bargaining cycles.</w:t>
            </w:r>
          </w:p>
        </w:tc>
      </w:tr>
    </w:tbl>
    <w:p w:rsidR="00FD26A6" w:rsidRDefault="00FD26A6" w:rsidP="00FD26A6"/>
    <w:p w:rsidR="00FD26A6" w:rsidRPr="0046637E" w:rsidRDefault="00FD26A6" w:rsidP="00FD26A6">
      <w:pPr>
        <w:pStyle w:val="TableHeading"/>
      </w:pPr>
      <w:r>
        <w:lastRenderedPageBreak/>
        <w:t xml:space="preserve">Table </w:t>
      </w:r>
      <w:proofErr w:type="spellStart"/>
      <w:r>
        <w:t>2.2.C</w:t>
      </w:r>
      <w:proofErr w:type="spellEnd"/>
      <w:r>
        <w:tab/>
        <w:t xml:space="preserve">Enterprise </w:t>
      </w:r>
      <w:r w:rsidRPr="0046637E">
        <w:t>bargaining is used by employers and employees to negotiate pay and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276"/>
        <w:gridCol w:w="1276"/>
        <w:gridCol w:w="2819"/>
      </w:tblGrid>
      <w:tr w:rsidR="00FD26A6" w:rsidRPr="0046637E" w:rsidTr="005C0033">
        <w:trPr>
          <w:tblHeader/>
        </w:trPr>
        <w:tc>
          <w:tcPr>
            <w:tcW w:w="1951" w:type="dxa"/>
          </w:tcPr>
          <w:p w:rsidR="00FD26A6" w:rsidRPr="0046637E" w:rsidRDefault="00FD26A6" w:rsidP="005C0033">
            <w:pPr>
              <w:pStyle w:val="TableTextBold"/>
            </w:pPr>
            <w:r w:rsidRPr="0046637E">
              <w:t>Performance measure</w:t>
            </w:r>
          </w:p>
        </w:tc>
        <w:tc>
          <w:tcPr>
            <w:tcW w:w="1276" w:type="dxa"/>
          </w:tcPr>
          <w:p w:rsidR="00FD26A6" w:rsidRPr="0046637E" w:rsidRDefault="00FD26A6" w:rsidP="005C0033">
            <w:pPr>
              <w:pStyle w:val="TableTextBoldRight"/>
            </w:pPr>
            <w:r w:rsidRPr="0046637E">
              <w:t>December quarter 201</w:t>
            </w:r>
            <w:r>
              <w:t>3</w:t>
            </w:r>
          </w:p>
        </w:tc>
        <w:tc>
          <w:tcPr>
            <w:tcW w:w="1276" w:type="dxa"/>
            <w:shd w:val="clear" w:color="auto" w:fill="D9D9D9" w:themeFill="background1" w:themeFillShade="D9"/>
          </w:tcPr>
          <w:p w:rsidR="00FD26A6" w:rsidRPr="0046637E" w:rsidRDefault="00FD26A6" w:rsidP="005C0033">
            <w:pPr>
              <w:pStyle w:val="TableTextBoldRight"/>
            </w:pPr>
            <w:r w:rsidRPr="0046637E">
              <w:t>December quarter 201</w:t>
            </w:r>
            <w:r>
              <w:t>4</w:t>
            </w:r>
          </w:p>
        </w:tc>
        <w:tc>
          <w:tcPr>
            <w:tcW w:w="2835" w:type="dxa"/>
            <w:shd w:val="clear" w:color="auto" w:fill="auto"/>
          </w:tcPr>
          <w:p w:rsidR="00FD26A6" w:rsidRPr="0046637E" w:rsidRDefault="00FD26A6" w:rsidP="005C0033">
            <w:pPr>
              <w:pStyle w:val="TableTextBoldRight"/>
            </w:pPr>
            <w:r>
              <w:t>Comments</w:t>
            </w:r>
          </w:p>
        </w:tc>
      </w:tr>
      <w:tr w:rsidR="00FD26A6" w:rsidRPr="0046637E" w:rsidTr="005C0033">
        <w:trPr>
          <w:trHeight w:val="3273"/>
        </w:trPr>
        <w:tc>
          <w:tcPr>
            <w:tcW w:w="1951" w:type="dxa"/>
          </w:tcPr>
          <w:p w:rsidR="00FD26A6" w:rsidRPr="005A5084" w:rsidRDefault="00FD26A6" w:rsidP="005C0033">
            <w:pPr>
              <w:pStyle w:val="TableText"/>
            </w:pPr>
            <w:r w:rsidRPr="005A5084">
              <w:t>Number of enterprise agreements under the Fair Work Act 2009 that have not passed their nominal expiry date</w:t>
            </w:r>
          </w:p>
        </w:tc>
        <w:tc>
          <w:tcPr>
            <w:tcW w:w="1276" w:type="dxa"/>
          </w:tcPr>
          <w:p w:rsidR="00FD26A6" w:rsidRPr="005A5084" w:rsidRDefault="00FD26A6" w:rsidP="005C0033">
            <w:pPr>
              <w:pStyle w:val="TableTextRight"/>
            </w:pPr>
            <w:r w:rsidRPr="005A5084">
              <w:t>23,243 agreements covering an estimated 2.61 million employees (current as at 31 December 2013)</w:t>
            </w:r>
          </w:p>
        </w:tc>
        <w:tc>
          <w:tcPr>
            <w:tcW w:w="1276" w:type="dxa"/>
            <w:shd w:val="clear" w:color="auto" w:fill="D9D9D9" w:themeFill="background1" w:themeFillShade="D9"/>
          </w:tcPr>
          <w:p w:rsidR="00FD26A6" w:rsidRPr="005A5084" w:rsidRDefault="00FD26A6" w:rsidP="005C0033">
            <w:pPr>
              <w:pStyle w:val="TableTextRight"/>
            </w:pPr>
            <w:r w:rsidRPr="005A5084">
              <w:t>18,936 agreements covering an estimated 2.40 million employees (current as at 31 December 2014)</w:t>
            </w:r>
          </w:p>
        </w:tc>
        <w:tc>
          <w:tcPr>
            <w:tcW w:w="2835" w:type="dxa"/>
            <w:shd w:val="clear" w:color="auto" w:fill="auto"/>
          </w:tcPr>
          <w:p w:rsidR="00FD26A6" w:rsidRPr="005A5084" w:rsidRDefault="00FD26A6" w:rsidP="005C0033">
            <w:pPr>
              <w:pStyle w:val="TableTextRight"/>
            </w:pPr>
            <w:r w:rsidRPr="005A5084">
              <w:t>There was a fall in the number and coverage of enterprise agreements to 18,936 agreements covering an estimated 2.4 million employees as at the December quarter 2014. The fall in the number of agreements is primarily due to industry bargaining cycles, particularly in the construction industry where a large number of agreements that expired earlier in 2014 had not yet been replaced.</w:t>
            </w:r>
          </w:p>
        </w:tc>
      </w:tr>
    </w:tbl>
    <w:p w:rsidR="00FD26A6" w:rsidRDefault="00FD26A6" w:rsidP="00FD26A6"/>
    <w:p w:rsidR="00FD26A6" w:rsidRDefault="00FD26A6" w:rsidP="00FD26A6">
      <w:pPr>
        <w:pStyle w:val="ProgramHeading"/>
      </w:pPr>
      <w:r>
        <w:t>Outcome 2: Departmental outputs</w:t>
      </w:r>
      <w:r w:rsidRPr="00D87D30">
        <w:t xml:space="preserve"> </w:t>
      </w:r>
    </w:p>
    <w:p w:rsidR="00FD26A6" w:rsidRPr="00D87D30" w:rsidRDefault="00FD26A6" w:rsidP="00FD26A6">
      <w:pPr>
        <w:rPr>
          <w:szCs w:val="22"/>
        </w:rPr>
      </w:pPr>
      <w:r w:rsidRPr="00D87D30">
        <w:t>Departmental outputs incorporate a range of program</w:t>
      </w:r>
      <w:r>
        <w:t>me</w:t>
      </w:r>
      <w:r w:rsidRPr="00D87D30">
        <w:t>s and activities managed within the department that help ensure workplaces are safe, fair and productive. This is achieved by, for example, improving the legislative underpinnings of the workplace relations framework, leveraging Commonwealth funding to improve safety on building sites, improving ‘return to work’ outcomes for people injured in the workplace, protecting</w:t>
      </w:r>
      <w:r>
        <w:t xml:space="preserve"> </w:t>
      </w:r>
      <w:r w:rsidRPr="00D87D30">
        <w:t>worker</w:t>
      </w:r>
      <w:r>
        <w:t>s’</w:t>
      </w:r>
      <w:r w:rsidRPr="00D87D30">
        <w:t xml:space="preserve"> entitlements when </w:t>
      </w:r>
      <w:r>
        <w:t xml:space="preserve">their employment terminates because of liquidation or bankruptcy of their employer </w:t>
      </w:r>
      <w:r w:rsidRPr="00D87D30">
        <w:t xml:space="preserve">and engaging with other agencies and internationally to achieve better workplace relations outcomes. </w:t>
      </w:r>
      <w:r w:rsidRPr="00D87D30">
        <w:rPr>
          <w:szCs w:val="22"/>
        </w:rPr>
        <w:t>In 2015</w:t>
      </w:r>
      <w:r>
        <w:rPr>
          <w:szCs w:val="22"/>
        </w:rPr>
        <w:t>–</w:t>
      </w:r>
      <w:r w:rsidRPr="00D87D30">
        <w:rPr>
          <w:szCs w:val="22"/>
        </w:rPr>
        <w:t>16 the department will:</w:t>
      </w:r>
    </w:p>
    <w:p w:rsidR="00FD26A6" w:rsidRPr="00E771A6" w:rsidRDefault="00FD26A6" w:rsidP="00FD26A6">
      <w:pPr>
        <w:pStyle w:val="Bullets"/>
        <w:numPr>
          <w:ilvl w:val="0"/>
          <w:numId w:val="5"/>
        </w:numPr>
        <w:spacing w:before="20" w:after="20"/>
      </w:pPr>
      <w:r w:rsidRPr="00E771A6">
        <w:t>provide legal and policy advice on the operation of the nati</w:t>
      </w:r>
      <w:r>
        <w:t>onal workplace relations system</w:t>
      </w:r>
      <w:r w:rsidRPr="00E771A6">
        <w:t xml:space="preserve"> </w:t>
      </w:r>
    </w:p>
    <w:p w:rsidR="00FD26A6" w:rsidRPr="00E771A6" w:rsidRDefault="00FD26A6" w:rsidP="00FD26A6">
      <w:pPr>
        <w:pStyle w:val="Bullets"/>
        <w:numPr>
          <w:ilvl w:val="0"/>
          <w:numId w:val="5"/>
        </w:numPr>
        <w:spacing w:before="20" w:after="20"/>
      </w:pPr>
      <w:r w:rsidRPr="00E771A6">
        <w:t xml:space="preserve">support the passage of legislative amendments to </w:t>
      </w:r>
      <w:r w:rsidRPr="001C1F6A">
        <w:rPr>
          <w:i/>
        </w:rPr>
        <w:t>the Fair Work Act 2009</w:t>
      </w:r>
      <w:r w:rsidRPr="00E771A6">
        <w:t xml:space="preserve"> and the </w:t>
      </w:r>
      <w:r w:rsidRPr="001C1F6A">
        <w:rPr>
          <w:i/>
        </w:rPr>
        <w:t>Fair Work (Registered Organisations) Act 2009</w:t>
      </w:r>
      <w:r w:rsidRPr="00E771A6">
        <w:t xml:space="preserve"> </w:t>
      </w:r>
      <w:r>
        <w:t>before the Parliament</w:t>
      </w:r>
    </w:p>
    <w:p w:rsidR="00FD26A6" w:rsidRPr="00E771A6" w:rsidRDefault="00FD26A6" w:rsidP="00FD26A6">
      <w:pPr>
        <w:pStyle w:val="Bullets"/>
        <w:numPr>
          <w:ilvl w:val="0"/>
          <w:numId w:val="5"/>
        </w:numPr>
        <w:spacing w:before="20" w:after="20"/>
      </w:pPr>
      <w:r w:rsidRPr="00E771A6">
        <w:t>provide legal and policy advice on key matters before indu</w:t>
      </w:r>
      <w:r>
        <w:t>strial tribunals and the courts</w:t>
      </w:r>
    </w:p>
    <w:p w:rsidR="00FD26A6" w:rsidRPr="00E771A6" w:rsidRDefault="00FD26A6" w:rsidP="00FD26A6">
      <w:pPr>
        <w:pStyle w:val="Bullets"/>
        <w:numPr>
          <w:ilvl w:val="0"/>
          <w:numId w:val="5"/>
        </w:numPr>
        <w:spacing w:before="20" w:after="20"/>
      </w:pPr>
      <w:r w:rsidRPr="00E771A6">
        <w:t xml:space="preserve">provide legal and policy advice on the Comcare Scheme, and support the legislative passage of reforms to the Scheme </w:t>
      </w:r>
    </w:p>
    <w:p w:rsidR="00FD26A6" w:rsidRPr="00E771A6" w:rsidRDefault="00FD26A6" w:rsidP="00FD26A6">
      <w:pPr>
        <w:pStyle w:val="Bullets"/>
        <w:numPr>
          <w:ilvl w:val="0"/>
          <w:numId w:val="5"/>
        </w:numPr>
        <w:spacing w:before="20" w:after="20"/>
      </w:pPr>
      <w:r w:rsidRPr="00E771A6">
        <w:t xml:space="preserve">support improved practices in relation to work health and safety and workers’ compensation </w:t>
      </w:r>
    </w:p>
    <w:p w:rsidR="00FD26A6" w:rsidRPr="00E771A6" w:rsidRDefault="00FD26A6" w:rsidP="00FD26A6">
      <w:pPr>
        <w:pStyle w:val="Bullets"/>
        <w:numPr>
          <w:ilvl w:val="0"/>
          <w:numId w:val="5"/>
        </w:numPr>
        <w:spacing w:before="20" w:after="20"/>
      </w:pPr>
      <w:r w:rsidRPr="00E771A6">
        <w:t xml:space="preserve">work with industry </w:t>
      </w:r>
      <w:r>
        <w:t>participant</w:t>
      </w:r>
      <w:r w:rsidRPr="00E771A6">
        <w:t>s to improve th</w:t>
      </w:r>
      <w:r>
        <w:t xml:space="preserve">e Commonwealth’s </w:t>
      </w:r>
      <w:proofErr w:type="spellStart"/>
      <w:r>
        <w:t>Seacare</w:t>
      </w:r>
      <w:proofErr w:type="spellEnd"/>
      <w:r>
        <w:t xml:space="preserve"> scheme</w:t>
      </w:r>
    </w:p>
    <w:p w:rsidR="00FD26A6" w:rsidRPr="00E771A6" w:rsidRDefault="00FD26A6" w:rsidP="00FD26A6">
      <w:pPr>
        <w:pStyle w:val="Bullets"/>
        <w:numPr>
          <w:ilvl w:val="0"/>
          <w:numId w:val="5"/>
        </w:numPr>
        <w:spacing w:before="20" w:after="20"/>
      </w:pPr>
      <w:r>
        <w:lastRenderedPageBreak/>
        <w:t>i</w:t>
      </w:r>
      <w:r w:rsidRPr="00E771A6">
        <w:t xml:space="preserve">mprove the performance of the building and construction industry by supporting the passage of legislation to re-establish the Australian Building and Construction Commission and issue a revised building code setting out the government’s expectations for </w:t>
      </w:r>
      <w:r>
        <w:t xml:space="preserve">best practice </w:t>
      </w:r>
      <w:r w:rsidRPr="00E771A6">
        <w:t>workplace relations behaviour on construction projects funded by the Commonwealth</w:t>
      </w:r>
    </w:p>
    <w:p w:rsidR="00FD26A6" w:rsidRPr="005A5084" w:rsidRDefault="00FD26A6" w:rsidP="00FD26A6">
      <w:pPr>
        <w:pStyle w:val="Bullets"/>
        <w:numPr>
          <w:ilvl w:val="0"/>
          <w:numId w:val="5"/>
        </w:numPr>
      </w:pPr>
      <w:r w:rsidRPr="005A5084">
        <w:t>contribute to reviews initiated by the Fair Work Commission including the 2016 Annual Wage Review</w:t>
      </w:r>
    </w:p>
    <w:p w:rsidR="00FD26A6" w:rsidRPr="005A5084" w:rsidRDefault="00FD26A6" w:rsidP="00FD26A6">
      <w:pPr>
        <w:pStyle w:val="Bullets"/>
        <w:numPr>
          <w:ilvl w:val="0"/>
          <w:numId w:val="5"/>
        </w:numPr>
      </w:pPr>
      <w:r w:rsidRPr="005A5084">
        <w:t xml:space="preserve">ensure Commonwealth funded projects are undertaken by builders with safety systems and practices accredited by the Federal Safety Commissioner (under the Australian Government Building and Construction </w:t>
      </w:r>
      <w:proofErr w:type="spellStart"/>
      <w:r w:rsidRPr="005A5084">
        <w:t>WHS</w:t>
      </w:r>
      <w:proofErr w:type="spellEnd"/>
      <w:r w:rsidRPr="005A5084">
        <w:t xml:space="preserve"> Accreditation Scheme) </w:t>
      </w:r>
    </w:p>
    <w:p w:rsidR="00FD26A6" w:rsidRPr="005A5084" w:rsidRDefault="00FD26A6" w:rsidP="00FD26A6">
      <w:pPr>
        <w:pStyle w:val="Bullets"/>
        <w:numPr>
          <w:ilvl w:val="0"/>
          <w:numId w:val="5"/>
        </w:numPr>
      </w:pPr>
      <w:r w:rsidRPr="005A5084">
        <w:t>work with the Asbestos Safety and Eradication Agency, Comcare, Fair Work Commission, Fair Work Ombudsman, Office of the Fair Work Building Industry Inspectorate</w:t>
      </w:r>
      <w:r>
        <w:t>,</w:t>
      </w:r>
      <w:r w:rsidRPr="005A5084">
        <w:t xml:space="preserve"> Safe Work Australia and the Workplace Gender Equality Agency to reduce unnecessary regulatory and administrative burden for business </w:t>
      </w:r>
    </w:p>
    <w:p w:rsidR="00FD26A6" w:rsidRPr="005A5084" w:rsidRDefault="00FD26A6" w:rsidP="00FD26A6">
      <w:pPr>
        <w:pStyle w:val="Bullets"/>
        <w:numPr>
          <w:ilvl w:val="0"/>
          <w:numId w:val="5"/>
        </w:numPr>
      </w:pPr>
      <w:r w:rsidRPr="005A5084">
        <w:t>contribute to government initiated reviews including the Productivity Commission inquiry into th</w:t>
      </w:r>
      <w:r>
        <w:t>e workplace relations framework</w:t>
      </w:r>
    </w:p>
    <w:p w:rsidR="00FD26A6" w:rsidRPr="005A5084" w:rsidRDefault="00FD26A6" w:rsidP="00FD26A6">
      <w:pPr>
        <w:pStyle w:val="Bullets"/>
        <w:numPr>
          <w:ilvl w:val="0"/>
          <w:numId w:val="5"/>
        </w:numPr>
      </w:pPr>
      <w:r w:rsidRPr="005A5084">
        <w:t xml:space="preserve">ensure timely and accurate payment of financial assistance to eligible claimants under the </w:t>
      </w:r>
      <w:r w:rsidRPr="00E2256F">
        <w:rPr>
          <w:i/>
        </w:rPr>
        <w:t>Fair Entitlements Guarantee Act 2012</w:t>
      </w:r>
      <w:r w:rsidRPr="005A5084">
        <w:t xml:space="preserve"> which protects certain unpaid employee entitlements where employees lose their employment due to the liquidation or bankruptcy of their employer </w:t>
      </w:r>
    </w:p>
    <w:p w:rsidR="00FD26A6" w:rsidRPr="005A5084" w:rsidRDefault="00FD26A6" w:rsidP="00FD26A6">
      <w:pPr>
        <w:pStyle w:val="Bullets"/>
        <w:numPr>
          <w:ilvl w:val="0"/>
          <w:numId w:val="5"/>
        </w:numPr>
      </w:pPr>
      <w:r w:rsidRPr="005A5084">
        <w:t>administer the Centre for Workplace Leadership Fund to encourage higher performing and innovative workplaces by strengthening Australia’s leadership capability</w:t>
      </w:r>
    </w:p>
    <w:p w:rsidR="00FD26A6" w:rsidRPr="005A5084" w:rsidRDefault="00FD26A6" w:rsidP="00FD26A6">
      <w:pPr>
        <w:pStyle w:val="Bullets"/>
        <w:numPr>
          <w:ilvl w:val="0"/>
          <w:numId w:val="5"/>
        </w:numPr>
      </w:pPr>
      <w:proofErr w:type="gramStart"/>
      <w:r w:rsidRPr="005A5084">
        <w:t>engage</w:t>
      </w:r>
      <w:proofErr w:type="gramEnd"/>
      <w:r w:rsidRPr="005A5084">
        <w:t xml:space="preserve"> strategically with relevant international organisations such as the </w:t>
      </w:r>
      <w:proofErr w:type="spellStart"/>
      <w:r w:rsidRPr="005A5084">
        <w:t>ILO</w:t>
      </w:r>
      <w:proofErr w:type="spellEnd"/>
      <w:r w:rsidRPr="005A5084">
        <w:t xml:space="preserve"> and OECD on workplace relations, work health and safety and employment participation policy issues to advance Australia’s interests.</w:t>
      </w:r>
    </w:p>
    <w:p w:rsidR="00FD26A6" w:rsidRDefault="00FD26A6" w:rsidP="00FD26A6">
      <w:pPr>
        <w:pStyle w:val="TableName"/>
      </w:pPr>
      <w:r>
        <w:br w:type="page"/>
      </w:r>
    </w:p>
    <w:p w:rsidR="00FD26A6" w:rsidRPr="00D87D30" w:rsidRDefault="00FD26A6" w:rsidP="00FD26A6">
      <w:pPr>
        <w:pStyle w:val="TableName"/>
      </w:pPr>
      <w:r w:rsidRPr="00D87D30">
        <w:lastRenderedPageBreak/>
        <w:t xml:space="preserve">Table </w:t>
      </w:r>
      <w:proofErr w:type="spellStart"/>
      <w:r>
        <w:t>2.2.D</w:t>
      </w:r>
      <w:proofErr w:type="spellEnd"/>
      <w:r>
        <w:tab/>
      </w:r>
      <w:r w:rsidRPr="00D87D30">
        <w:t xml:space="preserve">Outcome 2 departmental outputs performance measures </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701"/>
      </w:tblGrid>
      <w:tr w:rsidR="00FD26A6" w:rsidRPr="00E771A6" w:rsidTr="005C0033">
        <w:trPr>
          <w:trHeight w:val="298"/>
          <w:tblHeader/>
        </w:trPr>
        <w:tc>
          <w:tcPr>
            <w:tcW w:w="5637" w:type="dxa"/>
          </w:tcPr>
          <w:p w:rsidR="00FD26A6" w:rsidRPr="00E771A6" w:rsidRDefault="00FD26A6" w:rsidP="005C0033">
            <w:pPr>
              <w:pStyle w:val="TableTextBold"/>
            </w:pPr>
            <w:r w:rsidRPr="00E771A6">
              <w:t>Performance indicator</w:t>
            </w:r>
          </w:p>
        </w:tc>
        <w:tc>
          <w:tcPr>
            <w:tcW w:w="1701" w:type="dxa"/>
          </w:tcPr>
          <w:p w:rsidR="00FD26A6" w:rsidRPr="00E771A6" w:rsidRDefault="00FD26A6" w:rsidP="005C0033">
            <w:pPr>
              <w:pStyle w:val="TableTextBoldRight"/>
            </w:pPr>
            <w:r w:rsidRPr="00E771A6">
              <w:t>2015–16 estimate</w:t>
            </w:r>
          </w:p>
        </w:tc>
      </w:tr>
      <w:tr w:rsidR="00FD26A6" w:rsidRPr="00D87D30" w:rsidTr="005C0033">
        <w:trPr>
          <w:trHeight w:val="704"/>
        </w:trPr>
        <w:tc>
          <w:tcPr>
            <w:tcW w:w="5637" w:type="dxa"/>
          </w:tcPr>
          <w:p w:rsidR="00FD26A6" w:rsidRPr="00D87D30" w:rsidRDefault="00FD26A6" w:rsidP="005C0033">
            <w:pPr>
              <w:pStyle w:val="TableText"/>
            </w:pPr>
            <w:r>
              <w:t>Fair Entitlements Guarantee (</w:t>
            </w:r>
            <w:proofErr w:type="spellStart"/>
            <w:r>
              <w:t>FEG</w:t>
            </w:r>
            <w:proofErr w:type="spellEnd"/>
            <w:r>
              <w:t xml:space="preserve">) - </w:t>
            </w:r>
            <w:r w:rsidRPr="00D87D30">
              <w:t xml:space="preserve">Timeliness of processing claims – percentage of claims processed within 16 weeks of receipt of an effective </w:t>
            </w:r>
            <w:proofErr w:type="spellStart"/>
            <w:r w:rsidRPr="00D87D30">
              <w:t>claim</w:t>
            </w:r>
            <w:r w:rsidRPr="00D87D30">
              <w:rPr>
                <w:vertAlign w:val="superscript"/>
              </w:rPr>
              <w:t>1</w:t>
            </w:r>
            <w:proofErr w:type="spellEnd"/>
          </w:p>
        </w:tc>
        <w:tc>
          <w:tcPr>
            <w:tcW w:w="1701" w:type="dxa"/>
          </w:tcPr>
          <w:p w:rsidR="00FD26A6" w:rsidRPr="00D87D30" w:rsidDel="00F822B8" w:rsidRDefault="00FD26A6" w:rsidP="005C0033">
            <w:pPr>
              <w:pStyle w:val="TableTextRight"/>
            </w:pPr>
            <w:r w:rsidRPr="00D87D30">
              <w:t>80%</w:t>
            </w:r>
          </w:p>
        </w:tc>
      </w:tr>
      <w:tr w:rsidR="00FD26A6" w:rsidRPr="00D87D30" w:rsidTr="005C0033">
        <w:trPr>
          <w:trHeight w:val="474"/>
        </w:trPr>
        <w:tc>
          <w:tcPr>
            <w:tcW w:w="5637" w:type="dxa"/>
          </w:tcPr>
          <w:p w:rsidR="00FD26A6" w:rsidRPr="00D87D30" w:rsidRDefault="00FD26A6" w:rsidP="005C0033">
            <w:pPr>
              <w:pStyle w:val="TableText"/>
            </w:pPr>
            <w:proofErr w:type="spellStart"/>
            <w:r>
              <w:t>FEG</w:t>
            </w:r>
            <w:proofErr w:type="spellEnd"/>
            <w:r>
              <w:t xml:space="preserve"> - </w:t>
            </w:r>
            <w:r w:rsidRPr="00D87D30">
              <w:t xml:space="preserve">Timeliness of processing claims - average processing time for all </w:t>
            </w:r>
            <w:proofErr w:type="spellStart"/>
            <w:r w:rsidRPr="00D87D30">
              <w:t>claims</w:t>
            </w:r>
            <w:r w:rsidRPr="00D87D30">
              <w:rPr>
                <w:vertAlign w:val="superscript"/>
              </w:rPr>
              <w:t>2</w:t>
            </w:r>
            <w:proofErr w:type="spellEnd"/>
          </w:p>
        </w:tc>
        <w:tc>
          <w:tcPr>
            <w:tcW w:w="1701" w:type="dxa"/>
          </w:tcPr>
          <w:p w:rsidR="00FD26A6" w:rsidRPr="00D87D30" w:rsidDel="00F822B8" w:rsidRDefault="00FD26A6" w:rsidP="005C0033">
            <w:pPr>
              <w:pStyle w:val="TableTextRight"/>
            </w:pPr>
            <w:r w:rsidRPr="00D87D30">
              <w:t>14 weeks</w:t>
            </w:r>
          </w:p>
        </w:tc>
      </w:tr>
      <w:tr w:rsidR="00FD26A6" w:rsidRPr="00D87D30" w:rsidTr="005C0033">
        <w:trPr>
          <w:trHeight w:val="259"/>
        </w:trPr>
        <w:tc>
          <w:tcPr>
            <w:tcW w:w="5637" w:type="dxa"/>
          </w:tcPr>
          <w:p w:rsidR="00FD26A6" w:rsidRPr="00D87D30" w:rsidRDefault="00FD26A6" w:rsidP="005C0033">
            <w:pPr>
              <w:pStyle w:val="TableText"/>
              <w:keepNext/>
              <w:keepLines/>
            </w:pPr>
            <w:proofErr w:type="spellStart"/>
            <w:r>
              <w:t>FEG</w:t>
            </w:r>
            <w:proofErr w:type="spellEnd"/>
            <w:r>
              <w:t xml:space="preserve"> - </w:t>
            </w:r>
            <w:r w:rsidRPr="00D87D30">
              <w:t xml:space="preserve">Accuracy – less than 5% of claim decisions are incorrect </w:t>
            </w:r>
            <w:r w:rsidRPr="00D87D30">
              <w:rPr>
                <w:vertAlign w:val="superscript"/>
              </w:rPr>
              <w:t>3</w:t>
            </w:r>
          </w:p>
        </w:tc>
        <w:tc>
          <w:tcPr>
            <w:tcW w:w="1701" w:type="dxa"/>
          </w:tcPr>
          <w:p w:rsidR="00FD26A6" w:rsidRPr="00D87D30" w:rsidDel="00F822B8" w:rsidRDefault="00FD26A6" w:rsidP="005C0033">
            <w:pPr>
              <w:pStyle w:val="TableTextRight"/>
            </w:pPr>
            <w:r w:rsidRPr="00D87D30">
              <w:t>&lt;5%</w:t>
            </w:r>
          </w:p>
        </w:tc>
      </w:tr>
      <w:tr w:rsidR="00FD26A6" w:rsidRPr="00D87D30" w:rsidTr="005C0033">
        <w:trPr>
          <w:trHeight w:val="488"/>
        </w:trPr>
        <w:tc>
          <w:tcPr>
            <w:tcW w:w="5637" w:type="dxa"/>
          </w:tcPr>
          <w:p w:rsidR="00FD26A6" w:rsidRPr="00D87D30" w:rsidRDefault="00FD26A6" w:rsidP="005C0033">
            <w:pPr>
              <w:pStyle w:val="TableText"/>
            </w:pPr>
            <w:proofErr w:type="spellStart"/>
            <w:r>
              <w:t>FEG</w:t>
            </w:r>
            <w:proofErr w:type="spellEnd"/>
            <w:r>
              <w:t xml:space="preserve"> - </w:t>
            </w:r>
            <w:r w:rsidRPr="00D87D30">
              <w:t xml:space="preserve">Stakeholder satisfaction – Claimants are satisfied with the Department’s administration of the Fair Entitlements </w:t>
            </w:r>
            <w:proofErr w:type="spellStart"/>
            <w:r w:rsidRPr="00D87D30">
              <w:t>Guarantee</w:t>
            </w:r>
            <w:r w:rsidRPr="00D87D30">
              <w:rPr>
                <w:vertAlign w:val="superscript"/>
              </w:rPr>
              <w:t>4</w:t>
            </w:r>
            <w:proofErr w:type="spellEnd"/>
          </w:p>
        </w:tc>
        <w:tc>
          <w:tcPr>
            <w:tcW w:w="1701" w:type="dxa"/>
          </w:tcPr>
          <w:p w:rsidR="00FD26A6" w:rsidRPr="00D87D30" w:rsidDel="00F822B8" w:rsidRDefault="00FD26A6" w:rsidP="005C0033">
            <w:pPr>
              <w:pStyle w:val="TableTextRight"/>
            </w:pPr>
            <w:r w:rsidRPr="00D87D30">
              <w:t>80%</w:t>
            </w:r>
          </w:p>
        </w:tc>
      </w:tr>
      <w:tr w:rsidR="00FD26A6" w:rsidRPr="00D87D30" w:rsidTr="005C0033">
        <w:trPr>
          <w:trHeight w:val="259"/>
        </w:trPr>
        <w:tc>
          <w:tcPr>
            <w:tcW w:w="5637" w:type="dxa"/>
          </w:tcPr>
          <w:p w:rsidR="00FD26A6" w:rsidRPr="00D87D30" w:rsidRDefault="00FD26A6" w:rsidP="005C0033">
            <w:pPr>
              <w:pStyle w:val="TableText"/>
            </w:pPr>
            <w:proofErr w:type="spellStart"/>
            <w:r>
              <w:t>FEG</w:t>
            </w:r>
            <w:proofErr w:type="spellEnd"/>
            <w:r>
              <w:t xml:space="preserve"> - </w:t>
            </w:r>
            <w:r w:rsidRPr="00D87D30">
              <w:t>Stakeholder satisfaction – Insolvency practitioners are satisfied with the Department’s administration of the Fair Entitlements Guarantee</w:t>
            </w:r>
          </w:p>
        </w:tc>
        <w:tc>
          <w:tcPr>
            <w:tcW w:w="1701" w:type="dxa"/>
          </w:tcPr>
          <w:p w:rsidR="00FD26A6" w:rsidRPr="00D87D30" w:rsidDel="00F822B8" w:rsidRDefault="00FD26A6" w:rsidP="005C0033">
            <w:pPr>
              <w:pStyle w:val="TableTextRight"/>
            </w:pPr>
            <w:r w:rsidRPr="00D87D30">
              <w:t>80%</w:t>
            </w:r>
          </w:p>
        </w:tc>
      </w:tr>
      <w:tr w:rsidR="00FD26A6" w:rsidRPr="00D87D30" w:rsidTr="005C0033">
        <w:trPr>
          <w:trHeight w:val="259"/>
        </w:trPr>
        <w:tc>
          <w:tcPr>
            <w:tcW w:w="5637" w:type="dxa"/>
          </w:tcPr>
          <w:p w:rsidR="00FD26A6" w:rsidRPr="00D87D30" w:rsidRDefault="00FD26A6" w:rsidP="005C0033">
            <w:pPr>
              <w:pStyle w:val="TableText"/>
            </w:pPr>
            <w:r>
              <w:t xml:space="preserve">Building Code - </w:t>
            </w:r>
            <w:r w:rsidRPr="00D87D30">
              <w:t>Timeliness of departmental responses to client requests for assessment of industrial instruments against the code and guidelines</w:t>
            </w:r>
          </w:p>
        </w:tc>
        <w:tc>
          <w:tcPr>
            <w:tcW w:w="1701" w:type="dxa"/>
          </w:tcPr>
          <w:p w:rsidR="00FD26A6" w:rsidRPr="00D87D30" w:rsidRDefault="00FD26A6" w:rsidP="005C0033">
            <w:pPr>
              <w:pStyle w:val="TableTextRight"/>
            </w:pPr>
            <w:r w:rsidRPr="00D87D30">
              <w:t>95% completed within 10 working days</w:t>
            </w:r>
          </w:p>
        </w:tc>
      </w:tr>
      <w:tr w:rsidR="00FD26A6" w:rsidRPr="00D87D30" w:rsidTr="005C0033">
        <w:trPr>
          <w:trHeight w:val="259"/>
        </w:trPr>
        <w:tc>
          <w:tcPr>
            <w:tcW w:w="5637" w:type="dxa"/>
          </w:tcPr>
          <w:p w:rsidR="00FD26A6" w:rsidRPr="00D87D30" w:rsidRDefault="00FD26A6" w:rsidP="005C0033">
            <w:pPr>
              <w:pStyle w:val="TableText"/>
            </w:pPr>
            <w:r>
              <w:t xml:space="preserve">Australian Government Building and Construction </w:t>
            </w:r>
            <w:proofErr w:type="spellStart"/>
            <w:r>
              <w:t>WHS</w:t>
            </w:r>
            <w:proofErr w:type="spellEnd"/>
            <w:r>
              <w:t xml:space="preserve"> Accreditation Scheme (Scheme) - </w:t>
            </w:r>
            <w:r w:rsidRPr="00D87D30">
              <w:t>Level of satisfaction of clients with the provision of advice, information, education and promotion of safer workplaces on Australian Government construction sites by the Office of the Federal Safety Commissioner</w:t>
            </w:r>
          </w:p>
        </w:tc>
        <w:tc>
          <w:tcPr>
            <w:tcW w:w="1701" w:type="dxa"/>
          </w:tcPr>
          <w:p w:rsidR="00FD26A6" w:rsidRPr="00D87D30" w:rsidRDefault="00FD26A6" w:rsidP="005C0033">
            <w:pPr>
              <w:pStyle w:val="TableTextRight"/>
            </w:pPr>
            <w:r w:rsidRPr="00D87D30">
              <w:t>Effective or above</w:t>
            </w:r>
          </w:p>
        </w:tc>
      </w:tr>
      <w:tr w:rsidR="00FD26A6" w:rsidRPr="00D87D30" w:rsidTr="005C0033">
        <w:trPr>
          <w:trHeight w:val="259"/>
        </w:trPr>
        <w:tc>
          <w:tcPr>
            <w:tcW w:w="5637" w:type="dxa"/>
          </w:tcPr>
          <w:p w:rsidR="00FD26A6" w:rsidRPr="00D87D30" w:rsidRDefault="00FD26A6" w:rsidP="005C0033">
            <w:pPr>
              <w:pStyle w:val="TableText"/>
            </w:pPr>
            <w:r>
              <w:t xml:space="preserve">Scheme - </w:t>
            </w:r>
            <w:r w:rsidRPr="00D87D30">
              <w:t xml:space="preserve">timeliness of responding to initial applications for </w:t>
            </w:r>
            <w:proofErr w:type="spellStart"/>
            <w:r w:rsidRPr="00D87D30">
              <w:t>accreditation</w:t>
            </w:r>
            <w:r w:rsidRPr="00A01CCC">
              <w:rPr>
                <w:vertAlign w:val="superscript"/>
              </w:rPr>
              <w:t>5</w:t>
            </w:r>
            <w:proofErr w:type="spellEnd"/>
          </w:p>
        </w:tc>
        <w:tc>
          <w:tcPr>
            <w:tcW w:w="1701" w:type="dxa"/>
          </w:tcPr>
          <w:p w:rsidR="00FD26A6" w:rsidRPr="00D87D30" w:rsidRDefault="00FD26A6" w:rsidP="005C0033">
            <w:pPr>
              <w:pStyle w:val="TableTextRight"/>
            </w:pPr>
            <w:r w:rsidRPr="00D87D30">
              <w:t>More than 90% of accreditation applications are assessed and contact is made with the applicant within 10 working days</w:t>
            </w:r>
          </w:p>
        </w:tc>
      </w:tr>
    </w:tbl>
    <w:p w:rsidR="00FD26A6" w:rsidRPr="001B029D" w:rsidRDefault="00FD26A6" w:rsidP="00FD26A6">
      <w:pPr>
        <w:pStyle w:val="FootnoteText"/>
      </w:pPr>
    </w:p>
    <w:p w:rsidR="00FD26A6" w:rsidRPr="002B0C48" w:rsidRDefault="00FD26A6" w:rsidP="00FD26A6">
      <w:pPr>
        <w:pStyle w:val="FootnoteText"/>
      </w:pPr>
      <w:r w:rsidRPr="002B0C48">
        <w:rPr>
          <w:vertAlign w:val="superscript"/>
        </w:rPr>
        <w:t>1</w:t>
      </w:r>
      <w:r w:rsidRPr="002B0C48">
        <w:tab/>
        <w:t xml:space="preserve">The timeliness indicator for </w:t>
      </w:r>
      <w:proofErr w:type="spellStart"/>
      <w:r w:rsidRPr="002B0C48">
        <w:t>FEG</w:t>
      </w:r>
      <w:proofErr w:type="spellEnd"/>
      <w:r w:rsidRPr="002B0C48">
        <w:t xml:space="preserve"> 2015–16 has been revised to account for the overall time it takes to process claims under the scheme</w:t>
      </w:r>
      <w:r>
        <w:t>. Previously used indicators related to specific</w:t>
      </w:r>
      <w:r w:rsidRPr="002B0C48">
        <w:t xml:space="preserve"> components of the process only.</w:t>
      </w:r>
    </w:p>
    <w:p w:rsidR="00FD26A6" w:rsidRPr="001C1F6A" w:rsidRDefault="00FD26A6" w:rsidP="00FD26A6">
      <w:pPr>
        <w:pStyle w:val="FootnoteText"/>
      </w:pPr>
      <w:r w:rsidRPr="002B0C48">
        <w:rPr>
          <w:vertAlign w:val="superscript"/>
        </w:rPr>
        <w:t>2</w:t>
      </w:r>
      <w:r w:rsidRPr="002B0C48">
        <w:rPr>
          <w:vertAlign w:val="superscript"/>
        </w:rPr>
        <w:tab/>
      </w:r>
      <w:r w:rsidRPr="001C1F6A">
        <w:t>To provide additional information and transparency on processing times, a second timeliness measure will be implemented from 2015–16.</w:t>
      </w:r>
    </w:p>
    <w:p w:rsidR="00FD26A6" w:rsidRPr="001C1F6A" w:rsidRDefault="00FD26A6" w:rsidP="00FD26A6">
      <w:pPr>
        <w:pStyle w:val="FootnoteText"/>
      </w:pPr>
      <w:r w:rsidRPr="002B0C48">
        <w:rPr>
          <w:vertAlign w:val="superscript"/>
        </w:rPr>
        <w:t>3</w:t>
      </w:r>
      <w:r w:rsidRPr="001C1F6A">
        <w:tab/>
        <w:t>The accuracy indicator has also been revised. Previously, the accuracy of decision making was based on the number of review claim decisions which found the initial decision to be incorrect. This encompassed only a small proportion of all initial claim decisions in the scheme. Expanding the measure to include all claim decisions (regardless of whether they were subject to a review or appeal of the original decision) provides more comprehensive assurance on quality in programme delivery.</w:t>
      </w:r>
    </w:p>
    <w:p w:rsidR="00FD26A6" w:rsidRPr="001C1F6A" w:rsidRDefault="00FD26A6" w:rsidP="00FD26A6">
      <w:pPr>
        <w:pStyle w:val="FootnoteText"/>
      </w:pPr>
      <w:r w:rsidRPr="002B0C48">
        <w:rPr>
          <w:vertAlign w:val="superscript"/>
        </w:rPr>
        <w:t>4</w:t>
      </w:r>
      <w:r w:rsidRPr="001C1F6A">
        <w:tab/>
        <w:t>The stakeholder satisfaction indicator has been revised to incorporate the views of claimants. Stakeholder satisfaction has been previously measured based on the views of insolvency practitioners.</w:t>
      </w:r>
    </w:p>
    <w:p w:rsidR="00940375" w:rsidRDefault="00FD26A6" w:rsidP="000E4343">
      <w:pPr>
        <w:pStyle w:val="FootnoteText"/>
      </w:pPr>
      <w:r w:rsidRPr="002B0C48">
        <w:rPr>
          <w:vertAlign w:val="superscript"/>
        </w:rPr>
        <w:t>5</w:t>
      </w:r>
      <w:r>
        <w:tab/>
        <w:t>Changes to the k</w:t>
      </w:r>
      <w:r w:rsidRPr="001C1F6A">
        <w:t xml:space="preserve">ey </w:t>
      </w:r>
      <w:r>
        <w:t>p</w:t>
      </w:r>
      <w:r w:rsidRPr="001C1F6A">
        <w:t xml:space="preserve">erformance </w:t>
      </w:r>
      <w:r>
        <w:t>i</w:t>
      </w:r>
      <w:r w:rsidRPr="001C1F6A">
        <w:t>ndicators for the Office of the Federal Safety Commissioner are currently being finalised in consultation with the building and construction industry</w:t>
      </w:r>
      <w:r w:rsidRPr="00A01CCC">
        <w:t>.</w:t>
      </w:r>
      <w:bookmarkEnd w:id="0"/>
      <w:bookmarkEnd w:id="1"/>
    </w:p>
    <w:sectPr w:rsidR="00940375" w:rsidSect="000E4343">
      <w:headerReference w:type="even" r:id="rId12"/>
      <w:headerReference w:type="default" r:id="rId13"/>
      <w:footerReference w:type="even" r:id="rId14"/>
      <w:footerReference w:type="default" r:id="rId15"/>
      <w:headerReference w:type="first" r:id="rId16"/>
      <w:footerReference w:type="first" r:id="rId17"/>
      <w:pgSz w:w="9979" w:h="14175" w:code="13"/>
      <w:pgMar w:top="1440" w:right="1440" w:bottom="1440" w:left="1440" w:header="709" w:footer="709"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A6" w:rsidRDefault="00FD26A6" w:rsidP="00FD26A6">
      <w:pPr>
        <w:spacing w:before="0" w:after="0"/>
      </w:pPr>
      <w:r>
        <w:separator/>
      </w:r>
    </w:p>
  </w:endnote>
  <w:endnote w:type="continuationSeparator" w:id="0">
    <w:p w:rsidR="00FD26A6" w:rsidRDefault="00FD26A6" w:rsidP="00FD26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9999999">
    <w:altName w:val="Times New Roman"/>
    <w:panose1 w:val="00000000000000000000"/>
    <w:charset w:val="00"/>
    <w:family w:val="roman"/>
    <w:notTrueType/>
    <w:pitch w:val="default"/>
  </w:font>
  <w:font w:name="Book Antiqua">
    <w:altName w:val="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195044"/>
      <w:docPartObj>
        <w:docPartGallery w:val="Page Numbers (Bottom of Page)"/>
        <w:docPartUnique/>
      </w:docPartObj>
    </w:sdtPr>
    <w:sdtEndPr>
      <w:rPr>
        <w:noProof/>
      </w:rPr>
    </w:sdtEndPr>
    <w:sdtContent>
      <w:p w:rsidR="00C61AC6" w:rsidRDefault="00FD26A6">
        <w:pPr>
          <w:pStyle w:val="Footer"/>
        </w:pPr>
        <w:r>
          <w:fldChar w:fldCharType="begin"/>
        </w:r>
        <w:r>
          <w:instrText xml:space="preserve"> PAGE   \* MERGEFORMAT </w:instrText>
        </w:r>
        <w:r>
          <w:fldChar w:fldCharType="separate"/>
        </w:r>
        <w:r w:rsidR="000E4343">
          <w:rPr>
            <w:noProof/>
          </w:rPr>
          <w:t>34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3072"/>
      <w:docPartObj>
        <w:docPartGallery w:val="Page Numbers (Bottom of Page)"/>
        <w:docPartUnique/>
      </w:docPartObj>
    </w:sdtPr>
    <w:sdtEndPr>
      <w:rPr>
        <w:noProof/>
      </w:rPr>
    </w:sdtEndPr>
    <w:sdtContent>
      <w:p w:rsidR="00C61AC6" w:rsidRDefault="00FD26A6">
        <w:pPr>
          <w:pStyle w:val="Footer"/>
        </w:pPr>
        <w:r>
          <w:fldChar w:fldCharType="begin"/>
        </w:r>
        <w:r>
          <w:instrText xml:space="preserve"> PAGE   \* MERGEFORMAT </w:instrText>
        </w:r>
        <w:r>
          <w:fldChar w:fldCharType="separate"/>
        </w:r>
        <w:r w:rsidR="000E4343">
          <w:rPr>
            <w:noProof/>
          </w:rPr>
          <w:t>43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43" w:rsidRDefault="000E4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A6" w:rsidRDefault="00FD26A6" w:rsidP="00FD26A6">
      <w:pPr>
        <w:spacing w:before="0" w:after="0"/>
      </w:pPr>
      <w:r>
        <w:separator/>
      </w:r>
    </w:p>
  </w:footnote>
  <w:footnote w:type="continuationSeparator" w:id="0">
    <w:p w:rsidR="00FD26A6" w:rsidRDefault="00FD26A6" w:rsidP="00FD26A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AC6" w:rsidRPr="00517384" w:rsidRDefault="00FD26A6" w:rsidP="00517384">
    <w:pPr>
      <w:pStyle w:val="HeaderEven"/>
    </w:pPr>
    <w:bookmarkStart w:id="2" w:name="_GoBack"/>
    <w:bookmarkEnd w:id="2"/>
    <w:r>
      <w:t>Department of Employment Budget Statements 2015–16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AC6" w:rsidRPr="0030537F" w:rsidRDefault="00FD26A6" w:rsidP="000E4343">
    <w:pPr>
      <w:pStyle w:val="HeaderOdd"/>
    </w:pPr>
    <w:r>
      <w:t>Department of Employment Budget Statements 2015–16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43" w:rsidRDefault="000E4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768F83C"/>
    <w:lvl w:ilvl="0">
      <w:start w:val="1"/>
      <w:numFmt w:val="decimal"/>
      <w:pStyle w:val="ListNumber"/>
      <w:lvlText w:val="%1."/>
      <w:lvlJc w:val="left"/>
      <w:pPr>
        <w:tabs>
          <w:tab w:val="num" w:pos="360"/>
        </w:tabs>
        <w:ind w:left="360" w:hanging="360"/>
      </w:pPr>
    </w:lvl>
  </w:abstractNum>
  <w:abstractNum w:abstractNumId="1">
    <w:nsid w:val="01775260"/>
    <w:multiLevelType w:val="multilevel"/>
    <w:tmpl w:val="7B0E2326"/>
    <w:lvl w:ilvl="0">
      <w:start w:val="1"/>
      <w:numFmt w:val="bullet"/>
      <w:lvlText w:val=""/>
      <w:lvlJc w:val="left"/>
      <w:pPr>
        <w:ind w:left="360" w:hanging="360"/>
      </w:pPr>
      <w:rPr>
        <w:rFonts w:ascii="Wingdings" w:hAnsi="Wingdings" w:hint="default"/>
        <w:color w:val="165788"/>
        <w:sz w:val="20"/>
        <w:vertAlign w:val="baseline"/>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2">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nsid w:val="16641DF2"/>
    <w:multiLevelType w:val="hybridMultilevel"/>
    <w:tmpl w:val="F42AA848"/>
    <w:lvl w:ilvl="0" w:tplc="7F847DE4">
      <w:start w:val="1"/>
      <w:numFmt w:val="decimal"/>
      <w:pStyle w:val="numberedpara"/>
      <w:lvlText w:val="%1."/>
      <w:lvlJc w:val="right"/>
      <w:pPr>
        <w:tabs>
          <w:tab w:val="num" w:pos="1134"/>
        </w:tabs>
        <w:ind w:left="567" w:hanging="567"/>
      </w:pPr>
      <w:rPr>
        <w:rFonts w:ascii="Calibri" w:hAnsi="Calibri" w:hint="default"/>
        <w:b w:val="0"/>
        <w:i w:val="0"/>
        <w:color w:val="auto"/>
        <w:sz w:val="22"/>
      </w:rPr>
    </w:lvl>
    <w:lvl w:ilvl="1" w:tplc="0C090005">
      <w:start w:val="1"/>
      <w:numFmt w:val="bullet"/>
      <w:lvlText w:val=""/>
      <w:lvlJc w:val="left"/>
      <w:pPr>
        <w:tabs>
          <w:tab w:val="num" w:pos="1440"/>
        </w:tabs>
        <w:ind w:left="1440" w:hanging="360"/>
      </w:pPr>
      <w:rPr>
        <w:rFonts w:ascii="Wingdings" w:hAnsi="Wingdings" w:hint="default"/>
        <w:b w:val="0"/>
        <w:i w:val="0"/>
        <w:color w:val="auto"/>
        <w:sz w:val="22"/>
      </w:r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5543816"/>
    <w:multiLevelType w:val="hybridMultilevel"/>
    <w:tmpl w:val="841CB9BC"/>
    <w:lvl w:ilvl="0" w:tplc="E8ACABC8">
      <w:start w:val="1"/>
      <w:numFmt w:val="bullet"/>
      <w:lvlText w:val=""/>
      <w:lvlJc w:val="left"/>
      <w:pPr>
        <w:ind w:left="360" w:hanging="360"/>
      </w:pPr>
      <w:rPr>
        <w:rFonts w:ascii="Wingdings" w:hAnsi="Wingdings" w:hint="default"/>
        <w:color w:val="165788"/>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8B56203"/>
    <w:multiLevelType w:val="multilevel"/>
    <w:tmpl w:val="533E0A06"/>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6">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nsid w:val="316C2C4D"/>
    <w:multiLevelType w:val="multilevel"/>
    <w:tmpl w:val="53041CA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1">
    <w:nsid w:val="564608A1"/>
    <w:multiLevelType w:val="hybridMultilevel"/>
    <w:tmpl w:val="61883960"/>
    <w:lvl w:ilvl="0" w:tplc="377E58B0">
      <w:start w:val="1"/>
      <w:numFmt w:val="bullet"/>
      <w:pStyle w:val="Tabletext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
  </w:num>
  <w:num w:numId="2">
    <w:abstractNumId w:val="5"/>
  </w:num>
  <w:num w:numId="3">
    <w:abstractNumId w:val="4"/>
  </w:num>
  <w:num w:numId="4">
    <w:abstractNumId w:val="7"/>
  </w:num>
  <w:num w:numId="5">
    <w:abstractNumId w:val="8"/>
  </w:num>
  <w:num w:numId="6">
    <w:abstractNumId w:val="9"/>
  </w:num>
  <w:num w:numId="7">
    <w:abstractNumId w:val="7"/>
  </w:num>
  <w:num w:numId="8">
    <w:abstractNumId w:val="7"/>
  </w:num>
  <w:num w:numId="9">
    <w:abstractNumId w:val="4"/>
  </w:num>
  <w:num w:numId="10">
    <w:abstractNumId w:val="2"/>
  </w:num>
  <w:num w:numId="11">
    <w:abstractNumId w:val="10"/>
  </w:num>
  <w:num w:numId="12">
    <w:abstractNumId w:val="12"/>
  </w:num>
  <w:num w:numId="13">
    <w:abstractNumId w:val="12"/>
  </w:num>
  <w:num w:numId="14">
    <w:abstractNumId w:val="12"/>
  </w:num>
  <w:num w:numId="15">
    <w:abstractNumId w:val="2"/>
  </w:num>
  <w:num w:numId="16">
    <w:abstractNumId w:val="8"/>
  </w:num>
  <w:num w:numId="17">
    <w:abstractNumId w:val="9"/>
    <w:lvlOverride w:ilvl="0">
      <w:startOverride w:val="1"/>
    </w:lvlOverride>
  </w:num>
  <w:num w:numId="18">
    <w:abstractNumId w:val="13"/>
  </w:num>
  <w:num w:numId="19">
    <w:abstractNumId w:val="2"/>
  </w:num>
  <w:num w:numId="20">
    <w:abstractNumId w:val="2"/>
  </w:num>
  <w:num w:numId="21">
    <w:abstractNumId w:val="14"/>
  </w:num>
  <w:num w:numId="22">
    <w:abstractNumId w:val="14"/>
  </w:num>
  <w:num w:numId="23">
    <w:abstractNumId w:val="0"/>
  </w:num>
  <w:num w:numId="24">
    <w:abstractNumId w:val="0"/>
  </w:num>
  <w:num w:numId="25">
    <w:abstractNumId w:val="3"/>
  </w:num>
  <w:num w:numId="26">
    <w:abstractNumId w:val="6"/>
  </w:num>
  <w:num w:numId="27">
    <w:abstractNumId w:val="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6A6"/>
    <w:rsid w:val="00004C10"/>
    <w:rsid w:val="000144D5"/>
    <w:rsid w:val="00015E63"/>
    <w:rsid w:val="00016036"/>
    <w:rsid w:val="0001746F"/>
    <w:rsid w:val="00022D53"/>
    <w:rsid w:val="00030268"/>
    <w:rsid w:val="0003148A"/>
    <w:rsid w:val="0003149E"/>
    <w:rsid w:val="00034BAC"/>
    <w:rsid w:val="00035B8E"/>
    <w:rsid w:val="00037267"/>
    <w:rsid w:val="000377B5"/>
    <w:rsid w:val="00044E42"/>
    <w:rsid w:val="00046AB8"/>
    <w:rsid w:val="000538F2"/>
    <w:rsid w:val="00055544"/>
    <w:rsid w:val="000602F0"/>
    <w:rsid w:val="00064BDC"/>
    <w:rsid w:val="00066A19"/>
    <w:rsid w:val="00075B20"/>
    <w:rsid w:val="00075F17"/>
    <w:rsid w:val="000847C6"/>
    <w:rsid w:val="00094B5E"/>
    <w:rsid w:val="000A3FAB"/>
    <w:rsid w:val="000B1F7A"/>
    <w:rsid w:val="000B682D"/>
    <w:rsid w:val="000B750C"/>
    <w:rsid w:val="000B759A"/>
    <w:rsid w:val="000C0CC3"/>
    <w:rsid w:val="000C0F06"/>
    <w:rsid w:val="000C4EDF"/>
    <w:rsid w:val="000C7090"/>
    <w:rsid w:val="000E18A6"/>
    <w:rsid w:val="000E1B32"/>
    <w:rsid w:val="000E4343"/>
    <w:rsid w:val="000E4800"/>
    <w:rsid w:val="000E512C"/>
    <w:rsid w:val="000F339B"/>
    <w:rsid w:val="000F357D"/>
    <w:rsid w:val="00102CCD"/>
    <w:rsid w:val="00105CB9"/>
    <w:rsid w:val="001177A0"/>
    <w:rsid w:val="0012324B"/>
    <w:rsid w:val="001342AA"/>
    <w:rsid w:val="00134D00"/>
    <w:rsid w:val="001374CA"/>
    <w:rsid w:val="0015415C"/>
    <w:rsid w:val="00156D94"/>
    <w:rsid w:val="00172271"/>
    <w:rsid w:val="00172929"/>
    <w:rsid w:val="00177090"/>
    <w:rsid w:val="0018061C"/>
    <w:rsid w:val="0018116D"/>
    <w:rsid w:val="001836F9"/>
    <w:rsid w:val="001863E8"/>
    <w:rsid w:val="001876DC"/>
    <w:rsid w:val="00190A07"/>
    <w:rsid w:val="00193605"/>
    <w:rsid w:val="00196657"/>
    <w:rsid w:val="001A1080"/>
    <w:rsid w:val="001A3E03"/>
    <w:rsid w:val="001A47B5"/>
    <w:rsid w:val="001A64FB"/>
    <w:rsid w:val="001A6978"/>
    <w:rsid w:val="001B004D"/>
    <w:rsid w:val="001C07C1"/>
    <w:rsid w:val="001C67E5"/>
    <w:rsid w:val="001C726D"/>
    <w:rsid w:val="001E68B7"/>
    <w:rsid w:val="001F4D7E"/>
    <w:rsid w:val="001F659A"/>
    <w:rsid w:val="0021036F"/>
    <w:rsid w:val="002133B9"/>
    <w:rsid w:val="00225087"/>
    <w:rsid w:val="00234BB5"/>
    <w:rsid w:val="00235B1D"/>
    <w:rsid w:val="002408C4"/>
    <w:rsid w:val="00244ADF"/>
    <w:rsid w:val="00256262"/>
    <w:rsid w:val="00261113"/>
    <w:rsid w:val="00264665"/>
    <w:rsid w:val="00272D80"/>
    <w:rsid w:val="0027380F"/>
    <w:rsid w:val="002758DB"/>
    <w:rsid w:val="0028292B"/>
    <w:rsid w:val="0028459B"/>
    <w:rsid w:val="00285A95"/>
    <w:rsid w:val="0029279C"/>
    <w:rsid w:val="00292808"/>
    <w:rsid w:val="00297369"/>
    <w:rsid w:val="002A005D"/>
    <w:rsid w:val="002A1F7B"/>
    <w:rsid w:val="002A3140"/>
    <w:rsid w:val="002A3A6A"/>
    <w:rsid w:val="002A5FA6"/>
    <w:rsid w:val="002B2012"/>
    <w:rsid w:val="002B282D"/>
    <w:rsid w:val="002B43CC"/>
    <w:rsid w:val="002B75D0"/>
    <w:rsid w:val="002C48D9"/>
    <w:rsid w:val="002C7C0C"/>
    <w:rsid w:val="002D1947"/>
    <w:rsid w:val="002D4F40"/>
    <w:rsid w:val="002E0D84"/>
    <w:rsid w:val="002E23D3"/>
    <w:rsid w:val="002E2F15"/>
    <w:rsid w:val="002E3FCB"/>
    <w:rsid w:val="002E5D16"/>
    <w:rsid w:val="002F2FBB"/>
    <w:rsid w:val="002F79B2"/>
    <w:rsid w:val="00303A34"/>
    <w:rsid w:val="003071F6"/>
    <w:rsid w:val="00310244"/>
    <w:rsid w:val="003136EF"/>
    <w:rsid w:val="00315C7F"/>
    <w:rsid w:val="0032301B"/>
    <w:rsid w:val="00324583"/>
    <w:rsid w:val="0033392C"/>
    <w:rsid w:val="00334ECC"/>
    <w:rsid w:val="003424F8"/>
    <w:rsid w:val="003513DC"/>
    <w:rsid w:val="003542EA"/>
    <w:rsid w:val="00356B48"/>
    <w:rsid w:val="00364051"/>
    <w:rsid w:val="0036449D"/>
    <w:rsid w:val="00364756"/>
    <w:rsid w:val="00365EF1"/>
    <w:rsid w:val="0036617D"/>
    <w:rsid w:val="003667B0"/>
    <w:rsid w:val="003718E5"/>
    <w:rsid w:val="00373A47"/>
    <w:rsid w:val="00374051"/>
    <w:rsid w:val="003835D3"/>
    <w:rsid w:val="00385B47"/>
    <w:rsid w:val="00387B86"/>
    <w:rsid w:val="00390D23"/>
    <w:rsid w:val="00391C2B"/>
    <w:rsid w:val="003A310A"/>
    <w:rsid w:val="003A6586"/>
    <w:rsid w:val="003B7C61"/>
    <w:rsid w:val="003C21B9"/>
    <w:rsid w:val="003D489F"/>
    <w:rsid w:val="003E47EF"/>
    <w:rsid w:val="003F18E0"/>
    <w:rsid w:val="003F38FF"/>
    <w:rsid w:val="003F6491"/>
    <w:rsid w:val="0040234B"/>
    <w:rsid w:val="004117A2"/>
    <w:rsid w:val="004165ED"/>
    <w:rsid w:val="00417541"/>
    <w:rsid w:val="004247DA"/>
    <w:rsid w:val="004268AE"/>
    <w:rsid w:val="00427D1D"/>
    <w:rsid w:val="0043408C"/>
    <w:rsid w:val="004359DD"/>
    <w:rsid w:val="00443900"/>
    <w:rsid w:val="0044528B"/>
    <w:rsid w:val="00453B92"/>
    <w:rsid w:val="004566CF"/>
    <w:rsid w:val="00457CEF"/>
    <w:rsid w:val="004610EE"/>
    <w:rsid w:val="0046423A"/>
    <w:rsid w:val="004643C1"/>
    <w:rsid w:val="004659DD"/>
    <w:rsid w:val="00465A0D"/>
    <w:rsid w:val="00467A21"/>
    <w:rsid w:val="00474605"/>
    <w:rsid w:val="00474BDB"/>
    <w:rsid w:val="00474DB0"/>
    <w:rsid w:val="00481205"/>
    <w:rsid w:val="00481A53"/>
    <w:rsid w:val="00481B9F"/>
    <w:rsid w:val="00484C36"/>
    <w:rsid w:val="00490649"/>
    <w:rsid w:val="00492B13"/>
    <w:rsid w:val="00493577"/>
    <w:rsid w:val="00493D11"/>
    <w:rsid w:val="00494C74"/>
    <w:rsid w:val="00497735"/>
    <w:rsid w:val="004A266E"/>
    <w:rsid w:val="004A291B"/>
    <w:rsid w:val="004A3D21"/>
    <w:rsid w:val="004A51CE"/>
    <w:rsid w:val="004B1445"/>
    <w:rsid w:val="004B417D"/>
    <w:rsid w:val="004C36C9"/>
    <w:rsid w:val="004D55B4"/>
    <w:rsid w:val="004D63AF"/>
    <w:rsid w:val="004E06A0"/>
    <w:rsid w:val="004E0EAA"/>
    <w:rsid w:val="004E1241"/>
    <w:rsid w:val="004E1B43"/>
    <w:rsid w:val="004E463C"/>
    <w:rsid w:val="004E66AB"/>
    <w:rsid w:val="004F2A28"/>
    <w:rsid w:val="004F2FC6"/>
    <w:rsid w:val="004F4856"/>
    <w:rsid w:val="0050034F"/>
    <w:rsid w:val="00501854"/>
    <w:rsid w:val="00507BB3"/>
    <w:rsid w:val="00521AFA"/>
    <w:rsid w:val="00530E65"/>
    <w:rsid w:val="00532C47"/>
    <w:rsid w:val="00535E1B"/>
    <w:rsid w:val="005427AB"/>
    <w:rsid w:val="005428BC"/>
    <w:rsid w:val="00544FBF"/>
    <w:rsid w:val="00544FDD"/>
    <w:rsid w:val="00546BE4"/>
    <w:rsid w:val="00547C8B"/>
    <w:rsid w:val="0055116B"/>
    <w:rsid w:val="00560B8A"/>
    <w:rsid w:val="0056334F"/>
    <w:rsid w:val="00563BC0"/>
    <w:rsid w:val="005678E9"/>
    <w:rsid w:val="00572CF5"/>
    <w:rsid w:val="0057325A"/>
    <w:rsid w:val="00583A3D"/>
    <w:rsid w:val="00583B6A"/>
    <w:rsid w:val="00586C65"/>
    <w:rsid w:val="0058740F"/>
    <w:rsid w:val="00590A43"/>
    <w:rsid w:val="005A2A3C"/>
    <w:rsid w:val="005A7BA9"/>
    <w:rsid w:val="005B6468"/>
    <w:rsid w:val="005B72E0"/>
    <w:rsid w:val="005C2268"/>
    <w:rsid w:val="005C3BA6"/>
    <w:rsid w:val="005C7522"/>
    <w:rsid w:val="005C7C9B"/>
    <w:rsid w:val="005D2780"/>
    <w:rsid w:val="005D28D3"/>
    <w:rsid w:val="005D3EFF"/>
    <w:rsid w:val="005D7A74"/>
    <w:rsid w:val="005E266E"/>
    <w:rsid w:val="005E2EA4"/>
    <w:rsid w:val="005E3144"/>
    <w:rsid w:val="005E4AFF"/>
    <w:rsid w:val="005E64A4"/>
    <w:rsid w:val="005F2573"/>
    <w:rsid w:val="005F2C83"/>
    <w:rsid w:val="005F56D0"/>
    <w:rsid w:val="005F570C"/>
    <w:rsid w:val="005F695F"/>
    <w:rsid w:val="00607F03"/>
    <w:rsid w:val="0061265C"/>
    <w:rsid w:val="006130A8"/>
    <w:rsid w:val="00615938"/>
    <w:rsid w:val="00617B77"/>
    <w:rsid w:val="00621856"/>
    <w:rsid w:val="00621F7C"/>
    <w:rsid w:val="006274B5"/>
    <w:rsid w:val="0063162C"/>
    <w:rsid w:val="00632A38"/>
    <w:rsid w:val="006443E2"/>
    <w:rsid w:val="00645A0F"/>
    <w:rsid w:val="00650566"/>
    <w:rsid w:val="00652B55"/>
    <w:rsid w:val="00654C7F"/>
    <w:rsid w:val="00670169"/>
    <w:rsid w:val="006723D0"/>
    <w:rsid w:val="00673D59"/>
    <w:rsid w:val="0067508D"/>
    <w:rsid w:val="0067518A"/>
    <w:rsid w:val="006803A6"/>
    <w:rsid w:val="00685E03"/>
    <w:rsid w:val="006955F8"/>
    <w:rsid w:val="00695664"/>
    <w:rsid w:val="006959D9"/>
    <w:rsid w:val="006A4624"/>
    <w:rsid w:val="006B0356"/>
    <w:rsid w:val="006B06BA"/>
    <w:rsid w:val="006B0D80"/>
    <w:rsid w:val="006B3621"/>
    <w:rsid w:val="006B47D4"/>
    <w:rsid w:val="006B5C97"/>
    <w:rsid w:val="006C3FDE"/>
    <w:rsid w:val="006C4E76"/>
    <w:rsid w:val="006C7F09"/>
    <w:rsid w:val="006D483D"/>
    <w:rsid w:val="006E5A98"/>
    <w:rsid w:val="006E6066"/>
    <w:rsid w:val="006F5A47"/>
    <w:rsid w:val="006F6387"/>
    <w:rsid w:val="0070111A"/>
    <w:rsid w:val="00701C08"/>
    <w:rsid w:val="00701F77"/>
    <w:rsid w:val="00710089"/>
    <w:rsid w:val="0071428A"/>
    <w:rsid w:val="00714FF0"/>
    <w:rsid w:val="00715462"/>
    <w:rsid w:val="00731C1B"/>
    <w:rsid w:val="0073703E"/>
    <w:rsid w:val="00755BFC"/>
    <w:rsid w:val="00762379"/>
    <w:rsid w:val="00770218"/>
    <w:rsid w:val="00773200"/>
    <w:rsid w:val="00773515"/>
    <w:rsid w:val="00781115"/>
    <w:rsid w:val="00783E43"/>
    <w:rsid w:val="007A04D0"/>
    <w:rsid w:val="007A66C7"/>
    <w:rsid w:val="007B48D0"/>
    <w:rsid w:val="007B4DCB"/>
    <w:rsid w:val="007C2C55"/>
    <w:rsid w:val="007C6375"/>
    <w:rsid w:val="007D3FF8"/>
    <w:rsid w:val="007D6577"/>
    <w:rsid w:val="007D6746"/>
    <w:rsid w:val="007D706E"/>
    <w:rsid w:val="007E2FB7"/>
    <w:rsid w:val="007E3A81"/>
    <w:rsid w:val="007E52C1"/>
    <w:rsid w:val="007E616D"/>
    <w:rsid w:val="007E7186"/>
    <w:rsid w:val="007F25F4"/>
    <w:rsid w:val="007F60CA"/>
    <w:rsid w:val="007F62A5"/>
    <w:rsid w:val="00803663"/>
    <w:rsid w:val="00806C56"/>
    <w:rsid w:val="008077C5"/>
    <w:rsid w:val="008273A7"/>
    <w:rsid w:val="00835621"/>
    <w:rsid w:val="00837A18"/>
    <w:rsid w:val="00841A4A"/>
    <w:rsid w:val="0084223C"/>
    <w:rsid w:val="00844773"/>
    <w:rsid w:val="00845E2A"/>
    <w:rsid w:val="00850A55"/>
    <w:rsid w:val="008573F3"/>
    <w:rsid w:val="00862186"/>
    <w:rsid w:val="0086527D"/>
    <w:rsid w:val="0086615D"/>
    <w:rsid w:val="008722DB"/>
    <w:rsid w:val="0087231A"/>
    <w:rsid w:val="00876A47"/>
    <w:rsid w:val="00884492"/>
    <w:rsid w:val="0088558E"/>
    <w:rsid w:val="00886C7D"/>
    <w:rsid w:val="00890F21"/>
    <w:rsid w:val="00897128"/>
    <w:rsid w:val="0089748E"/>
    <w:rsid w:val="008A2F4A"/>
    <w:rsid w:val="008A638E"/>
    <w:rsid w:val="008B2380"/>
    <w:rsid w:val="008C09B8"/>
    <w:rsid w:val="008C36A1"/>
    <w:rsid w:val="008C3C82"/>
    <w:rsid w:val="008D3921"/>
    <w:rsid w:val="008E5E4D"/>
    <w:rsid w:val="008F5360"/>
    <w:rsid w:val="00906F9B"/>
    <w:rsid w:val="00925E95"/>
    <w:rsid w:val="00932D2A"/>
    <w:rsid w:val="00940063"/>
    <w:rsid w:val="00940375"/>
    <w:rsid w:val="00940822"/>
    <w:rsid w:val="009475AF"/>
    <w:rsid w:val="00951C34"/>
    <w:rsid w:val="0095536D"/>
    <w:rsid w:val="00963A09"/>
    <w:rsid w:val="00964475"/>
    <w:rsid w:val="00967311"/>
    <w:rsid w:val="009702F5"/>
    <w:rsid w:val="00976D32"/>
    <w:rsid w:val="00980FD4"/>
    <w:rsid w:val="00993BF9"/>
    <w:rsid w:val="0099493D"/>
    <w:rsid w:val="009C2FAD"/>
    <w:rsid w:val="009C3331"/>
    <w:rsid w:val="009D110C"/>
    <w:rsid w:val="009D165E"/>
    <w:rsid w:val="009D2BB9"/>
    <w:rsid w:val="009D671A"/>
    <w:rsid w:val="009E40FE"/>
    <w:rsid w:val="009E609B"/>
    <w:rsid w:val="009F0EC3"/>
    <w:rsid w:val="009F3925"/>
    <w:rsid w:val="009F5E4A"/>
    <w:rsid w:val="009F5FFF"/>
    <w:rsid w:val="009F635D"/>
    <w:rsid w:val="00A03F29"/>
    <w:rsid w:val="00A05D64"/>
    <w:rsid w:val="00A113B6"/>
    <w:rsid w:val="00A128D1"/>
    <w:rsid w:val="00A178A8"/>
    <w:rsid w:val="00A232C0"/>
    <w:rsid w:val="00A2669A"/>
    <w:rsid w:val="00A31DD2"/>
    <w:rsid w:val="00A33E70"/>
    <w:rsid w:val="00A35A71"/>
    <w:rsid w:val="00A37FBC"/>
    <w:rsid w:val="00A431DD"/>
    <w:rsid w:val="00A516E1"/>
    <w:rsid w:val="00A5194B"/>
    <w:rsid w:val="00A529D9"/>
    <w:rsid w:val="00A54C9B"/>
    <w:rsid w:val="00A57AAC"/>
    <w:rsid w:val="00A57FEA"/>
    <w:rsid w:val="00A60328"/>
    <w:rsid w:val="00A64046"/>
    <w:rsid w:val="00A725B0"/>
    <w:rsid w:val="00A7775F"/>
    <w:rsid w:val="00A7780F"/>
    <w:rsid w:val="00A81BA8"/>
    <w:rsid w:val="00A823D7"/>
    <w:rsid w:val="00A84F32"/>
    <w:rsid w:val="00A87D41"/>
    <w:rsid w:val="00A87E02"/>
    <w:rsid w:val="00AA0655"/>
    <w:rsid w:val="00AA2561"/>
    <w:rsid w:val="00AA2953"/>
    <w:rsid w:val="00AA5589"/>
    <w:rsid w:val="00AA647C"/>
    <w:rsid w:val="00AB20D0"/>
    <w:rsid w:val="00AB36C4"/>
    <w:rsid w:val="00AC07C8"/>
    <w:rsid w:val="00AC355B"/>
    <w:rsid w:val="00AC35E5"/>
    <w:rsid w:val="00AC78FE"/>
    <w:rsid w:val="00AD3146"/>
    <w:rsid w:val="00AD5F2D"/>
    <w:rsid w:val="00AD6A2F"/>
    <w:rsid w:val="00AE0709"/>
    <w:rsid w:val="00AE36EF"/>
    <w:rsid w:val="00AE4089"/>
    <w:rsid w:val="00AE5E2C"/>
    <w:rsid w:val="00AE73AD"/>
    <w:rsid w:val="00AF654B"/>
    <w:rsid w:val="00B1351B"/>
    <w:rsid w:val="00B144D9"/>
    <w:rsid w:val="00B16A46"/>
    <w:rsid w:val="00B170F8"/>
    <w:rsid w:val="00B20EA9"/>
    <w:rsid w:val="00B23C1E"/>
    <w:rsid w:val="00B2450E"/>
    <w:rsid w:val="00B24F02"/>
    <w:rsid w:val="00B26010"/>
    <w:rsid w:val="00B27898"/>
    <w:rsid w:val="00B31B07"/>
    <w:rsid w:val="00B32286"/>
    <w:rsid w:val="00B37713"/>
    <w:rsid w:val="00B40330"/>
    <w:rsid w:val="00B4195F"/>
    <w:rsid w:val="00B46565"/>
    <w:rsid w:val="00B468B5"/>
    <w:rsid w:val="00B47B87"/>
    <w:rsid w:val="00B5350B"/>
    <w:rsid w:val="00B577EC"/>
    <w:rsid w:val="00B62BB5"/>
    <w:rsid w:val="00B75948"/>
    <w:rsid w:val="00B90B8B"/>
    <w:rsid w:val="00B9450C"/>
    <w:rsid w:val="00B96339"/>
    <w:rsid w:val="00BA1CCC"/>
    <w:rsid w:val="00BA1ECA"/>
    <w:rsid w:val="00BA2F82"/>
    <w:rsid w:val="00BA3A54"/>
    <w:rsid w:val="00BB2E05"/>
    <w:rsid w:val="00BB5FBB"/>
    <w:rsid w:val="00BC2427"/>
    <w:rsid w:val="00BC495D"/>
    <w:rsid w:val="00BD39AB"/>
    <w:rsid w:val="00BD79CA"/>
    <w:rsid w:val="00BE0D5F"/>
    <w:rsid w:val="00BE1AD5"/>
    <w:rsid w:val="00BE331C"/>
    <w:rsid w:val="00BE3BF3"/>
    <w:rsid w:val="00BE72CA"/>
    <w:rsid w:val="00BE76CA"/>
    <w:rsid w:val="00BF1F3F"/>
    <w:rsid w:val="00C0122C"/>
    <w:rsid w:val="00C212B0"/>
    <w:rsid w:val="00C4594C"/>
    <w:rsid w:val="00C55989"/>
    <w:rsid w:val="00C57004"/>
    <w:rsid w:val="00C64677"/>
    <w:rsid w:val="00C66EBF"/>
    <w:rsid w:val="00C71B2C"/>
    <w:rsid w:val="00C74B28"/>
    <w:rsid w:val="00C75FCD"/>
    <w:rsid w:val="00C7719D"/>
    <w:rsid w:val="00C82718"/>
    <w:rsid w:val="00C84EEB"/>
    <w:rsid w:val="00C96BEB"/>
    <w:rsid w:val="00CA2B3C"/>
    <w:rsid w:val="00CA2F5E"/>
    <w:rsid w:val="00CA3164"/>
    <w:rsid w:val="00CB3B86"/>
    <w:rsid w:val="00CB5257"/>
    <w:rsid w:val="00CC0AE0"/>
    <w:rsid w:val="00CC374D"/>
    <w:rsid w:val="00CC3E12"/>
    <w:rsid w:val="00CD05C2"/>
    <w:rsid w:val="00CD1937"/>
    <w:rsid w:val="00CD65F7"/>
    <w:rsid w:val="00CE2ED0"/>
    <w:rsid w:val="00CE4139"/>
    <w:rsid w:val="00CE4A40"/>
    <w:rsid w:val="00CE5C7E"/>
    <w:rsid w:val="00CF0CE8"/>
    <w:rsid w:val="00CF2A0C"/>
    <w:rsid w:val="00CF618A"/>
    <w:rsid w:val="00CF6C8A"/>
    <w:rsid w:val="00CF7345"/>
    <w:rsid w:val="00D07CCE"/>
    <w:rsid w:val="00D13A6C"/>
    <w:rsid w:val="00D17EDE"/>
    <w:rsid w:val="00D2391F"/>
    <w:rsid w:val="00D26757"/>
    <w:rsid w:val="00D310A1"/>
    <w:rsid w:val="00D32346"/>
    <w:rsid w:val="00D32A96"/>
    <w:rsid w:val="00D32BCE"/>
    <w:rsid w:val="00D35992"/>
    <w:rsid w:val="00D408FF"/>
    <w:rsid w:val="00D46A88"/>
    <w:rsid w:val="00D54FA6"/>
    <w:rsid w:val="00D64030"/>
    <w:rsid w:val="00D656AA"/>
    <w:rsid w:val="00D656DA"/>
    <w:rsid w:val="00D661BC"/>
    <w:rsid w:val="00D67282"/>
    <w:rsid w:val="00D70A07"/>
    <w:rsid w:val="00D71C71"/>
    <w:rsid w:val="00D753F4"/>
    <w:rsid w:val="00D77939"/>
    <w:rsid w:val="00D874E1"/>
    <w:rsid w:val="00D91AE1"/>
    <w:rsid w:val="00D94DB1"/>
    <w:rsid w:val="00D94DD7"/>
    <w:rsid w:val="00D94F6A"/>
    <w:rsid w:val="00DA36D3"/>
    <w:rsid w:val="00DA7831"/>
    <w:rsid w:val="00DB2AB0"/>
    <w:rsid w:val="00DB2C83"/>
    <w:rsid w:val="00DC254A"/>
    <w:rsid w:val="00DC616F"/>
    <w:rsid w:val="00DC61B0"/>
    <w:rsid w:val="00DC6550"/>
    <w:rsid w:val="00DD119B"/>
    <w:rsid w:val="00DD2B3E"/>
    <w:rsid w:val="00DD4F31"/>
    <w:rsid w:val="00DD5F5B"/>
    <w:rsid w:val="00DE0AF3"/>
    <w:rsid w:val="00DF2C06"/>
    <w:rsid w:val="00DF6F7B"/>
    <w:rsid w:val="00E02C57"/>
    <w:rsid w:val="00E02CF9"/>
    <w:rsid w:val="00E050B0"/>
    <w:rsid w:val="00E1203B"/>
    <w:rsid w:val="00E23323"/>
    <w:rsid w:val="00E23682"/>
    <w:rsid w:val="00E251ED"/>
    <w:rsid w:val="00E27153"/>
    <w:rsid w:val="00E3651D"/>
    <w:rsid w:val="00E37681"/>
    <w:rsid w:val="00E530B7"/>
    <w:rsid w:val="00E550C0"/>
    <w:rsid w:val="00E562E4"/>
    <w:rsid w:val="00E676F9"/>
    <w:rsid w:val="00E70CE3"/>
    <w:rsid w:val="00E75F41"/>
    <w:rsid w:val="00E8160E"/>
    <w:rsid w:val="00E86D13"/>
    <w:rsid w:val="00E90E13"/>
    <w:rsid w:val="00E97341"/>
    <w:rsid w:val="00EA241A"/>
    <w:rsid w:val="00EA46B7"/>
    <w:rsid w:val="00EA70F5"/>
    <w:rsid w:val="00EB2AB1"/>
    <w:rsid w:val="00EB4FC4"/>
    <w:rsid w:val="00EB52FA"/>
    <w:rsid w:val="00EB7545"/>
    <w:rsid w:val="00EC123D"/>
    <w:rsid w:val="00EC1ED9"/>
    <w:rsid w:val="00EC4B43"/>
    <w:rsid w:val="00EC77A2"/>
    <w:rsid w:val="00EC79D3"/>
    <w:rsid w:val="00ED02A4"/>
    <w:rsid w:val="00ED1488"/>
    <w:rsid w:val="00ED2CF9"/>
    <w:rsid w:val="00ED2D14"/>
    <w:rsid w:val="00ED4B63"/>
    <w:rsid w:val="00ED5F79"/>
    <w:rsid w:val="00EE4899"/>
    <w:rsid w:val="00EE731D"/>
    <w:rsid w:val="00EE733E"/>
    <w:rsid w:val="00EE7708"/>
    <w:rsid w:val="00EF11BB"/>
    <w:rsid w:val="00EF26C0"/>
    <w:rsid w:val="00EF59C1"/>
    <w:rsid w:val="00F01698"/>
    <w:rsid w:val="00F12255"/>
    <w:rsid w:val="00F13223"/>
    <w:rsid w:val="00F142A0"/>
    <w:rsid w:val="00F20B97"/>
    <w:rsid w:val="00F25E28"/>
    <w:rsid w:val="00F2642B"/>
    <w:rsid w:val="00F47957"/>
    <w:rsid w:val="00F50FE6"/>
    <w:rsid w:val="00F7299D"/>
    <w:rsid w:val="00F7618B"/>
    <w:rsid w:val="00F80CD4"/>
    <w:rsid w:val="00F8361A"/>
    <w:rsid w:val="00F91106"/>
    <w:rsid w:val="00F93B6A"/>
    <w:rsid w:val="00FA1527"/>
    <w:rsid w:val="00FA1C7D"/>
    <w:rsid w:val="00FA59CD"/>
    <w:rsid w:val="00FA5E88"/>
    <w:rsid w:val="00FA6AE6"/>
    <w:rsid w:val="00FB12C8"/>
    <w:rsid w:val="00FB5634"/>
    <w:rsid w:val="00FB6E49"/>
    <w:rsid w:val="00FC0A60"/>
    <w:rsid w:val="00FC6361"/>
    <w:rsid w:val="00FD0EBC"/>
    <w:rsid w:val="00FD1A8F"/>
    <w:rsid w:val="00FD26A6"/>
    <w:rsid w:val="00FD7E68"/>
    <w:rsid w:val="00FD7F57"/>
    <w:rsid w:val="00FE4943"/>
    <w:rsid w:val="00FE65A8"/>
    <w:rsid w:val="00FE7288"/>
    <w:rsid w:val="00FE7AB1"/>
    <w:rsid w:val="00FF267A"/>
    <w:rsid w:val="00FF3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6A6"/>
    <w:pPr>
      <w:spacing w:before="80" w:after="80" w:line="240" w:lineRule="auto"/>
    </w:pPr>
    <w:rPr>
      <w:rFonts w:ascii="Book Antiqua" w:hAnsi="Book Antiqua" w:cs="Times New Roman"/>
      <w:sz w:val="20"/>
      <w:szCs w:val="20"/>
      <w:lang w:eastAsia="en-AU"/>
    </w:rPr>
  </w:style>
  <w:style w:type="paragraph" w:styleId="Heading1">
    <w:name w:val="heading 1"/>
    <w:basedOn w:val="HeadingBase"/>
    <w:next w:val="Normal"/>
    <w:link w:val="Heading1Char"/>
    <w:qFormat/>
    <w:rsid w:val="00FD26A6"/>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D26A6"/>
    <w:pPr>
      <w:spacing w:before="360" w:after="360"/>
      <w:outlineLvl w:val="1"/>
    </w:pPr>
    <w:rPr>
      <w:sz w:val="30"/>
    </w:rPr>
  </w:style>
  <w:style w:type="paragraph" w:styleId="Heading3">
    <w:name w:val="heading 3"/>
    <w:basedOn w:val="HeadingBase"/>
    <w:next w:val="Normal"/>
    <w:link w:val="Heading3Char"/>
    <w:qFormat/>
    <w:rsid w:val="00FD26A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FD26A6"/>
    <w:pPr>
      <w:tabs>
        <w:tab w:val="left" w:pos="709"/>
      </w:tabs>
      <w:spacing w:before="120" w:after="120"/>
      <w:outlineLvl w:val="3"/>
    </w:pPr>
    <w:rPr>
      <w:b/>
      <w:sz w:val="22"/>
    </w:rPr>
  </w:style>
  <w:style w:type="paragraph" w:styleId="Heading5">
    <w:name w:val="heading 5"/>
    <w:basedOn w:val="HeadingBase"/>
    <w:next w:val="Normal"/>
    <w:link w:val="Heading5Char"/>
    <w:qFormat/>
    <w:rsid w:val="00FD26A6"/>
    <w:pPr>
      <w:spacing w:before="240" w:after="60" w:line="360" w:lineRule="auto"/>
      <w:outlineLvl w:val="4"/>
    </w:pPr>
    <w:rPr>
      <w:b/>
      <w:bCs/>
      <w:iCs/>
      <w:sz w:val="21"/>
      <w:szCs w:val="26"/>
    </w:rPr>
  </w:style>
  <w:style w:type="paragraph" w:styleId="Heading6">
    <w:name w:val="heading 6"/>
    <w:basedOn w:val="HeadingBase"/>
    <w:next w:val="Normal"/>
    <w:link w:val="Heading6Char"/>
    <w:qFormat/>
    <w:rsid w:val="00FD26A6"/>
    <w:pPr>
      <w:spacing w:after="120"/>
      <w:outlineLvl w:val="5"/>
    </w:pPr>
    <w:rPr>
      <w:b/>
      <w:bCs/>
      <w:sz w:val="20"/>
      <w:szCs w:val="22"/>
    </w:rPr>
  </w:style>
  <w:style w:type="paragraph" w:styleId="Heading7">
    <w:name w:val="heading 7"/>
    <w:basedOn w:val="HeadingBase"/>
    <w:next w:val="Normal"/>
    <w:link w:val="Heading7Char"/>
    <w:qFormat/>
    <w:rsid w:val="00FD26A6"/>
    <w:pPr>
      <w:spacing w:after="100"/>
      <w:outlineLvl w:val="6"/>
    </w:pPr>
    <w:rPr>
      <w:sz w:val="18"/>
      <w:szCs w:val="24"/>
    </w:rPr>
  </w:style>
  <w:style w:type="paragraph" w:styleId="Heading8">
    <w:name w:val="heading 8"/>
    <w:basedOn w:val="HeadingBase"/>
    <w:next w:val="Normal"/>
    <w:link w:val="Heading8Char"/>
    <w:qFormat/>
    <w:rsid w:val="00FD26A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qFormat/>
    <w:rsid w:val="00FA5E88"/>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26A6"/>
    <w:rPr>
      <w:rFonts w:ascii="Arial Bold" w:hAnsi="Arial Bold" w:cs="Times New Roman"/>
      <w:b/>
      <w:smallCaps/>
      <w:kern w:val="28"/>
      <w:sz w:val="34"/>
      <w:szCs w:val="20"/>
      <w:lang w:eastAsia="en-AU"/>
    </w:rPr>
  </w:style>
  <w:style w:type="character" w:customStyle="1" w:styleId="Heading2Char">
    <w:name w:val="Heading 2 Char"/>
    <w:basedOn w:val="DefaultParagraphFont"/>
    <w:link w:val="Heading2"/>
    <w:rsid w:val="00FD26A6"/>
    <w:rPr>
      <w:rFonts w:ascii="Arial" w:hAnsi="Arial" w:cs="Times New Roman"/>
      <w:sz w:val="30"/>
      <w:szCs w:val="20"/>
      <w:lang w:eastAsia="en-AU"/>
    </w:rPr>
  </w:style>
  <w:style w:type="character" w:customStyle="1" w:styleId="Heading3Char">
    <w:name w:val="Heading 3 Char"/>
    <w:link w:val="Heading3"/>
    <w:rsid w:val="00FD26A6"/>
    <w:rPr>
      <w:rFonts w:ascii="Arial" w:hAnsi="Arial" w:cs="Times New Roman"/>
      <w:b/>
      <w:smallCaps/>
      <w:sz w:val="26"/>
      <w:szCs w:val="20"/>
      <w:lang w:eastAsia="en-AU"/>
    </w:rPr>
  </w:style>
  <w:style w:type="character" w:customStyle="1" w:styleId="Heading4Char">
    <w:name w:val="Heading 4 Char"/>
    <w:basedOn w:val="DefaultParagraphFont"/>
    <w:link w:val="Heading4"/>
    <w:rsid w:val="00FD26A6"/>
    <w:rPr>
      <w:rFonts w:ascii="Arial" w:hAnsi="Arial" w:cs="Times New Roman"/>
      <w:b/>
      <w:szCs w:val="20"/>
      <w:lang w:eastAsia="en-AU"/>
    </w:rPr>
  </w:style>
  <w:style w:type="character" w:customStyle="1" w:styleId="Heading5Char">
    <w:name w:val="Heading 5 Char"/>
    <w:basedOn w:val="DefaultParagraphFont"/>
    <w:link w:val="Heading5"/>
    <w:rsid w:val="00FD26A6"/>
    <w:rPr>
      <w:rFonts w:ascii="Arial" w:hAnsi="Arial" w:cs="Times New Roman"/>
      <w:b/>
      <w:bCs/>
      <w:iCs/>
      <w:sz w:val="21"/>
      <w:szCs w:val="26"/>
      <w:lang w:eastAsia="en-AU"/>
    </w:rPr>
  </w:style>
  <w:style w:type="character" w:customStyle="1" w:styleId="Heading6Char">
    <w:name w:val="Heading 6 Char"/>
    <w:link w:val="Heading6"/>
    <w:rsid w:val="0018116D"/>
    <w:rPr>
      <w:rFonts w:ascii="Arial" w:hAnsi="Arial" w:cs="Times New Roman"/>
      <w:b/>
      <w:bCs/>
      <w:sz w:val="20"/>
      <w:lang w:eastAsia="en-AU"/>
    </w:rPr>
  </w:style>
  <w:style w:type="character" w:customStyle="1" w:styleId="Heading7Char">
    <w:name w:val="Heading 7 Char"/>
    <w:basedOn w:val="DefaultParagraphFont"/>
    <w:link w:val="Heading7"/>
    <w:rsid w:val="00FA5E88"/>
    <w:rPr>
      <w:rFonts w:ascii="Arial" w:hAnsi="Arial" w:cs="Times New Roman"/>
      <w:sz w:val="18"/>
      <w:szCs w:val="24"/>
      <w:lang w:eastAsia="en-AU"/>
    </w:rPr>
  </w:style>
  <w:style w:type="character" w:customStyle="1" w:styleId="Heading8Char">
    <w:name w:val="Heading 8 Char"/>
    <w:basedOn w:val="DefaultParagraphFont"/>
    <w:link w:val="Heading8"/>
    <w:rsid w:val="00FA5E88"/>
    <w:rPr>
      <w:rFonts w:ascii="Times New Roman" w:hAnsi="Times New Roman" w:cs="Times New Roman"/>
      <w:i/>
      <w:iCs/>
      <w:sz w:val="16"/>
      <w:szCs w:val="24"/>
      <w:lang w:eastAsia="en-AU"/>
    </w:rPr>
  </w:style>
  <w:style w:type="character" w:customStyle="1" w:styleId="Heading9Char">
    <w:name w:val="Heading 9 Char"/>
    <w:basedOn w:val="DefaultParagraphFont"/>
    <w:link w:val="Heading9"/>
    <w:rsid w:val="00FA5E88"/>
    <w:rPr>
      <w:rFonts w:ascii="Calibri" w:eastAsia="Times New Roman" w:hAnsi="Calibri" w:cs="Times New Roman"/>
      <w:szCs w:val="20"/>
    </w:rPr>
  </w:style>
  <w:style w:type="paragraph" w:customStyle="1" w:styleId="SingleParagraph">
    <w:name w:val="Single Paragraph"/>
    <w:basedOn w:val="Normal"/>
    <w:rsid w:val="00FD26A6"/>
    <w:pPr>
      <w:spacing w:after="0"/>
    </w:pPr>
  </w:style>
  <w:style w:type="paragraph" w:customStyle="1" w:styleId="Exampletext">
    <w:name w:val="Example text"/>
    <w:basedOn w:val="Normal"/>
    <w:link w:val="ExampletextCharChar"/>
    <w:rsid w:val="00FD26A6"/>
    <w:rPr>
      <w:i/>
      <w:color w:val="FF0000"/>
    </w:rPr>
  </w:style>
  <w:style w:type="paragraph" w:customStyle="1" w:styleId="TableHeading">
    <w:name w:val="Table Heading"/>
    <w:basedOn w:val="HeadingBase"/>
    <w:next w:val="TableGraphic"/>
    <w:link w:val="TableHeadingChar"/>
    <w:rsid w:val="00FD26A6"/>
    <w:pPr>
      <w:spacing w:before="120" w:after="20"/>
    </w:pPr>
    <w:rPr>
      <w:b/>
      <w:sz w:val="20"/>
    </w:rPr>
  </w:style>
  <w:style w:type="paragraph" w:customStyle="1" w:styleId="Bullet">
    <w:name w:val="Bullet"/>
    <w:basedOn w:val="Normal"/>
    <w:link w:val="BulletChar"/>
    <w:rsid w:val="00FD26A6"/>
    <w:pPr>
      <w:numPr>
        <w:numId w:val="20"/>
      </w:numPr>
    </w:pPr>
  </w:style>
  <w:style w:type="paragraph" w:customStyle="1" w:styleId="Dash">
    <w:name w:val="Dash"/>
    <w:basedOn w:val="Normal"/>
    <w:link w:val="DashChar"/>
    <w:rsid w:val="00FD26A6"/>
    <w:pPr>
      <w:numPr>
        <w:ilvl w:val="1"/>
        <w:numId w:val="20"/>
      </w:numPr>
    </w:pPr>
  </w:style>
  <w:style w:type="paragraph" w:customStyle="1" w:styleId="DoubleDot">
    <w:name w:val="Double Dot"/>
    <w:basedOn w:val="Normal"/>
    <w:uiPriority w:val="99"/>
    <w:qFormat/>
    <w:rsid w:val="00FD26A6"/>
    <w:pPr>
      <w:numPr>
        <w:ilvl w:val="2"/>
        <w:numId w:val="20"/>
      </w:numPr>
    </w:pPr>
  </w:style>
  <w:style w:type="paragraph" w:customStyle="1" w:styleId="ContentsHeading">
    <w:name w:val="Contents Heading"/>
    <w:basedOn w:val="HeadingBase"/>
    <w:next w:val="Normal"/>
    <w:rsid w:val="00FD26A6"/>
    <w:pPr>
      <w:spacing w:after="360"/>
      <w:jc w:val="center"/>
    </w:pPr>
    <w:rPr>
      <w:b/>
      <w:smallCaps/>
      <w:sz w:val="34"/>
    </w:rPr>
  </w:style>
  <w:style w:type="paragraph" w:customStyle="1" w:styleId="TableGraphic">
    <w:name w:val="Table Graphic"/>
    <w:basedOn w:val="Normal"/>
    <w:next w:val="Normal"/>
    <w:rsid w:val="00FD26A6"/>
    <w:pPr>
      <w:spacing w:after="0"/>
      <w:ind w:right="-113"/>
    </w:pPr>
  </w:style>
  <w:style w:type="paragraph" w:customStyle="1" w:styleId="TableHeadingcontinued">
    <w:name w:val="Table Heading continued"/>
    <w:basedOn w:val="HeadingBase"/>
    <w:next w:val="TableGraphic"/>
    <w:rsid w:val="00FD26A6"/>
    <w:pPr>
      <w:spacing w:before="120" w:after="20"/>
    </w:pPr>
    <w:rPr>
      <w:rFonts w:ascii="Arial Bold" w:hAnsi="Arial Bold"/>
      <w:b/>
      <w:sz w:val="20"/>
    </w:rPr>
  </w:style>
  <w:style w:type="paragraph" w:customStyle="1" w:styleId="HeaderEven">
    <w:name w:val="Header Even"/>
    <w:basedOn w:val="HeaderBase"/>
    <w:rsid w:val="00FD26A6"/>
  </w:style>
  <w:style w:type="paragraph" w:customStyle="1" w:styleId="HeaderOdd">
    <w:name w:val="Header Odd"/>
    <w:basedOn w:val="HeaderBase"/>
    <w:rsid w:val="00FD26A6"/>
    <w:pPr>
      <w:jc w:val="right"/>
    </w:pPr>
  </w:style>
  <w:style w:type="paragraph" w:styleId="Footer">
    <w:name w:val="footer"/>
    <w:basedOn w:val="FooterBase"/>
    <w:link w:val="FooterChar"/>
    <w:uiPriority w:val="99"/>
    <w:rsid w:val="00FD26A6"/>
    <w:pPr>
      <w:tabs>
        <w:tab w:val="center" w:pos="4153"/>
        <w:tab w:val="right" w:pos="8306"/>
      </w:tabs>
    </w:pPr>
    <w:rPr>
      <w:rFonts w:ascii="Book Antiqua" w:hAnsi="Book Antiqua"/>
      <w:sz w:val="18"/>
    </w:rPr>
  </w:style>
  <w:style w:type="character" w:customStyle="1" w:styleId="FooterChar">
    <w:name w:val="Footer Char"/>
    <w:link w:val="Footer"/>
    <w:uiPriority w:val="99"/>
    <w:rsid w:val="00FD26A6"/>
    <w:rPr>
      <w:rFonts w:ascii="Book Antiqua" w:hAnsi="Book Antiqua" w:cs="Times New Roman"/>
      <w:sz w:val="18"/>
      <w:szCs w:val="20"/>
      <w:lang w:eastAsia="en-AU"/>
    </w:rPr>
  </w:style>
  <w:style w:type="paragraph" w:styleId="FootnoteText">
    <w:name w:val="footnote text"/>
    <w:basedOn w:val="Normal"/>
    <w:link w:val="FootnoteTextChar"/>
    <w:rsid w:val="00FD26A6"/>
    <w:pPr>
      <w:tabs>
        <w:tab w:val="left" w:pos="284"/>
      </w:tabs>
      <w:ind w:left="113" w:hanging="113"/>
    </w:pPr>
    <w:rPr>
      <w:sz w:val="16"/>
    </w:rPr>
  </w:style>
  <w:style w:type="character" w:customStyle="1" w:styleId="FootnoteTextChar">
    <w:name w:val="Footnote Text Char"/>
    <w:basedOn w:val="DefaultParagraphFont"/>
    <w:link w:val="FootnoteText"/>
    <w:rsid w:val="00FD26A6"/>
    <w:rPr>
      <w:rFonts w:ascii="Book Antiqua" w:hAnsi="Book Antiqua" w:cs="Times New Roman"/>
      <w:sz w:val="16"/>
      <w:szCs w:val="20"/>
      <w:lang w:eastAsia="en-AU"/>
    </w:rPr>
  </w:style>
  <w:style w:type="paragraph" w:styleId="TOC3">
    <w:name w:val="toc 3"/>
    <w:basedOn w:val="HeadingBase"/>
    <w:next w:val="Normal"/>
    <w:rsid w:val="00FD26A6"/>
    <w:pPr>
      <w:tabs>
        <w:tab w:val="right" w:leader="dot" w:pos="7700"/>
      </w:tabs>
      <w:spacing w:before="120"/>
      <w:ind w:right="851"/>
    </w:pPr>
    <w:rPr>
      <w:b/>
      <w:sz w:val="20"/>
    </w:rPr>
  </w:style>
  <w:style w:type="paragraph" w:styleId="TOC4">
    <w:name w:val="toc 4"/>
    <w:basedOn w:val="HeadingBase"/>
    <w:next w:val="Normal"/>
    <w:rsid w:val="00FD26A6"/>
    <w:pPr>
      <w:tabs>
        <w:tab w:val="right" w:leader="dot" w:pos="7700"/>
      </w:tabs>
      <w:spacing w:before="40"/>
      <w:ind w:right="851"/>
    </w:pPr>
    <w:rPr>
      <w:sz w:val="20"/>
    </w:rPr>
  </w:style>
  <w:style w:type="table" w:styleId="TableGrid">
    <w:name w:val="Table Grid"/>
    <w:basedOn w:val="TableNormal"/>
    <w:uiPriority w:val="59"/>
    <w:rsid w:val="00FD26A6"/>
    <w:pPr>
      <w:spacing w:after="240" w:line="260" w:lineRule="exact"/>
      <w:jc w:val="both"/>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Table">
    <w:name w:val="Table Heading No Table"/>
    <w:basedOn w:val="TableHeading"/>
    <w:next w:val="Normal"/>
    <w:rsid w:val="00FD26A6"/>
    <w:pPr>
      <w:spacing w:after="240"/>
    </w:pPr>
  </w:style>
  <w:style w:type="paragraph" w:customStyle="1" w:styleId="Department">
    <w:name w:val="Department"/>
    <w:basedOn w:val="Normal"/>
    <w:rsid w:val="00FD26A6"/>
    <w:pPr>
      <w:spacing w:after="0"/>
      <w:jc w:val="center"/>
    </w:pPr>
    <w:rPr>
      <w:rFonts w:ascii="Arial Bold" w:hAnsi="Arial Bold"/>
      <w:b/>
      <w:sz w:val="52"/>
    </w:rPr>
  </w:style>
  <w:style w:type="paragraph" w:customStyle="1" w:styleId="DepartmentSubtitle">
    <w:name w:val="Department Subtitle"/>
    <w:basedOn w:val="Department"/>
    <w:rsid w:val="00FD26A6"/>
    <w:rPr>
      <w:sz w:val="44"/>
    </w:rPr>
  </w:style>
  <w:style w:type="character" w:customStyle="1" w:styleId="ExampletextCharChar">
    <w:name w:val="Example text Char Char"/>
    <w:link w:val="Exampletext"/>
    <w:rsid w:val="00FD26A6"/>
    <w:rPr>
      <w:rFonts w:ascii="Book Antiqua" w:hAnsi="Book Antiqua" w:cs="Times New Roman"/>
      <w:i/>
      <w:color w:val="FF0000"/>
      <w:sz w:val="20"/>
      <w:szCs w:val="20"/>
      <w:lang w:eastAsia="en-AU"/>
    </w:rPr>
  </w:style>
  <w:style w:type="character" w:customStyle="1" w:styleId="TableHeadingChar">
    <w:name w:val="Table Heading Char"/>
    <w:link w:val="TableHeading"/>
    <w:rsid w:val="00FD26A6"/>
    <w:rPr>
      <w:rFonts w:ascii="Arial" w:hAnsi="Arial" w:cs="Times New Roman"/>
      <w:b/>
      <w:sz w:val="20"/>
      <w:szCs w:val="20"/>
      <w:lang w:eastAsia="en-AU"/>
    </w:rPr>
  </w:style>
  <w:style w:type="paragraph" w:customStyle="1" w:styleId="ProgramHeading">
    <w:name w:val="Program Heading"/>
    <w:basedOn w:val="HeadingBase"/>
    <w:rsid w:val="00FD26A6"/>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styleId="NoSpacing">
    <w:name w:val="No Spacing"/>
    <w:uiPriority w:val="1"/>
    <w:qFormat/>
    <w:rsid w:val="00FD26A6"/>
    <w:pPr>
      <w:spacing w:after="0" w:line="240" w:lineRule="auto"/>
      <w:jc w:val="both"/>
    </w:pPr>
    <w:rPr>
      <w:rFonts w:ascii="Book Antiqua" w:hAnsi="Book Antiqua" w:cs="Times New Roman"/>
      <w:sz w:val="20"/>
      <w:szCs w:val="20"/>
      <w:lang w:eastAsia="en-AU"/>
    </w:rPr>
  </w:style>
  <w:style w:type="paragraph" w:customStyle="1" w:styleId="Bullets">
    <w:name w:val="Bullets"/>
    <w:basedOn w:val="Normal"/>
    <w:link w:val="BulletsChar"/>
    <w:qFormat/>
    <w:rsid w:val="00FD26A6"/>
    <w:pPr>
      <w:numPr>
        <w:numId w:val="16"/>
      </w:numPr>
      <w:spacing w:before="60" w:after="60"/>
    </w:pPr>
    <w:rPr>
      <w:rFonts w:cs="Arial"/>
      <w:color w:val="000000"/>
      <w:szCs w:val="16"/>
      <w:lang w:eastAsia="en-US"/>
    </w:rPr>
  </w:style>
  <w:style w:type="character" w:customStyle="1" w:styleId="BulletsChar">
    <w:name w:val="Bullets Char"/>
    <w:link w:val="Bullets"/>
    <w:locked/>
    <w:rsid w:val="00FD26A6"/>
    <w:rPr>
      <w:rFonts w:ascii="Book Antiqua" w:hAnsi="Book Antiqua" w:cs="Arial"/>
      <w:color w:val="000000"/>
      <w:sz w:val="20"/>
      <w:szCs w:val="16"/>
    </w:rPr>
  </w:style>
  <w:style w:type="paragraph" w:customStyle="1" w:styleId="TableName">
    <w:name w:val="TableName"/>
    <w:basedOn w:val="Normal"/>
    <w:link w:val="TableNameChar"/>
    <w:rsid w:val="00FD26A6"/>
    <w:pPr>
      <w:keepNext/>
      <w:spacing w:after="0"/>
    </w:pPr>
    <w:rPr>
      <w:b/>
      <w:lang w:eastAsia="en-US"/>
    </w:rPr>
  </w:style>
  <w:style w:type="character" w:customStyle="1" w:styleId="DashChar">
    <w:name w:val="Dash Char"/>
    <w:link w:val="Dash"/>
    <w:rsid w:val="00FD26A6"/>
    <w:rPr>
      <w:rFonts w:ascii="Book Antiqua" w:hAnsi="Book Antiqua" w:cs="Times New Roman"/>
      <w:sz w:val="20"/>
      <w:szCs w:val="20"/>
      <w:lang w:eastAsia="en-AU"/>
    </w:rPr>
  </w:style>
  <w:style w:type="paragraph" w:customStyle="1" w:styleId="TableText">
    <w:name w:val="TableText"/>
    <w:next w:val="Normal"/>
    <w:link w:val="TableTextChar"/>
    <w:rsid w:val="00FD26A6"/>
    <w:pPr>
      <w:widowControl w:val="0"/>
      <w:tabs>
        <w:tab w:val="left" w:pos="113"/>
      </w:tabs>
      <w:spacing w:before="10" w:after="10" w:line="240" w:lineRule="auto"/>
    </w:pPr>
    <w:rPr>
      <w:rFonts w:ascii="Book Antiqua" w:hAnsi="Book Antiqua" w:cs="Arial"/>
      <w:color w:val="000000"/>
      <w:sz w:val="18"/>
      <w:szCs w:val="16"/>
    </w:rPr>
  </w:style>
  <w:style w:type="character" w:customStyle="1" w:styleId="TableTextChar">
    <w:name w:val="TableText Char"/>
    <w:basedOn w:val="DefaultParagraphFont"/>
    <w:link w:val="TableText"/>
    <w:rsid w:val="00FD26A6"/>
    <w:rPr>
      <w:rFonts w:ascii="Book Antiqua" w:hAnsi="Book Antiqua" w:cs="Arial"/>
      <w:color w:val="000000"/>
      <w:sz w:val="18"/>
      <w:szCs w:val="16"/>
    </w:rPr>
  </w:style>
  <w:style w:type="paragraph" w:customStyle="1" w:styleId="TableTextBold">
    <w:name w:val="TableTextBold"/>
    <w:basedOn w:val="TableText"/>
    <w:link w:val="TableTextBoldChar"/>
    <w:rsid w:val="00FD26A6"/>
    <w:rPr>
      <w:b/>
      <w:bCs/>
    </w:rPr>
  </w:style>
  <w:style w:type="character" w:customStyle="1" w:styleId="TableTextBoldChar">
    <w:name w:val="TableTextBold Char"/>
    <w:basedOn w:val="TableTextChar"/>
    <w:link w:val="TableTextBold"/>
    <w:rsid w:val="00FD26A6"/>
    <w:rPr>
      <w:rFonts w:ascii="Book Antiqua" w:hAnsi="Book Antiqua" w:cs="Arial"/>
      <w:b/>
      <w:bCs/>
      <w:color w:val="000000"/>
      <w:sz w:val="18"/>
      <w:szCs w:val="16"/>
    </w:rPr>
  </w:style>
  <w:style w:type="paragraph" w:customStyle="1" w:styleId="TableTextRight">
    <w:name w:val="TableTextRight"/>
    <w:basedOn w:val="TableText"/>
    <w:link w:val="TableTextRightChar"/>
    <w:rsid w:val="00FD26A6"/>
    <w:pPr>
      <w:jc w:val="right"/>
    </w:pPr>
  </w:style>
  <w:style w:type="paragraph" w:customStyle="1" w:styleId="TableTextBoldRight">
    <w:name w:val="TableTextBoldRight"/>
    <w:basedOn w:val="TableTextBold"/>
    <w:link w:val="TableTextBoldRightChar"/>
    <w:rsid w:val="00FD26A6"/>
    <w:pPr>
      <w:spacing w:before="20" w:after="20"/>
      <w:jc w:val="right"/>
    </w:pPr>
  </w:style>
  <w:style w:type="character" w:customStyle="1" w:styleId="TableNameChar">
    <w:name w:val="TableName Char"/>
    <w:basedOn w:val="DefaultParagraphFont"/>
    <w:link w:val="TableName"/>
    <w:locked/>
    <w:rsid w:val="00FD26A6"/>
    <w:rPr>
      <w:rFonts w:ascii="Book Antiqua" w:hAnsi="Book Antiqua" w:cs="Times New Roman"/>
      <w:b/>
      <w:sz w:val="20"/>
      <w:szCs w:val="20"/>
    </w:rPr>
  </w:style>
  <w:style w:type="character" w:customStyle="1" w:styleId="TableTextBoldRightChar">
    <w:name w:val="TableTextBoldRight Char"/>
    <w:basedOn w:val="TableTextBoldChar"/>
    <w:link w:val="TableTextBoldRight"/>
    <w:locked/>
    <w:rsid w:val="00FD26A6"/>
    <w:rPr>
      <w:rFonts w:ascii="Book Antiqua" w:hAnsi="Book Antiqua" w:cs="Arial"/>
      <w:b/>
      <w:bCs/>
      <w:color w:val="000000"/>
      <w:sz w:val="18"/>
      <w:szCs w:val="16"/>
    </w:rPr>
  </w:style>
  <w:style w:type="character" w:customStyle="1" w:styleId="TableTextRightChar">
    <w:name w:val="TableTextRight Char"/>
    <w:basedOn w:val="TableTextChar"/>
    <w:link w:val="TableTextRight"/>
    <w:rsid w:val="00FD26A6"/>
    <w:rPr>
      <w:rFonts w:ascii="Book Antiqua" w:hAnsi="Book Antiqua" w:cs="Arial"/>
      <w:color w:val="000000"/>
      <w:sz w:val="18"/>
      <w:szCs w:val="16"/>
    </w:rPr>
  </w:style>
  <w:style w:type="paragraph" w:customStyle="1" w:styleId="Footnote">
    <w:name w:val="Footnote"/>
    <w:rsid w:val="00FD26A6"/>
    <w:pPr>
      <w:tabs>
        <w:tab w:val="left" w:pos="284"/>
      </w:tabs>
      <w:spacing w:after="0" w:line="240" w:lineRule="auto"/>
    </w:pPr>
    <w:rPr>
      <w:rFonts w:ascii="Book Antiqua" w:hAnsi="Book Antiqua" w:cs="Times New Roman"/>
      <w:color w:val="000000"/>
      <w:sz w:val="16"/>
      <w:szCs w:val="20"/>
    </w:rPr>
  </w:style>
  <w:style w:type="paragraph" w:styleId="BalloonText">
    <w:name w:val="Balloon Text"/>
    <w:basedOn w:val="Normal"/>
    <w:link w:val="BalloonTextChar"/>
    <w:semiHidden/>
    <w:rsid w:val="00FD26A6"/>
    <w:rPr>
      <w:rFonts w:ascii="Tahoma" w:hAnsi="Tahoma" w:cs="Tahoma"/>
      <w:sz w:val="16"/>
      <w:szCs w:val="16"/>
    </w:rPr>
  </w:style>
  <w:style w:type="character" w:customStyle="1" w:styleId="BalloonTextChar">
    <w:name w:val="Balloon Text Char"/>
    <w:basedOn w:val="DefaultParagraphFont"/>
    <w:link w:val="BalloonText"/>
    <w:semiHidden/>
    <w:rsid w:val="00FD26A6"/>
    <w:rPr>
      <w:rFonts w:ascii="Tahoma" w:hAnsi="Tahoma" w:cs="Tahoma"/>
      <w:sz w:val="16"/>
      <w:szCs w:val="16"/>
      <w:lang w:eastAsia="en-AU"/>
    </w:rPr>
  </w:style>
  <w:style w:type="paragraph" w:styleId="Header">
    <w:name w:val="header"/>
    <w:basedOn w:val="HeaderBase"/>
    <w:link w:val="HeaderChar"/>
    <w:uiPriority w:val="99"/>
    <w:rsid w:val="00FD26A6"/>
    <w:pPr>
      <w:tabs>
        <w:tab w:val="center" w:pos="4153"/>
        <w:tab w:val="right" w:pos="8306"/>
      </w:tabs>
    </w:pPr>
  </w:style>
  <w:style w:type="character" w:customStyle="1" w:styleId="HeaderChar">
    <w:name w:val="Header Char"/>
    <w:link w:val="Header"/>
    <w:uiPriority w:val="99"/>
    <w:rsid w:val="00FD26A6"/>
    <w:rPr>
      <w:rFonts w:ascii="Book Antiqua" w:hAnsi="Book Antiqua" w:cs="Times New Roman"/>
      <w:i/>
      <w:sz w:val="20"/>
      <w:szCs w:val="20"/>
      <w:lang w:eastAsia="en-AU"/>
    </w:rPr>
  </w:style>
  <w:style w:type="character" w:customStyle="1" w:styleId="A5">
    <w:name w:val="A5"/>
    <w:uiPriority w:val="99"/>
    <w:rsid w:val="00FD26A6"/>
    <w:rPr>
      <w:rFonts w:ascii="Swiss 721 BT" w:hAnsi="Swiss 721 BT" w:cs="Swiss 721 BT" w:hint="default"/>
      <w:color w:val="000000"/>
      <w:sz w:val="20"/>
      <w:szCs w:val="20"/>
    </w:rPr>
  </w:style>
  <w:style w:type="paragraph" w:customStyle="1" w:styleId="AlphaParagraph">
    <w:name w:val="Alpha Paragraph"/>
    <w:basedOn w:val="Normal"/>
    <w:rsid w:val="00FD26A6"/>
    <w:pPr>
      <w:numPr>
        <w:numId w:val="11"/>
      </w:numPr>
    </w:pPr>
  </w:style>
  <w:style w:type="paragraph" w:customStyle="1" w:styleId="HeadingBase">
    <w:name w:val="Heading Base"/>
    <w:link w:val="HeadingBaseChar"/>
    <w:rsid w:val="00FD26A6"/>
    <w:pPr>
      <w:keepNext/>
      <w:spacing w:after="0" w:line="240" w:lineRule="auto"/>
    </w:pPr>
    <w:rPr>
      <w:rFonts w:ascii="Arial" w:hAnsi="Arial" w:cs="Times New Roman"/>
      <w:sz w:val="24"/>
      <w:szCs w:val="20"/>
      <w:lang w:eastAsia="en-AU"/>
    </w:rPr>
  </w:style>
  <w:style w:type="character" w:customStyle="1" w:styleId="HeadingBaseChar">
    <w:name w:val="Heading Base Char"/>
    <w:link w:val="HeadingBase"/>
    <w:rsid w:val="00FD26A6"/>
    <w:rPr>
      <w:rFonts w:ascii="Arial" w:hAnsi="Arial" w:cs="Times New Roman"/>
      <w:sz w:val="24"/>
      <w:szCs w:val="20"/>
      <w:lang w:eastAsia="en-AU"/>
    </w:rPr>
  </w:style>
  <w:style w:type="paragraph" w:customStyle="1" w:styleId="AppendixHeading">
    <w:name w:val="Appendix Heading"/>
    <w:basedOn w:val="HeadingBase"/>
    <w:semiHidden/>
    <w:rsid w:val="00FD26A6"/>
    <w:pPr>
      <w:spacing w:after="240"/>
      <w:jc w:val="center"/>
      <w:outlineLvl w:val="3"/>
    </w:pPr>
    <w:rPr>
      <w:b/>
      <w:smallCaps/>
      <w:sz w:val="30"/>
    </w:rPr>
  </w:style>
  <w:style w:type="paragraph" w:customStyle="1" w:styleId="BlockedQuotation">
    <w:name w:val="Blocked Quotation"/>
    <w:basedOn w:val="Normal"/>
    <w:semiHidden/>
    <w:rsid w:val="00FD26A6"/>
    <w:pPr>
      <w:ind w:left="567"/>
    </w:pPr>
  </w:style>
  <w:style w:type="paragraph" w:customStyle="1" w:styleId="BoxTextBase">
    <w:name w:val="Box Text Base"/>
    <w:basedOn w:val="Normal"/>
    <w:rsid w:val="00FD26A6"/>
    <w:rPr>
      <w:color w:val="000000"/>
    </w:rPr>
  </w:style>
  <w:style w:type="paragraph" w:customStyle="1" w:styleId="BoxText">
    <w:name w:val="Box Text"/>
    <w:basedOn w:val="BoxTextBase"/>
    <w:rsid w:val="00FD26A6"/>
  </w:style>
  <w:style w:type="paragraph" w:customStyle="1" w:styleId="BoxBullet">
    <w:name w:val="Box Bullet"/>
    <w:basedOn w:val="BoxText"/>
    <w:rsid w:val="00FD26A6"/>
    <w:pPr>
      <w:numPr>
        <w:numId w:val="14"/>
      </w:numPr>
    </w:pPr>
  </w:style>
  <w:style w:type="paragraph" w:customStyle="1" w:styleId="BoxDash">
    <w:name w:val="Box Dash"/>
    <w:basedOn w:val="Normal"/>
    <w:rsid w:val="00FD26A6"/>
    <w:pPr>
      <w:numPr>
        <w:ilvl w:val="1"/>
        <w:numId w:val="14"/>
      </w:numPr>
    </w:pPr>
    <w:rPr>
      <w:color w:val="000000"/>
    </w:rPr>
  </w:style>
  <w:style w:type="paragraph" w:customStyle="1" w:styleId="BoxDoubleDot">
    <w:name w:val="Box Double Dot"/>
    <w:basedOn w:val="BoxTextBase"/>
    <w:rsid w:val="00FD26A6"/>
    <w:pPr>
      <w:numPr>
        <w:ilvl w:val="2"/>
        <w:numId w:val="14"/>
      </w:numPr>
    </w:pPr>
  </w:style>
  <w:style w:type="paragraph" w:customStyle="1" w:styleId="BoxHeading">
    <w:name w:val="Box Heading"/>
    <w:basedOn w:val="HeadingBase"/>
    <w:next w:val="BoxText"/>
    <w:rsid w:val="00FD26A6"/>
    <w:pPr>
      <w:spacing w:before="120" w:after="120"/>
    </w:pPr>
    <w:rPr>
      <w:b/>
      <w:sz w:val="20"/>
    </w:rPr>
  </w:style>
  <w:style w:type="paragraph" w:customStyle="1" w:styleId="BoxHeadinglevel2">
    <w:name w:val="Box Heading level 2"/>
    <w:basedOn w:val="BoxHeading"/>
    <w:rsid w:val="00FD26A6"/>
    <w:pPr>
      <w:spacing w:before="0"/>
    </w:pPr>
    <w:rPr>
      <w:sz w:val="18"/>
    </w:rPr>
  </w:style>
  <w:style w:type="character" w:customStyle="1" w:styleId="BulletChar">
    <w:name w:val="Bullet Char"/>
    <w:link w:val="Bullet"/>
    <w:rsid w:val="00FD26A6"/>
    <w:rPr>
      <w:rFonts w:ascii="Book Antiqua" w:hAnsi="Book Antiqua" w:cs="Times New Roman"/>
      <w:sz w:val="20"/>
      <w:szCs w:val="20"/>
      <w:lang w:eastAsia="en-AU"/>
    </w:rPr>
  </w:style>
  <w:style w:type="paragraph" w:styleId="Caption">
    <w:name w:val="caption"/>
    <w:basedOn w:val="Normal"/>
    <w:next w:val="Normal"/>
    <w:qFormat/>
    <w:rsid w:val="00FD26A6"/>
    <w:rPr>
      <w:b/>
      <w:bCs/>
    </w:rPr>
  </w:style>
  <w:style w:type="paragraph" w:customStyle="1" w:styleId="ChartandTableFootnote">
    <w:name w:val="Chart and Table Footnote"/>
    <w:basedOn w:val="HeadingBase"/>
    <w:next w:val="Normal"/>
    <w:link w:val="ChartandTableFootnoteChar"/>
    <w:rsid w:val="00FD26A6"/>
    <w:pPr>
      <w:tabs>
        <w:tab w:val="left" w:pos="284"/>
      </w:tabs>
      <w:ind w:left="284" w:hanging="284"/>
      <w:jc w:val="both"/>
    </w:pPr>
    <w:rPr>
      <w:sz w:val="16"/>
    </w:rPr>
  </w:style>
  <w:style w:type="character" w:customStyle="1" w:styleId="ChartandTableFootnoteChar">
    <w:name w:val="Chart and Table Footnote Char"/>
    <w:link w:val="ChartandTableFootnote"/>
    <w:rsid w:val="00FD26A6"/>
    <w:rPr>
      <w:rFonts w:ascii="Arial" w:hAnsi="Arial" w:cs="Times New Roman"/>
      <w:sz w:val="16"/>
      <w:szCs w:val="20"/>
      <w:lang w:eastAsia="en-AU"/>
    </w:rPr>
  </w:style>
  <w:style w:type="paragraph" w:customStyle="1" w:styleId="ChartandTableFootnoteAlpha">
    <w:name w:val="Chart and Table Footnote Alpha"/>
    <w:basedOn w:val="HeadingBase"/>
    <w:next w:val="Normal"/>
    <w:rsid w:val="00FD26A6"/>
    <w:pPr>
      <w:numPr>
        <w:numId w:val="17"/>
      </w:numPr>
      <w:jc w:val="both"/>
    </w:pPr>
    <w:rPr>
      <w:sz w:val="16"/>
    </w:rPr>
  </w:style>
  <w:style w:type="paragraph" w:customStyle="1" w:styleId="ChartandTableFootnoteAlphaSmall">
    <w:name w:val="Chart and Table Footnote Alpha Small"/>
    <w:basedOn w:val="HeadingBase"/>
    <w:next w:val="Normal"/>
    <w:rsid w:val="00FD26A6"/>
    <w:pPr>
      <w:numPr>
        <w:numId w:val="18"/>
      </w:numPr>
      <w:jc w:val="both"/>
    </w:pPr>
    <w:rPr>
      <w:sz w:val="15"/>
    </w:rPr>
  </w:style>
  <w:style w:type="paragraph" w:customStyle="1" w:styleId="ChartandTableFootnotenumbered">
    <w:name w:val="Chart and Table Footnote numbered"/>
    <w:basedOn w:val="Normal"/>
    <w:next w:val="Normal"/>
    <w:rsid w:val="00FD26A6"/>
    <w:pPr>
      <w:keepNext/>
      <w:spacing w:after="0"/>
      <w:ind w:left="502" w:hanging="360"/>
    </w:pPr>
    <w:rPr>
      <w:rFonts w:ascii="Arial" w:hAnsi="Arial"/>
      <w:sz w:val="16"/>
    </w:rPr>
  </w:style>
  <w:style w:type="paragraph" w:customStyle="1" w:styleId="ChartandTableFootnoteSmall">
    <w:name w:val="Chart and Table Footnote Small"/>
    <w:basedOn w:val="HeadingBase"/>
    <w:next w:val="Normal"/>
    <w:rsid w:val="00FD26A6"/>
    <w:pPr>
      <w:tabs>
        <w:tab w:val="left" w:pos="284"/>
      </w:tabs>
      <w:jc w:val="both"/>
    </w:pPr>
    <w:rPr>
      <w:sz w:val="15"/>
    </w:rPr>
  </w:style>
  <w:style w:type="paragraph" w:customStyle="1" w:styleId="ChartGraphic">
    <w:name w:val="Chart Graphic"/>
    <w:basedOn w:val="HeadingBase"/>
    <w:rsid w:val="00FD26A6"/>
    <w:pPr>
      <w:jc w:val="center"/>
    </w:pPr>
    <w:rPr>
      <w:sz w:val="20"/>
    </w:rPr>
  </w:style>
  <w:style w:type="paragraph" w:customStyle="1" w:styleId="ChartMainHeading">
    <w:name w:val="Chart Main Heading"/>
    <w:basedOn w:val="Normal"/>
    <w:next w:val="ChartGraphic"/>
    <w:rsid w:val="00FD26A6"/>
    <w:pPr>
      <w:keepNext/>
      <w:spacing w:after="20"/>
      <w:jc w:val="center"/>
    </w:pPr>
    <w:rPr>
      <w:rFonts w:ascii="Arial" w:hAnsi="Arial"/>
      <w:b/>
    </w:rPr>
  </w:style>
  <w:style w:type="paragraph" w:customStyle="1" w:styleId="ChartSecondHeading">
    <w:name w:val="Chart Second Heading"/>
    <w:basedOn w:val="HeadingBase"/>
    <w:next w:val="ChartGraphic"/>
    <w:rsid w:val="00FD26A6"/>
    <w:pPr>
      <w:spacing w:before="60"/>
      <w:jc w:val="center"/>
    </w:pPr>
    <w:rPr>
      <w:sz w:val="20"/>
    </w:rPr>
  </w:style>
  <w:style w:type="paragraph" w:customStyle="1" w:styleId="Classification">
    <w:name w:val="Classification"/>
    <w:basedOn w:val="HeadingBase"/>
    <w:rsid w:val="00FD26A6"/>
    <w:pPr>
      <w:jc w:val="center"/>
    </w:pPr>
    <w:rPr>
      <w:b/>
      <w:smallCaps/>
    </w:rPr>
  </w:style>
  <w:style w:type="character" w:styleId="CommentReference">
    <w:name w:val="annotation reference"/>
    <w:uiPriority w:val="99"/>
    <w:rsid w:val="00FD26A6"/>
    <w:rPr>
      <w:sz w:val="16"/>
      <w:szCs w:val="16"/>
    </w:rPr>
  </w:style>
  <w:style w:type="paragraph" w:styleId="CommentText">
    <w:name w:val="annotation text"/>
    <w:basedOn w:val="Normal"/>
    <w:link w:val="CommentTextChar"/>
    <w:uiPriority w:val="99"/>
    <w:rsid w:val="00FD26A6"/>
  </w:style>
  <w:style w:type="character" w:customStyle="1" w:styleId="CommentTextChar">
    <w:name w:val="Comment Text Char"/>
    <w:link w:val="CommentText"/>
    <w:uiPriority w:val="99"/>
    <w:rsid w:val="00FD26A6"/>
    <w:rPr>
      <w:rFonts w:ascii="Book Antiqua" w:hAnsi="Book Antiqua" w:cs="Times New Roman"/>
      <w:sz w:val="20"/>
      <w:szCs w:val="20"/>
      <w:lang w:eastAsia="en-AU"/>
    </w:rPr>
  </w:style>
  <w:style w:type="paragraph" w:styleId="CommentSubject">
    <w:name w:val="annotation subject"/>
    <w:basedOn w:val="CommentText"/>
    <w:next w:val="CommentText"/>
    <w:link w:val="CommentSubjectChar"/>
    <w:semiHidden/>
    <w:rsid w:val="00FD26A6"/>
    <w:rPr>
      <w:b/>
      <w:bCs/>
    </w:rPr>
  </w:style>
  <w:style w:type="character" w:customStyle="1" w:styleId="CommentSubjectChar">
    <w:name w:val="Comment Subject Char"/>
    <w:basedOn w:val="CommentTextChar"/>
    <w:link w:val="CommentSubject"/>
    <w:semiHidden/>
    <w:rsid w:val="00FD26A6"/>
    <w:rPr>
      <w:rFonts w:ascii="Book Antiqua" w:hAnsi="Book Antiqua" w:cs="Times New Roman"/>
      <w:b/>
      <w:bCs/>
      <w:sz w:val="20"/>
      <w:szCs w:val="20"/>
      <w:lang w:eastAsia="en-AU"/>
    </w:rPr>
  </w:style>
  <w:style w:type="paragraph" w:customStyle="1" w:styleId="Crest">
    <w:name w:val="Crest"/>
    <w:basedOn w:val="Normal"/>
    <w:next w:val="Normal"/>
    <w:rsid w:val="00FD26A6"/>
    <w:pPr>
      <w:spacing w:after="0"/>
      <w:jc w:val="center"/>
    </w:pPr>
  </w:style>
  <w:style w:type="paragraph" w:styleId="DocumentMap">
    <w:name w:val="Document Map"/>
    <w:basedOn w:val="Normal"/>
    <w:link w:val="DocumentMapChar"/>
    <w:semiHidden/>
    <w:rsid w:val="00FD26A6"/>
    <w:pPr>
      <w:shd w:val="clear" w:color="auto" w:fill="000080"/>
    </w:pPr>
    <w:rPr>
      <w:rFonts w:ascii="Tahoma" w:hAnsi="Tahoma" w:cs="Tahoma"/>
    </w:rPr>
  </w:style>
  <w:style w:type="character" w:customStyle="1" w:styleId="DocumentMapChar">
    <w:name w:val="Document Map Char"/>
    <w:basedOn w:val="DefaultParagraphFont"/>
    <w:link w:val="DocumentMap"/>
    <w:semiHidden/>
    <w:rsid w:val="00FD26A6"/>
    <w:rPr>
      <w:rFonts w:ascii="Tahoma" w:hAnsi="Tahoma" w:cs="Tahoma"/>
      <w:sz w:val="20"/>
      <w:szCs w:val="20"/>
      <w:shd w:val="clear" w:color="auto" w:fill="000080"/>
      <w:lang w:eastAsia="en-AU"/>
    </w:rPr>
  </w:style>
  <w:style w:type="character" w:styleId="Emphasis">
    <w:name w:val="Emphasis"/>
    <w:uiPriority w:val="20"/>
    <w:qFormat/>
    <w:rsid w:val="00FD26A6"/>
    <w:rPr>
      <w:rFonts w:cs="Times New Roman"/>
      <w:i/>
      <w:iCs/>
    </w:rPr>
  </w:style>
  <w:style w:type="character" w:styleId="EndnoteReference">
    <w:name w:val="endnote reference"/>
    <w:semiHidden/>
    <w:rsid w:val="00FD26A6"/>
    <w:rPr>
      <w:vertAlign w:val="superscript"/>
    </w:rPr>
  </w:style>
  <w:style w:type="paragraph" w:styleId="EndnoteText">
    <w:name w:val="endnote text"/>
    <w:basedOn w:val="Normal"/>
    <w:link w:val="EndnoteTextChar"/>
    <w:semiHidden/>
    <w:rsid w:val="00FD26A6"/>
  </w:style>
  <w:style w:type="character" w:customStyle="1" w:styleId="EndnoteTextChar">
    <w:name w:val="Endnote Text Char"/>
    <w:basedOn w:val="DefaultParagraphFont"/>
    <w:link w:val="EndnoteText"/>
    <w:semiHidden/>
    <w:rsid w:val="00FD26A6"/>
    <w:rPr>
      <w:rFonts w:ascii="Book Antiqua" w:hAnsi="Book Antiqua" w:cs="Times New Roman"/>
      <w:sz w:val="20"/>
      <w:szCs w:val="20"/>
      <w:lang w:eastAsia="en-AU"/>
    </w:rPr>
  </w:style>
  <w:style w:type="paragraph" w:customStyle="1" w:styleId="ExampleText0">
    <w:name w:val="Example Text"/>
    <w:basedOn w:val="Normal"/>
    <w:rsid w:val="00FD26A6"/>
    <w:rPr>
      <w:i/>
      <w:color w:val="FF0000"/>
    </w:rPr>
  </w:style>
  <w:style w:type="paragraph" w:customStyle="1" w:styleId="Exampletextbullet">
    <w:name w:val="Example text bullet"/>
    <w:basedOn w:val="Exampletext"/>
    <w:rsid w:val="00FD26A6"/>
    <w:pPr>
      <w:numPr>
        <w:numId w:val="22"/>
      </w:numPr>
    </w:pPr>
  </w:style>
  <w:style w:type="paragraph" w:customStyle="1" w:styleId="Exampletextdash">
    <w:name w:val="Example text dash"/>
    <w:basedOn w:val="Exampletextbullet"/>
    <w:rsid w:val="00FD26A6"/>
    <w:pPr>
      <w:numPr>
        <w:ilvl w:val="1"/>
      </w:numPr>
    </w:pPr>
  </w:style>
  <w:style w:type="paragraph" w:customStyle="1" w:styleId="FigureHeading">
    <w:name w:val="Figure Heading"/>
    <w:basedOn w:val="HeadingBase"/>
    <w:next w:val="ChartGraphic"/>
    <w:rsid w:val="00FD26A6"/>
    <w:pPr>
      <w:spacing w:after="120"/>
      <w:jc w:val="center"/>
    </w:pPr>
    <w:rPr>
      <w:b/>
      <w:sz w:val="20"/>
    </w:rPr>
  </w:style>
  <w:style w:type="paragraph" w:customStyle="1" w:styleId="FileProperties">
    <w:name w:val="File Properties"/>
    <w:basedOn w:val="Normal"/>
    <w:semiHidden/>
    <w:rsid w:val="00FD26A6"/>
    <w:rPr>
      <w:i/>
    </w:rPr>
  </w:style>
  <w:style w:type="character" w:styleId="FollowedHyperlink">
    <w:name w:val="FollowedHyperlink"/>
    <w:rsid w:val="00FD26A6"/>
    <w:rPr>
      <w:color w:val="800080"/>
      <w:u w:val="single"/>
    </w:rPr>
  </w:style>
  <w:style w:type="paragraph" w:customStyle="1" w:styleId="FooterBase">
    <w:name w:val="Footer Base"/>
    <w:rsid w:val="00FD26A6"/>
    <w:pPr>
      <w:spacing w:after="0" w:line="240" w:lineRule="auto"/>
      <w:jc w:val="center"/>
    </w:pPr>
    <w:rPr>
      <w:rFonts w:ascii="Arial" w:hAnsi="Arial" w:cs="Times New Roman"/>
      <w:sz w:val="20"/>
      <w:szCs w:val="20"/>
      <w:lang w:eastAsia="en-AU"/>
    </w:rPr>
  </w:style>
  <w:style w:type="character" w:styleId="FootnoteReference">
    <w:name w:val="footnote reference"/>
    <w:aliases w:val="Footnote text"/>
    <w:uiPriority w:val="99"/>
    <w:rsid w:val="00FD26A6"/>
    <w:rPr>
      <w:vertAlign w:val="superscript"/>
    </w:rPr>
  </w:style>
  <w:style w:type="character" w:customStyle="1" w:styleId="FramedHeader">
    <w:name w:val="Framed Header"/>
    <w:rsid w:val="00FD26A6"/>
    <w:rPr>
      <w:rFonts w:ascii="Book Antiqua" w:hAnsi="Book Antiqua"/>
      <w:i/>
      <w:dstrike w:val="0"/>
      <w:color w:val="auto"/>
      <w:sz w:val="18"/>
      <w:vertAlign w:val="baseline"/>
    </w:rPr>
  </w:style>
  <w:style w:type="paragraph" w:customStyle="1" w:styleId="HeaderBase">
    <w:name w:val="Header Base"/>
    <w:rsid w:val="00FD26A6"/>
    <w:pPr>
      <w:spacing w:after="0" w:line="240" w:lineRule="auto"/>
    </w:pPr>
    <w:rPr>
      <w:rFonts w:ascii="Book Antiqua" w:hAnsi="Book Antiqua" w:cs="Times New Roman"/>
      <w:i/>
      <w:sz w:val="20"/>
      <w:szCs w:val="20"/>
      <w:lang w:eastAsia="en-AU"/>
    </w:rPr>
  </w:style>
  <w:style w:type="paragraph" w:customStyle="1" w:styleId="Heading1noTOC">
    <w:name w:val="Heading 1 no TOC"/>
    <w:basedOn w:val="Heading1"/>
    <w:rsid w:val="00FD26A6"/>
  </w:style>
  <w:style w:type="character" w:customStyle="1" w:styleId="HiddenSequenceCode">
    <w:name w:val="Hidden Sequence Code"/>
    <w:semiHidden/>
    <w:rsid w:val="00FD26A6"/>
    <w:rPr>
      <w:rFonts w:ascii="Times New Roman" w:hAnsi="Times New Roman"/>
      <w:vanish/>
      <w:sz w:val="16"/>
    </w:rPr>
  </w:style>
  <w:style w:type="character" w:styleId="Hyperlink">
    <w:name w:val="Hyperlink"/>
    <w:uiPriority w:val="99"/>
    <w:rsid w:val="00FD26A6"/>
    <w:rPr>
      <w:color w:val="0000FF"/>
      <w:u w:val="single"/>
    </w:rPr>
  </w:style>
  <w:style w:type="paragraph" w:styleId="Index1">
    <w:name w:val="index 1"/>
    <w:basedOn w:val="Normal"/>
    <w:next w:val="Normal"/>
    <w:autoRedefine/>
    <w:semiHidden/>
    <w:rsid w:val="00FD26A6"/>
    <w:pPr>
      <w:ind w:left="200" w:hanging="200"/>
    </w:pPr>
  </w:style>
  <w:style w:type="paragraph" w:styleId="Index2">
    <w:name w:val="index 2"/>
    <w:basedOn w:val="Normal"/>
    <w:next w:val="Normal"/>
    <w:autoRedefine/>
    <w:semiHidden/>
    <w:rsid w:val="00FD26A6"/>
    <w:pPr>
      <w:ind w:left="400" w:hanging="200"/>
    </w:pPr>
  </w:style>
  <w:style w:type="paragraph" w:styleId="Index3">
    <w:name w:val="index 3"/>
    <w:basedOn w:val="Normal"/>
    <w:next w:val="Normal"/>
    <w:autoRedefine/>
    <w:semiHidden/>
    <w:rsid w:val="00FD26A6"/>
    <w:pPr>
      <w:ind w:left="600" w:hanging="200"/>
    </w:pPr>
  </w:style>
  <w:style w:type="paragraph" w:styleId="Index4">
    <w:name w:val="index 4"/>
    <w:basedOn w:val="Normal"/>
    <w:next w:val="Normal"/>
    <w:autoRedefine/>
    <w:semiHidden/>
    <w:rsid w:val="00FD26A6"/>
    <w:pPr>
      <w:ind w:left="800" w:hanging="200"/>
    </w:pPr>
  </w:style>
  <w:style w:type="paragraph" w:styleId="Index5">
    <w:name w:val="index 5"/>
    <w:basedOn w:val="Normal"/>
    <w:next w:val="Normal"/>
    <w:autoRedefine/>
    <w:semiHidden/>
    <w:rsid w:val="00FD26A6"/>
    <w:pPr>
      <w:ind w:left="1000" w:hanging="200"/>
    </w:pPr>
  </w:style>
  <w:style w:type="paragraph" w:styleId="Index6">
    <w:name w:val="index 6"/>
    <w:basedOn w:val="Normal"/>
    <w:next w:val="Normal"/>
    <w:autoRedefine/>
    <w:semiHidden/>
    <w:rsid w:val="00FD26A6"/>
    <w:pPr>
      <w:ind w:left="1200" w:hanging="200"/>
    </w:pPr>
  </w:style>
  <w:style w:type="paragraph" w:styleId="Index7">
    <w:name w:val="index 7"/>
    <w:basedOn w:val="Normal"/>
    <w:next w:val="Normal"/>
    <w:autoRedefine/>
    <w:semiHidden/>
    <w:rsid w:val="00FD26A6"/>
    <w:pPr>
      <w:ind w:left="1400" w:hanging="200"/>
    </w:pPr>
  </w:style>
  <w:style w:type="paragraph" w:styleId="Index8">
    <w:name w:val="index 8"/>
    <w:basedOn w:val="Normal"/>
    <w:next w:val="Normal"/>
    <w:autoRedefine/>
    <w:semiHidden/>
    <w:rsid w:val="00FD26A6"/>
    <w:pPr>
      <w:ind w:left="1600" w:hanging="200"/>
    </w:pPr>
  </w:style>
  <w:style w:type="paragraph" w:styleId="Index9">
    <w:name w:val="index 9"/>
    <w:basedOn w:val="Normal"/>
    <w:next w:val="Normal"/>
    <w:autoRedefine/>
    <w:semiHidden/>
    <w:rsid w:val="00FD26A6"/>
    <w:pPr>
      <w:ind w:left="1800" w:hanging="200"/>
    </w:pPr>
  </w:style>
  <w:style w:type="paragraph" w:styleId="IndexHeading">
    <w:name w:val="index heading"/>
    <w:basedOn w:val="Normal"/>
    <w:next w:val="Index1"/>
    <w:semiHidden/>
    <w:rsid w:val="00FD26A6"/>
    <w:rPr>
      <w:rFonts w:ascii="Arial" w:hAnsi="Arial" w:cs="Arial"/>
      <w:b/>
      <w:bCs/>
    </w:rPr>
  </w:style>
  <w:style w:type="paragraph" w:styleId="ListNumber">
    <w:name w:val="List Number"/>
    <w:basedOn w:val="Normal"/>
    <w:rsid w:val="00FD26A6"/>
    <w:pPr>
      <w:numPr>
        <w:numId w:val="24"/>
      </w:numPr>
      <w:contextualSpacing/>
    </w:p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FD26A6"/>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FD26A6"/>
    <w:rPr>
      <w:rFonts w:ascii="Calibri" w:eastAsia="Calibri" w:hAnsi="Calibri" w:cs="Times New Roman"/>
      <w:lang w:val="en-US"/>
    </w:rPr>
  </w:style>
  <w:style w:type="paragraph" w:styleId="MacroText">
    <w:name w:val="macro"/>
    <w:link w:val="MacroTextChar"/>
    <w:semiHidden/>
    <w:rsid w:val="00FD26A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sz w:val="20"/>
      <w:szCs w:val="20"/>
      <w:lang w:eastAsia="en-AU"/>
    </w:rPr>
  </w:style>
  <w:style w:type="character" w:customStyle="1" w:styleId="MacroTextChar">
    <w:name w:val="Macro Text Char"/>
    <w:basedOn w:val="DefaultParagraphFont"/>
    <w:link w:val="MacroText"/>
    <w:semiHidden/>
    <w:rsid w:val="00FD26A6"/>
    <w:rPr>
      <w:rFonts w:ascii="Courier New" w:hAnsi="Courier New" w:cs="Courier New"/>
      <w:sz w:val="20"/>
      <w:szCs w:val="20"/>
      <w:lang w:eastAsia="en-AU"/>
    </w:rPr>
  </w:style>
  <w:style w:type="paragraph" w:styleId="NormalIndent">
    <w:name w:val="Normal Indent"/>
    <w:basedOn w:val="Normal"/>
    <w:rsid w:val="00FD26A6"/>
    <w:pPr>
      <w:ind w:left="567"/>
    </w:pPr>
  </w:style>
  <w:style w:type="paragraph" w:customStyle="1" w:styleId="NoteTableHeading">
    <w:name w:val="Note Table Heading"/>
    <w:basedOn w:val="HeadingBase"/>
    <w:next w:val="TableGraphic"/>
    <w:semiHidden/>
    <w:rsid w:val="00FD26A6"/>
    <w:pPr>
      <w:spacing w:before="240"/>
    </w:pPr>
    <w:rPr>
      <w:b/>
      <w:sz w:val="20"/>
    </w:rPr>
  </w:style>
  <w:style w:type="paragraph" w:customStyle="1" w:styleId="numberedpara">
    <w:name w:val="numbered para"/>
    <w:basedOn w:val="Normal"/>
    <w:rsid w:val="00FD26A6"/>
    <w:pPr>
      <w:keepLines/>
      <w:numPr>
        <w:numId w:val="25"/>
      </w:numPr>
      <w:spacing w:after="0"/>
    </w:pPr>
    <w:rPr>
      <w:rFonts w:ascii="Calibri" w:hAnsi="Calibri"/>
      <w:sz w:val="22"/>
      <w:szCs w:val="16"/>
      <w:lang w:eastAsia="en-US"/>
    </w:rPr>
  </w:style>
  <w:style w:type="paragraph" w:customStyle="1" w:styleId="Outcome">
    <w:name w:val="Outcome"/>
    <w:basedOn w:val="Normal"/>
    <w:rsid w:val="00FD26A6"/>
    <w:pPr>
      <w:spacing w:line="280" w:lineRule="exact"/>
    </w:pPr>
    <w:rPr>
      <w:rFonts w:ascii="Arial" w:hAnsi="Arial" w:cs="Arial"/>
      <w:b/>
    </w:rPr>
  </w:style>
  <w:style w:type="paragraph" w:customStyle="1" w:styleId="OverviewParagraph">
    <w:name w:val="Overview Paragraph"/>
    <w:basedOn w:val="Normal"/>
    <w:semiHidden/>
    <w:rsid w:val="00FD26A6"/>
  </w:style>
  <w:style w:type="character" w:styleId="PageNumber">
    <w:name w:val="page number"/>
    <w:rsid w:val="00FD26A6"/>
    <w:rPr>
      <w:rFonts w:ascii="Arial" w:hAnsi="Arial" w:cs="Arial"/>
    </w:rPr>
  </w:style>
  <w:style w:type="paragraph" w:styleId="Title">
    <w:name w:val="Title"/>
    <w:basedOn w:val="Normal"/>
    <w:link w:val="TitleChar"/>
    <w:qFormat/>
    <w:rsid w:val="00FD26A6"/>
    <w:pPr>
      <w:spacing w:after="0"/>
      <w:jc w:val="center"/>
      <w:outlineLvl w:val="0"/>
    </w:pPr>
    <w:rPr>
      <w:rFonts w:ascii="Arial" w:hAnsi="Arial" w:cs="Arial"/>
      <w:b/>
      <w:bCs/>
      <w:caps/>
      <w:kern w:val="28"/>
      <w:sz w:val="52"/>
      <w:szCs w:val="32"/>
    </w:rPr>
  </w:style>
  <w:style w:type="character" w:customStyle="1" w:styleId="TitleChar">
    <w:name w:val="Title Char"/>
    <w:basedOn w:val="DefaultParagraphFont"/>
    <w:link w:val="Title"/>
    <w:rsid w:val="00FD26A6"/>
    <w:rPr>
      <w:rFonts w:ascii="Arial" w:hAnsi="Arial" w:cs="Arial"/>
      <w:b/>
      <w:bCs/>
      <w:caps/>
      <w:kern w:val="28"/>
      <w:sz w:val="52"/>
      <w:szCs w:val="32"/>
      <w:lang w:eastAsia="en-AU"/>
    </w:rPr>
  </w:style>
  <w:style w:type="paragraph" w:customStyle="1" w:styleId="Part">
    <w:name w:val="Part"/>
    <w:basedOn w:val="Title"/>
    <w:next w:val="Normal"/>
    <w:rsid w:val="00FD26A6"/>
    <w:rPr>
      <w:caps w:val="0"/>
      <w:smallCaps/>
    </w:rPr>
  </w:style>
  <w:style w:type="paragraph" w:customStyle="1" w:styleId="PartHeading">
    <w:name w:val="Part Heading"/>
    <w:basedOn w:val="Part"/>
    <w:next w:val="Normal"/>
    <w:rsid w:val="00FD26A6"/>
  </w:style>
  <w:style w:type="paragraph" w:customStyle="1" w:styleId="ProgramHeadingsub">
    <w:name w:val="Program Heading sub"/>
    <w:basedOn w:val="BoxHeading"/>
    <w:rsid w:val="00FD26A6"/>
  </w:style>
  <w:style w:type="paragraph" w:customStyle="1" w:styleId="ProgramHeading0">
    <w:name w:val="ProgramHeading"/>
    <w:rsid w:val="00FD26A6"/>
    <w:pPr>
      <w:spacing w:before="60" w:after="60" w:line="240" w:lineRule="auto"/>
    </w:pPr>
    <w:rPr>
      <w:rFonts w:ascii="Book Antiqua" w:hAnsi="Book Antiqua" w:cs="Times New Roman"/>
      <w:b/>
      <w:szCs w:val="20"/>
    </w:rPr>
  </w:style>
  <w:style w:type="paragraph" w:customStyle="1" w:styleId="Source">
    <w:name w:val="Source"/>
    <w:basedOn w:val="Normal"/>
    <w:rsid w:val="00FD26A6"/>
    <w:pPr>
      <w:tabs>
        <w:tab w:val="left" w:pos="284"/>
      </w:tabs>
      <w:spacing w:after="0"/>
    </w:pPr>
    <w:rPr>
      <w:rFonts w:ascii="Arial" w:hAnsi="Arial"/>
      <w:sz w:val="16"/>
    </w:rPr>
  </w:style>
  <w:style w:type="character" w:styleId="Strong">
    <w:name w:val="Strong"/>
    <w:qFormat/>
    <w:rsid w:val="00FD26A6"/>
    <w:rPr>
      <w:b/>
      <w:bCs/>
    </w:rPr>
  </w:style>
  <w:style w:type="paragraph" w:customStyle="1" w:styleId="StyleTableTextItalicBoldNotItalic">
    <w:name w:val="Style TableText Italic + Bold Not Italic"/>
    <w:basedOn w:val="Normal"/>
    <w:rsid w:val="00FD26A6"/>
    <w:pPr>
      <w:tabs>
        <w:tab w:val="left" w:pos="113"/>
      </w:tabs>
      <w:spacing w:after="20"/>
    </w:pPr>
    <w:rPr>
      <w:rFonts w:cs="Arial"/>
      <w:b/>
      <w:bCs/>
      <w:color w:val="000000"/>
      <w:sz w:val="18"/>
      <w:szCs w:val="16"/>
      <w:lang w:eastAsia="en-US"/>
    </w:rPr>
  </w:style>
  <w:style w:type="paragraph" w:customStyle="1" w:styleId="TableColumnHeadingBase">
    <w:name w:val="Table Column Heading Base"/>
    <w:basedOn w:val="Normal"/>
    <w:rsid w:val="00FD26A6"/>
    <w:pPr>
      <w:spacing w:before="60" w:after="60"/>
    </w:pPr>
    <w:rPr>
      <w:rFonts w:ascii="Arial" w:hAnsi="Arial"/>
      <w:b/>
    </w:rPr>
  </w:style>
  <w:style w:type="paragraph" w:customStyle="1" w:styleId="TableColumnHeadingCentred">
    <w:name w:val="Table Column Heading Centred"/>
    <w:basedOn w:val="TableColumnHeadingBase"/>
    <w:next w:val="Normal"/>
    <w:rsid w:val="00FD26A6"/>
    <w:pPr>
      <w:jc w:val="center"/>
    </w:pPr>
  </w:style>
  <w:style w:type="paragraph" w:customStyle="1" w:styleId="TableColumnHeadingLeft">
    <w:name w:val="Table Column Heading Left"/>
    <w:basedOn w:val="TableColumnHeadingBase"/>
    <w:next w:val="Normal"/>
    <w:rsid w:val="00FD26A6"/>
    <w:pPr>
      <w:spacing w:before="120" w:after="120"/>
    </w:pPr>
  </w:style>
  <w:style w:type="paragraph" w:customStyle="1" w:styleId="TableColumnHeadingRight">
    <w:name w:val="Table Column Heading Right"/>
    <w:basedOn w:val="TableColumnHeadingBase"/>
    <w:next w:val="Normal"/>
    <w:rsid w:val="00FD26A6"/>
    <w:pPr>
      <w:jc w:val="right"/>
    </w:pPr>
  </w:style>
  <w:style w:type="paragraph" w:customStyle="1" w:styleId="TableColumnOutgroupHeading">
    <w:name w:val="Table Column Outgroup Heading"/>
    <w:basedOn w:val="Normal"/>
    <w:rsid w:val="00FD26A6"/>
    <w:pPr>
      <w:spacing w:before="60"/>
    </w:pPr>
    <w:rPr>
      <w:b/>
      <w:sz w:val="22"/>
    </w:rPr>
  </w:style>
  <w:style w:type="paragraph" w:customStyle="1" w:styleId="TableColumnOutgroupSubheading">
    <w:name w:val="Table Column Outgroup Subheading"/>
    <w:basedOn w:val="Normal"/>
    <w:rsid w:val="00FD26A6"/>
    <w:pPr>
      <w:spacing w:before="60"/>
      <w:jc w:val="center"/>
    </w:pPr>
  </w:style>
  <w:style w:type="paragraph" w:styleId="TableofAuthorities">
    <w:name w:val="table of authorities"/>
    <w:basedOn w:val="Normal"/>
    <w:next w:val="Normal"/>
    <w:semiHidden/>
    <w:rsid w:val="00FD26A6"/>
    <w:pPr>
      <w:ind w:left="200" w:hanging="200"/>
    </w:pPr>
  </w:style>
  <w:style w:type="paragraph" w:styleId="TableofFigures">
    <w:name w:val="table of figures"/>
    <w:basedOn w:val="Normal"/>
    <w:next w:val="Normal"/>
    <w:semiHidden/>
    <w:rsid w:val="00FD26A6"/>
  </w:style>
  <w:style w:type="paragraph" w:customStyle="1" w:styleId="TableTextBase">
    <w:name w:val="Table Text Base"/>
    <w:basedOn w:val="Normal"/>
    <w:link w:val="TableTextBaseChar"/>
    <w:rsid w:val="00FD26A6"/>
    <w:pPr>
      <w:spacing w:before="60" w:after="60"/>
    </w:pPr>
    <w:rPr>
      <w:sz w:val="18"/>
    </w:rPr>
  </w:style>
  <w:style w:type="character" w:customStyle="1" w:styleId="TableTextBaseChar">
    <w:name w:val="Table Text Base Char"/>
    <w:link w:val="TableTextBase"/>
    <w:rsid w:val="00FD26A6"/>
    <w:rPr>
      <w:rFonts w:ascii="Book Antiqua" w:hAnsi="Book Antiqua" w:cs="Times New Roman"/>
      <w:sz w:val="18"/>
      <w:szCs w:val="20"/>
      <w:lang w:eastAsia="en-AU"/>
    </w:rPr>
  </w:style>
  <w:style w:type="paragraph" w:customStyle="1" w:styleId="TableTextBullet">
    <w:name w:val="Table Text Bullet"/>
    <w:basedOn w:val="TableTextBase"/>
    <w:rsid w:val="00FD26A6"/>
    <w:pPr>
      <w:numPr>
        <w:numId w:val="27"/>
      </w:numPr>
    </w:pPr>
  </w:style>
  <w:style w:type="paragraph" w:customStyle="1" w:styleId="TableTextCentred">
    <w:name w:val="Table Text Centred"/>
    <w:basedOn w:val="TableTextBase"/>
    <w:rsid w:val="00FD26A6"/>
    <w:pPr>
      <w:jc w:val="center"/>
    </w:pPr>
  </w:style>
  <w:style w:type="paragraph" w:customStyle="1" w:styleId="TableTextDash">
    <w:name w:val="Table Text Dash"/>
    <w:basedOn w:val="TableTextBase"/>
    <w:rsid w:val="00FD26A6"/>
    <w:pPr>
      <w:numPr>
        <w:ilvl w:val="1"/>
        <w:numId w:val="27"/>
      </w:numPr>
    </w:pPr>
  </w:style>
  <w:style w:type="paragraph" w:customStyle="1" w:styleId="TableTextIndented">
    <w:name w:val="Table Text Indented"/>
    <w:basedOn w:val="TableTextBase"/>
    <w:rsid w:val="00FD26A6"/>
    <w:pPr>
      <w:ind w:left="284"/>
    </w:pPr>
  </w:style>
  <w:style w:type="paragraph" w:customStyle="1" w:styleId="TableTextJustified">
    <w:name w:val="Table Text Justified"/>
    <w:basedOn w:val="TableTextBase"/>
    <w:rsid w:val="00FD26A6"/>
    <w:pPr>
      <w:jc w:val="both"/>
    </w:pPr>
  </w:style>
  <w:style w:type="paragraph" w:customStyle="1" w:styleId="Tabletextjustified0">
    <w:name w:val="Table text justified"/>
    <w:basedOn w:val="Normal"/>
    <w:semiHidden/>
    <w:rsid w:val="00FD26A6"/>
    <w:pPr>
      <w:spacing w:before="100" w:after="100" w:line="250" w:lineRule="exact"/>
    </w:pPr>
    <w:rPr>
      <w:rFonts w:ascii="Arial" w:hAnsi="Arial" w:cs="Arial"/>
      <w:sz w:val="18"/>
    </w:rPr>
  </w:style>
  <w:style w:type="paragraph" w:customStyle="1" w:styleId="TableTextLeft">
    <w:name w:val="Table Text Left"/>
    <w:basedOn w:val="TableTextBase"/>
    <w:link w:val="TableTextLeftChar"/>
    <w:rsid w:val="00FD26A6"/>
  </w:style>
  <w:style w:type="character" w:customStyle="1" w:styleId="TableTextLeftChar">
    <w:name w:val="Table Text Left Char"/>
    <w:link w:val="TableTextLeft"/>
    <w:rsid w:val="00FD26A6"/>
    <w:rPr>
      <w:rFonts w:ascii="Book Antiqua" w:hAnsi="Book Antiqua" w:cs="Times New Roman"/>
      <w:sz w:val="18"/>
      <w:szCs w:val="20"/>
      <w:lang w:eastAsia="en-AU"/>
    </w:rPr>
  </w:style>
  <w:style w:type="paragraph" w:customStyle="1" w:styleId="TableTextRight0">
    <w:name w:val="Table Text Right"/>
    <w:basedOn w:val="TableTextBase"/>
    <w:rsid w:val="00FD26A6"/>
    <w:pPr>
      <w:jc w:val="right"/>
    </w:pPr>
  </w:style>
  <w:style w:type="paragraph" w:customStyle="1" w:styleId="TableChartFootnote">
    <w:name w:val="TableChart Footnote"/>
    <w:basedOn w:val="Normal"/>
    <w:next w:val="Normal"/>
    <w:rsid w:val="00FD26A6"/>
    <w:pPr>
      <w:tabs>
        <w:tab w:val="left" w:pos="567"/>
      </w:tabs>
      <w:spacing w:after="0"/>
      <w:ind w:left="567" w:hanging="567"/>
    </w:pPr>
    <w:rPr>
      <w:rFonts w:cs="Arial"/>
      <w:color w:val="000000"/>
      <w:sz w:val="16"/>
      <w:szCs w:val="24"/>
      <w:lang w:eastAsia="en-US"/>
    </w:rPr>
  </w:style>
  <w:style w:type="paragraph" w:customStyle="1" w:styleId="Tabletextbullets">
    <w:name w:val="Tabletext bullets"/>
    <w:basedOn w:val="TableText"/>
    <w:qFormat/>
    <w:rsid w:val="00FD26A6"/>
    <w:pPr>
      <w:numPr>
        <w:numId w:val="28"/>
      </w:numPr>
      <w:spacing w:line="260" w:lineRule="exact"/>
    </w:pPr>
    <w:rPr>
      <w:rFonts w:eastAsia="Book Antiqua"/>
    </w:rPr>
  </w:style>
  <w:style w:type="paragraph" w:customStyle="1" w:styleId="Title2ndLevel">
    <w:name w:val="Title 2nd Level"/>
    <w:basedOn w:val="Title"/>
    <w:rsid w:val="00FD26A6"/>
    <w:rPr>
      <w:sz w:val="24"/>
    </w:rPr>
  </w:style>
  <w:style w:type="paragraph" w:customStyle="1" w:styleId="Title3rdLevel">
    <w:name w:val="Title 3rd Level"/>
    <w:basedOn w:val="Normal"/>
    <w:next w:val="Title"/>
    <w:rsid w:val="00FD26A6"/>
    <w:pPr>
      <w:jc w:val="center"/>
    </w:pPr>
    <w:rPr>
      <w:rFonts w:ascii="Arial" w:hAnsi="Arial"/>
      <w:caps/>
    </w:rPr>
  </w:style>
  <w:style w:type="paragraph" w:styleId="TOAHeading">
    <w:name w:val="toa heading"/>
    <w:basedOn w:val="Normal"/>
    <w:next w:val="Normal"/>
    <w:semiHidden/>
    <w:rsid w:val="00FD26A6"/>
    <w:rPr>
      <w:rFonts w:ascii="Arial" w:hAnsi="Arial" w:cs="Arial"/>
      <w:b/>
      <w:bCs/>
      <w:sz w:val="24"/>
      <w:szCs w:val="24"/>
    </w:rPr>
  </w:style>
  <w:style w:type="paragraph" w:styleId="TOC1">
    <w:name w:val="toc 1"/>
    <w:basedOn w:val="HeaderBase"/>
    <w:next w:val="Normal"/>
    <w:rsid w:val="00FD26A6"/>
    <w:pPr>
      <w:tabs>
        <w:tab w:val="right" w:leader="dot" w:pos="7700"/>
      </w:tabs>
      <w:spacing w:before="240"/>
      <w:ind w:right="851"/>
    </w:pPr>
    <w:rPr>
      <w:rFonts w:ascii="Arial" w:hAnsi="Arial"/>
      <w:b/>
      <w:i w:val="0"/>
    </w:rPr>
  </w:style>
  <w:style w:type="paragraph" w:styleId="TOC2">
    <w:name w:val="toc 2"/>
    <w:basedOn w:val="HeadingBase"/>
    <w:next w:val="Normal"/>
    <w:rsid w:val="00FD26A6"/>
    <w:pPr>
      <w:tabs>
        <w:tab w:val="right" w:leader="dot" w:pos="7700"/>
      </w:tabs>
      <w:spacing w:before="80"/>
      <w:ind w:right="851"/>
    </w:pPr>
    <w:rPr>
      <w:sz w:val="20"/>
    </w:rPr>
  </w:style>
  <w:style w:type="paragraph" w:styleId="TOC5">
    <w:name w:val="toc 5"/>
    <w:basedOn w:val="Normal"/>
    <w:next w:val="Normal"/>
    <w:autoRedefine/>
    <w:semiHidden/>
    <w:rsid w:val="00FD26A6"/>
    <w:pPr>
      <w:ind w:left="800"/>
    </w:pPr>
  </w:style>
  <w:style w:type="paragraph" w:styleId="TOC6">
    <w:name w:val="toc 6"/>
    <w:basedOn w:val="Normal"/>
    <w:next w:val="Normal"/>
    <w:autoRedefine/>
    <w:semiHidden/>
    <w:rsid w:val="00FD26A6"/>
    <w:pPr>
      <w:ind w:left="1000"/>
    </w:pPr>
  </w:style>
  <w:style w:type="paragraph" w:styleId="TOC7">
    <w:name w:val="toc 7"/>
    <w:basedOn w:val="Normal"/>
    <w:next w:val="Normal"/>
    <w:autoRedefine/>
    <w:semiHidden/>
    <w:rsid w:val="00FD26A6"/>
    <w:pPr>
      <w:ind w:left="1200"/>
    </w:pPr>
  </w:style>
  <w:style w:type="paragraph" w:styleId="TOC8">
    <w:name w:val="toc 8"/>
    <w:basedOn w:val="Normal"/>
    <w:next w:val="Normal"/>
    <w:autoRedefine/>
    <w:semiHidden/>
    <w:rsid w:val="00FD26A6"/>
    <w:pPr>
      <w:ind w:left="1400"/>
    </w:pPr>
  </w:style>
  <w:style w:type="paragraph" w:styleId="TOC9">
    <w:name w:val="toc 9"/>
    <w:basedOn w:val="Normal"/>
    <w:next w:val="Normal"/>
    <w:autoRedefine/>
    <w:semiHidden/>
    <w:rsid w:val="00FD26A6"/>
    <w:pPr>
      <w:ind w:left="1600"/>
    </w:pPr>
  </w:style>
  <w:style w:type="paragraph" w:customStyle="1" w:styleId="TPHeading1">
    <w:name w:val="TP Heading 1"/>
    <w:basedOn w:val="HeadingBase"/>
    <w:rsid w:val="00FD26A6"/>
    <w:rPr>
      <w:b/>
      <w:caps/>
      <w:sz w:val="52"/>
    </w:rPr>
  </w:style>
  <w:style w:type="paragraph" w:customStyle="1" w:styleId="TPHeading2">
    <w:name w:val="TP Heading 2"/>
    <w:basedOn w:val="HeadingBase"/>
    <w:rsid w:val="00FD26A6"/>
    <w:pPr>
      <w:jc w:val="center"/>
    </w:pPr>
    <w:rPr>
      <w:rFonts w:ascii="Georgia" w:hAnsi="Georgia"/>
      <w:caps/>
    </w:rPr>
  </w:style>
  <w:style w:type="paragraph" w:customStyle="1" w:styleId="TPHeading3">
    <w:name w:val="TP Heading 3"/>
    <w:basedOn w:val="HeadingBase"/>
    <w:rsid w:val="00FD26A6"/>
    <w:rPr>
      <w:rFonts w:ascii="Georgia" w:hAnsi="Georgia"/>
      <w:caps/>
    </w:rPr>
  </w:style>
  <w:style w:type="paragraph" w:customStyle="1" w:styleId="TransmittalAddressee">
    <w:name w:val="Transmittal Addressee"/>
    <w:basedOn w:val="Normal"/>
    <w:rsid w:val="00FD26A6"/>
    <w:pPr>
      <w:spacing w:after="0"/>
    </w:pPr>
  </w:style>
  <w:style w:type="paragraph" w:customStyle="1" w:styleId="TransmittalStyle1">
    <w:name w:val="Transmittal Style 1"/>
    <w:basedOn w:val="HeadingBase"/>
    <w:rsid w:val="00FD26A6"/>
    <w:pPr>
      <w:spacing w:after="60"/>
      <w:jc w:val="right"/>
    </w:pPr>
    <w:rPr>
      <w:b/>
      <w:smallCaps/>
    </w:rPr>
  </w:style>
  <w:style w:type="paragraph" w:customStyle="1" w:styleId="TransmittalStyle2">
    <w:name w:val="Transmittal Style 2"/>
    <w:basedOn w:val="HeadingBase"/>
    <w:rsid w:val="00FD26A6"/>
    <w:pPr>
      <w:spacing w:before="60" w:after="60"/>
      <w:jc w:val="right"/>
    </w:pPr>
    <w:rPr>
      <w:rFonts w:ascii="Helvetica" w:hAnsi="Helvetica"/>
      <w:b/>
      <w:caps/>
      <w:sz w:val="16"/>
    </w:rPr>
  </w:style>
  <w:style w:type="paragraph" w:customStyle="1" w:styleId="UserGuidelevelTOC">
    <w:name w:val="UserGuide level TOC"/>
    <w:basedOn w:val="HeadingBase"/>
    <w:next w:val="Normal"/>
    <w:rsid w:val="00FD26A6"/>
    <w:pPr>
      <w:spacing w:before="360" w:after="360"/>
    </w:pPr>
    <w:rPr>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6A6"/>
    <w:pPr>
      <w:spacing w:before="80" w:after="80" w:line="240" w:lineRule="auto"/>
    </w:pPr>
    <w:rPr>
      <w:rFonts w:ascii="Book Antiqua" w:hAnsi="Book Antiqua" w:cs="Times New Roman"/>
      <w:sz w:val="20"/>
      <w:szCs w:val="20"/>
      <w:lang w:eastAsia="en-AU"/>
    </w:rPr>
  </w:style>
  <w:style w:type="paragraph" w:styleId="Heading1">
    <w:name w:val="heading 1"/>
    <w:basedOn w:val="HeadingBase"/>
    <w:next w:val="Normal"/>
    <w:link w:val="Heading1Char"/>
    <w:qFormat/>
    <w:rsid w:val="00FD26A6"/>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D26A6"/>
    <w:pPr>
      <w:spacing w:before="360" w:after="360"/>
      <w:outlineLvl w:val="1"/>
    </w:pPr>
    <w:rPr>
      <w:sz w:val="30"/>
    </w:rPr>
  </w:style>
  <w:style w:type="paragraph" w:styleId="Heading3">
    <w:name w:val="heading 3"/>
    <w:basedOn w:val="HeadingBase"/>
    <w:next w:val="Normal"/>
    <w:link w:val="Heading3Char"/>
    <w:qFormat/>
    <w:rsid w:val="00FD26A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FD26A6"/>
    <w:pPr>
      <w:tabs>
        <w:tab w:val="left" w:pos="709"/>
      </w:tabs>
      <w:spacing w:before="120" w:after="120"/>
      <w:outlineLvl w:val="3"/>
    </w:pPr>
    <w:rPr>
      <w:b/>
      <w:sz w:val="22"/>
    </w:rPr>
  </w:style>
  <w:style w:type="paragraph" w:styleId="Heading5">
    <w:name w:val="heading 5"/>
    <w:basedOn w:val="HeadingBase"/>
    <w:next w:val="Normal"/>
    <w:link w:val="Heading5Char"/>
    <w:qFormat/>
    <w:rsid w:val="00FD26A6"/>
    <w:pPr>
      <w:spacing w:before="240" w:after="60" w:line="360" w:lineRule="auto"/>
      <w:outlineLvl w:val="4"/>
    </w:pPr>
    <w:rPr>
      <w:b/>
      <w:bCs/>
      <w:iCs/>
      <w:sz w:val="21"/>
      <w:szCs w:val="26"/>
    </w:rPr>
  </w:style>
  <w:style w:type="paragraph" w:styleId="Heading6">
    <w:name w:val="heading 6"/>
    <w:basedOn w:val="HeadingBase"/>
    <w:next w:val="Normal"/>
    <w:link w:val="Heading6Char"/>
    <w:qFormat/>
    <w:rsid w:val="00FD26A6"/>
    <w:pPr>
      <w:spacing w:after="120"/>
      <w:outlineLvl w:val="5"/>
    </w:pPr>
    <w:rPr>
      <w:b/>
      <w:bCs/>
      <w:sz w:val="20"/>
      <w:szCs w:val="22"/>
    </w:rPr>
  </w:style>
  <w:style w:type="paragraph" w:styleId="Heading7">
    <w:name w:val="heading 7"/>
    <w:basedOn w:val="HeadingBase"/>
    <w:next w:val="Normal"/>
    <w:link w:val="Heading7Char"/>
    <w:qFormat/>
    <w:rsid w:val="00FD26A6"/>
    <w:pPr>
      <w:spacing w:after="100"/>
      <w:outlineLvl w:val="6"/>
    </w:pPr>
    <w:rPr>
      <w:sz w:val="18"/>
      <w:szCs w:val="24"/>
    </w:rPr>
  </w:style>
  <w:style w:type="paragraph" w:styleId="Heading8">
    <w:name w:val="heading 8"/>
    <w:basedOn w:val="HeadingBase"/>
    <w:next w:val="Normal"/>
    <w:link w:val="Heading8Char"/>
    <w:qFormat/>
    <w:rsid w:val="00FD26A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qFormat/>
    <w:rsid w:val="00FA5E88"/>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26A6"/>
    <w:rPr>
      <w:rFonts w:ascii="Arial Bold" w:hAnsi="Arial Bold" w:cs="Times New Roman"/>
      <w:b/>
      <w:smallCaps/>
      <w:kern w:val="28"/>
      <w:sz w:val="34"/>
      <w:szCs w:val="20"/>
      <w:lang w:eastAsia="en-AU"/>
    </w:rPr>
  </w:style>
  <w:style w:type="character" w:customStyle="1" w:styleId="Heading2Char">
    <w:name w:val="Heading 2 Char"/>
    <w:basedOn w:val="DefaultParagraphFont"/>
    <w:link w:val="Heading2"/>
    <w:rsid w:val="00FD26A6"/>
    <w:rPr>
      <w:rFonts w:ascii="Arial" w:hAnsi="Arial" w:cs="Times New Roman"/>
      <w:sz w:val="30"/>
      <w:szCs w:val="20"/>
      <w:lang w:eastAsia="en-AU"/>
    </w:rPr>
  </w:style>
  <w:style w:type="character" w:customStyle="1" w:styleId="Heading3Char">
    <w:name w:val="Heading 3 Char"/>
    <w:link w:val="Heading3"/>
    <w:rsid w:val="00FD26A6"/>
    <w:rPr>
      <w:rFonts w:ascii="Arial" w:hAnsi="Arial" w:cs="Times New Roman"/>
      <w:b/>
      <w:smallCaps/>
      <w:sz w:val="26"/>
      <w:szCs w:val="20"/>
      <w:lang w:eastAsia="en-AU"/>
    </w:rPr>
  </w:style>
  <w:style w:type="character" w:customStyle="1" w:styleId="Heading4Char">
    <w:name w:val="Heading 4 Char"/>
    <w:basedOn w:val="DefaultParagraphFont"/>
    <w:link w:val="Heading4"/>
    <w:rsid w:val="00FD26A6"/>
    <w:rPr>
      <w:rFonts w:ascii="Arial" w:hAnsi="Arial" w:cs="Times New Roman"/>
      <w:b/>
      <w:szCs w:val="20"/>
      <w:lang w:eastAsia="en-AU"/>
    </w:rPr>
  </w:style>
  <w:style w:type="character" w:customStyle="1" w:styleId="Heading5Char">
    <w:name w:val="Heading 5 Char"/>
    <w:basedOn w:val="DefaultParagraphFont"/>
    <w:link w:val="Heading5"/>
    <w:rsid w:val="00FD26A6"/>
    <w:rPr>
      <w:rFonts w:ascii="Arial" w:hAnsi="Arial" w:cs="Times New Roman"/>
      <w:b/>
      <w:bCs/>
      <w:iCs/>
      <w:sz w:val="21"/>
      <w:szCs w:val="26"/>
      <w:lang w:eastAsia="en-AU"/>
    </w:rPr>
  </w:style>
  <w:style w:type="character" w:customStyle="1" w:styleId="Heading6Char">
    <w:name w:val="Heading 6 Char"/>
    <w:link w:val="Heading6"/>
    <w:rsid w:val="0018116D"/>
    <w:rPr>
      <w:rFonts w:ascii="Arial" w:hAnsi="Arial" w:cs="Times New Roman"/>
      <w:b/>
      <w:bCs/>
      <w:sz w:val="20"/>
      <w:lang w:eastAsia="en-AU"/>
    </w:rPr>
  </w:style>
  <w:style w:type="character" w:customStyle="1" w:styleId="Heading7Char">
    <w:name w:val="Heading 7 Char"/>
    <w:basedOn w:val="DefaultParagraphFont"/>
    <w:link w:val="Heading7"/>
    <w:rsid w:val="00FA5E88"/>
    <w:rPr>
      <w:rFonts w:ascii="Arial" w:hAnsi="Arial" w:cs="Times New Roman"/>
      <w:sz w:val="18"/>
      <w:szCs w:val="24"/>
      <w:lang w:eastAsia="en-AU"/>
    </w:rPr>
  </w:style>
  <w:style w:type="character" w:customStyle="1" w:styleId="Heading8Char">
    <w:name w:val="Heading 8 Char"/>
    <w:basedOn w:val="DefaultParagraphFont"/>
    <w:link w:val="Heading8"/>
    <w:rsid w:val="00FA5E88"/>
    <w:rPr>
      <w:rFonts w:ascii="Times New Roman" w:hAnsi="Times New Roman" w:cs="Times New Roman"/>
      <w:i/>
      <w:iCs/>
      <w:sz w:val="16"/>
      <w:szCs w:val="24"/>
      <w:lang w:eastAsia="en-AU"/>
    </w:rPr>
  </w:style>
  <w:style w:type="character" w:customStyle="1" w:styleId="Heading9Char">
    <w:name w:val="Heading 9 Char"/>
    <w:basedOn w:val="DefaultParagraphFont"/>
    <w:link w:val="Heading9"/>
    <w:rsid w:val="00FA5E88"/>
    <w:rPr>
      <w:rFonts w:ascii="Calibri" w:eastAsia="Times New Roman" w:hAnsi="Calibri" w:cs="Times New Roman"/>
      <w:szCs w:val="20"/>
    </w:rPr>
  </w:style>
  <w:style w:type="paragraph" w:customStyle="1" w:styleId="SingleParagraph">
    <w:name w:val="Single Paragraph"/>
    <w:basedOn w:val="Normal"/>
    <w:rsid w:val="00FD26A6"/>
    <w:pPr>
      <w:spacing w:after="0"/>
    </w:pPr>
  </w:style>
  <w:style w:type="paragraph" w:customStyle="1" w:styleId="Exampletext">
    <w:name w:val="Example text"/>
    <w:basedOn w:val="Normal"/>
    <w:link w:val="ExampletextCharChar"/>
    <w:rsid w:val="00FD26A6"/>
    <w:rPr>
      <w:i/>
      <w:color w:val="FF0000"/>
    </w:rPr>
  </w:style>
  <w:style w:type="paragraph" w:customStyle="1" w:styleId="TableHeading">
    <w:name w:val="Table Heading"/>
    <w:basedOn w:val="HeadingBase"/>
    <w:next w:val="TableGraphic"/>
    <w:link w:val="TableHeadingChar"/>
    <w:rsid w:val="00FD26A6"/>
    <w:pPr>
      <w:spacing w:before="120" w:after="20"/>
    </w:pPr>
    <w:rPr>
      <w:b/>
      <w:sz w:val="20"/>
    </w:rPr>
  </w:style>
  <w:style w:type="paragraph" w:customStyle="1" w:styleId="Bullet">
    <w:name w:val="Bullet"/>
    <w:basedOn w:val="Normal"/>
    <w:link w:val="BulletChar"/>
    <w:rsid w:val="00FD26A6"/>
    <w:pPr>
      <w:numPr>
        <w:numId w:val="20"/>
      </w:numPr>
    </w:pPr>
  </w:style>
  <w:style w:type="paragraph" w:customStyle="1" w:styleId="Dash">
    <w:name w:val="Dash"/>
    <w:basedOn w:val="Normal"/>
    <w:link w:val="DashChar"/>
    <w:rsid w:val="00FD26A6"/>
    <w:pPr>
      <w:numPr>
        <w:ilvl w:val="1"/>
        <w:numId w:val="20"/>
      </w:numPr>
    </w:pPr>
  </w:style>
  <w:style w:type="paragraph" w:customStyle="1" w:styleId="DoubleDot">
    <w:name w:val="Double Dot"/>
    <w:basedOn w:val="Normal"/>
    <w:uiPriority w:val="99"/>
    <w:qFormat/>
    <w:rsid w:val="00FD26A6"/>
    <w:pPr>
      <w:numPr>
        <w:ilvl w:val="2"/>
        <w:numId w:val="20"/>
      </w:numPr>
    </w:pPr>
  </w:style>
  <w:style w:type="paragraph" w:customStyle="1" w:styleId="ContentsHeading">
    <w:name w:val="Contents Heading"/>
    <w:basedOn w:val="HeadingBase"/>
    <w:next w:val="Normal"/>
    <w:rsid w:val="00FD26A6"/>
    <w:pPr>
      <w:spacing w:after="360"/>
      <w:jc w:val="center"/>
    </w:pPr>
    <w:rPr>
      <w:b/>
      <w:smallCaps/>
      <w:sz w:val="34"/>
    </w:rPr>
  </w:style>
  <w:style w:type="paragraph" w:customStyle="1" w:styleId="TableGraphic">
    <w:name w:val="Table Graphic"/>
    <w:basedOn w:val="Normal"/>
    <w:next w:val="Normal"/>
    <w:rsid w:val="00FD26A6"/>
    <w:pPr>
      <w:spacing w:after="0"/>
      <w:ind w:right="-113"/>
    </w:pPr>
  </w:style>
  <w:style w:type="paragraph" w:customStyle="1" w:styleId="TableHeadingcontinued">
    <w:name w:val="Table Heading continued"/>
    <w:basedOn w:val="HeadingBase"/>
    <w:next w:val="TableGraphic"/>
    <w:rsid w:val="00FD26A6"/>
    <w:pPr>
      <w:spacing w:before="120" w:after="20"/>
    </w:pPr>
    <w:rPr>
      <w:rFonts w:ascii="Arial Bold" w:hAnsi="Arial Bold"/>
      <w:b/>
      <w:sz w:val="20"/>
    </w:rPr>
  </w:style>
  <w:style w:type="paragraph" w:customStyle="1" w:styleId="HeaderEven">
    <w:name w:val="Header Even"/>
    <w:basedOn w:val="HeaderBase"/>
    <w:rsid w:val="00FD26A6"/>
  </w:style>
  <w:style w:type="paragraph" w:customStyle="1" w:styleId="HeaderOdd">
    <w:name w:val="Header Odd"/>
    <w:basedOn w:val="HeaderBase"/>
    <w:rsid w:val="00FD26A6"/>
    <w:pPr>
      <w:jc w:val="right"/>
    </w:pPr>
  </w:style>
  <w:style w:type="paragraph" w:styleId="Footer">
    <w:name w:val="footer"/>
    <w:basedOn w:val="FooterBase"/>
    <w:link w:val="FooterChar"/>
    <w:uiPriority w:val="99"/>
    <w:rsid w:val="00FD26A6"/>
    <w:pPr>
      <w:tabs>
        <w:tab w:val="center" w:pos="4153"/>
        <w:tab w:val="right" w:pos="8306"/>
      </w:tabs>
    </w:pPr>
    <w:rPr>
      <w:rFonts w:ascii="Book Antiqua" w:hAnsi="Book Antiqua"/>
      <w:sz w:val="18"/>
    </w:rPr>
  </w:style>
  <w:style w:type="character" w:customStyle="1" w:styleId="FooterChar">
    <w:name w:val="Footer Char"/>
    <w:link w:val="Footer"/>
    <w:uiPriority w:val="99"/>
    <w:rsid w:val="00FD26A6"/>
    <w:rPr>
      <w:rFonts w:ascii="Book Antiqua" w:hAnsi="Book Antiqua" w:cs="Times New Roman"/>
      <w:sz w:val="18"/>
      <w:szCs w:val="20"/>
      <w:lang w:eastAsia="en-AU"/>
    </w:rPr>
  </w:style>
  <w:style w:type="paragraph" w:styleId="FootnoteText">
    <w:name w:val="footnote text"/>
    <w:basedOn w:val="Normal"/>
    <w:link w:val="FootnoteTextChar"/>
    <w:rsid w:val="00FD26A6"/>
    <w:pPr>
      <w:tabs>
        <w:tab w:val="left" w:pos="284"/>
      </w:tabs>
      <w:ind w:left="113" w:hanging="113"/>
    </w:pPr>
    <w:rPr>
      <w:sz w:val="16"/>
    </w:rPr>
  </w:style>
  <w:style w:type="character" w:customStyle="1" w:styleId="FootnoteTextChar">
    <w:name w:val="Footnote Text Char"/>
    <w:basedOn w:val="DefaultParagraphFont"/>
    <w:link w:val="FootnoteText"/>
    <w:rsid w:val="00FD26A6"/>
    <w:rPr>
      <w:rFonts w:ascii="Book Antiqua" w:hAnsi="Book Antiqua" w:cs="Times New Roman"/>
      <w:sz w:val="16"/>
      <w:szCs w:val="20"/>
      <w:lang w:eastAsia="en-AU"/>
    </w:rPr>
  </w:style>
  <w:style w:type="paragraph" w:styleId="TOC3">
    <w:name w:val="toc 3"/>
    <w:basedOn w:val="HeadingBase"/>
    <w:next w:val="Normal"/>
    <w:rsid w:val="00FD26A6"/>
    <w:pPr>
      <w:tabs>
        <w:tab w:val="right" w:leader="dot" w:pos="7700"/>
      </w:tabs>
      <w:spacing w:before="120"/>
      <w:ind w:right="851"/>
    </w:pPr>
    <w:rPr>
      <w:b/>
      <w:sz w:val="20"/>
    </w:rPr>
  </w:style>
  <w:style w:type="paragraph" w:styleId="TOC4">
    <w:name w:val="toc 4"/>
    <w:basedOn w:val="HeadingBase"/>
    <w:next w:val="Normal"/>
    <w:rsid w:val="00FD26A6"/>
    <w:pPr>
      <w:tabs>
        <w:tab w:val="right" w:leader="dot" w:pos="7700"/>
      </w:tabs>
      <w:spacing w:before="40"/>
      <w:ind w:right="851"/>
    </w:pPr>
    <w:rPr>
      <w:sz w:val="20"/>
    </w:rPr>
  </w:style>
  <w:style w:type="table" w:styleId="TableGrid">
    <w:name w:val="Table Grid"/>
    <w:basedOn w:val="TableNormal"/>
    <w:uiPriority w:val="59"/>
    <w:rsid w:val="00FD26A6"/>
    <w:pPr>
      <w:spacing w:after="240" w:line="260" w:lineRule="exact"/>
      <w:jc w:val="both"/>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Table">
    <w:name w:val="Table Heading No Table"/>
    <w:basedOn w:val="TableHeading"/>
    <w:next w:val="Normal"/>
    <w:rsid w:val="00FD26A6"/>
    <w:pPr>
      <w:spacing w:after="240"/>
    </w:pPr>
  </w:style>
  <w:style w:type="paragraph" w:customStyle="1" w:styleId="Department">
    <w:name w:val="Department"/>
    <w:basedOn w:val="Normal"/>
    <w:rsid w:val="00FD26A6"/>
    <w:pPr>
      <w:spacing w:after="0"/>
      <w:jc w:val="center"/>
    </w:pPr>
    <w:rPr>
      <w:rFonts w:ascii="Arial Bold" w:hAnsi="Arial Bold"/>
      <w:b/>
      <w:sz w:val="52"/>
    </w:rPr>
  </w:style>
  <w:style w:type="paragraph" w:customStyle="1" w:styleId="DepartmentSubtitle">
    <w:name w:val="Department Subtitle"/>
    <w:basedOn w:val="Department"/>
    <w:rsid w:val="00FD26A6"/>
    <w:rPr>
      <w:sz w:val="44"/>
    </w:rPr>
  </w:style>
  <w:style w:type="character" w:customStyle="1" w:styleId="ExampletextCharChar">
    <w:name w:val="Example text Char Char"/>
    <w:link w:val="Exampletext"/>
    <w:rsid w:val="00FD26A6"/>
    <w:rPr>
      <w:rFonts w:ascii="Book Antiqua" w:hAnsi="Book Antiqua" w:cs="Times New Roman"/>
      <w:i/>
      <w:color w:val="FF0000"/>
      <w:sz w:val="20"/>
      <w:szCs w:val="20"/>
      <w:lang w:eastAsia="en-AU"/>
    </w:rPr>
  </w:style>
  <w:style w:type="character" w:customStyle="1" w:styleId="TableHeadingChar">
    <w:name w:val="Table Heading Char"/>
    <w:link w:val="TableHeading"/>
    <w:rsid w:val="00FD26A6"/>
    <w:rPr>
      <w:rFonts w:ascii="Arial" w:hAnsi="Arial" w:cs="Times New Roman"/>
      <w:b/>
      <w:sz w:val="20"/>
      <w:szCs w:val="20"/>
      <w:lang w:eastAsia="en-AU"/>
    </w:rPr>
  </w:style>
  <w:style w:type="paragraph" w:customStyle="1" w:styleId="ProgramHeading">
    <w:name w:val="Program Heading"/>
    <w:basedOn w:val="HeadingBase"/>
    <w:rsid w:val="00FD26A6"/>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styleId="NoSpacing">
    <w:name w:val="No Spacing"/>
    <w:uiPriority w:val="1"/>
    <w:qFormat/>
    <w:rsid w:val="00FD26A6"/>
    <w:pPr>
      <w:spacing w:after="0" w:line="240" w:lineRule="auto"/>
      <w:jc w:val="both"/>
    </w:pPr>
    <w:rPr>
      <w:rFonts w:ascii="Book Antiqua" w:hAnsi="Book Antiqua" w:cs="Times New Roman"/>
      <w:sz w:val="20"/>
      <w:szCs w:val="20"/>
      <w:lang w:eastAsia="en-AU"/>
    </w:rPr>
  </w:style>
  <w:style w:type="paragraph" w:customStyle="1" w:styleId="Bullets">
    <w:name w:val="Bullets"/>
    <w:basedOn w:val="Normal"/>
    <w:link w:val="BulletsChar"/>
    <w:qFormat/>
    <w:rsid w:val="00FD26A6"/>
    <w:pPr>
      <w:numPr>
        <w:numId w:val="16"/>
      </w:numPr>
      <w:spacing w:before="60" w:after="60"/>
    </w:pPr>
    <w:rPr>
      <w:rFonts w:cs="Arial"/>
      <w:color w:val="000000"/>
      <w:szCs w:val="16"/>
      <w:lang w:eastAsia="en-US"/>
    </w:rPr>
  </w:style>
  <w:style w:type="character" w:customStyle="1" w:styleId="BulletsChar">
    <w:name w:val="Bullets Char"/>
    <w:link w:val="Bullets"/>
    <w:locked/>
    <w:rsid w:val="00FD26A6"/>
    <w:rPr>
      <w:rFonts w:ascii="Book Antiqua" w:hAnsi="Book Antiqua" w:cs="Arial"/>
      <w:color w:val="000000"/>
      <w:sz w:val="20"/>
      <w:szCs w:val="16"/>
    </w:rPr>
  </w:style>
  <w:style w:type="paragraph" w:customStyle="1" w:styleId="TableName">
    <w:name w:val="TableName"/>
    <w:basedOn w:val="Normal"/>
    <w:link w:val="TableNameChar"/>
    <w:rsid w:val="00FD26A6"/>
    <w:pPr>
      <w:keepNext/>
      <w:spacing w:after="0"/>
    </w:pPr>
    <w:rPr>
      <w:b/>
      <w:lang w:eastAsia="en-US"/>
    </w:rPr>
  </w:style>
  <w:style w:type="character" w:customStyle="1" w:styleId="DashChar">
    <w:name w:val="Dash Char"/>
    <w:link w:val="Dash"/>
    <w:rsid w:val="00FD26A6"/>
    <w:rPr>
      <w:rFonts w:ascii="Book Antiqua" w:hAnsi="Book Antiqua" w:cs="Times New Roman"/>
      <w:sz w:val="20"/>
      <w:szCs w:val="20"/>
      <w:lang w:eastAsia="en-AU"/>
    </w:rPr>
  </w:style>
  <w:style w:type="paragraph" w:customStyle="1" w:styleId="TableText">
    <w:name w:val="TableText"/>
    <w:next w:val="Normal"/>
    <w:link w:val="TableTextChar"/>
    <w:rsid w:val="00FD26A6"/>
    <w:pPr>
      <w:widowControl w:val="0"/>
      <w:tabs>
        <w:tab w:val="left" w:pos="113"/>
      </w:tabs>
      <w:spacing w:before="10" w:after="10" w:line="240" w:lineRule="auto"/>
    </w:pPr>
    <w:rPr>
      <w:rFonts w:ascii="Book Antiqua" w:hAnsi="Book Antiqua" w:cs="Arial"/>
      <w:color w:val="000000"/>
      <w:sz w:val="18"/>
      <w:szCs w:val="16"/>
    </w:rPr>
  </w:style>
  <w:style w:type="character" w:customStyle="1" w:styleId="TableTextChar">
    <w:name w:val="TableText Char"/>
    <w:basedOn w:val="DefaultParagraphFont"/>
    <w:link w:val="TableText"/>
    <w:rsid w:val="00FD26A6"/>
    <w:rPr>
      <w:rFonts w:ascii="Book Antiqua" w:hAnsi="Book Antiqua" w:cs="Arial"/>
      <w:color w:val="000000"/>
      <w:sz w:val="18"/>
      <w:szCs w:val="16"/>
    </w:rPr>
  </w:style>
  <w:style w:type="paragraph" w:customStyle="1" w:styleId="TableTextBold">
    <w:name w:val="TableTextBold"/>
    <w:basedOn w:val="TableText"/>
    <w:link w:val="TableTextBoldChar"/>
    <w:rsid w:val="00FD26A6"/>
    <w:rPr>
      <w:b/>
      <w:bCs/>
    </w:rPr>
  </w:style>
  <w:style w:type="character" w:customStyle="1" w:styleId="TableTextBoldChar">
    <w:name w:val="TableTextBold Char"/>
    <w:basedOn w:val="TableTextChar"/>
    <w:link w:val="TableTextBold"/>
    <w:rsid w:val="00FD26A6"/>
    <w:rPr>
      <w:rFonts w:ascii="Book Antiqua" w:hAnsi="Book Antiqua" w:cs="Arial"/>
      <w:b/>
      <w:bCs/>
      <w:color w:val="000000"/>
      <w:sz w:val="18"/>
      <w:szCs w:val="16"/>
    </w:rPr>
  </w:style>
  <w:style w:type="paragraph" w:customStyle="1" w:styleId="TableTextRight">
    <w:name w:val="TableTextRight"/>
    <w:basedOn w:val="TableText"/>
    <w:link w:val="TableTextRightChar"/>
    <w:rsid w:val="00FD26A6"/>
    <w:pPr>
      <w:jc w:val="right"/>
    </w:pPr>
  </w:style>
  <w:style w:type="paragraph" w:customStyle="1" w:styleId="TableTextBoldRight">
    <w:name w:val="TableTextBoldRight"/>
    <w:basedOn w:val="TableTextBold"/>
    <w:link w:val="TableTextBoldRightChar"/>
    <w:rsid w:val="00FD26A6"/>
    <w:pPr>
      <w:spacing w:before="20" w:after="20"/>
      <w:jc w:val="right"/>
    </w:pPr>
  </w:style>
  <w:style w:type="character" w:customStyle="1" w:styleId="TableNameChar">
    <w:name w:val="TableName Char"/>
    <w:basedOn w:val="DefaultParagraphFont"/>
    <w:link w:val="TableName"/>
    <w:locked/>
    <w:rsid w:val="00FD26A6"/>
    <w:rPr>
      <w:rFonts w:ascii="Book Antiqua" w:hAnsi="Book Antiqua" w:cs="Times New Roman"/>
      <w:b/>
      <w:sz w:val="20"/>
      <w:szCs w:val="20"/>
    </w:rPr>
  </w:style>
  <w:style w:type="character" w:customStyle="1" w:styleId="TableTextBoldRightChar">
    <w:name w:val="TableTextBoldRight Char"/>
    <w:basedOn w:val="TableTextBoldChar"/>
    <w:link w:val="TableTextBoldRight"/>
    <w:locked/>
    <w:rsid w:val="00FD26A6"/>
    <w:rPr>
      <w:rFonts w:ascii="Book Antiqua" w:hAnsi="Book Antiqua" w:cs="Arial"/>
      <w:b/>
      <w:bCs/>
      <w:color w:val="000000"/>
      <w:sz w:val="18"/>
      <w:szCs w:val="16"/>
    </w:rPr>
  </w:style>
  <w:style w:type="character" w:customStyle="1" w:styleId="TableTextRightChar">
    <w:name w:val="TableTextRight Char"/>
    <w:basedOn w:val="TableTextChar"/>
    <w:link w:val="TableTextRight"/>
    <w:rsid w:val="00FD26A6"/>
    <w:rPr>
      <w:rFonts w:ascii="Book Antiqua" w:hAnsi="Book Antiqua" w:cs="Arial"/>
      <w:color w:val="000000"/>
      <w:sz w:val="18"/>
      <w:szCs w:val="16"/>
    </w:rPr>
  </w:style>
  <w:style w:type="paragraph" w:customStyle="1" w:styleId="Footnote">
    <w:name w:val="Footnote"/>
    <w:rsid w:val="00FD26A6"/>
    <w:pPr>
      <w:tabs>
        <w:tab w:val="left" w:pos="284"/>
      </w:tabs>
      <w:spacing w:after="0" w:line="240" w:lineRule="auto"/>
    </w:pPr>
    <w:rPr>
      <w:rFonts w:ascii="Book Antiqua" w:hAnsi="Book Antiqua" w:cs="Times New Roman"/>
      <w:color w:val="000000"/>
      <w:sz w:val="16"/>
      <w:szCs w:val="20"/>
    </w:rPr>
  </w:style>
  <w:style w:type="paragraph" w:styleId="BalloonText">
    <w:name w:val="Balloon Text"/>
    <w:basedOn w:val="Normal"/>
    <w:link w:val="BalloonTextChar"/>
    <w:semiHidden/>
    <w:rsid w:val="00FD26A6"/>
    <w:rPr>
      <w:rFonts w:ascii="Tahoma" w:hAnsi="Tahoma" w:cs="Tahoma"/>
      <w:sz w:val="16"/>
      <w:szCs w:val="16"/>
    </w:rPr>
  </w:style>
  <w:style w:type="character" w:customStyle="1" w:styleId="BalloonTextChar">
    <w:name w:val="Balloon Text Char"/>
    <w:basedOn w:val="DefaultParagraphFont"/>
    <w:link w:val="BalloonText"/>
    <w:semiHidden/>
    <w:rsid w:val="00FD26A6"/>
    <w:rPr>
      <w:rFonts w:ascii="Tahoma" w:hAnsi="Tahoma" w:cs="Tahoma"/>
      <w:sz w:val="16"/>
      <w:szCs w:val="16"/>
      <w:lang w:eastAsia="en-AU"/>
    </w:rPr>
  </w:style>
  <w:style w:type="paragraph" w:styleId="Header">
    <w:name w:val="header"/>
    <w:basedOn w:val="HeaderBase"/>
    <w:link w:val="HeaderChar"/>
    <w:uiPriority w:val="99"/>
    <w:rsid w:val="00FD26A6"/>
    <w:pPr>
      <w:tabs>
        <w:tab w:val="center" w:pos="4153"/>
        <w:tab w:val="right" w:pos="8306"/>
      </w:tabs>
    </w:pPr>
  </w:style>
  <w:style w:type="character" w:customStyle="1" w:styleId="HeaderChar">
    <w:name w:val="Header Char"/>
    <w:link w:val="Header"/>
    <w:uiPriority w:val="99"/>
    <w:rsid w:val="00FD26A6"/>
    <w:rPr>
      <w:rFonts w:ascii="Book Antiqua" w:hAnsi="Book Antiqua" w:cs="Times New Roman"/>
      <w:i/>
      <w:sz w:val="20"/>
      <w:szCs w:val="20"/>
      <w:lang w:eastAsia="en-AU"/>
    </w:rPr>
  </w:style>
  <w:style w:type="character" w:customStyle="1" w:styleId="A5">
    <w:name w:val="A5"/>
    <w:uiPriority w:val="99"/>
    <w:rsid w:val="00FD26A6"/>
    <w:rPr>
      <w:rFonts w:ascii="Swiss 721 BT" w:hAnsi="Swiss 721 BT" w:cs="Swiss 721 BT" w:hint="default"/>
      <w:color w:val="000000"/>
      <w:sz w:val="20"/>
      <w:szCs w:val="20"/>
    </w:rPr>
  </w:style>
  <w:style w:type="paragraph" w:customStyle="1" w:styleId="AlphaParagraph">
    <w:name w:val="Alpha Paragraph"/>
    <w:basedOn w:val="Normal"/>
    <w:rsid w:val="00FD26A6"/>
    <w:pPr>
      <w:numPr>
        <w:numId w:val="11"/>
      </w:numPr>
    </w:pPr>
  </w:style>
  <w:style w:type="paragraph" w:customStyle="1" w:styleId="HeadingBase">
    <w:name w:val="Heading Base"/>
    <w:link w:val="HeadingBaseChar"/>
    <w:rsid w:val="00FD26A6"/>
    <w:pPr>
      <w:keepNext/>
      <w:spacing w:after="0" w:line="240" w:lineRule="auto"/>
    </w:pPr>
    <w:rPr>
      <w:rFonts w:ascii="Arial" w:hAnsi="Arial" w:cs="Times New Roman"/>
      <w:sz w:val="24"/>
      <w:szCs w:val="20"/>
      <w:lang w:eastAsia="en-AU"/>
    </w:rPr>
  </w:style>
  <w:style w:type="character" w:customStyle="1" w:styleId="HeadingBaseChar">
    <w:name w:val="Heading Base Char"/>
    <w:link w:val="HeadingBase"/>
    <w:rsid w:val="00FD26A6"/>
    <w:rPr>
      <w:rFonts w:ascii="Arial" w:hAnsi="Arial" w:cs="Times New Roman"/>
      <w:sz w:val="24"/>
      <w:szCs w:val="20"/>
      <w:lang w:eastAsia="en-AU"/>
    </w:rPr>
  </w:style>
  <w:style w:type="paragraph" w:customStyle="1" w:styleId="AppendixHeading">
    <w:name w:val="Appendix Heading"/>
    <w:basedOn w:val="HeadingBase"/>
    <w:semiHidden/>
    <w:rsid w:val="00FD26A6"/>
    <w:pPr>
      <w:spacing w:after="240"/>
      <w:jc w:val="center"/>
      <w:outlineLvl w:val="3"/>
    </w:pPr>
    <w:rPr>
      <w:b/>
      <w:smallCaps/>
      <w:sz w:val="30"/>
    </w:rPr>
  </w:style>
  <w:style w:type="paragraph" w:customStyle="1" w:styleId="BlockedQuotation">
    <w:name w:val="Blocked Quotation"/>
    <w:basedOn w:val="Normal"/>
    <w:semiHidden/>
    <w:rsid w:val="00FD26A6"/>
    <w:pPr>
      <w:ind w:left="567"/>
    </w:pPr>
  </w:style>
  <w:style w:type="paragraph" w:customStyle="1" w:styleId="BoxTextBase">
    <w:name w:val="Box Text Base"/>
    <w:basedOn w:val="Normal"/>
    <w:rsid w:val="00FD26A6"/>
    <w:rPr>
      <w:color w:val="000000"/>
    </w:rPr>
  </w:style>
  <w:style w:type="paragraph" w:customStyle="1" w:styleId="BoxText">
    <w:name w:val="Box Text"/>
    <w:basedOn w:val="BoxTextBase"/>
    <w:rsid w:val="00FD26A6"/>
  </w:style>
  <w:style w:type="paragraph" w:customStyle="1" w:styleId="BoxBullet">
    <w:name w:val="Box Bullet"/>
    <w:basedOn w:val="BoxText"/>
    <w:rsid w:val="00FD26A6"/>
    <w:pPr>
      <w:numPr>
        <w:numId w:val="14"/>
      </w:numPr>
    </w:pPr>
  </w:style>
  <w:style w:type="paragraph" w:customStyle="1" w:styleId="BoxDash">
    <w:name w:val="Box Dash"/>
    <w:basedOn w:val="Normal"/>
    <w:rsid w:val="00FD26A6"/>
    <w:pPr>
      <w:numPr>
        <w:ilvl w:val="1"/>
        <w:numId w:val="14"/>
      </w:numPr>
    </w:pPr>
    <w:rPr>
      <w:color w:val="000000"/>
    </w:rPr>
  </w:style>
  <w:style w:type="paragraph" w:customStyle="1" w:styleId="BoxDoubleDot">
    <w:name w:val="Box Double Dot"/>
    <w:basedOn w:val="BoxTextBase"/>
    <w:rsid w:val="00FD26A6"/>
    <w:pPr>
      <w:numPr>
        <w:ilvl w:val="2"/>
        <w:numId w:val="14"/>
      </w:numPr>
    </w:pPr>
  </w:style>
  <w:style w:type="paragraph" w:customStyle="1" w:styleId="BoxHeading">
    <w:name w:val="Box Heading"/>
    <w:basedOn w:val="HeadingBase"/>
    <w:next w:val="BoxText"/>
    <w:rsid w:val="00FD26A6"/>
    <w:pPr>
      <w:spacing w:before="120" w:after="120"/>
    </w:pPr>
    <w:rPr>
      <w:b/>
      <w:sz w:val="20"/>
    </w:rPr>
  </w:style>
  <w:style w:type="paragraph" w:customStyle="1" w:styleId="BoxHeadinglevel2">
    <w:name w:val="Box Heading level 2"/>
    <w:basedOn w:val="BoxHeading"/>
    <w:rsid w:val="00FD26A6"/>
    <w:pPr>
      <w:spacing w:before="0"/>
    </w:pPr>
    <w:rPr>
      <w:sz w:val="18"/>
    </w:rPr>
  </w:style>
  <w:style w:type="character" w:customStyle="1" w:styleId="BulletChar">
    <w:name w:val="Bullet Char"/>
    <w:link w:val="Bullet"/>
    <w:rsid w:val="00FD26A6"/>
    <w:rPr>
      <w:rFonts w:ascii="Book Antiqua" w:hAnsi="Book Antiqua" w:cs="Times New Roman"/>
      <w:sz w:val="20"/>
      <w:szCs w:val="20"/>
      <w:lang w:eastAsia="en-AU"/>
    </w:rPr>
  </w:style>
  <w:style w:type="paragraph" w:styleId="Caption">
    <w:name w:val="caption"/>
    <w:basedOn w:val="Normal"/>
    <w:next w:val="Normal"/>
    <w:qFormat/>
    <w:rsid w:val="00FD26A6"/>
    <w:rPr>
      <w:b/>
      <w:bCs/>
    </w:rPr>
  </w:style>
  <w:style w:type="paragraph" w:customStyle="1" w:styleId="ChartandTableFootnote">
    <w:name w:val="Chart and Table Footnote"/>
    <w:basedOn w:val="HeadingBase"/>
    <w:next w:val="Normal"/>
    <w:link w:val="ChartandTableFootnoteChar"/>
    <w:rsid w:val="00FD26A6"/>
    <w:pPr>
      <w:tabs>
        <w:tab w:val="left" w:pos="284"/>
      </w:tabs>
      <w:ind w:left="284" w:hanging="284"/>
      <w:jc w:val="both"/>
    </w:pPr>
    <w:rPr>
      <w:sz w:val="16"/>
    </w:rPr>
  </w:style>
  <w:style w:type="character" w:customStyle="1" w:styleId="ChartandTableFootnoteChar">
    <w:name w:val="Chart and Table Footnote Char"/>
    <w:link w:val="ChartandTableFootnote"/>
    <w:rsid w:val="00FD26A6"/>
    <w:rPr>
      <w:rFonts w:ascii="Arial" w:hAnsi="Arial" w:cs="Times New Roman"/>
      <w:sz w:val="16"/>
      <w:szCs w:val="20"/>
      <w:lang w:eastAsia="en-AU"/>
    </w:rPr>
  </w:style>
  <w:style w:type="paragraph" w:customStyle="1" w:styleId="ChartandTableFootnoteAlpha">
    <w:name w:val="Chart and Table Footnote Alpha"/>
    <w:basedOn w:val="HeadingBase"/>
    <w:next w:val="Normal"/>
    <w:rsid w:val="00FD26A6"/>
    <w:pPr>
      <w:numPr>
        <w:numId w:val="17"/>
      </w:numPr>
      <w:jc w:val="both"/>
    </w:pPr>
    <w:rPr>
      <w:sz w:val="16"/>
    </w:rPr>
  </w:style>
  <w:style w:type="paragraph" w:customStyle="1" w:styleId="ChartandTableFootnoteAlphaSmall">
    <w:name w:val="Chart and Table Footnote Alpha Small"/>
    <w:basedOn w:val="HeadingBase"/>
    <w:next w:val="Normal"/>
    <w:rsid w:val="00FD26A6"/>
    <w:pPr>
      <w:numPr>
        <w:numId w:val="18"/>
      </w:numPr>
      <w:jc w:val="both"/>
    </w:pPr>
    <w:rPr>
      <w:sz w:val="15"/>
    </w:rPr>
  </w:style>
  <w:style w:type="paragraph" w:customStyle="1" w:styleId="ChartandTableFootnotenumbered">
    <w:name w:val="Chart and Table Footnote numbered"/>
    <w:basedOn w:val="Normal"/>
    <w:next w:val="Normal"/>
    <w:rsid w:val="00FD26A6"/>
    <w:pPr>
      <w:keepNext/>
      <w:spacing w:after="0"/>
      <w:ind w:left="502" w:hanging="360"/>
    </w:pPr>
    <w:rPr>
      <w:rFonts w:ascii="Arial" w:hAnsi="Arial"/>
      <w:sz w:val="16"/>
    </w:rPr>
  </w:style>
  <w:style w:type="paragraph" w:customStyle="1" w:styleId="ChartandTableFootnoteSmall">
    <w:name w:val="Chart and Table Footnote Small"/>
    <w:basedOn w:val="HeadingBase"/>
    <w:next w:val="Normal"/>
    <w:rsid w:val="00FD26A6"/>
    <w:pPr>
      <w:tabs>
        <w:tab w:val="left" w:pos="284"/>
      </w:tabs>
      <w:jc w:val="both"/>
    </w:pPr>
    <w:rPr>
      <w:sz w:val="15"/>
    </w:rPr>
  </w:style>
  <w:style w:type="paragraph" w:customStyle="1" w:styleId="ChartGraphic">
    <w:name w:val="Chart Graphic"/>
    <w:basedOn w:val="HeadingBase"/>
    <w:rsid w:val="00FD26A6"/>
    <w:pPr>
      <w:jc w:val="center"/>
    </w:pPr>
    <w:rPr>
      <w:sz w:val="20"/>
    </w:rPr>
  </w:style>
  <w:style w:type="paragraph" w:customStyle="1" w:styleId="ChartMainHeading">
    <w:name w:val="Chart Main Heading"/>
    <w:basedOn w:val="Normal"/>
    <w:next w:val="ChartGraphic"/>
    <w:rsid w:val="00FD26A6"/>
    <w:pPr>
      <w:keepNext/>
      <w:spacing w:after="20"/>
      <w:jc w:val="center"/>
    </w:pPr>
    <w:rPr>
      <w:rFonts w:ascii="Arial" w:hAnsi="Arial"/>
      <w:b/>
    </w:rPr>
  </w:style>
  <w:style w:type="paragraph" w:customStyle="1" w:styleId="ChartSecondHeading">
    <w:name w:val="Chart Second Heading"/>
    <w:basedOn w:val="HeadingBase"/>
    <w:next w:val="ChartGraphic"/>
    <w:rsid w:val="00FD26A6"/>
    <w:pPr>
      <w:spacing w:before="60"/>
      <w:jc w:val="center"/>
    </w:pPr>
    <w:rPr>
      <w:sz w:val="20"/>
    </w:rPr>
  </w:style>
  <w:style w:type="paragraph" w:customStyle="1" w:styleId="Classification">
    <w:name w:val="Classification"/>
    <w:basedOn w:val="HeadingBase"/>
    <w:rsid w:val="00FD26A6"/>
    <w:pPr>
      <w:jc w:val="center"/>
    </w:pPr>
    <w:rPr>
      <w:b/>
      <w:smallCaps/>
    </w:rPr>
  </w:style>
  <w:style w:type="character" w:styleId="CommentReference">
    <w:name w:val="annotation reference"/>
    <w:uiPriority w:val="99"/>
    <w:rsid w:val="00FD26A6"/>
    <w:rPr>
      <w:sz w:val="16"/>
      <w:szCs w:val="16"/>
    </w:rPr>
  </w:style>
  <w:style w:type="paragraph" w:styleId="CommentText">
    <w:name w:val="annotation text"/>
    <w:basedOn w:val="Normal"/>
    <w:link w:val="CommentTextChar"/>
    <w:uiPriority w:val="99"/>
    <w:rsid w:val="00FD26A6"/>
  </w:style>
  <w:style w:type="character" w:customStyle="1" w:styleId="CommentTextChar">
    <w:name w:val="Comment Text Char"/>
    <w:link w:val="CommentText"/>
    <w:uiPriority w:val="99"/>
    <w:rsid w:val="00FD26A6"/>
    <w:rPr>
      <w:rFonts w:ascii="Book Antiqua" w:hAnsi="Book Antiqua" w:cs="Times New Roman"/>
      <w:sz w:val="20"/>
      <w:szCs w:val="20"/>
      <w:lang w:eastAsia="en-AU"/>
    </w:rPr>
  </w:style>
  <w:style w:type="paragraph" w:styleId="CommentSubject">
    <w:name w:val="annotation subject"/>
    <w:basedOn w:val="CommentText"/>
    <w:next w:val="CommentText"/>
    <w:link w:val="CommentSubjectChar"/>
    <w:semiHidden/>
    <w:rsid w:val="00FD26A6"/>
    <w:rPr>
      <w:b/>
      <w:bCs/>
    </w:rPr>
  </w:style>
  <w:style w:type="character" w:customStyle="1" w:styleId="CommentSubjectChar">
    <w:name w:val="Comment Subject Char"/>
    <w:basedOn w:val="CommentTextChar"/>
    <w:link w:val="CommentSubject"/>
    <w:semiHidden/>
    <w:rsid w:val="00FD26A6"/>
    <w:rPr>
      <w:rFonts w:ascii="Book Antiqua" w:hAnsi="Book Antiqua" w:cs="Times New Roman"/>
      <w:b/>
      <w:bCs/>
      <w:sz w:val="20"/>
      <w:szCs w:val="20"/>
      <w:lang w:eastAsia="en-AU"/>
    </w:rPr>
  </w:style>
  <w:style w:type="paragraph" w:customStyle="1" w:styleId="Crest">
    <w:name w:val="Crest"/>
    <w:basedOn w:val="Normal"/>
    <w:next w:val="Normal"/>
    <w:rsid w:val="00FD26A6"/>
    <w:pPr>
      <w:spacing w:after="0"/>
      <w:jc w:val="center"/>
    </w:pPr>
  </w:style>
  <w:style w:type="paragraph" w:styleId="DocumentMap">
    <w:name w:val="Document Map"/>
    <w:basedOn w:val="Normal"/>
    <w:link w:val="DocumentMapChar"/>
    <w:semiHidden/>
    <w:rsid w:val="00FD26A6"/>
    <w:pPr>
      <w:shd w:val="clear" w:color="auto" w:fill="000080"/>
    </w:pPr>
    <w:rPr>
      <w:rFonts w:ascii="Tahoma" w:hAnsi="Tahoma" w:cs="Tahoma"/>
    </w:rPr>
  </w:style>
  <w:style w:type="character" w:customStyle="1" w:styleId="DocumentMapChar">
    <w:name w:val="Document Map Char"/>
    <w:basedOn w:val="DefaultParagraphFont"/>
    <w:link w:val="DocumentMap"/>
    <w:semiHidden/>
    <w:rsid w:val="00FD26A6"/>
    <w:rPr>
      <w:rFonts w:ascii="Tahoma" w:hAnsi="Tahoma" w:cs="Tahoma"/>
      <w:sz w:val="20"/>
      <w:szCs w:val="20"/>
      <w:shd w:val="clear" w:color="auto" w:fill="000080"/>
      <w:lang w:eastAsia="en-AU"/>
    </w:rPr>
  </w:style>
  <w:style w:type="character" w:styleId="Emphasis">
    <w:name w:val="Emphasis"/>
    <w:uiPriority w:val="20"/>
    <w:qFormat/>
    <w:rsid w:val="00FD26A6"/>
    <w:rPr>
      <w:rFonts w:cs="Times New Roman"/>
      <w:i/>
      <w:iCs/>
    </w:rPr>
  </w:style>
  <w:style w:type="character" w:styleId="EndnoteReference">
    <w:name w:val="endnote reference"/>
    <w:semiHidden/>
    <w:rsid w:val="00FD26A6"/>
    <w:rPr>
      <w:vertAlign w:val="superscript"/>
    </w:rPr>
  </w:style>
  <w:style w:type="paragraph" w:styleId="EndnoteText">
    <w:name w:val="endnote text"/>
    <w:basedOn w:val="Normal"/>
    <w:link w:val="EndnoteTextChar"/>
    <w:semiHidden/>
    <w:rsid w:val="00FD26A6"/>
  </w:style>
  <w:style w:type="character" w:customStyle="1" w:styleId="EndnoteTextChar">
    <w:name w:val="Endnote Text Char"/>
    <w:basedOn w:val="DefaultParagraphFont"/>
    <w:link w:val="EndnoteText"/>
    <w:semiHidden/>
    <w:rsid w:val="00FD26A6"/>
    <w:rPr>
      <w:rFonts w:ascii="Book Antiqua" w:hAnsi="Book Antiqua" w:cs="Times New Roman"/>
      <w:sz w:val="20"/>
      <w:szCs w:val="20"/>
      <w:lang w:eastAsia="en-AU"/>
    </w:rPr>
  </w:style>
  <w:style w:type="paragraph" w:customStyle="1" w:styleId="ExampleText0">
    <w:name w:val="Example Text"/>
    <w:basedOn w:val="Normal"/>
    <w:rsid w:val="00FD26A6"/>
    <w:rPr>
      <w:i/>
      <w:color w:val="FF0000"/>
    </w:rPr>
  </w:style>
  <w:style w:type="paragraph" w:customStyle="1" w:styleId="Exampletextbullet">
    <w:name w:val="Example text bullet"/>
    <w:basedOn w:val="Exampletext"/>
    <w:rsid w:val="00FD26A6"/>
    <w:pPr>
      <w:numPr>
        <w:numId w:val="22"/>
      </w:numPr>
    </w:pPr>
  </w:style>
  <w:style w:type="paragraph" w:customStyle="1" w:styleId="Exampletextdash">
    <w:name w:val="Example text dash"/>
    <w:basedOn w:val="Exampletextbullet"/>
    <w:rsid w:val="00FD26A6"/>
    <w:pPr>
      <w:numPr>
        <w:ilvl w:val="1"/>
      </w:numPr>
    </w:pPr>
  </w:style>
  <w:style w:type="paragraph" w:customStyle="1" w:styleId="FigureHeading">
    <w:name w:val="Figure Heading"/>
    <w:basedOn w:val="HeadingBase"/>
    <w:next w:val="ChartGraphic"/>
    <w:rsid w:val="00FD26A6"/>
    <w:pPr>
      <w:spacing w:after="120"/>
      <w:jc w:val="center"/>
    </w:pPr>
    <w:rPr>
      <w:b/>
      <w:sz w:val="20"/>
    </w:rPr>
  </w:style>
  <w:style w:type="paragraph" w:customStyle="1" w:styleId="FileProperties">
    <w:name w:val="File Properties"/>
    <w:basedOn w:val="Normal"/>
    <w:semiHidden/>
    <w:rsid w:val="00FD26A6"/>
    <w:rPr>
      <w:i/>
    </w:rPr>
  </w:style>
  <w:style w:type="character" w:styleId="FollowedHyperlink">
    <w:name w:val="FollowedHyperlink"/>
    <w:rsid w:val="00FD26A6"/>
    <w:rPr>
      <w:color w:val="800080"/>
      <w:u w:val="single"/>
    </w:rPr>
  </w:style>
  <w:style w:type="paragraph" w:customStyle="1" w:styleId="FooterBase">
    <w:name w:val="Footer Base"/>
    <w:rsid w:val="00FD26A6"/>
    <w:pPr>
      <w:spacing w:after="0" w:line="240" w:lineRule="auto"/>
      <w:jc w:val="center"/>
    </w:pPr>
    <w:rPr>
      <w:rFonts w:ascii="Arial" w:hAnsi="Arial" w:cs="Times New Roman"/>
      <w:sz w:val="20"/>
      <w:szCs w:val="20"/>
      <w:lang w:eastAsia="en-AU"/>
    </w:rPr>
  </w:style>
  <w:style w:type="character" w:styleId="FootnoteReference">
    <w:name w:val="footnote reference"/>
    <w:aliases w:val="Footnote text"/>
    <w:uiPriority w:val="99"/>
    <w:rsid w:val="00FD26A6"/>
    <w:rPr>
      <w:vertAlign w:val="superscript"/>
    </w:rPr>
  </w:style>
  <w:style w:type="character" w:customStyle="1" w:styleId="FramedHeader">
    <w:name w:val="Framed Header"/>
    <w:rsid w:val="00FD26A6"/>
    <w:rPr>
      <w:rFonts w:ascii="Book Antiqua" w:hAnsi="Book Antiqua"/>
      <w:i/>
      <w:dstrike w:val="0"/>
      <w:color w:val="auto"/>
      <w:sz w:val="18"/>
      <w:vertAlign w:val="baseline"/>
    </w:rPr>
  </w:style>
  <w:style w:type="paragraph" w:customStyle="1" w:styleId="HeaderBase">
    <w:name w:val="Header Base"/>
    <w:rsid w:val="00FD26A6"/>
    <w:pPr>
      <w:spacing w:after="0" w:line="240" w:lineRule="auto"/>
    </w:pPr>
    <w:rPr>
      <w:rFonts w:ascii="Book Antiqua" w:hAnsi="Book Antiqua" w:cs="Times New Roman"/>
      <w:i/>
      <w:sz w:val="20"/>
      <w:szCs w:val="20"/>
      <w:lang w:eastAsia="en-AU"/>
    </w:rPr>
  </w:style>
  <w:style w:type="paragraph" w:customStyle="1" w:styleId="Heading1noTOC">
    <w:name w:val="Heading 1 no TOC"/>
    <w:basedOn w:val="Heading1"/>
    <w:rsid w:val="00FD26A6"/>
  </w:style>
  <w:style w:type="character" w:customStyle="1" w:styleId="HiddenSequenceCode">
    <w:name w:val="Hidden Sequence Code"/>
    <w:semiHidden/>
    <w:rsid w:val="00FD26A6"/>
    <w:rPr>
      <w:rFonts w:ascii="Times New Roman" w:hAnsi="Times New Roman"/>
      <w:vanish/>
      <w:sz w:val="16"/>
    </w:rPr>
  </w:style>
  <w:style w:type="character" w:styleId="Hyperlink">
    <w:name w:val="Hyperlink"/>
    <w:uiPriority w:val="99"/>
    <w:rsid w:val="00FD26A6"/>
    <w:rPr>
      <w:color w:val="0000FF"/>
      <w:u w:val="single"/>
    </w:rPr>
  </w:style>
  <w:style w:type="paragraph" w:styleId="Index1">
    <w:name w:val="index 1"/>
    <w:basedOn w:val="Normal"/>
    <w:next w:val="Normal"/>
    <w:autoRedefine/>
    <w:semiHidden/>
    <w:rsid w:val="00FD26A6"/>
    <w:pPr>
      <w:ind w:left="200" w:hanging="200"/>
    </w:pPr>
  </w:style>
  <w:style w:type="paragraph" w:styleId="Index2">
    <w:name w:val="index 2"/>
    <w:basedOn w:val="Normal"/>
    <w:next w:val="Normal"/>
    <w:autoRedefine/>
    <w:semiHidden/>
    <w:rsid w:val="00FD26A6"/>
    <w:pPr>
      <w:ind w:left="400" w:hanging="200"/>
    </w:pPr>
  </w:style>
  <w:style w:type="paragraph" w:styleId="Index3">
    <w:name w:val="index 3"/>
    <w:basedOn w:val="Normal"/>
    <w:next w:val="Normal"/>
    <w:autoRedefine/>
    <w:semiHidden/>
    <w:rsid w:val="00FD26A6"/>
    <w:pPr>
      <w:ind w:left="600" w:hanging="200"/>
    </w:pPr>
  </w:style>
  <w:style w:type="paragraph" w:styleId="Index4">
    <w:name w:val="index 4"/>
    <w:basedOn w:val="Normal"/>
    <w:next w:val="Normal"/>
    <w:autoRedefine/>
    <w:semiHidden/>
    <w:rsid w:val="00FD26A6"/>
    <w:pPr>
      <w:ind w:left="800" w:hanging="200"/>
    </w:pPr>
  </w:style>
  <w:style w:type="paragraph" w:styleId="Index5">
    <w:name w:val="index 5"/>
    <w:basedOn w:val="Normal"/>
    <w:next w:val="Normal"/>
    <w:autoRedefine/>
    <w:semiHidden/>
    <w:rsid w:val="00FD26A6"/>
    <w:pPr>
      <w:ind w:left="1000" w:hanging="200"/>
    </w:pPr>
  </w:style>
  <w:style w:type="paragraph" w:styleId="Index6">
    <w:name w:val="index 6"/>
    <w:basedOn w:val="Normal"/>
    <w:next w:val="Normal"/>
    <w:autoRedefine/>
    <w:semiHidden/>
    <w:rsid w:val="00FD26A6"/>
    <w:pPr>
      <w:ind w:left="1200" w:hanging="200"/>
    </w:pPr>
  </w:style>
  <w:style w:type="paragraph" w:styleId="Index7">
    <w:name w:val="index 7"/>
    <w:basedOn w:val="Normal"/>
    <w:next w:val="Normal"/>
    <w:autoRedefine/>
    <w:semiHidden/>
    <w:rsid w:val="00FD26A6"/>
    <w:pPr>
      <w:ind w:left="1400" w:hanging="200"/>
    </w:pPr>
  </w:style>
  <w:style w:type="paragraph" w:styleId="Index8">
    <w:name w:val="index 8"/>
    <w:basedOn w:val="Normal"/>
    <w:next w:val="Normal"/>
    <w:autoRedefine/>
    <w:semiHidden/>
    <w:rsid w:val="00FD26A6"/>
    <w:pPr>
      <w:ind w:left="1600" w:hanging="200"/>
    </w:pPr>
  </w:style>
  <w:style w:type="paragraph" w:styleId="Index9">
    <w:name w:val="index 9"/>
    <w:basedOn w:val="Normal"/>
    <w:next w:val="Normal"/>
    <w:autoRedefine/>
    <w:semiHidden/>
    <w:rsid w:val="00FD26A6"/>
    <w:pPr>
      <w:ind w:left="1800" w:hanging="200"/>
    </w:pPr>
  </w:style>
  <w:style w:type="paragraph" w:styleId="IndexHeading">
    <w:name w:val="index heading"/>
    <w:basedOn w:val="Normal"/>
    <w:next w:val="Index1"/>
    <w:semiHidden/>
    <w:rsid w:val="00FD26A6"/>
    <w:rPr>
      <w:rFonts w:ascii="Arial" w:hAnsi="Arial" w:cs="Arial"/>
      <w:b/>
      <w:bCs/>
    </w:rPr>
  </w:style>
  <w:style w:type="paragraph" w:styleId="ListNumber">
    <w:name w:val="List Number"/>
    <w:basedOn w:val="Normal"/>
    <w:rsid w:val="00FD26A6"/>
    <w:pPr>
      <w:numPr>
        <w:numId w:val="24"/>
      </w:numPr>
      <w:contextualSpacing/>
    </w:p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FD26A6"/>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FD26A6"/>
    <w:rPr>
      <w:rFonts w:ascii="Calibri" w:eastAsia="Calibri" w:hAnsi="Calibri" w:cs="Times New Roman"/>
      <w:lang w:val="en-US"/>
    </w:rPr>
  </w:style>
  <w:style w:type="paragraph" w:styleId="MacroText">
    <w:name w:val="macro"/>
    <w:link w:val="MacroTextChar"/>
    <w:semiHidden/>
    <w:rsid w:val="00FD26A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sz w:val="20"/>
      <w:szCs w:val="20"/>
      <w:lang w:eastAsia="en-AU"/>
    </w:rPr>
  </w:style>
  <w:style w:type="character" w:customStyle="1" w:styleId="MacroTextChar">
    <w:name w:val="Macro Text Char"/>
    <w:basedOn w:val="DefaultParagraphFont"/>
    <w:link w:val="MacroText"/>
    <w:semiHidden/>
    <w:rsid w:val="00FD26A6"/>
    <w:rPr>
      <w:rFonts w:ascii="Courier New" w:hAnsi="Courier New" w:cs="Courier New"/>
      <w:sz w:val="20"/>
      <w:szCs w:val="20"/>
      <w:lang w:eastAsia="en-AU"/>
    </w:rPr>
  </w:style>
  <w:style w:type="paragraph" w:styleId="NormalIndent">
    <w:name w:val="Normal Indent"/>
    <w:basedOn w:val="Normal"/>
    <w:rsid w:val="00FD26A6"/>
    <w:pPr>
      <w:ind w:left="567"/>
    </w:pPr>
  </w:style>
  <w:style w:type="paragraph" w:customStyle="1" w:styleId="NoteTableHeading">
    <w:name w:val="Note Table Heading"/>
    <w:basedOn w:val="HeadingBase"/>
    <w:next w:val="TableGraphic"/>
    <w:semiHidden/>
    <w:rsid w:val="00FD26A6"/>
    <w:pPr>
      <w:spacing w:before="240"/>
    </w:pPr>
    <w:rPr>
      <w:b/>
      <w:sz w:val="20"/>
    </w:rPr>
  </w:style>
  <w:style w:type="paragraph" w:customStyle="1" w:styleId="numberedpara">
    <w:name w:val="numbered para"/>
    <w:basedOn w:val="Normal"/>
    <w:rsid w:val="00FD26A6"/>
    <w:pPr>
      <w:keepLines/>
      <w:numPr>
        <w:numId w:val="25"/>
      </w:numPr>
      <w:spacing w:after="0"/>
    </w:pPr>
    <w:rPr>
      <w:rFonts w:ascii="Calibri" w:hAnsi="Calibri"/>
      <w:sz w:val="22"/>
      <w:szCs w:val="16"/>
      <w:lang w:eastAsia="en-US"/>
    </w:rPr>
  </w:style>
  <w:style w:type="paragraph" w:customStyle="1" w:styleId="Outcome">
    <w:name w:val="Outcome"/>
    <w:basedOn w:val="Normal"/>
    <w:rsid w:val="00FD26A6"/>
    <w:pPr>
      <w:spacing w:line="280" w:lineRule="exact"/>
    </w:pPr>
    <w:rPr>
      <w:rFonts w:ascii="Arial" w:hAnsi="Arial" w:cs="Arial"/>
      <w:b/>
    </w:rPr>
  </w:style>
  <w:style w:type="paragraph" w:customStyle="1" w:styleId="OverviewParagraph">
    <w:name w:val="Overview Paragraph"/>
    <w:basedOn w:val="Normal"/>
    <w:semiHidden/>
    <w:rsid w:val="00FD26A6"/>
  </w:style>
  <w:style w:type="character" w:styleId="PageNumber">
    <w:name w:val="page number"/>
    <w:rsid w:val="00FD26A6"/>
    <w:rPr>
      <w:rFonts w:ascii="Arial" w:hAnsi="Arial" w:cs="Arial"/>
    </w:rPr>
  </w:style>
  <w:style w:type="paragraph" w:styleId="Title">
    <w:name w:val="Title"/>
    <w:basedOn w:val="Normal"/>
    <w:link w:val="TitleChar"/>
    <w:qFormat/>
    <w:rsid w:val="00FD26A6"/>
    <w:pPr>
      <w:spacing w:after="0"/>
      <w:jc w:val="center"/>
      <w:outlineLvl w:val="0"/>
    </w:pPr>
    <w:rPr>
      <w:rFonts w:ascii="Arial" w:hAnsi="Arial" w:cs="Arial"/>
      <w:b/>
      <w:bCs/>
      <w:caps/>
      <w:kern w:val="28"/>
      <w:sz w:val="52"/>
      <w:szCs w:val="32"/>
    </w:rPr>
  </w:style>
  <w:style w:type="character" w:customStyle="1" w:styleId="TitleChar">
    <w:name w:val="Title Char"/>
    <w:basedOn w:val="DefaultParagraphFont"/>
    <w:link w:val="Title"/>
    <w:rsid w:val="00FD26A6"/>
    <w:rPr>
      <w:rFonts w:ascii="Arial" w:hAnsi="Arial" w:cs="Arial"/>
      <w:b/>
      <w:bCs/>
      <w:caps/>
      <w:kern w:val="28"/>
      <w:sz w:val="52"/>
      <w:szCs w:val="32"/>
      <w:lang w:eastAsia="en-AU"/>
    </w:rPr>
  </w:style>
  <w:style w:type="paragraph" w:customStyle="1" w:styleId="Part">
    <w:name w:val="Part"/>
    <w:basedOn w:val="Title"/>
    <w:next w:val="Normal"/>
    <w:rsid w:val="00FD26A6"/>
    <w:rPr>
      <w:caps w:val="0"/>
      <w:smallCaps/>
    </w:rPr>
  </w:style>
  <w:style w:type="paragraph" w:customStyle="1" w:styleId="PartHeading">
    <w:name w:val="Part Heading"/>
    <w:basedOn w:val="Part"/>
    <w:next w:val="Normal"/>
    <w:rsid w:val="00FD26A6"/>
  </w:style>
  <w:style w:type="paragraph" w:customStyle="1" w:styleId="ProgramHeadingsub">
    <w:name w:val="Program Heading sub"/>
    <w:basedOn w:val="BoxHeading"/>
    <w:rsid w:val="00FD26A6"/>
  </w:style>
  <w:style w:type="paragraph" w:customStyle="1" w:styleId="ProgramHeading0">
    <w:name w:val="ProgramHeading"/>
    <w:rsid w:val="00FD26A6"/>
    <w:pPr>
      <w:spacing w:before="60" w:after="60" w:line="240" w:lineRule="auto"/>
    </w:pPr>
    <w:rPr>
      <w:rFonts w:ascii="Book Antiqua" w:hAnsi="Book Antiqua" w:cs="Times New Roman"/>
      <w:b/>
      <w:szCs w:val="20"/>
    </w:rPr>
  </w:style>
  <w:style w:type="paragraph" w:customStyle="1" w:styleId="Source">
    <w:name w:val="Source"/>
    <w:basedOn w:val="Normal"/>
    <w:rsid w:val="00FD26A6"/>
    <w:pPr>
      <w:tabs>
        <w:tab w:val="left" w:pos="284"/>
      </w:tabs>
      <w:spacing w:after="0"/>
    </w:pPr>
    <w:rPr>
      <w:rFonts w:ascii="Arial" w:hAnsi="Arial"/>
      <w:sz w:val="16"/>
    </w:rPr>
  </w:style>
  <w:style w:type="character" w:styleId="Strong">
    <w:name w:val="Strong"/>
    <w:qFormat/>
    <w:rsid w:val="00FD26A6"/>
    <w:rPr>
      <w:b/>
      <w:bCs/>
    </w:rPr>
  </w:style>
  <w:style w:type="paragraph" w:customStyle="1" w:styleId="StyleTableTextItalicBoldNotItalic">
    <w:name w:val="Style TableText Italic + Bold Not Italic"/>
    <w:basedOn w:val="Normal"/>
    <w:rsid w:val="00FD26A6"/>
    <w:pPr>
      <w:tabs>
        <w:tab w:val="left" w:pos="113"/>
      </w:tabs>
      <w:spacing w:after="20"/>
    </w:pPr>
    <w:rPr>
      <w:rFonts w:cs="Arial"/>
      <w:b/>
      <w:bCs/>
      <w:color w:val="000000"/>
      <w:sz w:val="18"/>
      <w:szCs w:val="16"/>
      <w:lang w:eastAsia="en-US"/>
    </w:rPr>
  </w:style>
  <w:style w:type="paragraph" w:customStyle="1" w:styleId="TableColumnHeadingBase">
    <w:name w:val="Table Column Heading Base"/>
    <w:basedOn w:val="Normal"/>
    <w:rsid w:val="00FD26A6"/>
    <w:pPr>
      <w:spacing w:before="60" w:after="60"/>
    </w:pPr>
    <w:rPr>
      <w:rFonts w:ascii="Arial" w:hAnsi="Arial"/>
      <w:b/>
    </w:rPr>
  </w:style>
  <w:style w:type="paragraph" w:customStyle="1" w:styleId="TableColumnHeadingCentred">
    <w:name w:val="Table Column Heading Centred"/>
    <w:basedOn w:val="TableColumnHeadingBase"/>
    <w:next w:val="Normal"/>
    <w:rsid w:val="00FD26A6"/>
    <w:pPr>
      <w:jc w:val="center"/>
    </w:pPr>
  </w:style>
  <w:style w:type="paragraph" w:customStyle="1" w:styleId="TableColumnHeadingLeft">
    <w:name w:val="Table Column Heading Left"/>
    <w:basedOn w:val="TableColumnHeadingBase"/>
    <w:next w:val="Normal"/>
    <w:rsid w:val="00FD26A6"/>
    <w:pPr>
      <w:spacing w:before="120" w:after="120"/>
    </w:pPr>
  </w:style>
  <w:style w:type="paragraph" w:customStyle="1" w:styleId="TableColumnHeadingRight">
    <w:name w:val="Table Column Heading Right"/>
    <w:basedOn w:val="TableColumnHeadingBase"/>
    <w:next w:val="Normal"/>
    <w:rsid w:val="00FD26A6"/>
    <w:pPr>
      <w:jc w:val="right"/>
    </w:pPr>
  </w:style>
  <w:style w:type="paragraph" w:customStyle="1" w:styleId="TableColumnOutgroupHeading">
    <w:name w:val="Table Column Outgroup Heading"/>
    <w:basedOn w:val="Normal"/>
    <w:rsid w:val="00FD26A6"/>
    <w:pPr>
      <w:spacing w:before="60"/>
    </w:pPr>
    <w:rPr>
      <w:b/>
      <w:sz w:val="22"/>
    </w:rPr>
  </w:style>
  <w:style w:type="paragraph" w:customStyle="1" w:styleId="TableColumnOutgroupSubheading">
    <w:name w:val="Table Column Outgroup Subheading"/>
    <w:basedOn w:val="Normal"/>
    <w:rsid w:val="00FD26A6"/>
    <w:pPr>
      <w:spacing w:before="60"/>
      <w:jc w:val="center"/>
    </w:pPr>
  </w:style>
  <w:style w:type="paragraph" w:styleId="TableofAuthorities">
    <w:name w:val="table of authorities"/>
    <w:basedOn w:val="Normal"/>
    <w:next w:val="Normal"/>
    <w:semiHidden/>
    <w:rsid w:val="00FD26A6"/>
    <w:pPr>
      <w:ind w:left="200" w:hanging="200"/>
    </w:pPr>
  </w:style>
  <w:style w:type="paragraph" w:styleId="TableofFigures">
    <w:name w:val="table of figures"/>
    <w:basedOn w:val="Normal"/>
    <w:next w:val="Normal"/>
    <w:semiHidden/>
    <w:rsid w:val="00FD26A6"/>
  </w:style>
  <w:style w:type="paragraph" w:customStyle="1" w:styleId="TableTextBase">
    <w:name w:val="Table Text Base"/>
    <w:basedOn w:val="Normal"/>
    <w:link w:val="TableTextBaseChar"/>
    <w:rsid w:val="00FD26A6"/>
    <w:pPr>
      <w:spacing w:before="60" w:after="60"/>
    </w:pPr>
    <w:rPr>
      <w:sz w:val="18"/>
    </w:rPr>
  </w:style>
  <w:style w:type="character" w:customStyle="1" w:styleId="TableTextBaseChar">
    <w:name w:val="Table Text Base Char"/>
    <w:link w:val="TableTextBase"/>
    <w:rsid w:val="00FD26A6"/>
    <w:rPr>
      <w:rFonts w:ascii="Book Antiqua" w:hAnsi="Book Antiqua" w:cs="Times New Roman"/>
      <w:sz w:val="18"/>
      <w:szCs w:val="20"/>
      <w:lang w:eastAsia="en-AU"/>
    </w:rPr>
  </w:style>
  <w:style w:type="paragraph" w:customStyle="1" w:styleId="TableTextBullet">
    <w:name w:val="Table Text Bullet"/>
    <w:basedOn w:val="TableTextBase"/>
    <w:rsid w:val="00FD26A6"/>
    <w:pPr>
      <w:numPr>
        <w:numId w:val="27"/>
      </w:numPr>
    </w:pPr>
  </w:style>
  <w:style w:type="paragraph" w:customStyle="1" w:styleId="TableTextCentred">
    <w:name w:val="Table Text Centred"/>
    <w:basedOn w:val="TableTextBase"/>
    <w:rsid w:val="00FD26A6"/>
    <w:pPr>
      <w:jc w:val="center"/>
    </w:pPr>
  </w:style>
  <w:style w:type="paragraph" w:customStyle="1" w:styleId="TableTextDash">
    <w:name w:val="Table Text Dash"/>
    <w:basedOn w:val="TableTextBase"/>
    <w:rsid w:val="00FD26A6"/>
    <w:pPr>
      <w:numPr>
        <w:ilvl w:val="1"/>
        <w:numId w:val="27"/>
      </w:numPr>
    </w:pPr>
  </w:style>
  <w:style w:type="paragraph" w:customStyle="1" w:styleId="TableTextIndented">
    <w:name w:val="Table Text Indented"/>
    <w:basedOn w:val="TableTextBase"/>
    <w:rsid w:val="00FD26A6"/>
    <w:pPr>
      <w:ind w:left="284"/>
    </w:pPr>
  </w:style>
  <w:style w:type="paragraph" w:customStyle="1" w:styleId="TableTextJustified">
    <w:name w:val="Table Text Justified"/>
    <w:basedOn w:val="TableTextBase"/>
    <w:rsid w:val="00FD26A6"/>
    <w:pPr>
      <w:jc w:val="both"/>
    </w:pPr>
  </w:style>
  <w:style w:type="paragraph" w:customStyle="1" w:styleId="Tabletextjustified0">
    <w:name w:val="Table text justified"/>
    <w:basedOn w:val="Normal"/>
    <w:semiHidden/>
    <w:rsid w:val="00FD26A6"/>
    <w:pPr>
      <w:spacing w:before="100" w:after="100" w:line="250" w:lineRule="exact"/>
    </w:pPr>
    <w:rPr>
      <w:rFonts w:ascii="Arial" w:hAnsi="Arial" w:cs="Arial"/>
      <w:sz w:val="18"/>
    </w:rPr>
  </w:style>
  <w:style w:type="paragraph" w:customStyle="1" w:styleId="TableTextLeft">
    <w:name w:val="Table Text Left"/>
    <w:basedOn w:val="TableTextBase"/>
    <w:link w:val="TableTextLeftChar"/>
    <w:rsid w:val="00FD26A6"/>
  </w:style>
  <w:style w:type="character" w:customStyle="1" w:styleId="TableTextLeftChar">
    <w:name w:val="Table Text Left Char"/>
    <w:link w:val="TableTextLeft"/>
    <w:rsid w:val="00FD26A6"/>
    <w:rPr>
      <w:rFonts w:ascii="Book Antiqua" w:hAnsi="Book Antiqua" w:cs="Times New Roman"/>
      <w:sz w:val="18"/>
      <w:szCs w:val="20"/>
      <w:lang w:eastAsia="en-AU"/>
    </w:rPr>
  </w:style>
  <w:style w:type="paragraph" w:customStyle="1" w:styleId="TableTextRight0">
    <w:name w:val="Table Text Right"/>
    <w:basedOn w:val="TableTextBase"/>
    <w:rsid w:val="00FD26A6"/>
    <w:pPr>
      <w:jc w:val="right"/>
    </w:pPr>
  </w:style>
  <w:style w:type="paragraph" w:customStyle="1" w:styleId="TableChartFootnote">
    <w:name w:val="TableChart Footnote"/>
    <w:basedOn w:val="Normal"/>
    <w:next w:val="Normal"/>
    <w:rsid w:val="00FD26A6"/>
    <w:pPr>
      <w:tabs>
        <w:tab w:val="left" w:pos="567"/>
      </w:tabs>
      <w:spacing w:after="0"/>
      <w:ind w:left="567" w:hanging="567"/>
    </w:pPr>
    <w:rPr>
      <w:rFonts w:cs="Arial"/>
      <w:color w:val="000000"/>
      <w:sz w:val="16"/>
      <w:szCs w:val="24"/>
      <w:lang w:eastAsia="en-US"/>
    </w:rPr>
  </w:style>
  <w:style w:type="paragraph" w:customStyle="1" w:styleId="Tabletextbullets">
    <w:name w:val="Tabletext bullets"/>
    <w:basedOn w:val="TableText"/>
    <w:qFormat/>
    <w:rsid w:val="00FD26A6"/>
    <w:pPr>
      <w:numPr>
        <w:numId w:val="28"/>
      </w:numPr>
      <w:spacing w:line="260" w:lineRule="exact"/>
    </w:pPr>
    <w:rPr>
      <w:rFonts w:eastAsia="Book Antiqua"/>
    </w:rPr>
  </w:style>
  <w:style w:type="paragraph" w:customStyle="1" w:styleId="Title2ndLevel">
    <w:name w:val="Title 2nd Level"/>
    <w:basedOn w:val="Title"/>
    <w:rsid w:val="00FD26A6"/>
    <w:rPr>
      <w:sz w:val="24"/>
    </w:rPr>
  </w:style>
  <w:style w:type="paragraph" w:customStyle="1" w:styleId="Title3rdLevel">
    <w:name w:val="Title 3rd Level"/>
    <w:basedOn w:val="Normal"/>
    <w:next w:val="Title"/>
    <w:rsid w:val="00FD26A6"/>
    <w:pPr>
      <w:jc w:val="center"/>
    </w:pPr>
    <w:rPr>
      <w:rFonts w:ascii="Arial" w:hAnsi="Arial"/>
      <w:caps/>
    </w:rPr>
  </w:style>
  <w:style w:type="paragraph" w:styleId="TOAHeading">
    <w:name w:val="toa heading"/>
    <w:basedOn w:val="Normal"/>
    <w:next w:val="Normal"/>
    <w:semiHidden/>
    <w:rsid w:val="00FD26A6"/>
    <w:rPr>
      <w:rFonts w:ascii="Arial" w:hAnsi="Arial" w:cs="Arial"/>
      <w:b/>
      <w:bCs/>
      <w:sz w:val="24"/>
      <w:szCs w:val="24"/>
    </w:rPr>
  </w:style>
  <w:style w:type="paragraph" w:styleId="TOC1">
    <w:name w:val="toc 1"/>
    <w:basedOn w:val="HeaderBase"/>
    <w:next w:val="Normal"/>
    <w:rsid w:val="00FD26A6"/>
    <w:pPr>
      <w:tabs>
        <w:tab w:val="right" w:leader="dot" w:pos="7700"/>
      </w:tabs>
      <w:spacing w:before="240"/>
      <w:ind w:right="851"/>
    </w:pPr>
    <w:rPr>
      <w:rFonts w:ascii="Arial" w:hAnsi="Arial"/>
      <w:b/>
      <w:i w:val="0"/>
    </w:rPr>
  </w:style>
  <w:style w:type="paragraph" w:styleId="TOC2">
    <w:name w:val="toc 2"/>
    <w:basedOn w:val="HeadingBase"/>
    <w:next w:val="Normal"/>
    <w:rsid w:val="00FD26A6"/>
    <w:pPr>
      <w:tabs>
        <w:tab w:val="right" w:leader="dot" w:pos="7700"/>
      </w:tabs>
      <w:spacing w:before="80"/>
      <w:ind w:right="851"/>
    </w:pPr>
    <w:rPr>
      <w:sz w:val="20"/>
    </w:rPr>
  </w:style>
  <w:style w:type="paragraph" w:styleId="TOC5">
    <w:name w:val="toc 5"/>
    <w:basedOn w:val="Normal"/>
    <w:next w:val="Normal"/>
    <w:autoRedefine/>
    <w:semiHidden/>
    <w:rsid w:val="00FD26A6"/>
    <w:pPr>
      <w:ind w:left="800"/>
    </w:pPr>
  </w:style>
  <w:style w:type="paragraph" w:styleId="TOC6">
    <w:name w:val="toc 6"/>
    <w:basedOn w:val="Normal"/>
    <w:next w:val="Normal"/>
    <w:autoRedefine/>
    <w:semiHidden/>
    <w:rsid w:val="00FD26A6"/>
    <w:pPr>
      <w:ind w:left="1000"/>
    </w:pPr>
  </w:style>
  <w:style w:type="paragraph" w:styleId="TOC7">
    <w:name w:val="toc 7"/>
    <w:basedOn w:val="Normal"/>
    <w:next w:val="Normal"/>
    <w:autoRedefine/>
    <w:semiHidden/>
    <w:rsid w:val="00FD26A6"/>
    <w:pPr>
      <w:ind w:left="1200"/>
    </w:pPr>
  </w:style>
  <w:style w:type="paragraph" w:styleId="TOC8">
    <w:name w:val="toc 8"/>
    <w:basedOn w:val="Normal"/>
    <w:next w:val="Normal"/>
    <w:autoRedefine/>
    <w:semiHidden/>
    <w:rsid w:val="00FD26A6"/>
    <w:pPr>
      <w:ind w:left="1400"/>
    </w:pPr>
  </w:style>
  <w:style w:type="paragraph" w:styleId="TOC9">
    <w:name w:val="toc 9"/>
    <w:basedOn w:val="Normal"/>
    <w:next w:val="Normal"/>
    <w:autoRedefine/>
    <w:semiHidden/>
    <w:rsid w:val="00FD26A6"/>
    <w:pPr>
      <w:ind w:left="1600"/>
    </w:pPr>
  </w:style>
  <w:style w:type="paragraph" w:customStyle="1" w:styleId="TPHeading1">
    <w:name w:val="TP Heading 1"/>
    <w:basedOn w:val="HeadingBase"/>
    <w:rsid w:val="00FD26A6"/>
    <w:rPr>
      <w:b/>
      <w:caps/>
      <w:sz w:val="52"/>
    </w:rPr>
  </w:style>
  <w:style w:type="paragraph" w:customStyle="1" w:styleId="TPHeading2">
    <w:name w:val="TP Heading 2"/>
    <w:basedOn w:val="HeadingBase"/>
    <w:rsid w:val="00FD26A6"/>
    <w:pPr>
      <w:jc w:val="center"/>
    </w:pPr>
    <w:rPr>
      <w:rFonts w:ascii="Georgia" w:hAnsi="Georgia"/>
      <w:caps/>
    </w:rPr>
  </w:style>
  <w:style w:type="paragraph" w:customStyle="1" w:styleId="TPHeading3">
    <w:name w:val="TP Heading 3"/>
    <w:basedOn w:val="HeadingBase"/>
    <w:rsid w:val="00FD26A6"/>
    <w:rPr>
      <w:rFonts w:ascii="Georgia" w:hAnsi="Georgia"/>
      <w:caps/>
    </w:rPr>
  </w:style>
  <w:style w:type="paragraph" w:customStyle="1" w:styleId="TransmittalAddressee">
    <w:name w:val="Transmittal Addressee"/>
    <w:basedOn w:val="Normal"/>
    <w:rsid w:val="00FD26A6"/>
    <w:pPr>
      <w:spacing w:after="0"/>
    </w:pPr>
  </w:style>
  <w:style w:type="paragraph" w:customStyle="1" w:styleId="TransmittalStyle1">
    <w:name w:val="Transmittal Style 1"/>
    <w:basedOn w:val="HeadingBase"/>
    <w:rsid w:val="00FD26A6"/>
    <w:pPr>
      <w:spacing w:after="60"/>
      <w:jc w:val="right"/>
    </w:pPr>
    <w:rPr>
      <w:b/>
      <w:smallCaps/>
    </w:rPr>
  </w:style>
  <w:style w:type="paragraph" w:customStyle="1" w:styleId="TransmittalStyle2">
    <w:name w:val="Transmittal Style 2"/>
    <w:basedOn w:val="HeadingBase"/>
    <w:rsid w:val="00FD26A6"/>
    <w:pPr>
      <w:spacing w:before="60" w:after="60"/>
      <w:jc w:val="right"/>
    </w:pPr>
    <w:rPr>
      <w:rFonts w:ascii="Helvetica" w:hAnsi="Helvetica"/>
      <w:b/>
      <w:caps/>
      <w:sz w:val="16"/>
    </w:rPr>
  </w:style>
  <w:style w:type="paragraph" w:customStyle="1" w:styleId="UserGuidelevelTOC">
    <w:name w:val="UserGuide level TOC"/>
    <w:basedOn w:val="HeadingBase"/>
    <w:next w:val="Normal"/>
    <w:rsid w:val="00FD26A6"/>
    <w:pPr>
      <w:spacing w:before="360" w:after="360"/>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E4827E28.dotm</Template>
  <TotalTime>0</TotalTime>
  <Pages>10</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Wills</dc:creator>
  <cp:lastModifiedBy>Danielle Wills</cp:lastModifiedBy>
  <cp:revision>2</cp:revision>
  <dcterms:created xsi:type="dcterms:W3CDTF">2015-05-12T02:38:00Z</dcterms:created>
  <dcterms:modified xsi:type="dcterms:W3CDTF">2015-05-12T02:38:00Z</dcterms:modified>
</cp:coreProperties>
</file>