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28" w:rsidRPr="00D94828" w:rsidRDefault="00D94828" w:rsidP="00D94828">
      <w:pPr>
        <w:pStyle w:val="Department"/>
        <w:spacing w:before="1320"/>
      </w:pPr>
      <w:bookmarkStart w:id="0" w:name="_Toc190766151"/>
      <w:r w:rsidRPr="00D94828">
        <w:t>Fair Work Commission</w:t>
      </w:r>
    </w:p>
    <w:p w:rsidR="00D94828" w:rsidRDefault="00D94828" w:rsidP="00D94828">
      <w:pPr>
        <w:pStyle w:val="DepartmentSubtitle"/>
        <w:spacing w:before="2080"/>
      </w:pPr>
      <w:r>
        <w:t>Entity resources and planned performance</w:t>
      </w:r>
    </w:p>
    <w:p w:rsidR="00CC1B1A" w:rsidRDefault="00CC1B1A" w:rsidP="002E2D3E">
      <w:pPr>
        <w:pStyle w:val="Heading1"/>
      </w:pPr>
    </w:p>
    <w:p w:rsidR="00BA2F8D" w:rsidRPr="00BA2F8D" w:rsidRDefault="00BA2F8D" w:rsidP="00BA2F8D">
      <w:pPr>
        <w:sectPr w:rsidR="00BA2F8D" w:rsidRPr="00BA2F8D" w:rsidSect="00F64B73">
          <w:footerReference w:type="even" r:id="rId14"/>
          <w:footerReference w:type="default" r:id="rId15"/>
          <w:type w:val="oddPage"/>
          <w:pgSz w:w="9979" w:h="14175" w:code="259"/>
          <w:pgMar w:top="1418" w:right="1418" w:bottom="1418" w:left="1418" w:header="851" w:footer="1134" w:gutter="0"/>
          <w:pgNumType w:start="191"/>
          <w:cols w:space="708"/>
          <w:titlePg/>
          <w:docGrid w:linePitch="360"/>
        </w:sectPr>
      </w:pPr>
    </w:p>
    <w:p w:rsidR="00BA2F8D" w:rsidRDefault="00BA2F8D" w:rsidP="00452907">
      <w:pPr>
        <w:pStyle w:val="ContentsHeading"/>
      </w:pPr>
      <w:r>
        <w:lastRenderedPageBreak/>
        <w:t>Fair Work Commission</w:t>
      </w:r>
    </w:p>
    <w:p w:rsidR="00BA2F8D" w:rsidRDefault="00BA2F8D" w:rsidP="00BA2F8D">
      <w:pPr>
        <w:pStyle w:val="TOC3"/>
        <w:rPr>
          <w:rFonts w:ascii="Times New Roman" w:hAnsi="Times New Roman"/>
          <w:b w:val="0"/>
          <w:noProof/>
          <w:sz w:val="24"/>
          <w:szCs w:val="24"/>
        </w:rPr>
      </w:pPr>
      <w:r>
        <w:rPr>
          <w:noProof/>
        </w:rPr>
        <w:t xml:space="preserve">Section 1: </w:t>
      </w:r>
      <w:r w:rsidR="00CA7BA1">
        <w:rPr>
          <w:noProof/>
        </w:rPr>
        <w:t>Entity overview and resources</w:t>
      </w:r>
      <w:r w:rsidR="00CA7BA1">
        <w:rPr>
          <w:noProof/>
        </w:rPr>
        <w:tab/>
        <w:t>125</w:t>
      </w:r>
    </w:p>
    <w:p w:rsidR="00BA2F8D" w:rsidRDefault="00BA2F8D" w:rsidP="00BA2F8D">
      <w:pPr>
        <w:pStyle w:val="TOC4"/>
        <w:tabs>
          <w:tab w:val="left" w:pos="800"/>
        </w:tabs>
        <w:rPr>
          <w:rFonts w:ascii="Times New Roman" w:hAnsi="Times New Roman"/>
          <w:noProof/>
          <w:sz w:val="24"/>
          <w:szCs w:val="24"/>
        </w:rPr>
      </w:pPr>
      <w:r>
        <w:rPr>
          <w:noProof/>
        </w:rPr>
        <w:t>1.1</w:t>
      </w:r>
      <w:r>
        <w:rPr>
          <w:rFonts w:ascii="Times New Roman" w:hAnsi="Times New Roman"/>
          <w:noProof/>
          <w:sz w:val="24"/>
          <w:szCs w:val="24"/>
        </w:rPr>
        <w:tab/>
      </w:r>
      <w:r w:rsidR="00CA7BA1">
        <w:rPr>
          <w:noProof/>
        </w:rPr>
        <w:t>Strategic direction statement</w:t>
      </w:r>
      <w:r w:rsidR="00CA7BA1">
        <w:rPr>
          <w:noProof/>
        </w:rPr>
        <w:tab/>
        <w:t>125</w:t>
      </w:r>
    </w:p>
    <w:p w:rsidR="00BA2F8D" w:rsidRDefault="00BA2F8D" w:rsidP="00BA2F8D">
      <w:pPr>
        <w:pStyle w:val="TOC4"/>
        <w:tabs>
          <w:tab w:val="left" w:pos="800"/>
        </w:tabs>
        <w:rPr>
          <w:rFonts w:ascii="Times New Roman" w:hAnsi="Times New Roman"/>
          <w:noProof/>
          <w:sz w:val="24"/>
          <w:szCs w:val="24"/>
        </w:rPr>
      </w:pPr>
      <w:r>
        <w:rPr>
          <w:noProof/>
        </w:rPr>
        <w:t>1.2</w:t>
      </w:r>
      <w:r>
        <w:rPr>
          <w:rFonts w:ascii="Times New Roman" w:hAnsi="Times New Roman"/>
          <w:noProof/>
          <w:sz w:val="24"/>
          <w:szCs w:val="24"/>
        </w:rPr>
        <w:tab/>
      </w:r>
      <w:r w:rsidR="00CA7BA1">
        <w:rPr>
          <w:noProof/>
        </w:rPr>
        <w:t>Entity resource statement</w:t>
      </w:r>
      <w:r w:rsidR="00CA7BA1">
        <w:rPr>
          <w:noProof/>
        </w:rPr>
        <w:tab/>
        <w:t>126</w:t>
      </w:r>
    </w:p>
    <w:p w:rsidR="00BA2F8D" w:rsidRDefault="00BA2F8D" w:rsidP="00BA2F8D">
      <w:pPr>
        <w:pStyle w:val="TOC4"/>
        <w:tabs>
          <w:tab w:val="left" w:pos="800"/>
        </w:tabs>
        <w:rPr>
          <w:noProof/>
        </w:rPr>
      </w:pPr>
      <w:r>
        <w:rPr>
          <w:noProof/>
        </w:rPr>
        <w:t>1.3</w:t>
      </w:r>
      <w:r>
        <w:rPr>
          <w:rFonts w:ascii="Times New Roman" w:hAnsi="Times New Roman"/>
          <w:noProof/>
          <w:sz w:val="24"/>
          <w:szCs w:val="24"/>
        </w:rPr>
        <w:tab/>
      </w:r>
      <w:r w:rsidR="00CA7BA1">
        <w:rPr>
          <w:noProof/>
        </w:rPr>
        <w:t>Budget measures</w:t>
      </w:r>
      <w:r w:rsidR="00CA7BA1">
        <w:rPr>
          <w:noProof/>
        </w:rPr>
        <w:tab/>
        <w:t>128</w:t>
      </w:r>
    </w:p>
    <w:p w:rsidR="00BA2F8D" w:rsidRDefault="00BA2F8D" w:rsidP="00BA2F8D">
      <w:pPr>
        <w:pStyle w:val="TOC3"/>
        <w:rPr>
          <w:rFonts w:ascii="Times New Roman" w:hAnsi="Times New Roman"/>
          <w:b w:val="0"/>
          <w:noProof/>
          <w:sz w:val="24"/>
          <w:szCs w:val="24"/>
        </w:rPr>
      </w:pPr>
      <w:r>
        <w:rPr>
          <w:noProof/>
        </w:rPr>
        <w:t>Section 2: Out</w:t>
      </w:r>
      <w:r w:rsidR="00CA7BA1">
        <w:rPr>
          <w:noProof/>
        </w:rPr>
        <w:t>comes and planned performance</w:t>
      </w:r>
      <w:r w:rsidR="00CA7BA1">
        <w:rPr>
          <w:noProof/>
        </w:rPr>
        <w:tab/>
        <w:t>129</w:t>
      </w:r>
    </w:p>
    <w:p w:rsidR="00BA2F8D" w:rsidRDefault="00BA2F8D" w:rsidP="00BA2F8D">
      <w:pPr>
        <w:pStyle w:val="TOC4"/>
        <w:tabs>
          <w:tab w:val="left" w:pos="800"/>
        </w:tabs>
        <w:rPr>
          <w:rFonts w:ascii="Times New Roman" w:hAnsi="Times New Roman"/>
          <w:noProof/>
          <w:sz w:val="24"/>
          <w:szCs w:val="24"/>
        </w:rPr>
      </w:pPr>
      <w:r>
        <w:rPr>
          <w:noProof/>
        </w:rPr>
        <w:t>2.1</w:t>
      </w:r>
      <w:r>
        <w:rPr>
          <w:rFonts w:ascii="Times New Roman" w:hAnsi="Times New Roman"/>
          <w:noProof/>
          <w:sz w:val="24"/>
          <w:szCs w:val="24"/>
        </w:rPr>
        <w:tab/>
      </w:r>
      <w:r>
        <w:rPr>
          <w:noProof/>
        </w:rPr>
        <w:t>Outcome</w:t>
      </w:r>
      <w:r w:rsidR="00CA7BA1">
        <w:rPr>
          <w:noProof/>
        </w:rPr>
        <w:t>s and performance information</w:t>
      </w:r>
      <w:r w:rsidR="00CA7BA1">
        <w:rPr>
          <w:noProof/>
        </w:rPr>
        <w:tab/>
        <w:t>129</w:t>
      </w:r>
    </w:p>
    <w:p w:rsidR="00BA2F8D" w:rsidRDefault="00BA2F8D" w:rsidP="00BA2F8D">
      <w:pPr>
        <w:pStyle w:val="TOC3"/>
        <w:rPr>
          <w:rFonts w:ascii="Times New Roman" w:hAnsi="Times New Roman"/>
          <w:b w:val="0"/>
          <w:noProof/>
          <w:sz w:val="24"/>
          <w:szCs w:val="24"/>
        </w:rPr>
      </w:pPr>
      <w:r>
        <w:rPr>
          <w:noProof/>
        </w:rPr>
        <w:t xml:space="preserve">Section 3: Explanatory tables and </w:t>
      </w:r>
      <w:r w:rsidR="00CA7BA1">
        <w:rPr>
          <w:noProof/>
        </w:rPr>
        <w:t>budgeted financial statements</w:t>
      </w:r>
      <w:r w:rsidR="00CA7BA1">
        <w:rPr>
          <w:noProof/>
        </w:rPr>
        <w:tab/>
        <w:t>135</w:t>
      </w:r>
    </w:p>
    <w:p w:rsidR="00BA2F8D" w:rsidRDefault="00BA2F8D" w:rsidP="00BA2F8D">
      <w:pPr>
        <w:pStyle w:val="TOC4"/>
        <w:tabs>
          <w:tab w:val="left" w:pos="800"/>
        </w:tabs>
        <w:rPr>
          <w:noProof/>
        </w:rPr>
      </w:pPr>
      <w:r>
        <w:rPr>
          <w:noProof/>
        </w:rPr>
        <w:t>3.1</w:t>
      </w:r>
      <w:r>
        <w:rPr>
          <w:rFonts w:ascii="Times New Roman" w:hAnsi="Times New Roman"/>
          <w:noProof/>
          <w:sz w:val="24"/>
          <w:szCs w:val="24"/>
        </w:rPr>
        <w:tab/>
      </w:r>
      <w:r w:rsidR="00CA7BA1">
        <w:rPr>
          <w:noProof/>
        </w:rPr>
        <w:t>Explanatory tables</w:t>
      </w:r>
      <w:r w:rsidR="00CA7BA1">
        <w:rPr>
          <w:noProof/>
        </w:rPr>
        <w:tab/>
        <w:t>135</w:t>
      </w:r>
    </w:p>
    <w:p w:rsidR="00BA2F8D" w:rsidRDefault="00BA2F8D" w:rsidP="00BA2F8D">
      <w:pPr>
        <w:pStyle w:val="TOC4"/>
        <w:tabs>
          <w:tab w:val="left" w:pos="800"/>
        </w:tabs>
        <w:rPr>
          <w:noProof/>
        </w:rPr>
      </w:pPr>
      <w:r>
        <w:rPr>
          <w:noProof/>
        </w:rPr>
        <w:t>3.2</w:t>
      </w:r>
      <w:r>
        <w:rPr>
          <w:rFonts w:ascii="Times New Roman" w:hAnsi="Times New Roman"/>
          <w:noProof/>
          <w:sz w:val="24"/>
          <w:szCs w:val="24"/>
        </w:rPr>
        <w:tab/>
      </w:r>
      <w:r w:rsidR="00CA7BA1">
        <w:rPr>
          <w:noProof/>
        </w:rPr>
        <w:t>Budgeted financial statements</w:t>
      </w:r>
      <w:r w:rsidR="00CA7BA1">
        <w:rPr>
          <w:noProof/>
        </w:rPr>
        <w:tab/>
        <w:t>135</w:t>
      </w:r>
    </w:p>
    <w:p w:rsidR="00BA2F8D" w:rsidRDefault="00BA2F8D" w:rsidP="00BA2F8D"/>
    <w:p w:rsidR="003D00D4" w:rsidRDefault="003D00D4" w:rsidP="00BA2F8D">
      <w:pPr>
        <w:sectPr w:rsidR="003D00D4" w:rsidSect="00DD7CC1">
          <w:footerReference w:type="first" r:id="rId16"/>
          <w:type w:val="oddPage"/>
          <w:pgSz w:w="9979" w:h="14175" w:code="259"/>
          <w:pgMar w:top="1418" w:right="1418" w:bottom="1418" w:left="1418" w:header="851" w:footer="1134" w:gutter="0"/>
          <w:pgNumType w:start="123"/>
          <w:cols w:space="708"/>
          <w:titlePg/>
          <w:docGrid w:linePitch="360"/>
        </w:sectPr>
      </w:pPr>
    </w:p>
    <w:p w:rsidR="00BA2F8D" w:rsidRDefault="00BA2F8D" w:rsidP="00BA2F8D"/>
    <w:p w:rsidR="00CC1B1A" w:rsidRPr="00957565" w:rsidRDefault="00CC1B1A" w:rsidP="002E2D3E">
      <w:pPr>
        <w:pStyle w:val="Heading1"/>
      </w:pPr>
      <w:r w:rsidRPr="00957565">
        <w:t>Fair Work Commission</w:t>
      </w:r>
    </w:p>
    <w:p w:rsidR="00CC1B1A" w:rsidRPr="00957565" w:rsidRDefault="00A20D02" w:rsidP="002E2D3E">
      <w:pPr>
        <w:pStyle w:val="Heading2"/>
      </w:pPr>
      <w:bookmarkStart w:id="1" w:name="_Toc355188814"/>
      <w:r>
        <w:t>Section 1: Entity</w:t>
      </w:r>
      <w:r w:rsidR="00CC1B1A" w:rsidRPr="00957565">
        <w:t xml:space="preserve"> overview and resources</w:t>
      </w:r>
      <w:bookmarkEnd w:id="1"/>
    </w:p>
    <w:p w:rsidR="00CC1B1A" w:rsidRPr="00F373B7" w:rsidRDefault="00CC1B1A" w:rsidP="002E2D3E">
      <w:pPr>
        <w:pStyle w:val="Heading3"/>
      </w:pPr>
      <w:bookmarkStart w:id="2" w:name="_Toc355188815"/>
      <w:r w:rsidRPr="00957565">
        <w:t>1</w:t>
      </w:r>
      <w:r w:rsidRPr="00F373B7">
        <w:t>.1</w:t>
      </w:r>
      <w:r w:rsidRPr="00F373B7">
        <w:tab/>
        <w:t>Strategic direction statement</w:t>
      </w:r>
      <w:bookmarkEnd w:id="2"/>
    </w:p>
    <w:p w:rsidR="00CC1B1A" w:rsidRPr="00F373B7" w:rsidRDefault="00CC1B1A" w:rsidP="002E2D3E">
      <w:r w:rsidRPr="00F373B7">
        <w:t xml:space="preserve">The Fair Work Commission was established by the </w:t>
      </w:r>
      <w:r w:rsidRPr="00F373B7">
        <w:rPr>
          <w:i/>
        </w:rPr>
        <w:t>Fair Work Act 2009</w:t>
      </w:r>
      <w:r w:rsidRPr="00F373B7">
        <w:t xml:space="preserve"> (FW Act). The Commission is the</w:t>
      </w:r>
      <w:r>
        <w:t xml:space="preserve"> independent</w:t>
      </w:r>
      <w:r w:rsidRPr="00F373B7">
        <w:t xml:space="preserve"> national workplace relations tribunal responsible for administering provisions of the FW Act. The Commission also has responsibilities in relation to the registration, recognition and accountability of unions and employer organisations under the </w:t>
      </w:r>
      <w:r w:rsidRPr="00F373B7">
        <w:rPr>
          <w:i/>
        </w:rPr>
        <w:t>Fair Work (Registered Organisations) Act 2009</w:t>
      </w:r>
      <w:r w:rsidRPr="00F373B7">
        <w:t>.</w:t>
      </w:r>
    </w:p>
    <w:p w:rsidR="00CC1B1A" w:rsidRPr="00F373B7" w:rsidRDefault="00CC1B1A" w:rsidP="002E2D3E">
      <w:r w:rsidRPr="00F373B7">
        <w:t xml:space="preserve">The </w:t>
      </w:r>
      <w:r w:rsidRPr="00F373B7">
        <w:rPr>
          <w:i/>
        </w:rPr>
        <w:t>Road Safety Remuneration Act 2012</w:t>
      </w:r>
      <w:r w:rsidRPr="00F373B7">
        <w:t xml:space="preserve"> established the Road Safety Remuneration Tribunal; an independent national tribunal with functions relating to the road transport industry. The Road Safety Remuneration Tribunal is supported by staff of the Fair Work Commission.</w:t>
      </w:r>
    </w:p>
    <w:p w:rsidR="00CC1B1A" w:rsidRPr="00F373B7" w:rsidRDefault="00CC1B1A" w:rsidP="002E2D3E">
      <w:r w:rsidRPr="00F373B7">
        <w:t>The Fair Work Commission consists of a President, Vice Presidents, Deputy Presidents, Commissioners and Expert Panel Members. The Fair Work Commission also has a General Manager and administrative staff.</w:t>
      </w:r>
    </w:p>
    <w:p w:rsidR="00CC1B1A" w:rsidRPr="00F373B7" w:rsidRDefault="00CC1B1A" w:rsidP="002E2D3E">
      <w:r w:rsidRPr="00F373B7">
        <w:t xml:space="preserve">The Fair Work Commission has the power to </w:t>
      </w:r>
      <w:r>
        <w:t xml:space="preserve">make and </w:t>
      </w:r>
      <w:r w:rsidRPr="00F373B7">
        <w:t xml:space="preserve">vary awards, make minimum wage orders, approve agreements, resolve workplace and other disputes, determine unfair dismissal claims, deal with applications for orders to stop or prevent workplace bullying and make orders in relation to matters such as good faith bargaining and industrial action.  </w:t>
      </w:r>
    </w:p>
    <w:p w:rsidR="00CC1B1A" w:rsidRPr="00F373B7" w:rsidRDefault="00CC1B1A" w:rsidP="002E2D3E">
      <w:r w:rsidRPr="00F373B7">
        <w:t>The</w:t>
      </w:r>
      <w:r w:rsidRPr="00F373B7">
        <w:rPr>
          <w:i/>
        </w:rPr>
        <w:t xml:space="preserve"> </w:t>
      </w:r>
      <w:r w:rsidRPr="00F373B7">
        <w:t xml:space="preserve">Fair Work Commission is implementing initiatives aimed at further improving fairness and access to justice; accountability; innovation and efficiency; and productivity and engagement with industry. These initiatives are set out in the publication </w:t>
      </w:r>
      <w:r w:rsidRPr="00F373B7">
        <w:rPr>
          <w:i/>
        </w:rPr>
        <w:t xml:space="preserve">Future Directions II, </w:t>
      </w:r>
      <w:r w:rsidRPr="00F373B7">
        <w:t>which is available on the Commission’s website (www.fwc.gov.au).</w:t>
      </w:r>
    </w:p>
    <w:p w:rsidR="003D00D4" w:rsidRDefault="003D00D4" w:rsidP="0018383E">
      <w:pPr>
        <w:pStyle w:val="Heading3"/>
        <w:rPr>
          <w:rFonts w:cs="Arial"/>
        </w:rPr>
      </w:pPr>
      <w:bookmarkStart w:id="3" w:name="_Toc355188818"/>
      <w:r>
        <w:rPr>
          <w:rFonts w:cs="Arial"/>
        </w:rPr>
        <w:br w:type="page"/>
      </w:r>
    </w:p>
    <w:p w:rsidR="00CC1B1A" w:rsidRPr="00AA2983" w:rsidRDefault="00CC1B1A" w:rsidP="0018383E">
      <w:pPr>
        <w:pStyle w:val="Heading3"/>
        <w:rPr>
          <w:rFonts w:cs="Arial"/>
        </w:rPr>
      </w:pPr>
      <w:r w:rsidRPr="00AA2983">
        <w:rPr>
          <w:rFonts w:cs="Arial"/>
        </w:rPr>
        <w:lastRenderedPageBreak/>
        <w:t>1.2</w:t>
      </w:r>
      <w:r w:rsidRPr="00AA2983">
        <w:rPr>
          <w:rFonts w:cs="Arial"/>
        </w:rPr>
        <w:tab/>
      </w:r>
      <w:r w:rsidR="00A20D02">
        <w:rPr>
          <w:rFonts w:cs="Arial"/>
        </w:rPr>
        <w:t>Entity</w:t>
      </w:r>
      <w:r w:rsidRPr="00AA2983">
        <w:rPr>
          <w:rFonts w:cs="Arial"/>
        </w:rPr>
        <w:t xml:space="preserve"> resource statement</w:t>
      </w:r>
    </w:p>
    <w:p w:rsidR="00CC1B1A" w:rsidRPr="00AA2983" w:rsidRDefault="00CC1B1A" w:rsidP="0018383E">
      <w:r w:rsidRPr="00AA2983">
        <w:t xml:space="preserve">Table 1.1 shows the total resources from all </w:t>
      </w:r>
      <w:r>
        <w:t>sources</w:t>
      </w:r>
      <w:r w:rsidRPr="00AA2983">
        <w:t>. The table summarises how resources will be applied by outcome and by administered and departmental classification.</w:t>
      </w:r>
    </w:p>
    <w:p w:rsidR="00CC1B1A" w:rsidRPr="00AA2983" w:rsidRDefault="00CC1B1A" w:rsidP="0018383E">
      <w:pPr>
        <w:pStyle w:val="TableHeading"/>
      </w:pPr>
      <w:r w:rsidRPr="00AA2983">
        <w:t xml:space="preserve">Table 1.1: </w:t>
      </w:r>
      <w:r>
        <w:t xml:space="preserve">Fair Work Commission resource statement—Budget </w:t>
      </w:r>
      <w:r w:rsidRPr="00AA2983">
        <w:t xml:space="preserve">estimates for </w:t>
      </w:r>
      <w:r>
        <w:t>2015–16</w:t>
      </w:r>
      <w:r w:rsidRPr="00AA2983">
        <w:t xml:space="preserve"> as at Budget May 20</w:t>
      </w:r>
      <w:r>
        <w:t>15</w:t>
      </w:r>
    </w:p>
    <w:p w:rsidR="00CC1B1A" w:rsidRDefault="00ED5466" w:rsidP="00C93B2B">
      <w:pPr>
        <w:pStyle w:val="TableGraphic"/>
        <w:rPr>
          <w:rStyle w:val="Heading3Char"/>
          <w:rFonts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54.35pt;height:175.95pt">
            <v:imagedata r:id="rId17" o:title=""/>
          </v:shape>
        </w:pict>
      </w:r>
    </w:p>
    <w:p w:rsidR="00CC1B1A" w:rsidRDefault="00CC1B1A" w:rsidP="0018383E">
      <w:pPr>
        <w:pStyle w:val="Footnote"/>
      </w:pPr>
    </w:p>
    <w:p w:rsidR="00CC1B1A" w:rsidRDefault="00CC1B1A" w:rsidP="0018383E">
      <w:pPr>
        <w:pStyle w:val="FootnoteText"/>
      </w:pPr>
      <w:r>
        <w:br w:type="page"/>
      </w:r>
    </w:p>
    <w:p w:rsidR="00CC1B1A" w:rsidRPr="00AA2983" w:rsidRDefault="00CC1B1A" w:rsidP="003C7CD7">
      <w:pPr>
        <w:pStyle w:val="TableHeading"/>
      </w:pPr>
      <w:r w:rsidRPr="00AA2983">
        <w:lastRenderedPageBreak/>
        <w:t xml:space="preserve">Table 1.1: </w:t>
      </w:r>
      <w:r>
        <w:t xml:space="preserve">Fair Work Commission resource statement—Budget </w:t>
      </w:r>
      <w:r w:rsidRPr="00AA2983">
        <w:t xml:space="preserve">estimates for </w:t>
      </w:r>
      <w:r>
        <w:t>2015–16</w:t>
      </w:r>
      <w:r w:rsidRPr="00AA2983">
        <w:t xml:space="preserve"> as at Budget May 20</w:t>
      </w:r>
      <w:r>
        <w:t>15 (continued)</w:t>
      </w:r>
    </w:p>
    <w:p w:rsidR="00CC1B1A" w:rsidRDefault="00ED5466" w:rsidP="0092099E">
      <w:pPr>
        <w:pStyle w:val="TableGraphic"/>
      </w:pPr>
      <w:r>
        <w:pict>
          <v:shape id="_x0000_i1082" type="#_x0000_t75" style="width:357.5pt;height:239.15pt">
            <v:imagedata r:id="rId18" o:title=""/>
          </v:shape>
        </w:pict>
      </w:r>
    </w:p>
    <w:p w:rsidR="008C15EB" w:rsidRPr="008C15EB" w:rsidRDefault="008C15EB" w:rsidP="008C15EB">
      <w:pPr>
        <w:pStyle w:val="FootnoteText"/>
      </w:pPr>
    </w:p>
    <w:p w:rsidR="00CC1B1A" w:rsidRPr="003C7CD7" w:rsidRDefault="00CC1B1A" w:rsidP="003C7CD7">
      <w:pPr>
        <w:pStyle w:val="FootnoteText"/>
      </w:pPr>
      <w:r w:rsidRPr="0092099E">
        <w:rPr>
          <w:vertAlign w:val="superscript"/>
        </w:rPr>
        <w:t xml:space="preserve">1 </w:t>
      </w:r>
      <w:r w:rsidRPr="003C7CD7">
        <w:t>Appropriation Bill (</w:t>
      </w:r>
      <w:proofErr w:type="spellStart"/>
      <w:r w:rsidRPr="003C7CD7">
        <w:t>No.1</w:t>
      </w:r>
      <w:proofErr w:type="spellEnd"/>
      <w:r w:rsidRPr="003C7CD7">
        <w:t>) 2015-16.</w:t>
      </w:r>
    </w:p>
    <w:p w:rsidR="00CC1B1A" w:rsidRPr="003C7CD7" w:rsidRDefault="00CC1B1A" w:rsidP="003C7CD7">
      <w:pPr>
        <w:pStyle w:val="FootnoteText"/>
      </w:pPr>
      <w:r w:rsidRPr="0092099E">
        <w:rPr>
          <w:vertAlign w:val="superscript"/>
        </w:rPr>
        <w:t>2</w:t>
      </w:r>
      <w:r w:rsidRPr="003C7CD7">
        <w:t xml:space="preserve"> Estimated adjusted balance carried forward from previous year.</w:t>
      </w:r>
    </w:p>
    <w:p w:rsidR="00CC1B1A" w:rsidRPr="003C7CD7" w:rsidRDefault="00CC1B1A" w:rsidP="003C7CD7">
      <w:pPr>
        <w:pStyle w:val="FootnoteText"/>
      </w:pPr>
      <w:r w:rsidRPr="0092099E">
        <w:rPr>
          <w:vertAlign w:val="superscript"/>
        </w:rPr>
        <w:t>3</w:t>
      </w:r>
      <w:r w:rsidRPr="003C7CD7">
        <w:t xml:space="preserve"> Includes an amount of $2.418</w:t>
      </w:r>
      <w:r w:rsidR="006863EC">
        <w:t xml:space="preserve"> </w:t>
      </w:r>
      <w:r w:rsidRPr="003C7CD7">
        <w:t>m</w:t>
      </w:r>
      <w:r w:rsidR="006863EC">
        <w:t>illion</w:t>
      </w:r>
      <w:r w:rsidRPr="003C7CD7">
        <w:t xml:space="preserve"> in 2015</w:t>
      </w:r>
      <w:r>
        <w:t>–</w:t>
      </w:r>
      <w:r w:rsidRPr="003C7CD7">
        <w:t>16 for the Departmental Capital Budget (refer to Table 3.2.5 for</w:t>
      </w:r>
      <w:r>
        <w:t xml:space="preserve"> </w:t>
      </w:r>
      <w:r w:rsidRPr="003C7CD7">
        <w:t>further details). For accounting purposes this amount has been designated a</w:t>
      </w:r>
      <w:r w:rsidR="003D00D4">
        <w:t>s 'contributions by owners'.</w:t>
      </w:r>
    </w:p>
    <w:p w:rsidR="00CC1B1A" w:rsidRDefault="00CC1B1A" w:rsidP="003C7CD7">
      <w:pPr>
        <w:pStyle w:val="FootnoteText"/>
      </w:pPr>
      <w:proofErr w:type="gramStart"/>
      <w:r w:rsidRPr="0092099E">
        <w:rPr>
          <w:vertAlign w:val="superscript"/>
        </w:rPr>
        <w:t>4</w:t>
      </w:r>
      <w:r w:rsidRPr="003C7CD7">
        <w:t xml:space="preserve"> Estimated Retained revenue receipts under section 74 of the </w:t>
      </w:r>
      <w:proofErr w:type="spellStart"/>
      <w:r w:rsidRPr="003C7CD7">
        <w:t>PGPA</w:t>
      </w:r>
      <w:proofErr w:type="spellEnd"/>
      <w:r w:rsidRPr="003C7CD7">
        <w:t xml:space="preserve"> Act.</w:t>
      </w:r>
      <w:proofErr w:type="gramEnd"/>
    </w:p>
    <w:p w:rsidR="00CC1B1A" w:rsidRDefault="00E551F8" w:rsidP="003C7CD7">
      <w:pPr>
        <w:pStyle w:val="FootnoteText"/>
      </w:pPr>
      <w:r w:rsidRPr="00E551F8">
        <w:rPr>
          <w:vertAlign w:val="superscript"/>
        </w:rPr>
        <w:t>5</w:t>
      </w:r>
      <w:r w:rsidR="00CC1B1A">
        <w:t xml:space="preserve"> </w:t>
      </w:r>
      <w:r w:rsidR="00CC1B1A" w:rsidRPr="003C7CD7">
        <w:t>Repayments not provided for under other appropriations. Amounts rec</w:t>
      </w:r>
      <w:r w:rsidR="00CC1B1A">
        <w:t xml:space="preserve">eived </w:t>
      </w:r>
      <w:r w:rsidR="00A413AD">
        <w:t>on or before 30 June </w:t>
      </w:r>
      <w:r w:rsidR="00CC1B1A">
        <w:t xml:space="preserve">2014 </w:t>
      </w:r>
      <w:r w:rsidR="00CC1B1A" w:rsidRPr="003C7CD7">
        <w:t xml:space="preserve">were repaid under section 28 of the </w:t>
      </w:r>
      <w:r w:rsidR="00CC1B1A" w:rsidRPr="00D84105">
        <w:rPr>
          <w:i/>
        </w:rPr>
        <w:t>Financial Management and Accountability Act 1997</w:t>
      </w:r>
      <w:r w:rsidR="00CC1B1A" w:rsidRPr="003C7CD7">
        <w:t>.</w:t>
      </w:r>
    </w:p>
    <w:p w:rsidR="00CC1B1A" w:rsidRDefault="00CC1B1A" w:rsidP="003C7CD7">
      <w:pPr>
        <w:pStyle w:val="FootnoteText"/>
      </w:pPr>
      <w:r>
        <w:t xml:space="preserve"> Reader note:</w:t>
      </w:r>
      <w:r w:rsidR="003D00D4">
        <w:t xml:space="preserve"> All figures are GST exclusive.</w:t>
      </w:r>
    </w:p>
    <w:p w:rsidR="003D00D4" w:rsidRDefault="003D00D4" w:rsidP="0018383E">
      <w:pPr>
        <w:pStyle w:val="Heading3"/>
        <w:rPr>
          <w:rStyle w:val="Heading3Char"/>
          <w:b/>
          <w:smallCaps/>
        </w:rPr>
      </w:pPr>
      <w:r>
        <w:rPr>
          <w:rStyle w:val="Heading3Char"/>
          <w:b/>
          <w:smallCaps/>
        </w:rPr>
        <w:br w:type="page"/>
      </w:r>
    </w:p>
    <w:p w:rsidR="00CC1B1A" w:rsidRPr="0018383E" w:rsidRDefault="00CC1B1A" w:rsidP="0018383E">
      <w:pPr>
        <w:pStyle w:val="Heading3"/>
        <w:rPr>
          <w:rStyle w:val="Heading3Char"/>
          <w:b/>
          <w:smallCaps/>
        </w:rPr>
      </w:pPr>
      <w:r w:rsidRPr="0018383E">
        <w:rPr>
          <w:rStyle w:val="Heading3Char"/>
          <w:b/>
          <w:smallCaps/>
        </w:rPr>
        <w:lastRenderedPageBreak/>
        <w:t>1.3</w:t>
      </w:r>
      <w:r w:rsidRPr="0018383E">
        <w:rPr>
          <w:rStyle w:val="Heading3Char"/>
          <w:b/>
          <w:smallCaps/>
        </w:rPr>
        <w:tab/>
        <w:t>Budget measures</w:t>
      </w:r>
    </w:p>
    <w:p w:rsidR="00CC1B1A" w:rsidRPr="00AA2983" w:rsidRDefault="00CC1B1A" w:rsidP="0018383E">
      <w:r w:rsidRPr="00AA2983">
        <w:t xml:space="preserve">Budget measures relating to the </w:t>
      </w:r>
      <w:r>
        <w:t>Fair Work Commission</w:t>
      </w:r>
      <w:r w:rsidRPr="00AA2983">
        <w:t xml:space="preserve"> are detailed in Budget Paper No. 2</w:t>
      </w:r>
      <w:r>
        <w:t xml:space="preserve"> and are summarised below</w:t>
      </w:r>
      <w:r w:rsidRPr="00AA2983">
        <w:t>.</w:t>
      </w:r>
    </w:p>
    <w:p w:rsidR="00CC1B1A" w:rsidRPr="00D17F80" w:rsidRDefault="00CC1B1A" w:rsidP="0018383E">
      <w:pPr>
        <w:pStyle w:val="TableHeading"/>
      </w:pPr>
      <w:r w:rsidRPr="00D17F80">
        <w:t xml:space="preserve">Table 1.2: </w:t>
      </w:r>
      <w:r>
        <w:t>Fair Work Commission</w:t>
      </w:r>
      <w:r w:rsidRPr="00D17F80">
        <w:t xml:space="preserve"> </w:t>
      </w:r>
      <w:r>
        <w:t>2015–16</w:t>
      </w:r>
      <w:r w:rsidRPr="00D17F80">
        <w:t xml:space="preserve"> Budget measures</w:t>
      </w:r>
    </w:p>
    <w:p w:rsidR="00CC1B1A" w:rsidRDefault="00CC1B1A" w:rsidP="003C7CD7">
      <w:pPr>
        <w:pStyle w:val="TableHeadingcontinued"/>
      </w:pPr>
      <w:r w:rsidRPr="00D17F80">
        <w:t xml:space="preserve">Part </w:t>
      </w:r>
      <w:r>
        <w:t>2</w:t>
      </w:r>
      <w:r w:rsidRPr="00D17F80">
        <w:t xml:space="preserve">: </w:t>
      </w:r>
      <w:proofErr w:type="spellStart"/>
      <w:r w:rsidRPr="00D17F80">
        <w:t>M</w:t>
      </w:r>
      <w:r>
        <w:t>YEFO</w:t>
      </w:r>
      <w:proofErr w:type="spellEnd"/>
      <w:r>
        <w:t xml:space="preserve"> m</w:t>
      </w:r>
      <w:r w:rsidRPr="00D17F80">
        <w:t xml:space="preserve">easures </w:t>
      </w:r>
      <w:r>
        <w:t>not previously reported in a portfolio statement</w:t>
      </w:r>
    </w:p>
    <w:p w:rsidR="00CC1B1A" w:rsidRDefault="00ED5466" w:rsidP="0078228A">
      <w:pPr>
        <w:pStyle w:val="TableGraphic"/>
      </w:pPr>
      <w:r>
        <w:pict>
          <v:shape id="_x0000_i1083" type="#_x0000_t75" style="width:361.25pt;height:118.95pt">
            <v:imagedata r:id="rId19" o:title=""/>
          </v:shape>
        </w:pict>
      </w:r>
    </w:p>
    <w:p w:rsidR="00CC1B1A" w:rsidRDefault="00CC1B1A" w:rsidP="0018383E">
      <w:pPr>
        <w:pStyle w:val="Footnote"/>
      </w:pPr>
    </w:p>
    <w:p w:rsidR="00CC1B1A" w:rsidRDefault="00CC1B1A" w:rsidP="0018383E">
      <w:pPr>
        <w:pStyle w:val="FootnoteText"/>
      </w:pPr>
      <w:proofErr w:type="gramStart"/>
      <w:r w:rsidRPr="00A21F5F">
        <w:t>Prepared on a Government Financial Statistics (fiscal) basis.</w:t>
      </w:r>
      <w:proofErr w:type="gramEnd"/>
    </w:p>
    <w:p w:rsidR="008C27C5" w:rsidRDefault="008C27C5" w:rsidP="002E2D3E">
      <w:pPr>
        <w:pStyle w:val="Heading2"/>
      </w:pPr>
      <w:r>
        <w:br w:type="page"/>
      </w:r>
    </w:p>
    <w:p w:rsidR="00CC1B1A" w:rsidRPr="00F373B7" w:rsidRDefault="00CC1B1A" w:rsidP="002E2D3E">
      <w:pPr>
        <w:pStyle w:val="Heading2"/>
      </w:pPr>
      <w:r w:rsidRPr="00F373B7">
        <w:lastRenderedPageBreak/>
        <w:t>Section 2: Outcomes and planned performance</w:t>
      </w:r>
      <w:bookmarkEnd w:id="3"/>
    </w:p>
    <w:p w:rsidR="00CC1B1A" w:rsidRPr="00F373B7" w:rsidRDefault="00CC1B1A" w:rsidP="002E2D3E">
      <w:pPr>
        <w:pStyle w:val="Heading3"/>
      </w:pPr>
      <w:bookmarkStart w:id="4" w:name="_Toc355188819"/>
      <w:r w:rsidRPr="00F373B7">
        <w:t>2.1</w:t>
      </w:r>
      <w:r w:rsidRPr="00F373B7">
        <w:tab/>
        <w:t>Outcomes and performance information</w:t>
      </w:r>
      <w:bookmarkEnd w:id="4"/>
    </w:p>
    <w:p w:rsidR="00CC1B1A" w:rsidRPr="00F373B7" w:rsidRDefault="00CC1B1A" w:rsidP="002E2D3E">
      <w:r w:rsidRPr="00F373B7">
        <w:t xml:space="preserve">Government outcomes are the intended results, impacts or consequences of actions by the </w:t>
      </w:r>
      <w:r>
        <w:t>g</w:t>
      </w:r>
      <w:r w:rsidRPr="00F373B7">
        <w:t>overnment on the Australian community. Commonwealth program</w:t>
      </w:r>
      <w:r w:rsidR="009669E1">
        <w:t>me</w:t>
      </w:r>
      <w:r w:rsidRPr="00F373B7">
        <w:t xml:space="preserve">s are the primary vehicle by which </w:t>
      </w:r>
      <w:r>
        <w:t>g</w:t>
      </w:r>
      <w:r w:rsidRPr="00F373B7">
        <w:t>overnment agencies achieve the intended results of their outcome statements. Agencies are required to identify the program</w:t>
      </w:r>
      <w:r w:rsidR="009669E1">
        <w:t>me</w:t>
      </w:r>
      <w:r w:rsidRPr="00F373B7">
        <w:t xml:space="preserve">s which contribute to </w:t>
      </w:r>
      <w:r>
        <w:t>g</w:t>
      </w:r>
      <w:r w:rsidRPr="00F373B7">
        <w:t>overnment outcomes over the Budget and forward years.</w:t>
      </w:r>
    </w:p>
    <w:p w:rsidR="00CC1B1A" w:rsidRPr="00F373B7" w:rsidRDefault="00CC1B1A" w:rsidP="002E2D3E">
      <w:r w:rsidRPr="00F373B7">
        <w:t>Each outcome is described below together with its related program</w:t>
      </w:r>
      <w:r w:rsidR="009669E1">
        <w:t>me</w:t>
      </w:r>
      <w:r w:rsidRPr="00F373B7">
        <w:t xml:space="preserve">s, specifying the performance indicators and targets used to assess and monitor the performance of the Fair Work Commission in achieving </w:t>
      </w:r>
      <w:r>
        <w:t>g</w:t>
      </w:r>
      <w:r w:rsidRPr="00F373B7">
        <w:t>overnment outcomes.</w:t>
      </w:r>
    </w:p>
    <w:p w:rsidR="0092099E" w:rsidRDefault="0092099E" w:rsidP="0092099E">
      <w:pPr>
        <w:pStyle w:val="ProgramHeading"/>
      </w:pPr>
      <w:r w:rsidRPr="0076273D">
        <w:t>Outcome 1</w:t>
      </w:r>
      <w:r>
        <w:t>:</w:t>
      </w:r>
      <w:r w:rsidRPr="0076273D">
        <w:t xml:space="preserve"> Simple, fair and flexible workplace relations for employees and employers through the exercise of powers to set and vary minimum wages and modern awards, facilitate collective bargaining, approve agreements and deal with disputes</w:t>
      </w:r>
      <w:r>
        <w:t>.</w:t>
      </w:r>
    </w:p>
    <w:p w:rsidR="00CC1B1A" w:rsidRPr="00F373B7" w:rsidRDefault="00CC1B1A" w:rsidP="002E2D3E">
      <w:pPr>
        <w:pStyle w:val="Heading4"/>
      </w:pPr>
      <w:r w:rsidRPr="00F373B7">
        <w:t>Outcome 1 strategy</w:t>
      </w:r>
    </w:p>
    <w:p w:rsidR="00CC1B1A" w:rsidRPr="00F373B7" w:rsidRDefault="00CC1B1A" w:rsidP="002E2D3E">
      <w:r w:rsidRPr="00F373B7">
        <w:t xml:space="preserve">The Fair Work Commission has a single planned outcome. </w:t>
      </w:r>
    </w:p>
    <w:p w:rsidR="00CC1B1A" w:rsidRPr="00F373B7" w:rsidRDefault="00CC1B1A" w:rsidP="003146BF">
      <w:pPr>
        <w:pStyle w:val="Heading5"/>
      </w:pPr>
      <w:r w:rsidRPr="00F373B7">
        <w:t>Outcome expenses statement</w:t>
      </w:r>
    </w:p>
    <w:p w:rsidR="00CC1B1A" w:rsidRPr="00F373B7" w:rsidRDefault="00CC1B1A" w:rsidP="002E2D3E">
      <w:r w:rsidRPr="00F373B7">
        <w:t>Table 2.1 provides an overview of the total expenses for Outcome 1 by program</w:t>
      </w:r>
      <w:r>
        <w:t>me</w:t>
      </w:r>
      <w:r w:rsidRPr="00F373B7">
        <w:t>.</w:t>
      </w:r>
      <w:r>
        <w:t xml:space="preserve"> </w:t>
      </w:r>
    </w:p>
    <w:p w:rsidR="00CC1B1A" w:rsidRDefault="00CC1B1A" w:rsidP="003146BF">
      <w:pPr>
        <w:pStyle w:val="TableHeading"/>
      </w:pPr>
      <w:r>
        <w:br w:type="page"/>
      </w:r>
    </w:p>
    <w:p w:rsidR="00CC1B1A" w:rsidRPr="00F373B7" w:rsidRDefault="00CC1B1A" w:rsidP="003146BF">
      <w:pPr>
        <w:pStyle w:val="TableHeading"/>
      </w:pPr>
      <w:r w:rsidRPr="00F373B7">
        <w:lastRenderedPageBreak/>
        <w:t>Table 2.1 Budgeted expenses for Outcome 1</w:t>
      </w:r>
    </w:p>
    <w:p w:rsidR="008C15EB" w:rsidRPr="008C15EB" w:rsidRDefault="00ED5466" w:rsidP="006956FF">
      <w:pPr>
        <w:pStyle w:val="FootnoteText"/>
      </w:pPr>
      <w:r>
        <w:pict>
          <v:shape id="_x0000_i1084" type="#_x0000_t75" style="width:357.5pt;height:199.1pt">
            <v:imagedata r:id="rId20" o:title=""/>
          </v:shape>
        </w:pict>
      </w:r>
    </w:p>
    <w:p w:rsidR="00FB5FF4" w:rsidRPr="00FB5FF4" w:rsidRDefault="00FB5FF4" w:rsidP="00FB5FF4">
      <w:pPr>
        <w:pStyle w:val="FootnoteText"/>
      </w:pPr>
    </w:p>
    <w:p w:rsidR="00CC1B1A" w:rsidRDefault="00CC1B1A" w:rsidP="003C7CD7">
      <w:pPr>
        <w:pStyle w:val="FootnoteText"/>
      </w:pPr>
      <w:r w:rsidRPr="0092099E">
        <w:rPr>
          <w:vertAlign w:val="superscript"/>
        </w:rPr>
        <w:t>1</w:t>
      </w:r>
      <w:r>
        <w:t xml:space="preserve"> Departmental appropriation combines 'Ordinary annual services (Appropriation Bill No. 1)' and 'Revenue from independent sources (s 74)'.</w:t>
      </w:r>
    </w:p>
    <w:p w:rsidR="00CC1B1A" w:rsidRDefault="00CC1B1A" w:rsidP="003C7CD7">
      <w:pPr>
        <w:pStyle w:val="FootnoteText"/>
      </w:pPr>
      <w:r w:rsidRPr="0092099E">
        <w:rPr>
          <w:vertAlign w:val="superscript"/>
        </w:rPr>
        <w:t>2</w:t>
      </w:r>
      <w:r>
        <w:t xml:space="preserve"> Expenses not requiring appropriation in the Budget year are made up of depreciation expenses, amortisation expenses, and audit fees. </w:t>
      </w:r>
    </w:p>
    <w:p w:rsidR="00CC1B1A" w:rsidRDefault="00CC1B1A" w:rsidP="0092099E">
      <w:pPr>
        <w:pStyle w:val="Footnote"/>
      </w:pPr>
      <w:r>
        <w:t>Note: Departmental appropriation splits and totals are indicative estimates and may change in the course of the budget year as government priorities change.</w:t>
      </w:r>
    </w:p>
    <w:p w:rsidR="00CC1B1A" w:rsidRPr="003C7CD7" w:rsidRDefault="00CC1B1A" w:rsidP="003C7CD7">
      <w:pPr>
        <w:pStyle w:val="FootnoteText"/>
      </w:pPr>
    </w:p>
    <w:p w:rsidR="00CC1B1A" w:rsidRPr="00F373B7" w:rsidRDefault="00CC1B1A" w:rsidP="0091757C">
      <w:pPr>
        <w:pStyle w:val="Heading4"/>
      </w:pPr>
      <w:r w:rsidRPr="00F373B7">
        <w:t>Contributions to Outcome 1</w:t>
      </w:r>
    </w:p>
    <w:p w:rsidR="0092099E" w:rsidRDefault="0092099E" w:rsidP="0092099E">
      <w:pPr>
        <w:pStyle w:val="ProgramHeading"/>
      </w:pPr>
      <w:r w:rsidRPr="00F373B7">
        <w:t>Program</w:t>
      </w:r>
      <w:r>
        <w:t>me</w:t>
      </w:r>
      <w:r w:rsidRPr="00F373B7">
        <w:t xml:space="preserve"> 1</w:t>
      </w:r>
      <w:r w:rsidR="00B60FAC">
        <w:t>.1</w:t>
      </w:r>
      <w:r>
        <w:t>:</w:t>
      </w:r>
      <w:r w:rsidRPr="00F373B7">
        <w:t xml:space="preserve"> Dispute resolution, minimum wage setting, orders and approval of agreements</w:t>
      </w:r>
    </w:p>
    <w:p w:rsidR="00CC1B1A" w:rsidRPr="00F373B7" w:rsidRDefault="00CC1B1A" w:rsidP="003146BF">
      <w:pPr>
        <w:pStyle w:val="Heading5"/>
      </w:pPr>
      <w:r w:rsidRPr="00F373B7">
        <w:t>Program</w:t>
      </w:r>
      <w:r>
        <w:t>me</w:t>
      </w:r>
      <w:r w:rsidRPr="00F373B7">
        <w:t xml:space="preserve"> objective</w:t>
      </w:r>
    </w:p>
    <w:p w:rsidR="00CC1B1A" w:rsidRPr="00F373B7" w:rsidRDefault="00CC1B1A" w:rsidP="002E2D3E">
      <w:r w:rsidRPr="00F373B7">
        <w:t xml:space="preserve">To exercise powers under the </w:t>
      </w:r>
      <w:r w:rsidRPr="00F373B7">
        <w:rPr>
          <w:i/>
        </w:rPr>
        <w:t>Fair Work Act 2009</w:t>
      </w:r>
      <w:r w:rsidRPr="00F373B7">
        <w:t>:</w:t>
      </w:r>
    </w:p>
    <w:p w:rsidR="00CC1B1A" w:rsidRPr="0076273D" w:rsidRDefault="00CC1B1A" w:rsidP="00B02162">
      <w:pPr>
        <w:pStyle w:val="Bullets"/>
        <w:spacing w:before="120" w:after="120"/>
      </w:pPr>
      <w:r w:rsidRPr="0076273D">
        <w:t xml:space="preserve">in accordance with the objects of the Act </w:t>
      </w:r>
    </w:p>
    <w:p w:rsidR="00CC1B1A" w:rsidRPr="0076273D" w:rsidRDefault="00CC1B1A" w:rsidP="00B02162">
      <w:pPr>
        <w:pStyle w:val="Bullets"/>
        <w:spacing w:before="120" w:after="120"/>
      </w:pPr>
      <w:proofErr w:type="gramStart"/>
      <w:r w:rsidRPr="0076273D">
        <w:t>in</w:t>
      </w:r>
      <w:proofErr w:type="gramEnd"/>
      <w:r w:rsidRPr="0076273D">
        <w:t xml:space="preserve"> a manner that is fair and just; is quick, informal and avoids unnecessary technicalities; is open and transparent; and promotes harmonious and cooperative workplace relations. </w:t>
      </w:r>
    </w:p>
    <w:p w:rsidR="00CC1B1A" w:rsidRPr="00F373B7" w:rsidRDefault="00CC1B1A" w:rsidP="002E2D3E">
      <w:r w:rsidRPr="00F373B7">
        <w:t xml:space="preserve">To exercise powers under the </w:t>
      </w:r>
      <w:r w:rsidRPr="00F373B7">
        <w:rPr>
          <w:i/>
        </w:rPr>
        <w:t xml:space="preserve">Road Safety Remuneration Act 2012 </w:t>
      </w:r>
      <w:r w:rsidRPr="00F373B7">
        <w:t>in accordance with the objects of the Act.</w:t>
      </w:r>
    </w:p>
    <w:p w:rsidR="00CC1B1A" w:rsidRPr="00F373B7" w:rsidRDefault="00CC1B1A" w:rsidP="0076273D">
      <w:pPr>
        <w:pStyle w:val="Heading5"/>
      </w:pPr>
      <w:r w:rsidRPr="00F373B7">
        <w:lastRenderedPageBreak/>
        <w:t>Program</w:t>
      </w:r>
      <w:r>
        <w:t>me</w:t>
      </w:r>
      <w:r w:rsidR="00B21E61">
        <w:t xml:space="preserve"> </w:t>
      </w:r>
      <w:r w:rsidRPr="00F373B7">
        <w:t>expenses</w:t>
      </w:r>
    </w:p>
    <w:p w:rsidR="00CC1B1A" w:rsidRPr="00F373B7" w:rsidRDefault="00CC1B1A" w:rsidP="002E2D3E">
      <w:r w:rsidRPr="00F373B7">
        <w:t>The functions of the Fair Work Commission and the Road Safety Remuneration Tribunal are prescribed by legislation. New and/or changed legislative requirements may impact forward year expenses.</w:t>
      </w:r>
      <w:r>
        <w:t xml:space="preserve"> </w:t>
      </w:r>
    </w:p>
    <w:p w:rsidR="00CC1B1A" w:rsidRPr="0076273D" w:rsidRDefault="00B21E61" w:rsidP="0076273D">
      <w:pPr>
        <w:pStyle w:val="TableHeading"/>
      </w:pPr>
      <w:r>
        <w:t xml:space="preserve">Table 2.1.1 Programme </w:t>
      </w:r>
      <w:r w:rsidR="00CC1B1A" w:rsidRPr="0076273D">
        <w:t>expenses</w:t>
      </w:r>
    </w:p>
    <w:p w:rsidR="00CC1B1A" w:rsidRDefault="00ED5466" w:rsidP="00474747">
      <w:pPr>
        <w:pStyle w:val="TableGraphic"/>
      </w:pPr>
      <w:r>
        <w:pict>
          <v:shape id="_x0000_i1085" type="#_x0000_t75" style="width:343.7pt;height:93.9pt">
            <v:imagedata r:id="rId21" o:title=""/>
          </v:shape>
        </w:pict>
      </w:r>
    </w:p>
    <w:p w:rsidR="006863EC" w:rsidRPr="00474747" w:rsidRDefault="006863EC" w:rsidP="00474747">
      <w:pPr>
        <w:pStyle w:val="FootnoteText"/>
      </w:pPr>
    </w:p>
    <w:p w:rsidR="00CC1B1A" w:rsidRDefault="00CC1B1A" w:rsidP="003D00D4">
      <w:pPr>
        <w:pStyle w:val="FootnoteText"/>
      </w:pPr>
      <w:r w:rsidRPr="0092099E">
        <w:rPr>
          <w:vertAlign w:val="superscript"/>
        </w:rPr>
        <w:t>1</w:t>
      </w:r>
      <w:r w:rsidRPr="003C7CD7">
        <w:t xml:space="preserve"> Expenses not requiring appropriation in the Budget year are made up of depreciation expenses, amortisation expenses, and audit fees.</w:t>
      </w:r>
      <w:r w:rsidRPr="003C7CD7">
        <w:tab/>
      </w:r>
      <w:r>
        <w:br w:type="page"/>
      </w:r>
    </w:p>
    <w:p w:rsidR="00CC1B1A" w:rsidRPr="00F373B7" w:rsidRDefault="00CC1B1A" w:rsidP="0076273D">
      <w:pPr>
        <w:pStyle w:val="Heading5"/>
      </w:pPr>
      <w:r w:rsidRPr="00F373B7">
        <w:lastRenderedPageBreak/>
        <w:t>Program</w:t>
      </w:r>
      <w:r>
        <w:t>me</w:t>
      </w:r>
      <w:r w:rsidRPr="00F373B7">
        <w:t xml:space="preserve"> </w:t>
      </w:r>
      <w:r w:rsidR="00B60FAC">
        <w:t>1.</w:t>
      </w:r>
      <w:r w:rsidR="00B21E61">
        <w:t>1 D</w:t>
      </w:r>
      <w:r w:rsidRPr="00F373B7">
        <w:t xml:space="preserve">eliverables </w:t>
      </w:r>
    </w:p>
    <w:p w:rsidR="00CC1B1A" w:rsidRPr="00F373B7" w:rsidRDefault="00CC1B1A" w:rsidP="002E2D3E">
      <w:r w:rsidRPr="00F373B7">
        <w:t>The deliverables for the Fair Work Commission are:</w:t>
      </w:r>
    </w:p>
    <w:p w:rsidR="00CC1B1A" w:rsidRPr="00232729" w:rsidRDefault="00CC1B1A" w:rsidP="00B02162">
      <w:pPr>
        <w:pStyle w:val="Bullets"/>
        <w:spacing w:before="120" w:after="120"/>
      </w:pPr>
      <w:r w:rsidRPr="00232729">
        <w:t>dispute resolution</w:t>
      </w:r>
    </w:p>
    <w:p w:rsidR="00CC1B1A" w:rsidRPr="00232729" w:rsidRDefault="00CC1B1A" w:rsidP="00B02162">
      <w:pPr>
        <w:pStyle w:val="Bullets"/>
        <w:spacing w:before="120" w:after="120"/>
      </w:pPr>
      <w:r w:rsidRPr="00232729">
        <w:t>determining unfair dismissal applications</w:t>
      </w:r>
    </w:p>
    <w:p w:rsidR="00CC1B1A" w:rsidRPr="00232729" w:rsidRDefault="00CC1B1A" w:rsidP="00B02162">
      <w:pPr>
        <w:pStyle w:val="Bullets"/>
        <w:spacing w:before="120" w:after="120"/>
      </w:pPr>
      <w:r w:rsidRPr="00232729">
        <w:t>minimum wage decisions</w:t>
      </w:r>
    </w:p>
    <w:p w:rsidR="00CC1B1A" w:rsidRPr="00232729" w:rsidRDefault="00CC1B1A" w:rsidP="00B02162">
      <w:pPr>
        <w:pStyle w:val="Bullets"/>
        <w:spacing w:before="120" w:after="120"/>
      </w:pPr>
      <w:r w:rsidRPr="00232729">
        <w:t>orders relating to industrial action</w:t>
      </w:r>
    </w:p>
    <w:p w:rsidR="00CC1B1A" w:rsidRPr="00232729" w:rsidRDefault="00CC1B1A" w:rsidP="00B02162">
      <w:pPr>
        <w:pStyle w:val="Bullets"/>
        <w:spacing w:before="120" w:after="120"/>
      </w:pPr>
      <w:r w:rsidRPr="00232729">
        <w:t>processes relating to modern awards</w:t>
      </w:r>
    </w:p>
    <w:p w:rsidR="00CC1B1A" w:rsidRPr="00232729" w:rsidRDefault="00CC1B1A" w:rsidP="00B02162">
      <w:pPr>
        <w:pStyle w:val="Bullets"/>
        <w:spacing w:before="120" w:after="120"/>
      </w:pPr>
      <w:r w:rsidRPr="00232729">
        <w:t>approval of agreements</w:t>
      </w:r>
    </w:p>
    <w:p w:rsidR="00CC1B1A" w:rsidRPr="00232729" w:rsidRDefault="00CC1B1A" w:rsidP="00B02162">
      <w:pPr>
        <w:pStyle w:val="Bullets"/>
        <w:spacing w:before="120" w:after="120"/>
      </w:pPr>
      <w:r w:rsidRPr="00232729">
        <w:t>regulation of registered organisations</w:t>
      </w:r>
    </w:p>
    <w:p w:rsidR="00CC1B1A" w:rsidRPr="00232729" w:rsidRDefault="00CC1B1A" w:rsidP="00B02162">
      <w:pPr>
        <w:pStyle w:val="Bullets"/>
        <w:spacing w:before="120" w:after="120"/>
      </w:pPr>
      <w:proofErr w:type="gramStart"/>
      <w:r w:rsidRPr="00232729">
        <w:t>dealing</w:t>
      </w:r>
      <w:proofErr w:type="gramEnd"/>
      <w:r w:rsidRPr="00232729">
        <w:t xml:space="preserve"> with workplace bullying applications</w:t>
      </w:r>
      <w:r w:rsidR="0092099E">
        <w:t>.</w:t>
      </w:r>
      <w:r w:rsidRPr="00232729">
        <w:t xml:space="preserve">  </w:t>
      </w:r>
    </w:p>
    <w:p w:rsidR="00CC1B1A" w:rsidRPr="00F373B7" w:rsidRDefault="00CC1B1A" w:rsidP="002E2D3E">
      <w:pPr>
        <w:pStyle w:val="Bullets"/>
        <w:numPr>
          <w:ilvl w:val="0"/>
          <w:numId w:val="0"/>
        </w:numPr>
      </w:pPr>
      <w:r w:rsidRPr="00F373B7">
        <w:t>The deliverables for the Road Safety Remuneration Tribunal are:</w:t>
      </w:r>
    </w:p>
    <w:p w:rsidR="00CC1B1A" w:rsidRPr="00F373B7" w:rsidRDefault="00CC1B1A" w:rsidP="00B02162">
      <w:pPr>
        <w:pStyle w:val="Bullets"/>
        <w:spacing w:before="120" w:after="120"/>
      </w:pPr>
      <w:r w:rsidRPr="00F373B7">
        <w:t>developing an annual work program</w:t>
      </w:r>
      <w:r w:rsidR="009669E1">
        <w:t>me</w:t>
      </w:r>
    </w:p>
    <w:p w:rsidR="00CC1B1A" w:rsidRPr="00F373B7" w:rsidRDefault="00CC1B1A" w:rsidP="00B02162">
      <w:pPr>
        <w:pStyle w:val="Bullets"/>
        <w:spacing w:before="120" w:after="120"/>
      </w:pPr>
      <w:r w:rsidRPr="00F373B7">
        <w:t>making road safety remuneration orders</w:t>
      </w:r>
    </w:p>
    <w:p w:rsidR="00CC1B1A" w:rsidRPr="00F373B7" w:rsidRDefault="00CC1B1A" w:rsidP="00B02162">
      <w:pPr>
        <w:pStyle w:val="Bullets"/>
        <w:spacing w:before="120" w:after="120"/>
      </w:pPr>
      <w:r w:rsidRPr="00F373B7">
        <w:t>dispute resolution</w:t>
      </w:r>
    </w:p>
    <w:p w:rsidR="00CC1B1A" w:rsidRPr="00F373B7" w:rsidRDefault="00CC1B1A" w:rsidP="00B02162">
      <w:pPr>
        <w:pStyle w:val="Bullets"/>
        <w:spacing w:before="120" w:after="120"/>
      </w:pPr>
      <w:r w:rsidRPr="00F373B7">
        <w:t>approval of road transport collective agreements</w:t>
      </w:r>
    </w:p>
    <w:p w:rsidR="00CC1B1A" w:rsidRPr="00F373B7" w:rsidRDefault="00CC1B1A" w:rsidP="00B02162">
      <w:pPr>
        <w:pStyle w:val="Bullets"/>
        <w:spacing w:before="120" w:after="120"/>
      </w:pPr>
      <w:proofErr w:type="gramStart"/>
      <w:r w:rsidRPr="00F373B7">
        <w:t>conducting</w:t>
      </w:r>
      <w:proofErr w:type="gramEnd"/>
      <w:r w:rsidRPr="00F373B7">
        <w:t xml:space="preserve"> research into pay and conditions that could affect safety in the road transport industry.</w:t>
      </w:r>
    </w:p>
    <w:p w:rsidR="00CC1B1A" w:rsidRPr="00F373B7" w:rsidRDefault="00CC1B1A" w:rsidP="00232729">
      <w:pPr>
        <w:pStyle w:val="TableHeading"/>
      </w:pPr>
      <w:r w:rsidRPr="00F373B7">
        <w:t xml:space="preserve">Table </w:t>
      </w:r>
      <w:proofErr w:type="spellStart"/>
      <w:r w:rsidRPr="00F373B7">
        <w:t>2.1.1</w:t>
      </w:r>
      <w:r w:rsidR="0092099E">
        <w:t>.</w:t>
      </w:r>
      <w:r w:rsidRPr="00F373B7">
        <w:t>A</w:t>
      </w:r>
      <w:proofErr w:type="spellEnd"/>
      <w:r w:rsidRPr="00F373B7">
        <w:t xml:space="preserve"> Program</w:t>
      </w:r>
      <w:r>
        <w:t>me</w:t>
      </w:r>
      <w:r w:rsidRPr="00F373B7">
        <w:t xml:space="preserve"> </w:t>
      </w:r>
      <w:r w:rsidR="00B60FAC">
        <w:t>1.</w:t>
      </w:r>
      <w:r w:rsidR="00B21E61">
        <w:t>1 D</w:t>
      </w:r>
      <w:r w:rsidRPr="00F373B7">
        <w:t>eliverables</w:t>
      </w:r>
    </w:p>
    <w:p w:rsidR="003D00D4" w:rsidRPr="006863EC" w:rsidRDefault="00ED5466" w:rsidP="006863EC">
      <w:pPr>
        <w:pStyle w:val="TableGraphic"/>
      </w:pPr>
      <w:r>
        <w:pict>
          <v:shape id="_x0000_i1086" type="#_x0000_t75" style="width:359.35pt;height:81.4pt">
            <v:imagedata r:id="rId22" o:title=""/>
          </v:shape>
        </w:pict>
      </w:r>
    </w:p>
    <w:p w:rsidR="00CC1B1A" w:rsidRPr="00F373B7" w:rsidRDefault="00CC1B1A" w:rsidP="00317E2D">
      <w:pPr>
        <w:pStyle w:val="TableGraphic"/>
      </w:pPr>
      <w:r w:rsidRPr="00F373B7">
        <w:br w:type="page"/>
      </w:r>
    </w:p>
    <w:p w:rsidR="00CC1B1A" w:rsidRPr="00F373B7" w:rsidRDefault="00CC1B1A" w:rsidP="00232729">
      <w:pPr>
        <w:pStyle w:val="Heading5"/>
      </w:pPr>
      <w:r w:rsidRPr="00F373B7">
        <w:lastRenderedPageBreak/>
        <w:t>Program</w:t>
      </w:r>
      <w:r>
        <w:t>me</w:t>
      </w:r>
      <w:r w:rsidRPr="00F373B7">
        <w:t xml:space="preserve"> 1</w:t>
      </w:r>
      <w:r w:rsidR="00B60FAC">
        <w:t>.1</w:t>
      </w:r>
      <w:r w:rsidR="00B21E61">
        <w:t xml:space="preserve"> K</w:t>
      </w:r>
      <w:r w:rsidRPr="00F373B7">
        <w:t xml:space="preserve">ey performance indicators </w:t>
      </w:r>
    </w:p>
    <w:p w:rsidR="00CC1B1A" w:rsidRPr="00F373B7" w:rsidRDefault="00CC1B1A" w:rsidP="002E2D3E">
      <w:r w:rsidRPr="00F373B7">
        <w:t>The key performance indicators for the Fair Work Commission are:</w:t>
      </w:r>
    </w:p>
    <w:p w:rsidR="00CC1B1A" w:rsidRPr="00F373B7" w:rsidRDefault="00CC1B1A" w:rsidP="00B02162">
      <w:pPr>
        <w:pStyle w:val="Bullets"/>
        <w:spacing w:before="120" w:after="120"/>
      </w:pPr>
      <w:r w:rsidRPr="00F373B7">
        <w:t>Improve or maintain the time elapsed from lodging applications to finalising conciliations in unfair dismissal applications.</w:t>
      </w:r>
    </w:p>
    <w:p w:rsidR="00CC1B1A" w:rsidRPr="00F373B7" w:rsidRDefault="00CC1B1A" w:rsidP="00B02162">
      <w:pPr>
        <w:pStyle w:val="Bullets"/>
        <w:spacing w:before="120" w:after="120"/>
      </w:pPr>
      <w:r w:rsidRPr="00F373B7">
        <w:t>Annual wage review to be completed to enable an operative date of 1 July.</w:t>
      </w:r>
    </w:p>
    <w:p w:rsidR="00CC1B1A" w:rsidRPr="00F373B7" w:rsidRDefault="00CC1B1A" w:rsidP="00B02162">
      <w:pPr>
        <w:pStyle w:val="Bullets"/>
        <w:spacing w:before="120" w:after="120"/>
      </w:pPr>
      <w:r w:rsidRPr="00F373B7">
        <w:t>Improve or maintain the time taken to list applications relating to industrial action.</w:t>
      </w:r>
    </w:p>
    <w:p w:rsidR="00CC1B1A" w:rsidRPr="00F373B7" w:rsidRDefault="00CC1B1A" w:rsidP="00B02162">
      <w:pPr>
        <w:pStyle w:val="Bullets"/>
        <w:spacing w:before="120" w:after="120"/>
      </w:pPr>
      <w:r w:rsidRPr="00F373B7">
        <w:t>Improve or maintain the agreement approval time.</w:t>
      </w:r>
    </w:p>
    <w:p w:rsidR="00CC1B1A" w:rsidRPr="00F373B7" w:rsidRDefault="00CC1B1A" w:rsidP="00B02162">
      <w:pPr>
        <w:pStyle w:val="Bullets"/>
        <w:spacing w:before="120" w:after="120"/>
      </w:pPr>
      <w:r w:rsidRPr="00F373B7">
        <w:t xml:space="preserve">95 per cent of financial reports required to be lodged </w:t>
      </w:r>
      <w:r>
        <w:t xml:space="preserve">by registered organisations </w:t>
      </w:r>
      <w:r w:rsidRPr="00F373B7">
        <w:t xml:space="preserve">under the </w:t>
      </w:r>
      <w:r w:rsidRPr="00F373B7">
        <w:rPr>
          <w:i/>
        </w:rPr>
        <w:t xml:space="preserve">Fair Work (Registered Organisations) Act 2009 </w:t>
      </w:r>
      <w:r w:rsidRPr="00F373B7">
        <w:t>are assessed for compliance within 40 working days.</w:t>
      </w:r>
    </w:p>
    <w:p w:rsidR="00CC1B1A" w:rsidRPr="00F373B7" w:rsidRDefault="00CC1B1A" w:rsidP="002E2D3E">
      <w:r w:rsidRPr="00F373B7">
        <w:t>The key performance indicators for the Road Safety Remuneration Tribunal are:</w:t>
      </w:r>
    </w:p>
    <w:p w:rsidR="00CC1B1A" w:rsidRPr="00F373B7" w:rsidRDefault="00CC1B1A" w:rsidP="00B02162">
      <w:pPr>
        <w:pStyle w:val="Bullets"/>
        <w:spacing w:before="120" w:after="120"/>
      </w:pPr>
      <w:r w:rsidRPr="00F373B7">
        <w:t>Road safety remuneration orders reviewed within 12 months of expiry of any preceding order.</w:t>
      </w:r>
    </w:p>
    <w:p w:rsidR="00CC1B1A" w:rsidRPr="00F373B7" w:rsidRDefault="00CC1B1A" w:rsidP="00B02162">
      <w:pPr>
        <w:pStyle w:val="Bullets"/>
        <w:spacing w:before="120" w:after="120"/>
      </w:pPr>
      <w:r w:rsidRPr="00F373B7">
        <w:t>An annual work program</w:t>
      </w:r>
      <w:r w:rsidR="009669E1">
        <w:t>me</w:t>
      </w:r>
      <w:r w:rsidRPr="00F373B7">
        <w:t xml:space="preserve"> is developed.</w:t>
      </w:r>
    </w:p>
    <w:p w:rsidR="00CC1B1A" w:rsidRDefault="00CC1B1A" w:rsidP="00B02162">
      <w:pPr>
        <w:pStyle w:val="Bullets"/>
        <w:spacing w:before="120" w:after="120"/>
      </w:pPr>
      <w:r w:rsidRPr="00F373B7">
        <w:t>Research developed and submissions obtained or received are published on the website in a timely manner as appropriate.</w:t>
      </w:r>
      <w:r>
        <w:br w:type="page"/>
      </w:r>
    </w:p>
    <w:p w:rsidR="00CC1B1A" w:rsidRDefault="00CC1B1A" w:rsidP="00317E2D">
      <w:pPr>
        <w:pStyle w:val="TableHeadingNoTable"/>
      </w:pPr>
      <w:r>
        <w:lastRenderedPageBreak/>
        <w:t xml:space="preserve">Table </w:t>
      </w:r>
      <w:proofErr w:type="spellStart"/>
      <w:r w:rsidR="0092099E">
        <w:t>2.1.1.B</w:t>
      </w:r>
      <w:proofErr w:type="spellEnd"/>
      <w:r>
        <w:t xml:space="preserve"> Key performance indicators</w:t>
      </w:r>
    </w:p>
    <w:tbl>
      <w:tblPr>
        <w:tblStyle w:val="TableGrid"/>
        <w:tblW w:w="0" w:type="auto"/>
        <w:tblLayout w:type="fixed"/>
        <w:tblLook w:val="04A0" w:firstRow="1" w:lastRow="0" w:firstColumn="1" w:lastColumn="0" w:noHBand="0" w:noVBand="1"/>
        <w:tblCaption w:val="Table 2.1.1.B Key performance indicators"/>
        <w:tblDescription w:val="FWC Key performance indicators"/>
      </w:tblPr>
      <w:tblGrid>
        <w:gridCol w:w="2518"/>
        <w:gridCol w:w="992"/>
        <w:gridCol w:w="851"/>
        <w:gridCol w:w="992"/>
        <w:gridCol w:w="992"/>
        <w:gridCol w:w="1014"/>
      </w:tblGrid>
      <w:tr w:rsidR="00CC5ED2" w:rsidTr="00470EE4">
        <w:trPr>
          <w:tblHeader/>
        </w:trPr>
        <w:tc>
          <w:tcPr>
            <w:tcW w:w="2518" w:type="dxa"/>
          </w:tcPr>
          <w:p w:rsidR="00CC5ED2" w:rsidRDefault="00CC5ED2" w:rsidP="00CC5ED2">
            <w:pPr>
              <w:pStyle w:val="TableTextBold"/>
              <w:jc w:val="left"/>
            </w:pPr>
            <w:r>
              <w:t>Key performance indicators</w:t>
            </w:r>
          </w:p>
        </w:tc>
        <w:tc>
          <w:tcPr>
            <w:tcW w:w="992" w:type="dxa"/>
          </w:tcPr>
          <w:p w:rsidR="00CC5ED2" w:rsidRDefault="00CC5ED2" w:rsidP="00CC5ED2">
            <w:pPr>
              <w:pStyle w:val="TableTextBoldRight"/>
            </w:pPr>
            <w:r w:rsidRPr="000A224A">
              <w:t>2014–15</w:t>
            </w:r>
          </w:p>
          <w:p w:rsidR="00CC5ED2" w:rsidRPr="000A224A" w:rsidRDefault="00CC5ED2" w:rsidP="00CC5ED2">
            <w:pPr>
              <w:pStyle w:val="TableTextBoldRight"/>
            </w:pPr>
            <w:r>
              <w:t>Revised Budget</w:t>
            </w:r>
          </w:p>
        </w:tc>
        <w:tc>
          <w:tcPr>
            <w:tcW w:w="851" w:type="dxa"/>
          </w:tcPr>
          <w:p w:rsidR="00CC5ED2" w:rsidRDefault="00CC5ED2" w:rsidP="00CC5ED2">
            <w:pPr>
              <w:pStyle w:val="TableTextBoldRight"/>
            </w:pPr>
            <w:r w:rsidRPr="000A224A">
              <w:t>2015–16</w:t>
            </w:r>
          </w:p>
          <w:p w:rsidR="00CC5ED2" w:rsidRPr="000A224A" w:rsidRDefault="00CC5ED2" w:rsidP="00CC5ED2">
            <w:pPr>
              <w:pStyle w:val="TableTextBoldRight"/>
            </w:pPr>
            <w:r>
              <w:t>Budget</w:t>
            </w:r>
          </w:p>
        </w:tc>
        <w:tc>
          <w:tcPr>
            <w:tcW w:w="992" w:type="dxa"/>
          </w:tcPr>
          <w:p w:rsidR="00CC5ED2" w:rsidRPr="000A224A" w:rsidRDefault="00CC5ED2" w:rsidP="00CC5ED2">
            <w:pPr>
              <w:pStyle w:val="TableTextBoldRight"/>
            </w:pPr>
            <w:r w:rsidRPr="000A224A">
              <w:t>2016–17</w:t>
            </w:r>
            <w:r>
              <w:t xml:space="preserve"> Forward Estimate</w:t>
            </w:r>
          </w:p>
        </w:tc>
        <w:tc>
          <w:tcPr>
            <w:tcW w:w="992" w:type="dxa"/>
          </w:tcPr>
          <w:p w:rsidR="00CC5ED2" w:rsidRPr="000A224A" w:rsidRDefault="00CC5ED2" w:rsidP="00CC5ED2">
            <w:pPr>
              <w:pStyle w:val="TableTextBoldRight"/>
            </w:pPr>
            <w:r w:rsidRPr="000A224A">
              <w:t>2017–</w:t>
            </w:r>
            <w:r>
              <w:t>1</w:t>
            </w:r>
            <w:r w:rsidRPr="000A224A">
              <w:t>8</w:t>
            </w:r>
            <w:r>
              <w:t xml:space="preserve"> Forward Estimate</w:t>
            </w:r>
          </w:p>
        </w:tc>
        <w:tc>
          <w:tcPr>
            <w:tcW w:w="1014" w:type="dxa"/>
          </w:tcPr>
          <w:p w:rsidR="00CC5ED2" w:rsidRPr="000A224A" w:rsidRDefault="00CC5ED2" w:rsidP="00CC5ED2">
            <w:pPr>
              <w:pStyle w:val="TableTextBoldRight"/>
            </w:pPr>
            <w:r w:rsidRPr="000A224A">
              <w:t>2018–19</w:t>
            </w:r>
            <w:r>
              <w:t xml:space="preserve"> Forward Estimate</w:t>
            </w:r>
          </w:p>
        </w:tc>
      </w:tr>
      <w:tr w:rsidR="00CC5ED2" w:rsidTr="00CC5ED2">
        <w:tc>
          <w:tcPr>
            <w:tcW w:w="2518" w:type="dxa"/>
          </w:tcPr>
          <w:p w:rsidR="00CC5ED2" w:rsidRDefault="00CC5ED2" w:rsidP="00CC5ED2">
            <w:pPr>
              <w:pStyle w:val="TableText"/>
              <w:jc w:val="left"/>
            </w:pPr>
            <w:r w:rsidRPr="00317E2D">
              <w:t>Improve or maintain the time elapsed from lodging applications to finalising conciliations i</w:t>
            </w:r>
            <w:r>
              <w:t>n unfair dismissal applications</w:t>
            </w:r>
          </w:p>
        </w:tc>
        <w:tc>
          <w:tcPr>
            <w:tcW w:w="992" w:type="dxa"/>
          </w:tcPr>
          <w:p w:rsidR="00CC5ED2" w:rsidRPr="00317E2D" w:rsidRDefault="00CC5ED2" w:rsidP="00CC5ED2">
            <w:pPr>
              <w:pStyle w:val="TableTextRight0"/>
            </w:pPr>
            <w:r w:rsidRPr="00317E2D">
              <w:t>34 Days</w:t>
            </w:r>
          </w:p>
        </w:tc>
        <w:tc>
          <w:tcPr>
            <w:tcW w:w="851" w:type="dxa"/>
          </w:tcPr>
          <w:p w:rsidR="00CC5ED2" w:rsidRPr="00317E2D" w:rsidRDefault="00CC5ED2" w:rsidP="00CC5ED2">
            <w:pPr>
              <w:pStyle w:val="TableTextRight0"/>
            </w:pPr>
            <w:r w:rsidRPr="00317E2D">
              <w:t>34 Days</w:t>
            </w:r>
          </w:p>
        </w:tc>
        <w:tc>
          <w:tcPr>
            <w:tcW w:w="992" w:type="dxa"/>
          </w:tcPr>
          <w:p w:rsidR="00CC5ED2" w:rsidRPr="00317E2D" w:rsidRDefault="00CC5ED2" w:rsidP="00CC5ED2">
            <w:pPr>
              <w:pStyle w:val="TableTextRight0"/>
            </w:pPr>
            <w:r w:rsidRPr="00317E2D">
              <w:t>34 Days</w:t>
            </w:r>
          </w:p>
        </w:tc>
        <w:tc>
          <w:tcPr>
            <w:tcW w:w="992" w:type="dxa"/>
          </w:tcPr>
          <w:p w:rsidR="00CC5ED2" w:rsidRPr="00317E2D" w:rsidRDefault="00CC5ED2" w:rsidP="00CC5ED2">
            <w:pPr>
              <w:pStyle w:val="TableTextRight0"/>
            </w:pPr>
            <w:r w:rsidRPr="00317E2D">
              <w:t>34 Days</w:t>
            </w:r>
          </w:p>
        </w:tc>
        <w:tc>
          <w:tcPr>
            <w:tcW w:w="1014" w:type="dxa"/>
          </w:tcPr>
          <w:p w:rsidR="00CC5ED2" w:rsidRPr="00317E2D" w:rsidRDefault="00CC5ED2" w:rsidP="00CC5ED2">
            <w:pPr>
              <w:pStyle w:val="TableTextRight0"/>
            </w:pPr>
            <w:r w:rsidRPr="00317E2D">
              <w:t>34 Days</w:t>
            </w:r>
          </w:p>
        </w:tc>
      </w:tr>
      <w:tr w:rsidR="00CC5ED2" w:rsidTr="00CC5ED2">
        <w:tc>
          <w:tcPr>
            <w:tcW w:w="2518" w:type="dxa"/>
            <w:vAlign w:val="bottom"/>
          </w:tcPr>
          <w:p w:rsidR="00CC5ED2" w:rsidRPr="00317E2D" w:rsidRDefault="00CC5ED2" w:rsidP="00CC5ED2">
            <w:pPr>
              <w:pStyle w:val="TableText"/>
              <w:jc w:val="left"/>
            </w:pPr>
            <w:r w:rsidRPr="00317E2D">
              <w:t>Annual wage review to be completed to ena</w:t>
            </w:r>
            <w:r w:rsidR="00257133">
              <w:t>ble an operative date of 1 July</w:t>
            </w:r>
          </w:p>
        </w:tc>
        <w:tc>
          <w:tcPr>
            <w:tcW w:w="992" w:type="dxa"/>
          </w:tcPr>
          <w:p w:rsidR="00CC5ED2" w:rsidRPr="00317E2D" w:rsidRDefault="00CC5ED2" w:rsidP="00CC5ED2">
            <w:pPr>
              <w:pStyle w:val="TableTextRight0"/>
            </w:pPr>
            <w:r w:rsidRPr="00317E2D">
              <w:t>By June 30</w:t>
            </w:r>
          </w:p>
        </w:tc>
        <w:tc>
          <w:tcPr>
            <w:tcW w:w="851" w:type="dxa"/>
          </w:tcPr>
          <w:p w:rsidR="00CC5ED2" w:rsidRPr="00317E2D" w:rsidRDefault="00CC5ED2" w:rsidP="00CC5ED2">
            <w:pPr>
              <w:pStyle w:val="TableTextRight0"/>
            </w:pPr>
            <w:r w:rsidRPr="00317E2D">
              <w:t>By June 30</w:t>
            </w:r>
          </w:p>
        </w:tc>
        <w:tc>
          <w:tcPr>
            <w:tcW w:w="992" w:type="dxa"/>
          </w:tcPr>
          <w:p w:rsidR="00CC5ED2" w:rsidRPr="00317E2D" w:rsidRDefault="00CC5ED2" w:rsidP="00CC5ED2">
            <w:pPr>
              <w:pStyle w:val="TableTextRight0"/>
            </w:pPr>
            <w:r w:rsidRPr="00317E2D">
              <w:t>By June 30</w:t>
            </w:r>
          </w:p>
        </w:tc>
        <w:tc>
          <w:tcPr>
            <w:tcW w:w="992" w:type="dxa"/>
          </w:tcPr>
          <w:p w:rsidR="00CC5ED2" w:rsidRPr="00317E2D" w:rsidRDefault="00CC5ED2" w:rsidP="00CC5ED2">
            <w:pPr>
              <w:pStyle w:val="TableTextRight0"/>
            </w:pPr>
            <w:r w:rsidRPr="00317E2D">
              <w:t>By June 30</w:t>
            </w:r>
          </w:p>
        </w:tc>
        <w:tc>
          <w:tcPr>
            <w:tcW w:w="1014" w:type="dxa"/>
          </w:tcPr>
          <w:p w:rsidR="00CC5ED2" w:rsidRPr="00317E2D" w:rsidRDefault="00CC5ED2" w:rsidP="00CC5ED2">
            <w:pPr>
              <w:pStyle w:val="TableTextRight0"/>
            </w:pPr>
            <w:r w:rsidRPr="00317E2D">
              <w:t>By June 30</w:t>
            </w:r>
          </w:p>
        </w:tc>
      </w:tr>
      <w:tr w:rsidR="00CC5ED2" w:rsidTr="00CC5ED2">
        <w:tc>
          <w:tcPr>
            <w:tcW w:w="2518" w:type="dxa"/>
            <w:vAlign w:val="bottom"/>
          </w:tcPr>
          <w:p w:rsidR="00CC5ED2" w:rsidRPr="00317E2D" w:rsidRDefault="00CC5ED2" w:rsidP="00CC5ED2">
            <w:pPr>
              <w:pStyle w:val="TableText"/>
              <w:jc w:val="left"/>
            </w:pPr>
            <w:r w:rsidRPr="00317E2D">
              <w:t>Improve or maint</w:t>
            </w:r>
            <w:r w:rsidR="00257133">
              <w:t>ain the agreement approval time</w:t>
            </w:r>
          </w:p>
        </w:tc>
        <w:tc>
          <w:tcPr>
            <w:tcW w:w="992" w:type="dxa"/>
          </w:tcPr>
          <w:p w:rsidR="00CC5ED2" w:rsidRPr="00317E2D" w:rsidRDefault="00CC5ED2" w:rsidP="00CC5ED2">
            <w:pPr>
              <w:pStyle w:val="TableTextRight0"/>
            </w:pPr>
            <w:r w:rsidRPr="00317E2D">
              <w:t>32 Days</w:t>
            </w:r>
          </w:p>
        </w:tc>
        <w:tc>
          <w:tcPr>
            <w:tcW w:w="851" w:type="dxa"/>
          </w:tcPr>
          <w:p w:rsidR="00CC5ED2" w:rsidRPr="00317E2D" w:rsidRDefault="00CC5ED2" w:rsidP="00CC5ED2">
            <w:pPr>
              <w:pStyle w:val="TableTextRight0"/>
            </w:pPr>
            <w:r w:rsidRPr="00317E2D">
              <w:t>32 Days</w:t>
            </w:r>
          </w:p>
        </w:tc>
        <w:tc>
          <w:tcPr>
            <w:tcW w:w="992" w:type="dxa"/>
          </w:tcPr>
          <w:p w:rsidR="00CC5ED2" w:rsidRPr="00317E2D" w:rsidRDefault="00CC5ED2" w:rsidP="00CC5ED2">
            <w:pPr>
              <w:pStyle w:val="TableTextRight0"/>
            </w:pPr>
            <w:r w:rsidRPr="00317E2D">
              <w:t>32 Days</w:t>
            </w:r>
          </w:p>
        </w:tc>
        <w:tc>
          <w:tcPr>
            <w:tcW w:w="992" w:type="dxa"/>
          </w:tcPr>
          <w:p w:rsidR="00CC5ED2" w:rsidRPr="00317E2D" w:rsidRDefault="00CC5ED2" w:rsidP="00CC5ED2">
            <w:pPr>
              <w:pStyle w:val="TableTextRight0"/>
            </w:pPr>
            <w:r w:rsidRPr="00317E2D">
              <w:t>32 Days</w:t>
            </w:r>
          </w:p>
        </w:tc>
        <w:tc>
          <w:tcPr>
            <w:tcW w:w="1014" w:type="dxa"/>
          </w:tcPr>
          <w:p w:rsidR="00CC5ED2" w:rsidRPr="00317E2D" w:rsidRDefault="00CC5ED2" w:rsidP="00CC5ED2">
            <w:pPr>
              <w:pStyle w:val="TableTextRight0"/>
            </w:pPr>
            <w:r w:rsidRPr="00317E2D">
              <w:t>32 Days</w:t>
            </w:r>
          </w:p>
        </w:tc>
      </w:tr>
      <w:tr w:rsidR="00CC5ED2" w:rsidTr="00CC5ED2">
        <w:tc>
          <w:tcPr>
            <w:tcW w:w="2518" w:type="dxa"/>
            <w:vAlign w:val="bottom"/>
          </w:tcPr>
          <w:p w:rsidR="00CC5ED2" w:rsidRPr="00317E2D" w:rsidRDefault="00CC5ED2" w:rsidP="00CC5ED2">
            <w:pPr>
              <w:pStyle w:val="TableText"/>
              <w:jc w:val="left"/>
            </w:pPr>
            <w:r w:rsidRPr="00317E2D">
              <w:t xml:space="preserve">95 per cent of financial reports required to be lodged under the </w:t>
            </w:r>
            <w:r w:rsidRPr="006863EC">
              <w:rPr>
                <w:i/>
              </w:rPr>
              <w:t>Fair Work (Registered Organisations) Act 2009</w:t>
            </w:r>
            <w:r w:rsidRPr="00317E2D">
              <w:t xml:space="preserve"> are assessed for compliance within 40 working days</w:t>
            </w:r>
          </w:p>
        </w:tc>
        <w:tc>
          <w:tcPr>
            <w:tcW w:w="992" w:type="dxa"/>
          </w:tcPr>
          <w:p w:rsidR="00CC5ED2" w:rsidRPr="00317E2D" w:rsidRDefault="00CC5ED2" w:rsidP="00CC5ED2">
            <w:pPr>
              <w:pStyle w:val="TableTextRight0"/>
            </w:pPr>
            <w:r w:rsidRPr="00317E2D">
              <w:t>95%/40 days</w:t>
            </w:r>
          </w:p>
        </w:tc>
        <w:tc>
          <w:tcPr>
            <w:tcW w:w="851" w:type="dxa"/>
          </w:tcPr>
          <w:p w:rsidR="00CC5ED2" w:rsidRPr="00317E2D" w:rsidRDefault="00CC5ED2" w:rsidP="00CC5ED2">
            <w:pPr>
              <w:pStyle w:val="TableTextRight0"/>
            </w:pPr>
            <w:r w:rsidRPr="00317E2D">
              <w:t>95%/40 days</w:t>
            </w:r>
          </w:p>
        </w:tc>
        <w:tc>
          <w:tcPr>
            <w:tcW w:w="992" w:type="dxa"/>
          </w:tcPr>
          <w:p w:rsidR="00CC5ED2" w:rsidRPr="00317E2D" w:rsidRDefault="00CC5ED2" w:rsidP="00CC5ED2">
            <w:pPr>
              <w:pStyle w:val="TableTextRight0"/>
            </w:pPr>
            <w:r w:rsidRPr="00317E2D">
              <w:t>95%/40 days</w:t>
            </w:r>
          </w:p>
        </w:tc>
        <w:tc>
          <w:tcPr>
            <w:tcW w:w="992" w:type="dxa"/>
          </w:tcPr>
          <w:p w:rsidR="00CC5ED2" w:rsidRPr="00317E2D" w:rsidRDefault="00CC5ED2" w:rsidP="00CC5ED2">
            <w:pPr>
              <w:pStyle w:val="TableTextRight0"/>
            </w:pPr>
            <w:r w:rsidRPr="00317E2D">
              <w:t>95%/40 days</w:t>
            </w:r>
          </w:p>
        </w:tc>
        <w:tc>
          <w:tcPr>
            <w:tcW w:w="1014" w:type="dxa"/>
          </w:tcPr>
          <w:p w:rsidR="00CC5ED2" w:rsidRPr="00317E2D" w:rsidRDefault="00CC5ED2" w:rsidP="00CC5ED2">
            <w:pPr>
              <w:pStyle w:val="TableTextRight0"/>
            </w:pPr>
            <w:r w:rsidRPr="00317E2D">
              <w:t>95%/40 days</w:t>
            </w:r>
          </w:p>
        </w:tc>
      </w:tr>
      <w:tr w:rsidR="00CC5ED2" w:rsidTr="00CC5ED2">
        <w:tc>
          <w:tcPr>
            <w:tcW w:w="2518" w:type="dxa"/>
            <w:vAlign w:val="bottom"/>
          </w:tcPr>
          <w:p w:rsidR="00CC5ED2" w:rsidRPr="00317E2D" w:rsidRDefault="00CC5ED2" w:rsidP="00CC5ED2">
            <w:pPr>
              <w:pStyle w:val="TableText"/>
              <w:jc w:val="left"/>
            </w:pPr>
            <w:r w:rsidRPr="00317E2D">
              <w:t>Road safety remuneration orders reviewed within 12 months o</w:t>
            </w:r>
            <w:r w:rsidR="00257133">
              <w:t>f expiry of any preceding order</w:t>
            </w:r>
          </w:p>
        </w:tc>
        <w:tc>
          <w:tcPr>
            <w:tcW w:w="992" w:type="dxa"/>
          </w:tcPr>
          <w:p w:rsidR="00CC5ED2" w:rsidRPr="00317E2D" w:rsidRDefault="00CC5ED2" w:rsidP="00CC5ED2">
            <w:pPr>
              <w:pStyle w:val="TableTextRight0"/>
            </w:pPr>
            <w:r w:rsidRPr="00317E2D">
              <w:t>Within 12 months</w:t>
            </w:r>
          </w:p>
        </w:tc>
        <w:tc>
          <w:tcPr>
            <w:tcW w:w="851" w:type="dxa"/>
          </w:tcPr>
          <w:p w:rsidR="00CC5ED2" w:rsidRPr="00317E2D" w:rsidRDefault="00CC5ED2" w:rsidP="00CC5ED2">
            <w:pPr>
              <w:pStyle w:val="TableTextRight0"/>
            </w:pPr>
            <w:r w:rsidRPr="00317E2D">
              <w:t>Within 12 months</w:t>
            </w:r>
          </w:p>
        </w:tc>
        <w:tc>
          <w:tcPr>
            <w:tcW w:w="992" w:type="dxa"/>
          </w:tcPr>
          <w:p w:rsidR="00CC5ED2" w:rsidRPr="00317E2D" w:rsidRDefault="00CC5ED2" w:rsidP="00CC5ED2">
            <w:pPr>
              <w:pStyle w:val="TableTextRight0"/>
            </w:pPr>
            <w:r w:rsidRPr="00317E2D">
              <w:t>Within 12 months</w:t>
            </w:r>
          </w:p>
        </w:tc>
        <w:tc>
          <w:tcPr>
            <w:tcW w:w="992" w:type="dxa"/>
          </w:tcPr>
          <w:p w:rsidR="00CC5ED2" w:rsidRPr="00317E2D" w:rsidRDefault="00CC5ED2" w:rsidP="00CC5ED2">
            <w:pPr>
              <w:pStyle w:val="TableTextRight0"/>
            </w:pPr>
            <w:r w:rsidRPr="00317E2D">
              <w:t>Within 12 months</w:t>
            </w:r>
          </w:p>
        </w:tc>
        <w:tc>
          <w:tcPr>
            <w:tcW w:w="1014" w:type="dxa"/>
          </w:tcPr>
          <w:p w:rsidR="00CC5ED2" w:rsidRPr="00317E2D" w:rsidRDefault="00CC5ED2" w:rsidP="00CC5ED2">
            <w:pPr>
              <w:pStyle w:val="TableTextRight0"/>
            </w:pPr>
            <w:r w:rsidRPr="00317E2D">
              <w:t>Within 12 months</w:t>
            </w:r>
          </w:p>
        </w:tc>
      </w:tr>
      <w:tr w:rsidR="00CC5ED2" w:rsidTr="00CC5ED2">
        <w:tc>
          <w:tcPr>
            <w:tcW w:w="2518" w:type="dxa"/>
            <w:vAlign w:val="bottom"/>
          </w:tcPr>
          <w:p w:rsidR="00CC5ED2" w:rsidRPr="00317E2D" w:rsidRDefault="00CC5ED2" w:rsidP="00CC5ED2">
            <w:pPr>
              <w:pStyle w:val="TableText"/>
              <w:jc w:val="left"/>
            </w:pPr>
            <w:r w:rsidRPr="00317E2D">
              <w:t>An annual work program</w:t>
            </w:r>
            <w:r>
              <w:t>me</w:t>
            </w:r>
            <w:r w:rsidRPr="00317E2D">
              <w:t xml:space="preserve"> is dev</w:t>
            </w:r>
            <w:r w:rsidR="00257133">
              <w:t>eloped</w:t>
            </w:r>
          </w:p>
        </w:tc>
        <w:tc>
          <w:tcPr>
            <w:tcW w:w="992" w:type="dxa"/>
          </w:tcPr>
          <w:p w:rsidR="00CC5ED2" w:rsidRPr="00317E2D" w:rsidRDefault="00CC5ED2" w:rsidP="00CC5ED2">
            <w:pPr>
              <w:pStyle w:val="TableTextRight0"/>
            </w:pPr>
            <w:r w:rsidRPr="00317E2D">
              <w:t>Annual</w:t>
            </w:r>
          </w:p>
        </w:tc>
        <w:tc>
          <w:tcPr>
            <w:tcW w:w="851" w:type="dxa"/>
          </w:tcPr>
          <w:p w:rsidR="00CC5ED2" w:rsidRPr="00317E2D" w:rsidRDefault="00CC5ED2" w:rsidP="00CC5ED2">
            <w:pPr>
              <w:pStyle w:val="TableTextRight0"/>
            </w:pPr>
            <w:r w:rsidRPr="00317E2D">
              <w:t>Annual</w:t>
            </w:r>
          </w:p>
        </w:tc>
        <w:tc>
          <w:tcPr>
            <w:tcW w:w="992" w:type="dxa"/>
          </w:tcPr>
          <w:p w:rsidR="00CC5ED2" w:rsidRPr="00317E2D" w:rsidRDefault="00CC5ED2" w:rsidP="00CC5ED2">
            <w:pPr>
              <w:pStyle w:val="TableTextRight0"/>
            </w:pPr>
            <w:r w:rsidRPr="00317E2D">
              <w:t>Annual</w:t>
            </w:r>
          </w:p>
        </w:tc>
        <w:tc>
          <w:tcPr>
            <w:tcW w:w="992" w:type="dxa"/>
          </w:tcPr>
          <w:p w:rsidR="00CC5ED2" w:rsidRPr="00317E2D" w:rsidRDefault="00CC5ED2" w:rsidP="00CC5ED2">
            <w:pPr>
              <w:pStyle w:val="TableTextRight0"/>
            </w:pPr>
            <w:r w:rsidRPr="00317E2D">
              <w:t>Annual</w:t>
            </w:r>
          </w:p>
        </w:tc>
        <w:tc>
          <w:tcPr>
            <w:tcW w:w="1014" w:type="dxa"/>
          </w:tcPr>
          <w:p w:rsidR="00CC5ED2" w:rsidRPr="00317E2D" w:rsidRDefault="00CC5ED2" w:rsidP="00CC5ED2">
            <w:pPr>
              <w:pStyle w:val="TableTextRight0"/>
            </w:pPr>
            <w:r w:rsidRPr="00317E2D">
              <w:t>Annual</w:t>
            </w:r>
          </w:p>
        </w:tc>
      </w:tr>
      <w:tr w:rsidR="00CC5ED2" w:rsidTr="00CC5ED2">
        <w:tc>
          <w:tcPr>
            <w:tcW w:w="2518" w:type="dxa"/>
            <w:vAlign w:val="bottom"/>
          </w:tcPr>
          <w:p w:rsidR="00CC5ED2" w:rsidRPr="00317E2D" w:rsidRDefault="00CC5ED2" w:rsidP="00CC5ED2">
            <w:pPr>
              <w:pStyle w:val="TableText"/>
              <w:jc w:val="left"/>
            </w:pPr>
            <w:r w:rsidRPr="00317E2D">
              <w:t>Research developed and submissions</w:t>
            </w:r>
            <w:r>
              <w:t xml:space="preserve"> (subs)</w:t>
            </w:r>
            <w:r w:rsidRPr="00317E2D">
              <w:t xml:space="preserve"> obtained or received are published on the website in</w:t>
            </w:r>
            <w:r w:rsidR="00257133">
              <w:t xml:space="preserve"> a timely manner as appropriate</w:t>
            </w:r>
          </w:p>
        </w:tc>
        <w:tc>
          <w:tcPr>
            <w:tcW w:w="992" w:type="dxa"/>
          </w:tcPr>
          <w:p w:rsidR="00CC5ED2" w:rsidRPr="00317E2D" w:rsidRDefault="00CC5ED2" w:rsidP="00CC5ED2">
            <w:pPr>
              <w:pStyle w:val="TableTextRight0"/>
            </w:pPr>
            <w:r w:rsidRPr="00317E2D">
              <w:t>Subs 4 Days</w:t>
            </w:r>
          </w:p>
        </w:tc>
        <w:tc>
          <w:tcPr>
            <w:tcW w:w="851" w:type="dxa"/>
          </w:tcPr>
          <w:p w:rsidR="00CC5ED2" w:rsidRPr="00317E2D" w:rsidRDefault="00CC5ED2" w:rsidP="00CC5ED2">
            <w:pPr>
              <w:pStyle w:val="TableTextRight0"/>
            </w:pPr>
            <w:r w:rsidRPr="00317E2D">
              <w:t>Subs 4 Days</w:t>
            </w:r>
          </w:p>
        </w:tc>
        <w:tc>
          <w:tcPr>
            <w:tcW w:w="992" w:type="dxa"/>
          </w:tcPr>
          <w:p w:rsidR="00CC5ED2" w:rsidRPr="00317E2D" w:rsidRDefault="00CC5ED2" w:rsidP="00CC5ED2">
            <w:pPr>
              <w:pStyle w:val="TableTextRight0"/>
            </w:pPr>
            <w:r w:rsidRPr="00317E2D">
              <w:t>Subs 4 Days</w:t>
            </w:r>
          </w:p>
        </w:tc>
        <w:tc>
          <w:tcPr>
            <w:tcW w:w="992" w:type="dxa"/>
          </w:tcPr>
          <w:p w:rsidR="00CC5ED2" w:rsidRPr="00317E2D" w:rsidRDefault="00CC5ED2" w:rsidP="00CC5ED2">
            <w:pPr>
              <w:pStyle w:val="TableTextRight0"/>
            </w:pPr>
            <w:r w:rsidRPr="00317E2D">
              <w:t>Subs 4 Days</w:t>
            </w:r>
          </w:p>
        </w:tc>
        <w:tc>
          <w:tcPr>
            <w:tcW w:w="1014" w:type="dxa"/>
          </w:tcPr>
          <w:p w:rsidR="00CC5ED2" w:rsidRPr="00317E2D" w:rsidRDefault="00CC5ED2" w:rsidP="00CC5ED2">
            <w:pPr>
              <w:pStyle w:val="TableTextRight0"/>
            </w:pPr>
            <w:r w:rsidRPr="00317E2D">
              <w:t>Subs 4 Days</w:t>
            </w:r>
          </w:p>
        </w:tc>
      </w:tr>
    </w:tbl>
    <w:p w:rsidR="008C27C5" w:rsidRDefault="008C27C5" w:rsidP="002E2D3E">
      <w:pPr>
        <w:pStyle w:val="Heading2"/>
      </w:pPr>
      <w:bookmarkStart w:id="5" w:name="_Toc355188820"/>
      <w:r>
        <w:br w:type="page"/>
      </w:r>
    </w:p>
    <w:p w:rsidR="00CC1B1A" w:rsidRPr="00957565" w:rsidRDefault="00CC1B1A" w:rsidP="002E2D3E">
      <w:pPr>
        <w:pStyle w:val="Heading2"/>
      </w:pPr>
      <w:r w:rsidRPr="00957565">
        <w:lastRenderedPageBreak/>
        <w:t>Section 3: Explanatory tables and budgeted financial statements</w:t>
      </w:r>
    </w:p>
    <w:p w:rsidR="00A81D60" w:rsidRDefault="00A81D60" w:rsidP="00A81D60">
      <w:r>
        <w:t>Section 3 presents explanatory tables and budgeted financial statements which provide a comprehensive snapshot of entity finances for the 2015–16</w:t>
      </w:r>
      <w:r>
        <w:rPr>
          <w:color w:val="00B050"/>
        </w:rPr>
        <w:t xml:space="preserve"> </w:t>
      </w:r>
      <w:r>
        <w:t xml:space="preserve">budget </w:t>
      </w:r>
      <w:proofErr w:type="gramStart"/>
      <w:r>
        <w:t>year</w:t>
      </w:r>
      <w:proofErr w:type="gramEnd"/>
      <w:r>
        <w:t>. It explains how budget plans are incorporated into the financial statements and provides further details of the reconciliation between appropriations and programme expenses, movements in administered funds, special accounts and government indigenous expenditure.</w:t>
      </w:r>
    </w:p>
    <w:p w:rsidR="00CC1B1A" w:rsidRPr="00957565" w:rsidRDefault="00CC1B1A" w:rsidP="002E2D3E">
      <w:pPr>
        <w:pStyle w:val="Heading3"/>
      </w:pPr>
      <w:r w:rsidRPr="00957565">
        <w:t>3.1</w:t>
      </w:r>
      <w:r w:rsidRPr="00957565">
        <w:tab/>
        <w:t>Explanatory tables</w:t>
      </w:r>
    </w:p>
    <w:p w:rsidR="00CC1B1A" w:rsidRPr="00957565" w:rsidRDefault="00CC1B1A" w:rsidP="00232729">
      <w:pPr>
        <w:pStyle w:val="Heading4"/>
      </w:pPr>
      <w:r w:rsidRPr="00957565">
        <w:t>Table 3.1.1: Movement of administered funds between years</w:t>
      </w:r>
    </w:p>
    <w:p w:rsidR="00CC1B1A" w:rsidRPr="00957565" w:rsidRDefault="00CC1B1A" w:rsidP="002E2D3E">
      <w:r w:rsidRPr="00957565">
        <w:t>The Fair Work Commission has no administered funds. For this reason Table</w:t>
      </w:r>
      <w:r w:rsidR="00AF2221">
        <w:t> </w:t>
      </w:r>
      <w:r w:rsidRPr="00957565">
        <w:t>3.1.1 is not presented.</w:t>
      </w:r>
    </w:p>
    <w:p w:rsidR="00CC1B1A" w:rsidRPr="00957565" w:rsidRDefault="00CC1B1A" w:rsidP="00232729">
      <w:pPr>
        <w:pStyle w:val="Heading4"/>
      </w:pPr>
      <w:r w:rsidRPr="00957565">
        <w:t xml:space="preserve">Table 3.1.2: </w:t>
      </w:r>
      <w:r w:rsidR="009669E1">
        <w:t>Special accounts</w:t>
      </w:r>
    </w:p>
    <w:p w:rsidR="00CC1B1A" w:rsidRPr="00957565" w:rsidRDefault="00CC1B1A" w:rsidP="002E2D3E">
      <w:r w:rsidRPr="00957565">
        <w:t>The Fair Work Commission has no special accounts. For this reason Table 3.1.2 is not presented.</w:t>
      </w:r>
    </w:p>
    <w:p w:rsidR="00CC1B1A" w:rsidRPr="00957565" w:rsidRDefault="00CC1B1A" w:rsidP="00232729">
      <w:pPr>
        <w:pStyle w:val="Heading4"/>
      </w:pPr>
      <w:r w:rsidRPr="00957565">
        <w:t>Table 3.1.3: Australian G</w:t>
      </w:r>
      <w:r w:rsidR="006F26BA">
        <w:t xml:space="preserve">overnment Indigenous </w:t>
      </w:r>
      <w:r w:rsidR="00A81D60">
        <w:t>e</w:t>
      </w:r>
      <w:r w:rsidR="006F26BA">
        <w:t>xpenditure</w:t>
      </w:r>
    </w:p>
    <w:p w:rsidR="006F26BA" w:rsidRPr="00957565" w:rsidRDefault="006F26BA" w:rsidP="006F26BA">
      <w:r w:rsidRPr="00957565">
        <w:t xml:space="preserve">The Fair Work Commission has no </w:t>
      </w:r>
      <w:r>
        <w:t xml:space="preserve">Australian Government Indigenous </w:t>
      </w:r>
      <w:r w:rsidR="00A81D60">
        <w:t>e</w:t>
      </w:r>
      <w:r>
        <w:t>xpenditure</w:t>
      </w:r>
      <w:r w:rsidRPr="00957565">
        <w:t>. For this reason Table 3.1.</w:t>
      </w:r>
      <w:r w:rsidR="009669E1">
        <w:t>3</w:t>
      </w:r>
      <w:r w:rsidRPr="00957565">
        <w:t xml:space="preserve"> is not presented.</w:t>
      </w:r>
    </w:p>
    <w:p w:rsidR="00CC1B1A" w:rsidRPr="00957565" w:rsidRDefault="00CC1B1A" w:rsidP="002E2D3E">
      <w:pPr>
        <w:pStyle w:val="Heading3"/>
      </w:pPr>
      <w:r w:rsidRPr="00957565">
        <w:t>3.2</w:t>
      </w:r>
      <w:r w:rsidRPr="00957565">
        <w:tab/>
        <w:t>Budgeted financial statements</w:t>
      </w:r>
      <w:bookmarkEnd w:id="5"/>
    </w:p>
    <w:p w:rsidR="00CC1B1A" w:rsidRPr="00957565" w:rsidRDefault="00CC1B1A" w:rsidP="002E2D3E">
      <w:pPr>
        <w:pStyle w:val="Heading4"/>
      </w:pPr>
      <w:r w:rsidRPr="00957565">
        <w:t>3.2.1</w:t>
      </w:r>
      <w:r w:rsidRPr="00957565">
        <w:tab/>
        <w:t>Differences in agency resourcing and financial statements</w:t>
      </w:r>
    </w:p>
    <w:p w:rsidR="00CC1B1A" w:rsidRPr="00957565" w:rsidRDefault="00CC1B1A" w:rsidP="002E2D3E">
      <w:r w:rsidRPr="00957565">
        <w:t>The Fair Work Commission has nil difference to report.</w:t>
      </w:r>
    </w:p>
    <w:p w:rsidR="00CC1B1A" w:rsidRPr="00957565" w:rsidRDefault="00CC1B1A" w:rsidP="002E2D3E">
      <w:pPr>
        <w:pStyle w:val="Heading4"/>
      </w:pPr>
      <w:r w:rsidRPr="00957565">
        <w:t>3.2.2</w:t>
      </w:r>
      <w:r w:rsidRPr="00957565">
        <w:tab/>
        <w:t>Analysis of budgeted financial statements</w:t>
      </w:r>
    </w:p>
    <w:p w:rsidR="00CC1B1A" w:rsidRPr="009429FC" w:rsidRDefault="00CC1B1A" w:rsidP="002E2D3E">
      <w:r>
        <w:t xml:space="preserve">The Fair Work Commission is budgeting for a deficit equal to the unappropriated depreciation and amortisation expense in 2015–16 and the three forward years. </w:t>
      </w:r>
    </w:p>
    <w:p w:rsidR="00CC1B1A" w:rsidRDefault="00CC1B1A" w:rsidP="002E2D3E">
      <w:r>
        <w:t>Total revenue is estimated to be $81.97 million in 2015–16</w:t>
      </w:r>
      <w:r w:rsidR="00E551F8">
        <w:t>, and total expenses to be $86.6</w:t>
      </w:r>
      <w:r>
        <w:t xml:space="preserve"> million including depreciation and amortisation. </w:t>
      </w:r>
    </w:p>
    <w:p w:rsidR="00CC1B1A" w:rsidRDefault="00CC1B1A" w:rsidP="002E2D3E">
      <w:r>
        <w:t>Total assets for 2015–16 are estimated to be $6</w:t>
      </w:r>
      <w:r w:rsidR="00E551F8">
        <w:t>8</w:t>
      </w:r>
      <w:r>
        <w:t xml:space="preserve"> million dollars. Non-financial assets reflect the operations of the Commission, being office fit outs, computer and office equipment, and computer software (included in intangibles). The Commission is planning asset acquisitions in the 2015–16 year primarily relating to information technology equipment, software, and minor office accommodation costs. </w:t>
      </w:r>
    </w:p>
    <w:p w:rsidR="00CC1B1A" w:rsidRDefault="00CC1B1A" w:rsidP="002E2D3E">
      <w:r>
        <w:lastRenderedPageBreak/>
        <w:t>Total liabilities for 2015–16 are estimated to be $29.9 million. The largest liabilities are</w:t>
      </w:r>
      <w:r w:rsidRPr="009429FC">
        <w:t xml:space="preserve"> </w:t>
      </w:r>
      <w:r>
        <w:t>accrued employee entitlements.</w:t>
      </w:r>
    </w:p>
    <w:p w:rsidR="00CC1B1A" w:rsidRPr="00957565" w:rsidRDefault="00CC1B1A" w:rsidP="002E2D3E">
      <w:pPr>
        <w:pStyle w:val="Heading4"/>
      </w:pPr>
      <w:r w:rsidRPr="00957565">
        <w:t>3.2.3 Budgeted financial statements tables</w:t>
      </w:r>
    </w:p>
    <w:p w:rsidR="00CC1B1A" w:rsidRPr="00957565" w:rsidRDefault="00CC1B1A" w:rsidP="00232729">
      <w:pPr>
        <w:pStyle w:val="TableHeading"/>
      </w:pPr>
      <w:r w:rsidRPr="00957565">
        <w:t>Table 3.2.1 Comprehensive income statement (showing net cost of services) for the period ended 30 June</w:t>
      </w:r>
    </w:p>
    <w:p w:rsidR="00CC1B1A" w:rsidRPr="00957565" w:rsidRDefault="00ED5466" w:rsidP="00317E2D">
      <w:pPr>
        <w:pStyle w:val="TableGraphic"/>
        <w:rPr>
          <w:noProof/>
        </w:rPr>
      </w:pPr>
      <w:r>
        <w:rPr>
          <w:noProof/>
        </w:rPr>
        <w:pict>
          <v:shape id="_x0000_i1087" type="#_x0000_t75" style="width:359.35pt;height:323.7pt">
            <v:imagedata r:id="rId23" o:title=""/>
          </v:shape>
        </w:pict>
      </w:r>
    </w:p>
    <w:p w:rsidR="00AF2221" w:rsidRDefault="00AF2221" w:rsidP="00232729">
      <w:pPr>
        <w:pStyle w:val="FootnoteText"/>
      </w:pPr>
    </w:p>
    <w:p w:rsidR="00CC1B1A" w:rsidRDefault="00CC1B1A" w:rsidP="00232729">
      <w:pPr>
        <w:pStyle w:val="FootnoteText"/>
      </w:pPr>
      <w:proofErr w:type="gramStart"/>
      <w:r w:rsidRPr="00957565">
        <w:t>Prepared an Australian accounting standards basis.</w:t>
      </w:r>
      <w:proofErr w:type="gramEnd"/>
      <w:r>
        <w:br w:type="page"/>
      </w:r>
    </w:p>
    <w:p w:rsidR="00CC1B1A" w:rsidRPr="00957565" w:rsidRDefault="00CC1B1A" w:rsidP="00317E2D">
      <w:pPr>
        <w:pStyle w:val="TableHeading"/>
      </w:pPr>
      <w:r w:rsidRPr="00957565">
        <w:lastRenderedPageBreak/>
        <w:t>Table 3.2.1 Comprehensive income statement (showing net cost of services) for the period ended 30 June</w:t>
      </w:r>
      <w:r>
        <w:t xml:space="preserve"> (continued)</w:t>
      </w:r>
    </w:p>
    <w:p w:rsidR="00CC1B1A" w:rsidRPr="00957565" w:rsidRDefault="00AF2221" w:rsidP="00AF2221">
      <w:pPr>
        <w:pStyle w:val="TableHeading"/>
      </w:pPr>
      <w:r w:rsidRPr="00AF2221">
        <w:t>Note: Impact of net cash appropriation arrangements</w:t>
      </w:r>
    </w:p>
    <w:p w:rsidR="00AF2221" w:rsidRDefault="00ED5466" w:rsidP="00E551F8">
      <w:pPr>
        <w:pStyle w:val="FootnoteText"/>
      </w:pPr>
      <w:r>
        <w:pict>
          <v:shape id="_x0000_i1088" type="#_x0000_t75" style="width:358.75pt;height:127.7pt">
            <v:imagedata r:id="rId24" o:title=""/>
          </v:shape>
        </w:pict>
      </w:r>
    </w:p>
    <w:p w:rsidR="003D00D4" w:rsidRDefault="00CC1B1A" w:rsidP="00317E2D">
      <w:pPr>
        <w:pStyle w:val="FootnoteText"/>
      </w:pPr>
      <w:r w:rsidRPr="00AF2221">
        <w:rPr>
          <w:vertAlign w:val="superscript"/>
        </w:rPr>
        <w:t>1</w:t>
      </w:r>
      <w:r w:rsidRPr="00317E2D">
        <w:t xml:space="preserve"> From 2010</w:t>
      </w:r>
      <w:r>
        <w:t>–</w:t>
      </w:r>
      <w:r w:rsidRPr="00317E2D">
        <w:t xml:space="preserve">11, the </w:t>
      </w:r>
      <w:r>
        <w:t>g</w:t>
      </w:r>
      <w:r w:rsidRPr="00317E2D">
        <w:t xml:space="preserve">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w:t>
      </w:r>
      <w:proofErr w:type="spellStart"/>
      <w:r w:rsidRPr="00317E2D">
        <w:t>DCB</w:t>
      </w:r>
      <w:proofErr w:type="spellEnd"/>
      <w:r w:rsidRPr="00317E2D">
        <w:t xml:space="preserve">) provided through Bill 1 equity appropriations. For information regarding </w:t>
      </w:r>
      <w:proofErr w:type="spellStart"/>
      <w:r w:rsidRPr="00317E2D">
        <w:t>DCBs</w:t>
      </w:r>
      <w:proofErr w:type="spellEnd"/>
      <w:r w:rsidRPr="00317E2D">
        <w:t>, please refer to Table 3.2.5 Department</w:t>
      </w:r>
      <w:r w:rsidR="003D00D4">
        <w:t>al Capital Budget Statement.</w:t>
      </w:r>
    </w:p>
    <w:p w:rsidR="00CC1B1A" w:rsidRDefault="00CC1B1A" w:rsidP="00317E2D">
      <w:pPr>
        <w:pStyle w:val="FootnoteText"/>
      </w:pPr>
      <w:r>
        <w:br w:type="page"/>
      </w:r>
    </w:p>
    <w:p w:rsidR="00CC1B1A" w:rsidRPr="00957565" w:rsidRDefault="00CC1B1A" w:rsidP="00232729">
      <w:pPr>
        <w:pStyle w:val="TableHeading"/>
      </w:pPr>
      <w:r w:rsidRPr="00957565">
        <w:lastRenderedPageBreak/>
        <w:t xml:space="preserve">Table 3.2.2 </w:t>
      </w:r>
      <w:proofErr w:type="gramStart"/>
      <w:r w:rsidRPr="00957565">
        <w:t>Budgeted</w:t>
      </w:r>
      <w:proofErr w:type="gramEnd"/>
      <w:r w:rsidRPr="00957565">
        <w:t xml:space="preserve"> departmental balance sheet (as at 30 June)</w:t>
      </w:r>
    </w:p>
    <w:p w:rsidR="00CC1B1A" w:rsidRPr="00957565" w:rsidRDefault="00ED5466" w:rsidP="005D49A6">
      <w:pPr>
        <w:pStyle w:val="TableGraphic"/>
      </w:pPr>
      <w:r>
        <w:pict>
          <v:shape id="_x0000_i1089" type="#_x0000_t75" style="width:358.75pt;height:403.85pt">
            <v:imagedata r:id="rId25" o:title=""/>
          </v:shape>
        </w:pict>
      </w:r>
    </w:p>
    <w:p w:rsidR="005D49A6" w:rsidRDefault="005D49A6" w:rsidP="00232729">
      <w:pPr>
        <w:pStyle w:val="FootnoteText"/>
      </w:pPr>
    </w:p>
    <w:p w:rsidR="00CC1B1A" w:rsidRDefault="00CC1B1A" w:rsidP="00232729">
      <w:pPr>
        <w:pStyle w:val="FootnoteText"/>
      </w:pPr>
      <w:r w:rsidRPr="00317E2D">
        <w:t>*Equity is the residual interest in assets after the deduction of liabilities.</w:t>
      </w:r>
    </w:p>
    <w:p w:rsidR="00CC1B1A" w:rsidRPr="00957565" w:rsidRDefault="00CC1B1A" w:rsidP="00232729">
      <w:pPr>
        <w:pStyle w:val="FootnoteText"/>
      </w:pPr>
      <w:proofErr w:type="gramStart"/>
      <w:r w:rsidRPr="00957565">
        <w:t>Prepared on an Australian accounting standards basis.</w:t>
      </w:r>
      <w:proofErr w:type="gramEnd"/>
    </w:p>
    <w:p w:rsidR="00CC1B1A" w:rsidRDefault="00CC1B1A" w:rsidP="00232729">
      <w:pPr>
        <w:pStyle w:val="TableHeading"/>
      </w:pPr>
      <w:r>
        <w:br w:type="page"/>
      </w:r>
    </w:p>
    <w:p w:rsidR="00CC1B1A" w:rsidRPr="00957565" w:rsidRDefault="00CC1B1A" w:rsidP="00232729">
      <w:pPr>
        <w:pStyle w:val="TableHeading"/>
      </w:pPr>
      <w:r w:rsidRPr="00957565">
        <w:lastRenderedPageBreak/>
        <w:t>Table 3.2.3 Budgeted statement of changes in equity—summary of movement (Budget Year 201</w:t>
      </w:r>
      <w:r>
        <w:t>5</w:t>
      </w:r>
      <w:r w:rsidRPr="00957565">
        <w:t>–1</w:t>
      </w:r>
      <w:r>
        <w:t>6</w:t>
      </w:r>
      <w:r w:rsidRPr="00957565">
        <w:t>)</w:t>
      </w:r>
    </w:p>
    <w:p w:rsidR="00CC1B1A" w:rsidRPr="00957565" w:rsidRDefault="00ED5466" w:rsidP="005D49A6">
      <w:pPr>
        <w:pStyle w:val="FootnoteText"/>
      </w:pPr>
      <w:r>
        <w:pict>
          <v:shape id="_x0000_i1090" type="#_x0000_t75" style="width:366.25pt;height:211pt">
            <v:imagedata r:id="rId26" o:title=""/>
          </v:shape>
        </w:pict>
      </w:r>
    </w:p>
    <w:p w:rsidR="00CC1B1A" w:rsidRPr="00957565" w:rsidRDefault="005D49A6" w:rsidP="00232729">
      <w:pPr>
        <w:pStyle w:val="FootnoteText"/>
      </w:pPr>
      <w:proofErr w:type="gramStart"/>
      <w:r>
        <w:t xml:space="preserve">Prepared on </w:t>
      </w:r>
      <w:r w:rsidR="00CC1B1A" w:rsidRPr="00957565">
        <w:t>Australian accounting standards basis.</w:t>
      </w:r>
      <w:proofErr w:type="gramEnd"/>
    </w:p>
    <w:p w:rsidR="00CC1B1A" w:rsidRDefault="00CC1B1A" w:rsidP="00232729">
      <w:pPr>
        <w:pStyle w:val="TableHeading"/>
      </w:pPr>
      <w:r>
        <w:br w:type="page"/>
      </w:r>
    </w:p>
    <w:p w:rsidR="00CC1B1A" w:rsidRPr="00957565" w:rsidRDefault="00CC1B1A" w:rsidP="00232729">
      <w:pPr>
        <w:pStyle w:val="TableHeading"/>
      </w:pPr>
      <w:r w:rsidRPr="00957565">
        <w:lastRenderedPageBreak/>
        <w:t>Table 3.2.4 Budgeted departmental statement of cash flows (for the period ended 30 June)</w:t>
      </w:r>
    </w:p>
    <w:p w:rsidR="00CC1B1A" w:rsidRPr="00957565" w:rsidRDefault="00ED5466" w:rsidP="005D49A6">
      <w:pPr>
        <w:pStyle w:val="FootnoteText"/>
      </w:pPr>
      <w:r>
        <w:pict>
          <v:shape id="_x0000_i1091" type="#_x0000_t75" style="width:363.75pt;height:410.1pt;mso-position-vertical:absolute">
            <v:imagedata r:id="rId27" o:title=""/>
          </v:shape>
        </w:pict>
      </w:r>
    </w:p>
    <w:p w:rsidR="00CC1B1A" w:rsidRPr="00957565" w:rsidRDefault="005D49A6" w:rsidP="00232729">
      <w:pPr>
        <w:pStyle w:val="FootnoteText"/>
      </w:pPr>
      <w:proofErr w:type="gramStart"/>
      <w:r>
        <w:t xml:space="preserve">Prepared on </w:t>
      </w:r>
      <w:r w:rsidR="00CC1B1A" w:rsidRPr="00957565">
        <w:t>Australian accounting standards basis.</w:t>
      </w:r>
      <w:proofErr w:type="gramEnd"/>
    </w:p>
    <w:p w:rsidR="00CC1B1A" w:rsidRDefault="00CC1B1A" w:rsidP="00232729">
      <w:pPr>
        <w:pStyle w:val="TableHeading"/>
      </w:pPr>
      <w:r>
        <w:br w:type="page"/>
      </w:r>
    </w:p>
    <w:p w:rsidR="00CC1B1A" w:rsidRPr="009F52B8" w:rsidRDefault="00CC1B1A" w:rsidP="009F52B8">
      <w:pPr>
        <w:pStyle w:val="TableHeading"/>
      </w:pPr>
      <w:r w:rsidRPr="009F52B8">
        <w:lastRenderedPageBreak/>
        <w:t>Table 3.2.5 Departmental capital budget statement</w:t>
      </w:r>
      <w:r w:rsidR="009F52B8" w:rsidRPr="009F52B8">
        <w:t xml:space="preserve"> (for the period ended 30 June)</w:t>
      </w:r>
    </w:p>
    <w:p w:rsidR="00CC1B1A" w:rsidRPr="005D49A6" w:rsidRDefault="00ED5466" w:rsidP="005D49A6">
      <w:pPr>
        <w:pStyle w:val="TableGraphic"/>
      </w:pPr>
      <w:r>
        <w:pict>
          <v:shape id="_x0000_i1092" type="#_x0000_t75" style="width:359.35pt;height:257.3pt;mso-position-vertical:absolute">
            <v:imagedata r:id="rId28" o:title=""/>
          </v:shape>
        </w:pict>
      </w:r>
    </w:p>
    <w:p w:rsidR="00AF2221" w:rsidRDefault="00AF2221" w:rsidP="00634AD9">
      <w:pPr>
        <w:pStyle w:val="FootnoteText"/>
      </w:pPr>
    </w:p>
    <w:p w:rsidR="00CC1B1A" w:rsidRDefault="00CC1B1A" w:rsidP="00634AD9">
      <w:pPr>
        <w:pStyle w:val="FootnoteText"/>
      </w:pPr>
      <w:r w:rsidRPr="00AF2221">
        <w:rPr>
          <w:vertAlign w:val="superscript"/>
        </w:rPr>
        <w:t>1</w:t>
      </w:r>
      <w:r>
        <w:t xml:space="preserve"> Includes both current Bill 2 and prior Act 2/4/6 appropriations and </w:t>
      </w:r>
      <w:r w:rsidR="0028081A">
        <w:t>special capital appropriations.</w:t>
      </w:r>
    </w:p>
    <w:p w:rsidR="00CC1B1A" w:rsidRDefault="00CC1B1A" w:rsidP="00634AD9">
      <w:pPr>
        <w:pStyle w:val="FootnoteText"/>
      </w:pPr>
      <w:r w:rsidRPr="00AF2221">
        <w:rPr>
          <w:vertAlign w:val="superscript"/>
        </w:rPr>
        <w:t>2</w:t>
      </w:r>
      <w:r>
        <w:t xml:space="preserve"> Does not include annual finance lease costs. Include purchases from current and previous years' Departmental Capital Budgets (</w:t>
      </w:r>
      <w:proofErr w:type="spellStart"/>
      <w:r>
        <w:t>DCBs</w:t>
      </w:r>
      <w:proofErr w:type="spellEnd"/>
      <w:r>
        <w:t>).</w:t>
      </w:r>
    </w:p>
    <w:p w:rsidR="00CC1B1A" w:rsidRDefault="00CC1B1A" w:rsidP="00634AD9">
      <w:pPr>
        <w:pStyle w:val="FootnoteText"/>
      </w:pPr>
      <w:r w:rsidRPr="00AF2221">
        <w:rPr>
          <w:vertAlign w:val="superscript"/>
        </w:rPr>
        <w:t>3</w:t>
      </w:r>
      <w:r>
        <w:t xml:space="preserve"> Includes the following sources of funding: </w:t>
      </w:r>
    </w:p>
    <w:p w:rsidR="0028081A" w:rsidRPr="00844BE8" w:rsidRDefault="00AF47A1" w:rsidP="00634AD9">
      <w:pPr>
        <w:pStyle w:val="FootnoteText"/>
      </w:pPr>
      <w:r>
        <w:tab/>
      </w:r>
      <w:r w:rsidR="00CC1B1A" w:rsidRPr="00844BE8">
        <w:t xml:space="preserve">- </w:t>
      </w:r>
      <w:proofErr w:type="gramStart"/>
      <w:r w:rsidR="00CC1B1A" w:rsidRPr="00844BE8">
        <w:t>current</w:t>
      </w:r>
      <w:proofErr w:type="gramEnd"/>
      <w:r w:rsidR="00CC1B1A" w:rsidRPr="00844BE8">
        <w:t xml:space="preserve"> Bill 1 and prior year Act 1/3/5 appropriations (excluding amounts from the </w:t>
      </w:r>
      <w:proofErr w:type="spellStart"/>
      <w:r w:rsidR="00CC1B1A" w:rsidRPr="00844BE8">
        <w:t>DCB</w:t>
      </w:r>
      <w:proofErr w:type="spellEnd"/>
      <w:r w:rsidR="00CC1B1A" w:rsidRPr="00844BE8">
        <w:t>)</w:t>
      </w:r>
      <w:r w:rsidR="00CC1B1A" w:rsidRPr="00844BE8">
        <w:tab/>
      </w:r>
    </w:p>
    <w:p w:rsidR="00CC1B1A" w:rsidRPr="00844BE8" w:rsidRDefault="00AF47A1" w:rsidP="00634AD9">
      <w:pPr>
        <w:pStyle w:val="FootnoteText"/>
      </w:pPr>
      <w:r>
        <w:tab/>
      </w:r>
      <w:r w:rsidR="00CC1B1A" w:rsidRPr="00844BE8">
        <w:t xml:space="preserve">- </w:t>
      </w:r>
      <w:proofErr w:type="gramStart"/>
      <w:r w:rsidR="00CC1B1A" w:rsidRPr="00844BE8">
        <w:t>donatio</w:t>
      </w:r>
      <w:r w:rsidR="00A413AD">
        <w:t>ns</w:t>
      </w:r>
      <w:proofErr w:type="gramEnd"/>
      <w:r w:rsidR="00A413AD">
        <w:t xml:space="preserve"> and contributions</w:t>
      </w:r>
      <w:r w:rsidR="00CC1B1A" w:rsidRPr="00844BE8">
        <w:tab/>
      </w:r>
    </w:p>
    <w:p w:rsidR="00CC1B1A" w:rsidRPr="00844BE8" w:rsidRDefault="00AF47A1" w:rsidP="00634AD9">
      <w:pPr>
        <w:pStyle w:val="FootnoteText"/>
      </w:pPr>
      <w:r>
        <w:tab/>
      </w:r>
      <w:r w:rsidR="00A413AD">
        <w:t xml:space="preserve">- </w:t>
      </w:r>
      <w:proofErr w:type="gramStart"/>
      <w:r w:rsidR="00A413AD">
        <w:t>gifts</w:t>
      </w:r>
      <w:proofErr w:type="gramEnd"/>
      <w:r w:rsidR="00CC1B1A" w:rsidRPr="00844BE8">
        <w:tab/>
      </w:r>
    </w:p>
    <w:p w:rsidR="00CC1B1A" w:rsidRPr="00844BE8" w:rsidRDefault="00AF47A1" w:rsidP="00634AD9">
      <w:pPr>
        <w:pStyle w:val="FootnoteText"/>
      </w:pPr>
      <w:r>
        <w:tab/>
      </w:r>
      <w:r w:rsidR="00CC1B1A" w:rsidRPr="00844BE8">
        <w:t xml:space="preserve">- </w:t>
      </w:r>
      <w:proofErr w:type="gramStart"/>
      <w:r w:rsidR="00CC1B1A" w:rsidRPr="00844BE8">
        <w:t>internally</w:t>
      </w:r>
      <w:proofErr w:type="gramEnd"/>
      <w:r w:rsidR="00CC1B1A" w:rsidRPr="00844BE8">
        <w:t xml:space="preserve"> developed assets</w:t>
      </w:r>
    </w:p>
    <w:p w:rsidR="00CC1B1A" w:rsidRPr="00844BE8" w:rsidRDefault="00AF47A1" w:rsidP="00634AD9">
      <w:pPr>
        <w:pStyle w:val="FootnoteText"/>
      </w:pPr>
      <w:r>
        <w:tab/>
      </w:r>
      <w:r w:rsidR="00CC1B1A" w:rsidRPr="00844BE8">
        <w:t>-</w:t>
      </w:r>
      <w:r w:rsidR="00A413AD">
        <w:t xml:space="preserve"> </w:t>
      </w:r>
      <w:proofErr w:type="gramStart"/>
      <w:r w:rsidR="00A413AD">
        <w:t>s</w:t>
      </w:r>
      <w:proofErr w:type="gramEnd"/>
      <w:r w:rsidR="00A413AD">
        <w:t xml:space="preserve"> 74 Retained revenue receipts</w:t>
      </w:r>
    </w:p>
    <w:p w:rsidR="00CC1B1A" w:rsidRDefault="00AF47A1" w:rsidP="00634AD9">
      <w:pPr>
        <w:pStyle w:val="FootnoteText"/>
      </w:pPr>
      <w:r>
        <w:tab/>
      </w:r>
      <w:r w:rsidR="00CC1B1A" w:rsidRPr="00844BE8">
        <w:t xml:space="preserve">- </w:t>
      </w:r>
      <w:proofErr w:type="gramStart"/>
      <w:r w:rsidR="00CC1B1A" w:rsidRPr="00844BE8">
        <w:t>proceeds</w:t>
      </w:r>
      <w:proofErr w:type="gramEnd"/>
      <w:r w:rsidR="00CC1B1A" w:rsidRPr="00844BE8">
        <w:t xml:space="preserve"> from the sale of assets.</w:t>
      </w:r>
    </w:p>
    <w:p w:rsidR="00CC1B1A" w:rsidRPr="00957565" w:rsidRDefault="005D49A6" w:rsidP="00232729">
      <w:pPr>
        <w:pStyle w:val="FootnoteText"/>
      </w:pPr>
      <w:proofErr w:type="gramStart"/>
      <w:r>
        <w:t>Prepared on</w:t>
      </w:r>
      <w:r w:rsidR="00CC1B1A" w:rsidRPr="00957565">
        <w:t xml:space="preserve"> Australian accounting standards basis.</w:t>
      </w:r>
      <w:proofErr w:type="gramEnd"/>
    </w:p>
    <w:p w:rsidR="00AF2221" w:rsidRDefault="00AF2221" w:rsidP="00232729">
      <w:pPr>
        <w:pStyle w:val="TableHeading"/>
      </w:pPr>
      <w:r>
        <w:br w:type="page"/>
      </w:r>
    </w:p>
    <w:p w:rsidR="00CC1B1A" w:rsidRPr="00957565" w:rsidRDefault="00CC1B1A" w:rsidP="00232729">
      <w:pPr>
        <w:pStyle w:val="TableHeading"/>
      </w:pPr>
      <w:r w:rsidRPr="00957565">
        <w:lastRenderedPageBreak/>
        <w:t>Table 3.2.6 Statement of asset movements (</w:t>
      </w:r>
      <w:r>
        <w:t>2015–16</w:t>
      </w:r>
      <w:r w:rsidRPr="00957565">
        <w:t>)</w:t>
      </w:r>
    </w:p>
    <w:p w:rsidR="00CC1B1A" w:rsidRDefault="00ED5466" w:rsidP="00BA2F8D">
      <w:pPr>
        <w:pStyle w:val="TableGraphic"/>
      </w:pPr>
      <w:r>
        <w:pict>
          <v:shape id="_x0000_i1093" type="#_x0000_t75" style="width:347.5pt;height:225.4pt">
            <v:imagedata r:id="rId29" o:title=""/>
          </v:shape>
        </w:pict>
      </w:r>
    </w:p>
    <w:p w:rsidR="009F52B8" w:rsidRPr="009F52B8" w:rsidRDefault="009F52B8" w:rsidP="009F52B8">
      <w:pPr>
        <w:pStyle w:val="FootnoteText"/>
      </w:pPr>
    </w:p>
    <w:p w:rsidR="00BA2F8D" w:rsidRPr="00BA2F8D" w:rsidRDefault="00BA2F8D" w:rsidP="00BA2F8D">
      <w:pPr>
        <w:pStyle w:val="FootnoteText"/>
      </w:pPr>
      <w:proofErr w:type="gramStart"/>
      <w:r w:rsidRPr="00BA2F8D">
        <w:rPr>
          <w:vertAlign w:val="superscript"/>
        </w:rPr>
        <w:t>1</w:t>
      </w:r>
      <w:r w:rsidRPr="00BA2F8D">
        <w:t xml:space="preserve"> "Appropriation equity"</w:t>
      </w:r>
      <w:proofErr w:type="gramEnd"/>
      <w:r w:rsidRPr="00BA2F8D">
        <w:t xml:space="preserve"> refers to equity injections appropriations provided through Appropriation Bill (No. 2) 2015-16, including </w:t>
      </w:r>
      <w:proofErr w:type="spellStart"/>
      <w:r w:rsidRPr="00BA2F8D">
        <w:t>CDABs</w:t>
      </w:r>
      <w:proofErr w:type="spellEnd"/>
      <w:r w:rsidRPr="00BA2F8D">
        <w:t>.</w:t>
      </w:r>
    </w:p>
    <w:p w:rsidR="00CC1B1A" w:rsidRPr="00957565" w:rsidRDefault="005D49A6" w:rsidP="00BA2F8D">
      <w:pPr>
        <w:pStyle w:val="FootnoteText"/>
      </w:pPr>
      <w:proofErr w:type="gramStart"/>
      <w:r>
        <w:t>Prepared on</w:t>
      </w:r>
      <w:r w:rsidR="00CC1B1A" w:rsidRPr="00957565">
        <w:t xml:space="preserve"> Australian accounting standards basis.</w:t>
      </w:r>
      <w:proofErr w:type="gramEnd"/>
    </w:p>
    <w:p w:rsidR="00CC1B1A" w:rsidRDefault="00CC1B1A" w:rsidP="00B233F5">
      <w:pPr>
        <w:pStyle w:val="TableHeading"/>
      </w:pPr>
      <w:r>
        <w:br w:type="page"/>
      </w:r>
    </w:p>
    <w:p w:rsidR="00CC1B1A" w:rsidRPr="00957565" w:rsidRDefault="00CC1B1A" w:rsidP="00B233F5">
      <w:pPr>
        <w:pStyle w:val="TableHeading"/>
      </w:pPr>
      <w:r w:rsidRPr="00957565">
        <w:lastRenderedPageBreak/>
        <w:t>Table 3.2.7 Schedule of budgeted income and expenses administered on behalf of Government (for the period ended 30 June)</w:t>
      </w:r>
    </w:p>
    <w:p w:rsidR="00CC1B1A" w:rsidRPr="00957565" w:rsidRDefault="00ED5466" w:rsidP="005D49A6">
      <w:pPr>
        <w:pStyle w:val="FootnoteText"/>
      </w:pPr>
      <w:r>
        <w:pict>
          <v:shape id="_x0000_i1094" type="#_x0000_t75" style="width:369.4pt;height:314.3pt;mso-position-vertical:absolute">
            <v:imagedata r:id="rId30" o:title=""/>
          </v:shape>
        </w:pict>
      </w:r>
    </w:p>
    <w:p w:rsidR="00CC1B1A" w:rsidRPr="00957565" w:rsidRDefault="00CC1B1A" w:rsidP="00B233F5">
      <w:pPr>
        <w:pStyle w:val="FootnoteText"/>
      </w:pPr>
      <w:proofErr w:type="gramStart"/>
      <w:r w:rsidRPr="00957565">
        <w:t>Prepare</w:t>
      </w:r>
      <w:r w:rsidR="005D49A6">
        <w:t>d on</w:t>
      </w:r>
      <w:r w:rsidRPr="00957565">
        <w:t xml:space="preserve"> Australian accounting standards basis.</w:t>
      </w:r>
      <w:proofErr w:type="gramEnd"/>
    </w:p>
    <w:p w:rsidR="00CC1B1A" w:rsidRDefault="00CC1B1A" w:rsidP="00B233F5">
      <w:pPr>
        <w:pStyle w:val="TableHeading"/>
      </w:pPr>
    </w:p>
    <w:p w:rsidR="00CC1B1A" w:rsidRPr="00957565" w:rsidRDefault="00CC1B1A" w:rsidP="00B233F5">
      <w:pPr>
        <w:pStyle w:val="TableHeading"/>
      </w:pPr>
      <w:r w:rsidRPr="00957565">
        <w:t>Table 3.2.8 Schedule of budgeted assets and liabilities administered on behalf of Government (as at 30 June)</w:t>
      </w:r>
    </w:p>
    <w:p w:rsidR="00CC1B1A" w:rsidRPr="00957565" w:rsidRDefault="00CC1B1A" w:rsidP="002E2D3E">
      <w:r w:rsidRPr="00957565">
        <w:t>The Fair Work Commission has no administered assets and liabilities. For this reason Table 3.2.8 is not presented.</w:t>
      </w:r>
    </w:p>
    <w:p w:rsidR="00CC1B1A" w:rsidRDefault="00CC1B1A" w:rsidP="00B233F5">
      <w:pPr>
        <w:pStyle w:val="TableHeading"/>
      </w:pPr>
      <w:r>
        <w:br w:type="page"/>
      </w:r>
    </w:p>
    <w:p w:rsidR="00CC1B1A" w:rsidRPr="00957565" w:rsidRDefault="00CC1B1A" w:rsidP="00B233F5">
      <w:pPr>
        <w:pStyle w:val="TableHeading"/>
      </w:pPr>
      <w:r w:rsidRPr="00957565">
        <w:lastRenderedPageBreak/>
        <w:t>Table 3.2.9 Schedule of budgeted administered cash flows (for the period ended 30 June)</w:t>
      </w:r>
    </w:p>
    <w:p w:rsidR="00CC1B1A" w:rsidRPr="005D49A6" w:rsidRDefault="00ED5466" w:rsidP="005D49A6">
      <w:pPr>
        <w:pStyle w:val="TableGraphic"/>
      </w:pPr>
      <w:r>
        <w:pict>
          <v:shape id="_x0000_i1095" type="#_x0000_t75" style="width:5in;height:386.3pt">
            <v:imagedata r:id="rId31" o:title=""/>
          </v:shape>
        </w:pict>
      </w:r>
    </w:p>
    <w:p w:rsidR="00AF2221" w:rsidRDefault="00AF2221" w:rsidP="00B233F5">
      <w:pPr>
        <w:pStyle w:val="FootnoteText"/>
      </w:pPr>
    </w:p>
    <w:p w:rsidR="00CC1B1A" w:rsidRDefault="005D49A6" w:rsidP="00B233F5">
      <w:pPr>
        <w:pStyle w:val="FootnoteText"/>
      </w:pPr>
      <w:proofErr w:type="gramStart"/>
      <w:r>
        <w:t xml:space="preserve">Prepared on </w:t>
      </w:r>
      <w:r w:rsidR="00CC1B1A" w:rsidRPr="00957565">
        <w:t>Australian accounting standards basis.</w:t>
      </w:r>
      <w:proofErr w:type="gramEnd"/>
    </w:p>
    <w:p w:rsidR="009F52B8" w:rsidRDefault="009F52B8" w:rsidP="00B233F5">
      <w:pPr>
        <w:pStyle w:val="TableHeading"/>
      </w:pPr>
      <w:r>
        <w:br w:type="page"/>
      </w:r>
    </w:p>
    <w:p w:rsidR="00CC1B1A" w:rsidRPr="00957565" w:rsidRDefault="00CC1B1A" w:rsidP="00B233F5">
      <w:pPr>
        <w:pStyle w:val="TableHeading"/>
      </w:pPr>
      <w:r w:rsidRPr="00957565">
        <w:lastRenderedPageBreak/>
        <w:t>Table 3.2.10 Schedule of administered capital budget statement</w:t>
      </w:r>
      <w:r w:rsidR="009F52B8">
        <w:t xml:space="preserve"> (for the period ended 30 June)</w:t>
      </w:r>
    </w:p>
    <w:p w:rsidR="00CC1B1A" w:rsidRPr="00957565" w:rsidRDefault="00CC1B1A" w:rsidP="002E2D3E">
      <w:r w:rsidRPr="00957565">
        <w:t>The Fair Work Commission has no administered capital budget. For this reason Table 3.2.10 is not presented.</w:t>
      </w:r>
    </w:p>
    <w:p w:rsidR="00CC1B1A" w:rsidRPr="00957565" w:rsidRDefault="00CC1B1A" w:rsidP="00B233F5">
      <w:pPr>
        <w:pStyle w:val="TableHeading"/>
      </w:pPr>
      <w:r w:rsidRPr="00957565">
        <w:t>Table 3.2.11 Statement of administered asset movements (</w:t>
      </w:r>
      <w:r w:rsidR="009F52B8">
        <w:t xml:space="preserve">Budget year </w:t>
      </w:r>
      <w:r>
        <w:t>2015</w:t>
      </w:r>
      <w:r w:rsidR="009F52B8">
        <w:t>–</w:t>
      </w:r>
      <w:r>
        <w:t>16</w:t>
      </w:r>
      <w:r w:rsidRPr="00957565">
        <w:t>)</w:t>
      </w:r>
    </w:p>
    <w:p w:rsidR="003D00D4" w:rsidRDefault="00CC1B1A" w:rsidP="00AF2221">
      <w:r w:rsidRPr="00957565">
        <w:t>The Fair Work Commission has no administered assets and liabilities. For this reason Table 3.2.11 is not presented.</w:t>
      </w:r>
    </w:p>
    <w:p w:rsidR="00CC1B1A" w:rsidRDefault="00CC1B1A" w:rsidP="00AF2221">
      <w:r>
        <w:br w:type="page"/>
      </w:r>
    </w:p>
    <w:p w:rsidR="00CC1B1A" w:rsidRDefault="00CC1B1A" w:rsidP="002E2D3E">
      <w:pPr>
        <w:pStyle w:val="Heading4"/>
      </w:pPr>
      <w:r>
        <w:lastRenderedPageBreak/>
        <w:t>3.2.4</w:t>
      </w:r>
      <w:r>
        <w:tab/>
        <w:t>Notes to the financial statements</w:t>
      </w:r>
    </w:p>
    <w:p w:rsidR="00CC1B1A" w:rsidRPr="00A103BD" w:rsidRDefault="00CC1B1A" w:rsidP="00A103BD">
      <w:pPr>
        <w:pStyle w:val="Heading5"/>
      </w:pPr>
      <w:bookmarkStart w:id="6" w:name="_Toc164501081"/>
      <w:bookmarkStart w:id="7" w:name="_Toc164503256"/>
      <w:r w:rsidRPr="00A103BD">
        <w:t>Accounting Policy</w:t>
      </w:r>
      <w:bookmarkEnd w:id="6"/>
      <w:bookmarkEnd w:id="7"/>
    </w:p>
    <w:p w:rsidR="00CC1B1A" w:rsidRPr="004D48F4" w:rsidRDefault="00CC1B1A" w:rsidP="002E2D3E">
      <w:r w:rsidRPr="004D48F4">
        <w:t>The budgeted financial statements have been prepared in accordance with the requirements of the Finance Minister’s Orders iss</w:t>
      </w:r>
      <w:r>
        <w:t xml:space="preserve">ued by the Minister for Finance. </w:t>
      </w:r>
    </w:p>
    <w:p w:rsidR="00CC1B1A" w:rsidRPr="004D48F4" w:rsidRDefault="00CC1B1A" w:rsidP="002E2D3E">
      <w:r w:rsidRPr="004D48F4">
        <w:t>The statements have been prepared:</w:t>
      </w:r>
    </w:p>
    <w:p w:rsidR="00CC1B1A" w:rsidRPr="00D648B7" w:rsidRDefault="00CC1B1A" w:rsidP="00CC1B1A">
      <w:pPr>
        <w:pStyle w:val="Bullet"/>
        <w:spacing w:before="120" w:after="120"/>
      </w:pPr>
      <w:r w:rsidRPr="00D648B7">
        <w:t xml:space="preserve">on </w:t>
      </w:r>
      <w:r w:rsidR="00AF2221">
        <w:t>an accrual accounting basis</w:t>
      </w:r>
    </w:p>
    <w:p w:rsidR="00CC1B1A" w:rsidRPr="00D648B7" w:rsidRDefault="00CC1B1A" w:rsidP="00CC1B1A">
      <w:pPr>
        <w:pStyle w:val="Bullet"/>
        <w:spacing w:before="120" w:after="120"/>
      </w:pPr>
      <w:r w:rsidRPr="00D648B7">
        <w:t>in compliance with Australian Accounting Standards and Australian Equivalents to International Financial Reporting Standards (</w:t>
      </w:r>
      <w:proofErr w:type="spellStart"/>
      <w:r w:rsidRPr="00D648B7">
        <w:t>AEIFRS</w:t>
      </w:r>
      <w:proofErr w:type="spellEnd"/>
      <w:r w:rsidRPr="00D648B7">
        <w:t>) and other authoritative pronouncements of the Australian Accounting Standards Board and the Consensus Views of the Urgent Issues Group.</w:t>
      </w:r>
    </w:p>
    <w:p w:rsidR="00CC1B1A" w:rsidRPr="00A103BD" w:rsidRDefault="00CC1B1A" w:rsidP="00A103BD">
      <w:pPr>
        <w:pStyle w:val="Heading5"/>
      </w:pPr>
      <w:r w:rsidRPr="00A103BD">
        <w:t>Departmental Revenue from Government</w:t>
      </w:r>
    </w:p>
    <w:p w:rsidR="00CC1B1A" w:rsidRPr="00EC63DF" w:rsidRDefault="00CC1B1A" w:rsidP="002E2D3E">
      <w:r w:rsidRPr="004D48F4">
        <w:t xml:space="preserve">Revenue from government represents the purchase of outputs from </w:t>
      </w:r>
      <w:r>
        <w:t>the Fair Work Commission</w:t>
      </w:r>
      <w:r w:rsidR="005D49A6">
        <w:t xml:space="preserve"> by the g</w:t>
      </w:r>
      <w:r w:rsidRPr="004D48F4">
        <w:t xml:space="preserve">overnment. The changes reflected in the ordinary annual appropriations are a result of those new measures and variations that are </w:t>
      </w:r>
      <w:r w:rsidRPr="00EC63DF">
        <w:t>explained in Section 1: Agency overview and resources, variations and measures.</w:t>
      </w:r>
    </w:p>
    <w:p w:rsidR="00CC1B1A" w:rsidRPr="00A103BD" w:rsidRDefault="00CC1B1A" w:rsidP="00A103BD">
      <w:pPr>
        <w:pStyle w:val="Heading5"/>
      </w:pPr>
      <w:bookmarkStart w:id="8" w:name="_Toc164501083"/>
      <w:bookmarkStart w:id="9" w:name="_Toc164503258"/>
      <w:r w:rsidRPr="00A103BD">
        <w:t>Departmental Revenue from Other Sources</w:t>
      </w:r>
      <w:bookmarkEnd w:id="8"/>
      <w:bookmarkEnd w:id="9"/>
    </w:p>
    <w:p w:rsidR="00CC1B1A" w:rsidRPr="00EC63DF" w:rsidRDefault="00CC1B1A" w:rsidP="002E2D3E">
      <w:r w:rsidRPr="00EC63DF">
        <w:t>Revenue from the sale of goods and services will be recognised upon the delivery of the goods or services to customers.</w:t>
      </w:r>
    </w:p>
    <w:p w:rsidR="00CC1B1A" w:rsidRPr="00A103BD" w:rsidRDefault="00CC1B1A" w:rsidP="00A103BD">
      <w:pPr>
        <w:pStyle w:val="Heading5"/>
      </w:pPr>
      <w:r w:rsidRPr="00A103BD">
        <w:t>Departmental Expenses – Employees</w:t>
      </w:r>
    </w:p>
    <w:p w:rsidR="00CC1B1A" w:rsidRPr="00EC63DF" w:rsidRDefault="00CC1B1A" w:rsidP="002E2D3E">
      <w:r w:rsidRPr="00EC63DF">
        <w:t>This item will represent payments made and net increases or decreases in entitlements owed to employees for their services provided in the financial year.</w:t>
      </w:r>
    </w:p>
    <w:p w:rsidR="00CC1B1A" w:rsidRPr="00A103BD" w:rsidRDefault="00CC1B1A" w:rsidP="00A103BD">
      <w:pPr>
        <w:pStyle w:val="Heading5"/>
      </w:pPr>
      <w:r w:rsidRPr="00A103BD">
        <w:t xml:space="preserve">Departmental Expenses – Suppliers </w:t>
      </w:r>
    </w:p>
    <w:p w:rsidR="00CC1B1A" w:rsidRPr="00EC63DF" w:rsidRDefault="00CC1B1A" w:rsidP="002E2D3E">
      <w:r w:rsidRPr="00EC63DF">
        <w:t>This item will represent payments to suppliers for goods and services.</w:t>
      </w:r>
    </w:p>
    <w:p w:rsidR="00CC1B1A" w:rsidRPr="00A103BD" w:rsidRDefault="00CC1B1A" w:rsidP="00A103BD">
      <w:pPr>
        <w:pStyle w:val="Heading5"/>
      </w:pPr>
      <w:r w:rsidRPr="00A103BD">
        <w:t>Departmental Expenses – Depreciation and Amortisation</w:t>
      </w:r>
    </w:p>
    <w:p w:rsidR="00CC1B1A" w:rsidRPr="00EC63DF" w:rsidRDefault="00CC1B1A" w:rsidP="002E2D3E">
      <w:r w:rsidRPr="00EC63DF">
        <w:t>Property, plant and equipment assets are written-off to their estimated residual values over their estimated useful using, in all cases, the straight-line method of depreciation.</w:t>
      </w:r>
    </w:p>
    <w:p w:rsidR="00CC1B1A" w:rsidRPr="00EC63DF" w:rsidRDefault="00CC1B1A" w:rsidP="002E2D3E">
      <w:r w:rsidRPr="00EC63DF">
        <w:t xml:space="preserve">Property plant and equipment assets will be depreciated over their useful lives between three and ten years. Leasehold improvements will be amortised on a </w:t>
      </w:r>
      <w:r w:rsidRPr="00EC63DF">
        <w:lastRenderedPageBreak/>
        <w:t xml:space="preserve">straight-line basis over the lesser of the estimated useful life of the improvements or the unexpired period of the lease.  </w:t>
      </w:r>
    </w:p>
    <w:p w:rsidR="00CC1B1A" w:rsidRPr="00A103BD" w:rsidRDefault="00CC1B1A" w:rsidP="00A103BD">
      <w:pPr>
        <w:pStyle w:val="Heading5"/>
      </w:pPr>
      <w:r w:rsidRPr="00A103BD">
        <w:t xml:space="preserve">Departmental Assets – Financial Assets – Receivables </w:t>
      </w:r>
    </w:p>
    <w:p w:rsidR="00CC1B1A" w:rsidRPr="00EC63DF" w:rsidRDefault="00CC1B1A" w:rsidP="002E2D3E">
      <w:r w:rsidRPr="00EC63DF">
        <w:t>Receivables represent amounts which will be owing to the Fair Work Commission for goods and services it has provided to external parties and cash reserves held in the Official Public Account.</w:t>
      </w:r>
    </w:p>
    <w:p w:rsidR="00CC1B1A" w:rsidRPr="00A103BD" w:rsidRDefault="00CC1B1A" w:rsidP="00A103BD">
      <w:pPr>
        <w:pStyle w:val="Heading5"/>
      </w:pPr>
      <w:r w:rsidRPr="00A103BD">
        <w:t>Departmental Assets – Non-Financial Assets</w:t>
      </w:r>
    </w:p>
    <w:p w:rsidR="00CC1B1A" w:rsidRPr="00EC63DF" w:rsidRDefault="00CC1B1A" w:rsidP="002E2D3E">
      <w:r w:rsidRPr="00EC63DF">
        <w:t>These items represent future economic benefits that the Fair Work Commission will consume in producing outputs. Apart from re-valued assets, the reported value represents the purchase price paid, less depreciation incurred to date in using that asset from the transferring agencies.</w:t>
      </w:r>
    </w:p>
    <w:p w:rsidR="00CC1B1A" w:rsidRPr="00EC63DF" w:rsidRDefault="00CC1B1A" w:rsidP="002E2D3E">
      <w:r w:rsidRPr="00EC63DF">
        <w:t>Land and Buildings, and Infrastructure, Plant and Equipment will initially be brought to account at cost, except for purchases costing less than $10,000 fo</w:t>
      </w:r>
      <w:r w:rsidR="00257133">
        <w:t>r leasehold improvements and $2</w:t>
      </w:r>
      <w:r w:rsidRPr="00EC63DF">
        <w:t>000 for all other classes, which will be expensed in the year of acquisition (other than where they form part of the group of similar items which are significant in total).</w:t>
      </w:r>
    </w:p>
    <w:p w:rsidR="00CC1B1A" w:rsidRPr="00EC63DF" w:rsidRDefault="00CC1B1A" w:rsidP="002E2D3E">
      <w:r w:rsidRPr="00EC63DF">
        <w:t>Computer software, disclosed in the Balance Sheet as Intangibles, will be expensed in the year of acquisition except for purchases or internally developed software costing more than $2000 which are capitalised at cost.</w:t>
      </w:r>
    </w:p>
    <w:p w:rsidR="00CC1B1A" w:rsidRPr="00EC63DF" w:rsidRDefault="00CC1B1A" w:rsidP="002E2D3E">
      <w:r w:rsidRPr="00EC63DF">
        <w:t>The Fair Work Commission will annually reassess and adjust the values of Land and Buildings (leasehold improvements), Infrastructure, Plant and Equipment.</w:t>
      </w:r>
    </w:p>
    <w:p w:rsidR="00CC1B1A" w:rsidRPr="00EC63DF" w:rsidRDefault="00CC1B1A" w:rsidP="002E2D3E">
      <w:pPr>
        <w:pStyle w:val="Heading5"/>
        <w:rPr>
          <w:b w:val="0"/>
        </w:rPr>
      </w:pPr>
      <w:r w:rsidRPr="00EC63DF">
        <w:t xml:space="preserve">Departmental Liabilities – Provisions – Employees </w:t>
      </w:r>
    </w:p>
    <w:p w:rsidR="00CC1B1A" w:rsidRPr="00EC63DF" w:rsidRDefault="00CC1B1A" w:rsidP="002E2D3E">
      <w:r w:rsidRPr="00EC63DF">
        <w:t xml:space="preserve">Provision will be made for the Fair Work Commissions liability for employee entitlements arising from services rendered by the Fair Work Commission, Members and employees to balance date. This liability will encompass unpaid wages and salaries, annual and long service leave and Judges’ </w:t>
      </w:r>
      <w:r>
        <w:t xml:space="preserve">long </w:t>
      </w:r>
      <w:r w:rsidRPr="00EC63DF">
        <w:t>leave. No provision will be made for sick leave.</w:t>
      </w:r>
    </w:p>
    <w:p w:rsidR="00CC1B1A" w:rsidRPr="00EC63DF" w:rsidRDefault="00CC1B1A" w:rsidP="002E2D3E">
      <w:r w:rsidRPr="00EC63DF">
        <w:t>The liability for leave expected to be settled within 12 months is to be measured at the nominal amount.</w:t>
      </w:r>
    </w:p>
    <w:p w:rsidR="0061082C" w:rsidRPr="00805EDE" w:rsidRDefault="00CC1B1A" w:rsidP="00D94828">
      <w:r w:rsidRPr="00EC63DF">
        <w:t>Other employee entitlements payable later than one year will be estimated at the present value of the expected future cash outflows in relation to those entitlements. Attrition rates and pay rises through promotion and wage/salary agreements will be been taken into account.</w:t>
      </w:r>
      <w:bookmarkStart w:id="10" w:name="_GoBack"/>
      <w:bookmarkEnd w:id="0"/>
      <w:bookmarkEnd w:id="10"/>
    </w:p>
    <w:sectPr w:rsidR="0061082C" w:rsidRPr="00805EDE" w:rsidSect="00D94828">
      <w:headerReference w:type="even" r:id="rId32"/>
      <w:headerReference w:type="default" r:id="rId33"/>
      <w:headerReference w:type="first" r:id="rId34"/>
      <w:type w:val="oddPage"/>
      <w:pgSz w:w="9979" w:h="14175" w:code="259"/>
      <w:pgMar w:top="1418" w:right="1418" w:bottom="1418" w:left="1418" w:header="680"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E4" w:rsidRDefault="00470EE4" w:rsidP="00C07DEC">
      <w:r>
        <w:separator/>
      </w:r>
    </w:p>
    <w:p w:rsidR="00470EE4" w:rsidRDefault="00470EE4"/>
  </w:endnote>
  <w:endnote w:type="continuationSeparator" w:id="0">
    <w:p w:rsidR="00470EE4" w:rsidRDefault="00470EE4" w:rsidP="00C07DEC">
      <w:r>
        <w:continuationSeparator/>
      </w:r>
    </w:p>
    <w:p w:rsidR="00470EE4" w:rsidRDefault="00470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288305"/>
      <w:docPartObj>
        <w:docPartGallery w:val="Page Numbers (Bottom of Page)"/>
        <w:docPartUnique/>
      </w:docPartObj>
    </w:sdtPr>
    <w:sdtEndPr>
      <w:rPr>
        <w:noProof/>
      </w:rPr>
    </w:sdtEndPr>
    <w:sdtContent>
      <w:p w:rsidR="00D94828" w:rsidRDefault="00D94828">
        <w:pPr>
          <w:pStyle w:val="Footer"/>
        </w:pPr>
        <w:r>
          <w:fldChar w:fldCharType="begin"/>
        </w:r>
        <w:r>
          <w:instrText xml:space="preserve"> PAGE   \* MERGEFORMAT </w:instrText>
        </w:r>
        <w:r>
          <w:fldChar w:fldCharType="separate"/>
        </w:r>
        <w:r>
          <w:rPr>
            <w:noProof/>
          </w:rPr>
          <w:t>146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147178"/>
      <w:docPartObj>
        <w:docPartGallery w:val="Page Numbers (Bottom of Page)"/>
        <w:docPartUnique/>
      </w:docPartObj>
    </w:sdtPr>
    <w:sdtEndPr>
      <w:rPr>
        <w:noProof/>
      </w:rPr>
    </w:sdtEndPr>
    <w:sdtContent>
      <w:p w:rsidR="00D94828" w:rsidRDefault="00D94828">
        <w:pPr>
          <w:pStyle w:val="Footer"/>
        </w:pPr>
        <w:r>
          <w:fldChar w:fldCharType="begin"/>
        </w:r>
        <w:r>
          <w:instrText xml:space="preserve"> PAGE   \* MERGEFORMAT </w:instrText>
        </w:r>
        <w:r>
          <w:fldChar w:fldCharType="separate"/>
        </w:r>
        <w:r>
          <w:rPr>
            <w:noProof/>
          </w:rPr>
          <w:t>147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317035"/>
      <w:docPartObj>
        <w:docPartGallery w:val="Page Numbers (Bottom of Page)"/>
        <w:docPartUnique/>
      </w:docPartObj>
    </w:sdtPr>
    <w:sdtEndPr>
      <w:rPr>
        <w:noProof/>
      </w:rPr>
    </w:sdtEndPr>
    <w:sdtContent>
      <w:p w:rsidR="00470EE4" w:rsidRDefault="00470EE4">
        <w:pPr>
          <w:pStyle w:val="Footer"/>
        </w:pPr>
        <w:r>
          <w:fldChar w:fldCharType="begin"/>
        </w:r>
        <w:r>
          <w:instrText xml:space="preserve"> PAGE   \* MERGEFORMAT </w:instrText>
        </w:r>
        <w:r>
          <w:fldChar w:fldCharType="separate"/>
        </w:r>
        <w:r w:rsidR="00D94828">
          <w:rPr>
            <w:noProof/>
          </w:rPr>
          <w:t>125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E4" w:rsidRDefault="00470EE4" w:rsidP="00C07DEC">
      <w:r>
        <w:separator/>
      </w:r>
    </w:p>
    <w:p w:rsidR="00470EE4" w:rsidRDefault="00470EE4"/>
  </w:footnote>
  <w:footnote w:type="continuationSeparator" w:id="0">
    <w:p w:rsidR="00470EE4" w:rsidRDefault="00470EE4" w:rsidP="00C07DEC">
      <w:r>
        <w:continuationSeparator/>
      </w:r>
    </w:p>
    <w:p w:rsidR="00470EE4" w:rsidRDefault="00470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28" w:rsidRPr="00F10D71" w:rsidRDefault="00D94828" w:rsidP="00D94828">
    <w:pPr>
      <w:pStyle w:val="HeaderEven"/>
    </w:pPr>
    <w:proofErr w:type="spellStart"/>
    <w:r>
      <w:t>FWC</w:t>
    </w:r>
    <w:proofErr w:type="spellEnd"/>
    <w:r>
      <w:t xml:space="preserve"> Budget Statements 2015–16</w:t>
    </w:r>
  </w:p>
  <w:p w:rsidR="00470EE4" w:rsidRPr="00D94828" w:rsidRDefault="00470EE4" w:rsidP="00D948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28" w:rsidRPr="00F10D71" w:rsidRDefault="00D94828" w:rsidP="00D94828">
    <w:pPr>
      <w:pStyle w:val="HeaderOdd"/>
    </w:pPr>
    <w:proofErr w:type="spellStart"/>
    <w:r>
      <w:t>FWC</w:t>
    </w:r>
    <w:proofErr w:type="spellEnd"/>
    <w:r>
      <w:t xml:space="preserve"> Budget Statements 2015–16</w:t>
    </w:r>
  </w:p>
  <w:p w:rsidR="00470EE4" w:rsidRPr="00D94828" w:rsidRDefault="00470EE4" w:rsidP="00D948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Pr="00F10D71" w:rsidRDefault="00D94828" w:rsidP="00F10D71">
    <w:pPr>
      <w:pStyle w:val="HeaderOdd"/>
    </w:pPr>
    <w:proofErr w:type="spellStart"/>
    <w:r>
      <w:t>FWC</w:t>
    </w:r>
    <w:proofErr w:type="spellEnd"/>
    <w:r>
      <w:t xml:space="preserve"> Budget Statements 2015–16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768F83C"/>
    <w:lvl w:ilvl="0">
      <w:start w:val="1"/>
      <w:numFmt w:val="decimal"/>
      <w:pStyle w:val="ListNumber"/>
      <w:lvlText w:val="%1."/>
      <w:lvlJc w:val="left"/>
      <w:pPr>
        <w:tabs>
          <w:tab w:val="num" w:pos="360"/>
        </w:tabs>
        <w:ind w:left="360" w:hanging="360"/>
      </w:pPr>
    </w:lvl>
  </w:abstractNum>
  <w:abstractNum w:abstractNumId="1">
    <w:nsid w:val="00F73062"/>
    <w:multiLevelType w:val="hybridMultilevel"/>
    <w:tmpl w:val="62024918"/>
    <w:lvl w:ilvl="0" w:tplc="F058F4A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775260"/>
    <w:multiLevelType w:val="multilevel"/>
    <w:tmpl w:val="7B0E2326"/>
    <w:lvl w:ilvl="0">
      <w:start w:val="1"/>
      <w:numFmt w:val="bullet"/>
      <w:lvlText w:val=""/>
      <w:lvlJc w:val="left"/>
      <w:pPr>
        <w:ind w:left="360" w:hanging="360"/>
      </w:pPr>
      <w:rPr>
        <w:rFonts w:ascii="Wingdings" w:hAnsi="Wingdings" w:hint="default"/>
        <w:color w:val="165788"/>
        <w:sz w:val="20"/>
        <w:vertAlign w:val="baseline"/>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3">
    <w:nsid w:val="02D607FA"/>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7">
    <w:nsid w:val="16641DF2"/>
    <w:multiLevelType w:val="hybridMultilevel"/>
    <w:tmpl w:val="F42AA848"/>
    <w:lvl w:ilvl="0" w:tplc="7F847DE4">
      <w:start w:val="1"/>
      <w:numFmt w:val="decimal"/>
      <w:pStyle w:val="numberedpara"/>
      <w:lvlText w:val="%1."/>
      <w:lvlJc w:val="right"/>
      <w:pPr>
        <w:tabs>
          <w:tab w:val="num" w:pos="1134"/>
        </w:tabs>
        <w:ind w:left="567" w:hanging="567"/>
      </w:pPr>
      <w:rPr>
        <w:rFonts w:ascii="Calibri" w:hAnsi="Calibri" w:hint="default"/>
        <w:b w:val="0"/>
        <w:i w:val="0"/>
        <w:color w:val="auto"/>
        <w:sz w:val="22"/>
      </w:rPr>
    </w:lvl>
    <w:lvl w:ilvl="1" w:tplc="0C090005">
      <w:start w:val="1"/>
      <w:numFmt w:val="bullet"/>
      <w:lvlText w:val=""/>
      <w:lvlJc w:val="left"/>
      <w:pPr>
        <w:tabs>
          <w:tab w:val="num" w:pos="1440"/>
        </w:tabs>
        <w:ind w:left="1440" w:hanging="360"/>
      </w:pPr>
      <w:rPr>
        <w:rFonts w:ascii="Wingdings" w:hAnsi="Wingdings" w:hint="default"/>
        <w:b w:val="0"/>
        <w:i w:val="0"/>
        <w:color w:val="auto"/>
        <w:sz w:val="22"/>
      </w:r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b w:val="0"/>
        <w:i w:val="0"/>
        <w:color w:val="auto"/>
        <w:sz w:val="22"/>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B8C0A8D"/>
    <w:multiLevelType w:val="hybridMultilevel"/>
    <w:tmpl w:val="6080A7FC"/>
    <w:lvl w:ilvl="0" w:tplc="F0BAC8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244AB9"/>
    <w:multiLevelType w:val="hybridMultilevel"/>
    <w:tmpl w:val="B9FEE43E"/>
    <w:lvl w:ilvl="0" w:tplc="ADA05F0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B56203"/>
    <w:multiLevelType w:val="multilevel"/>
    <w:tmpl w:val="533E0A06"/>
    <w:lvl w:ilvl="0">
      <w:start w:val="1"/>
      <w:numFmt w:val="bullet"/>
      <w:lvlText w:val="–"/>
      <w:lvlJc w:val="left"/>
      <w:pPr>
        <w:tabs>
          <w:tab w:val="num" w:pos="720"/>
        </w:tabs>
        <w:ind w:left="720" w:hanging="360"/>
      </w:pPr>
      <w:rPr>
        <w:rFonts w:ascii="Frutiger-Light" w:eastAsia="Times New Roman" w:hAnsi="Frutiger-Light" w:cs="Frutiger-Light" w:hint="default"/>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11">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16C2C4D"/>
    <w:multiLevelType w:val="multilevel"/>
    <w:tmpl w:val="53041CA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6">
    <w:nsid w:val="434154AB"/>
    <w:multiLevelType w:val="hybridMultilevel"/>
    <w:tmpl w:val="DCF64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8">
    <w:nsid w:val="564608A1"/>
    <w:multiLevelType w:val="hybridMultilevel"/>
    <w:tmpl w:val="61883960"/>
    <w:lvl w:ilvl="0" w:tplc="377E58B0">
      <w:start w:val="1"/>
      <w:numFmt w:val="bullet"/>
      <w:pStyle w:val="Tabletext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777C05"/>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1AC4D20"/>
    <w:multiLevelType w:val="hybridMultilevel"/>
    <w:tmpl w:val="753A8D6A"/>
    <w:lvl w:ilvl="0" w:tplc="0C090001">
      <w:start w:val="1"/>
      <w:numFmt w:val="bullet"/>
      <w:lvlText w:val=""/>
      <w:lvlJc w:val="left"/>
      <w:pPr>
        <w:ind w:left="2160" w:hanging="360"/>
      </w:pPr>
      <w:rPr>
        <w:rFonts w:ascii="Symbol" w:hAnsi="Symbol" w:hint="default"/>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nsid w:val="6B3F2938"/>
    <w:multiLevelType w:val="hybridMultilevel"/>
    <w:tmpl w:val="59AA5A10"/>
    <w:lvl w:ilvl="0" w:tplc="45567906">
      <w:numFmt w:val="bullet"/>
      <w:lvlText w:val="-"/>
      <w:lvlJc w:val="left"/>
      <w:pPr>
        <w:ind w:left="720" w:hanging="360"/>
      </w:pPr>
      <w:rPr>
        <w:rFonts w:ascii="Book Antiqua" w:eastAsia="Times New Roman" w:hAnsi="Book Antiqu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D080F86"/>
    <w:multiLevelType w:val="hybridMultilevel"/>
    <w:tmpl w:val="BDECA758"/>
    <w:lvl w:ilvl="0" w:tplc="75A01A1A">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nsid w:val="7609771A"/>
    <w:multiLevelType w:val="hybridMultilevel"/>
    <w:tmpl w:val="9C503E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23"/>
  </w:num>
  <w:num w:numId="4">
    <w:abstractNumId w:val="15"/>
    <w:lvlOverride w:ilvl="0">
      <w:startOverride w:val="1"/>
    </w:lvlOverride>
  </w:num>
  <w:num w:numId="5">
    <w:abstractNumId w:val="26"/>
  </w:num>
  <w:num w:numId="6">
    <w:abstractNumId w:val="11"/>
  </w:num>
  <w:num w:numId="7">
    <w:abstractNumId w:val="19"/>
  </w:num>
  <w:num w:numId="8">
    <w:abstractNumId w:val="14"/>
  </w:num>
  <w:num w:numId="9">
    <w:abstractNumId w:val="3"/>
  </w:num>
  <w:num w:numId="10">
    <w:abstractNumId w:val="21"/>
  </w:num>
  <w:num w:numId="11">
    <w:abstractNumId w:val="0"/>
  </w:num>
  <w:num w:numId="12">
    <w:abstractNumId w:val="15"/>
    <w:lvlOverride w:ilvl="0">
      <w:startOverride w:val="1"/>
    </w:lvlOverride>
  </w:num>
  <w:num w:numId="13">
    <w:abstractNumId w:val="13"/>
  </w:num>
  <w:num w:numId="14">
    <w:abstractNumId w:val="7"/>
  </w:num>
  <w:num w:numId="15">
    <w:abstractNumId w:val="16"/>
  </w:num>
  <w:num w:numId="16">
    <w:abstractNumId w:val="20"/>
  </w:num>
  <w:num w:numId="1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12"/>
  </w:num>
  <w:num w:numId="24">
    <w:abstractNumId w:val="22"/>
  </w:num>
  <w:num w:numId="25">
    <w:abstractNumId w:val="10"/>
  </w:num>
  <w:num w:numId="26">
    <w:abstractNumId w:val="2"/>
  </w:num>
  <w:num w:numId="27">
    <w:abstractNumId w:val="8"/>
  </w:num>
  <w:num w:numId="28">
    <w:abstractNumId w:val="25"/>
  </w:num>
  <w:num w:numId="29">
    <w:abstractNumId w:val="24"/>
  </w:num>
  <w:num w:numId="30">
    <w:abstractNumId w:val="13"/>
  </w:num>
  <w:num w:numId="3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390C"/>
    <w:rsid w:val="00003AC4"/>
    <w:rsid w:val="00006AE4"/>
    <w:rsid w:val="0000711B"/>
    <w:rsid w:val="00012BB0"/>
    <w:rsid w:val="00013D25"/>
    <w:rsid w:val="0001438C"/>
    <w:rsid w:val="0001500C"/>
    <w:rsid w:val="00016D95"/>
    <w:rsid w:val="00017619"/>
    <w:rsid w:val="00020567"/>
    <w:rsid w:val="000216BF"/>
    <w:rsid w:val="00021DA6"/>
    <w:rsid w:val="000220B0"/>
    <w:rsid w:val="000300D7"/>
    <w:rsid w:val="00030FDA"/>
    <w:rsid w:val="00034610"/>
    <w:rsid w:val="00036095"/>
    <w:rsid w:val="000364F3"/>
    <w:rsid w:val="000369AC"/>
    <w:rsid w:val="0003724F"/>
    <w:rsid w:val="000402FE"/>
    <w:rsid w:val="000413D4"/>
    <w:rsid w:val="00042D00"/>
    <w:rsid w:val="00042FDD"/>
    <w:rsid w:val="00045667"/>
    <w:rsid w:val="00054A04"/>
    <w:rsid w:val="00054CC3"/>
    <w:rsid w:val="0005600E"/>
    <w:rsid w:val="00056260"/>
    <w:rsid w:val="0005722F"/>
    <w:rsid w:val="00060890"/>
    <w:rsid w:val="00063C44"/>
    <w:rsid w:val="00063CE1"/>
    <w:rsid w:val="00063E48"/>
    <w:rsid w:val="00065053"/>
    <w:rsid w:val="000655E4"/>
    <w:rsid w:val="000656AD"/>
    <w:rsid w:val="00065C71"/>
    <w:rsid w:val="00066BBA"/>
    <w:rsid w:val="00067B6F"/>
    <w:rsid w:val="00067E1D"/>
    <w:rsid w:val="0007064C"/>
    <w:rsid w:val="00070C05"/>
    <w:rsid w:val="000712EE"/>
    <w:rsid w:val="000725C0"/>
    <w:rsid w:val="00074CE6"/>
    <w:rsid w:val="00076C71"/>
    <w:rsid w:val="00077277"/>
    <w:rsid w:val="0007743A"/>
    <w:rsid w:val="00080069"/>
    <w:rsid w:val="00080F4F"/>
    <w:rsid w:val="00082159"/>
    <w:rsid w:val="0008304E"/>
    <w:rsid w:val="0008449F"/>
    <w:rsid w:val="000924A7"/>
    <w:rsid w:val="00094B28"/>
    <w:rsid w:val="00096DEE"/>
    <w:rsid w:val="00097063"/>
    <w:rsid w:val="000A1A89"/>
    <w:rsid w:val="000A1C91"/>
    <w:rsid w:val="000A24C4"/>
    <w:rsid w:val="000A3288"/>
    <w:rsid w:val="000A345B"/>
    <w:rsid w:val="000A372A"/>
    <w:rsid w:val="000A395D"/>
    <w:rsid w:val="000A56A5"/>
    <w:rsid w:val="000A5C86"/>
    <w:rsid w:val="000A6897"/>
    <w:rsid w:val="000A6DBE"/>
    <w:rsid w:val="000B09C1"/>
    <w:rsid w:val="000B0FE3"/>
    <w:rsid w:val="000B1FC4"/>
    <w:rsid w:val="000B2404"/>
    <w:rsid w:val="000B36D8"/>
    <w:rsid w:val="000B3B7D"/>
    <w:rsid w:val="000C19EF"/>
    <w:rsid w:val="000C2A22"/>
    <w:rsid w:val="000C2D7D"/>
    <w:rsid w:val="000C3B86"/>
    <w:rsid w:val="000C6A39"/>
    <w:rsid w:val="000C6FB8"/>
    <w:rsid w:val="000D13E5"/>
    <w:rsid w:val="000D43DE"/>
    <w:rsid w:val="000D58A1"/>
    <w:rsid w:val="000E0A85"/>
    <w:rsid w:val="000E39B7"/>
    <w:rsid w:val="000E68E3"/>
    <w:rsid w:val="000E6DDB"/>
    <w:rsid w:val="000E74A6"/>
    <w:rsid w:val="000F03B1"/>
    <w:rsid w:val="000F08AE"/>
    <w:rsid w:val="000F2D33"/>
    <w:rsid w:val="000F43F4"/>
    <w:rsid w:val="000F440E"/>
    <w:rsid w:val="000F6647"/>
    <w:rsid w:val="000F73B7"/>
    <w:rsid w:val="000F7E7B"/>
    <w:rsid w:val="001002F8"/>
    <w:rsid w:val="00101440"/>
    <w:rsid w:val="00102654"/>
    <w:rsid w:val="001028CC"/>
    <w:rsid w:val="001045F9"/>
    <w:rsid w:val="0010472B"/>
    <w:rsid w:val="0010657F"/>
    <w:rsid w:val="001114A3"/>
    <w:rsid w:val="00112D0F"/>
    <w:rsid w:val="001133E0"/>
    <w:rsid w:val="00115DE5"/>
    <w:rsid w:val="001163D6"/>
    <w:rsid w:val="0011726A"/>
    <w:rsid w:val="0012022D"/>
    <w:rsid w:val="00120B5E"/>
    <w:rsid w:val="00121EB0"/>
    <w:rsid w:val="0012228D"/>
    <w:rsid w:val="00123218"/>
    <w:rsid w:val="00123925"/>
    <w:rsid w:val="00124758"/>
    <w:rsid w:val="00126641"/>
    <w:rsid w:val="001272CD"/>
    <w:rsid w:val="001305B1"/>
    <w:rsid w:val="00131EA7"/>
    <w:rsid w:val="001322AD"/>
    <w:rsid w:val="00133B4E"/>
    <w:rsid w:val="00133D3A"/>
    <w:rsid w:val="001352EE"/>
    <w:rsid w:val="00135505"/>
    <w:rsid w:val="00135CC8"/>
    <w:rsid w:val="00136827"/>
    <w:rsid w:val="001370C2"/>
    <w:rsid w:val="001375D4"/>
    <w:rsid w:val="00143E88"/>
    <w:rsid w:val="001455D8"/>
    <w:rsid w:val="0014790A"/>
    <w:rsid w:val="00151183"/>
    <w:rsid w:val="00151ABB"/>
    <w:rsid w:val="00152B79"/>
    <w:rsid w:val="0015428F"/>
    <w:rsid w:val="00154447"/>
    <w:rsid w:val="001549BE"/>
    <w:rsid w:val="00154CDE"/>
    <w:rsid w:val="00154F5B"/>
    <w:rsid w:val="001612BE"/>
    <w:rsid w:val="00161DAC"/>
    <w:rsid w:val="00162B55"/>
    <w:rsid w:val="00162D8B"/>
    <w:rsid w:val="001638E9"/>
    <w:rsid w:val="00164B49"/>
    <w:rsid w:val="00165824"/>
    <w:rsid w:val="00166F90"/>
    <w:rsid w:val="00171A85"/>
    <w:rsid w:val="00174565"/>
    <w:rsid w:val="00175BB3"/>
    <w:rsid w:val="00176AAA"/>
    <w:rsid w:val="00176E2D"/>
    <w:rsid w:val="00177A9A"/>
    <w:rsid w:val="001808A4"/>
    <w:rsid w:val="001815A5"/>
    <w:rsid w:val="0018383E"/>
    <w:rsid w:val="00186850"/>
    <w:rsid w:val="001904A5"/>
    <w:rsid w:val="001923C8"/>
    <w:rsid w:val="001939FF"/>
    <w:rsid w:val="00193C99"/>
    <w:rsid w:val="00194DE8"/>
    <w:rsid w:val="00197990"/>
    <w:rsid w:val="001A0106"/>
    <w:rsid w:val="001A02CB"/>
    <w:rsid w:val="001A11DB"/>
    <w:rsid w:val="001A33F4"/>
    <w:rsid w:val="001A5E2D"/>
    <w:rsid w:val="001A6256"/>
    <w:rsid w:val="001A6F29"/>
    <w:rsid w:val="001A72AC"/>
    <w:rsid w:val="001A789B"/>
    <w:rsid w:val="001B029D"/>
    <w:rsid w:val="001B03CC"/>
    <w:rsid w:val="001B0C75"/>
    <w:rsid w:val="001B44C2"/>
    <w:rsid w:val="001B4EC1"/>
    <w:rsid w:val="001B659F"/>
    <w:rsid w:val="001B6BD9"/>
    <w:rsid w:val="001B7399"/>
    <w:rsid w:val="001B7655"/>
    <w:rsid w:val="001B7BAD"/>
    <w:rsid w:val="001B7F09"/>
    <w:rsid w:val="001C1166"/>
    <w:rsid w:val="001C1F6A"/>
    <w:rsid w:val="001C261E"/>
    <w:rsid w:val="001C3AC7"/>
    <w:rsid w:val="001C7B78"/>
    <w:rsid w:val="001D0BA6"/>
    <w:rsid w:val="001D1942"/>
    <w:rsid w:val="001D1DDB"/>
    <w:rsid w:val="001D4CAA"/>
    <w:rsid w:val="001D53EA"/>
    <w:rsid w:val="001D6851"/>
    <w:rsid w:val="001D6F7C"/>
    <w:rsid w:val="001E105C"/>
    <w:rsid w:val="001E12A5"/>
    <w:rsid w:val="001E1EDB"/>
    <w:rsid w:val="001E3A18"/>
    <w:rsid w:val="001E6DBA"/>
    <w:rsid w:val="001E717D"/>
    <w:rsid w:val="001E71F5"/>
    <w:rsid w:val="001E7D86"/>
    <w:rsid w:val="001F377B"/>
    <w:rsid w:val="001F3CF9"/>
    <w:rsid w:val="001F4807"/>
    <w:rsid w:val="001F55E5"/>
    <w:rsid w:val="001F5CB9"/>
    <w:rsid w:val="001F76C4"/>
    <w:rsid w:val="00200DC3"/>
    <w:rsid w:val="0020214A"/>
    <w:rsid w:val="00204A87"/>
    <w:rsid w:val="002050B0"/>
    <w:rsid w:val="00205D80"/>
    <w:rsid w:val="0021093F"/>
    <w:rsid w:val="002133CA"/>
    <w:rsid w:val="0021361F"/>
    <w:rsid w:val="00215783"/>
    <w:rsid w:val="0021644B"/>
    <w:rsid w:val="00216DC9"/>
    <w:rsid w:val="00217CA0"/>
    <w:rsid w:val="002202EB"/>
    <w:rsid w:val="00220FCF"/>
    <w:rsid w:val="00221705"/>
    <w:rsid w:val="00221D97"/>
    <w:rsid w:val="00223C87"/>
    <w:rsid w:val="00224BA9"/>
    <w:rsid w:val="0022552E"/>
    <w:rsid w:val="00227458"/>
    <w:rsid w:val="00232729"/>
    <w:rsid w:val="002329C3"/>
    <w:rsid w:val="002332AE"/>
    <w:rsid w:val="002333C2"/>
    <w:rsid w:val="00234040"/>
    <w:rsid w:val="002357B2"/>
    <w:rsid w:val="00235D67"/>
    <w:rsid w:val="00244D22"/>
    <w:rsid w:val="002454A5"/>
    <w:rsid w:val="00246329"/>
    <w:rsid w:val="00246C09"/>
    <w:rsid w:val="00247262"/>
    <w:rsid w:val="002528B9"/>
    <w:rsid w:val="002539DC"/>
    <w:rsid w:val="0025616B"/>
    <w:rsid w:val="00257133"/>
    <w:rsid w:val="00257FF4"/>
    <w:rsid w:val="002608CE"/>
    <w:rsid w:val="0026279C"/>
    <w:rsid w:val="00262CD3"/>
    <w:rsid w:val="00265289"/>
    <w:rsid w:val="00266613"/>
    <w:rsid w:val="00266CBF"/>
    <w:rsid w:val="00266D1A"/>
    <w:rsid w:val="00266EDF"/>
    <w:rsid w:val="00266FE9"/>
    <w:rsid w:val="00272396"/>
    <w:rsid w:val="00274689"/>
    <w:rsid w:val="0027481A"/>
    <w:rsid w:val="0027614D"/>
    <w:rsid w:val="002762BF"/>
    <w:rsid w:val="0027651A"/>
    <w:rsid w:val="0027654F"/>
    <w:rsid w:val="0028081A"/>
    <w:rsid w:val="00281CF6"/>
    <w:rsid w:val="0028309A"/>
    <w:rsid w:val="0028359B"/>
    <w:rsid w:val="00285757"/>
    <w:rsid w:val="002857FE"/>
    <w:rsid w:val="00292D6A"/>
    <w:rsid w:val="0029312A"/>
    <w:rsid w:val="0029325C"/>
    <w:rsid w:val="00293B2D"/>
    <w:rsid w:val="002960B7"/>
    <w:rsid w:val="00296662"/>
    <w:rsid w:val="00297824"/>
    <w:rsid w:val="002A0877"/>
    <w:rsid w:val="002A153F"/>
    <w:rsid w:val="002A34B0"/>
    <w:rsid w:val="002A3770"/>
    <w:rsid w:val="002A40DC"/>
    <w:rsid w:val="002A4D8B"/>
    <w:rsid w:val="002A5329"/>
    <w:rsid w:val="002A5C2D"/>
    <w:rsid w:val="002A61E5"/>
    <w:rsid w:val="002A6AE8"/>
    <w:rsid w:val="002A7FC8"/>
    <w:rsid w:val="002B0A81"/>
    <w:rsid w:val="002B0C48"/>
    <w:rsid w:val="002B15C8"/>
    <w:rsid w:val="002B1CE7"/>
    <w:rsid w:val="002B2AF9"/>
    <w:rsid w:val="002B2F0F"/>
    <w:rsid w:val="002B595D"/>
    <w:rsid w:val="002B5F6A"/>
    <w:rsid w:val="002B779E"/>
    <w:rsid w:val="002B7D6F"/>
    <w:rsid w:val="002B7D78"/>
    <w:rsid w:val="002C0552"/>
    <w:rsid w:val="002C25D0"/>
    <w:rsid w:val="002C280B"/>
    <w:rsid w:val="002C2DB0"/>
    <w:rsid w:val="002C44C3"/>
    <w:rsid w:val="002C75B0"/>
    <w:rsid w:val="002C7703"/>
    <w:rsid w:val="002C7A63"/>
    <w:rsid w:val="002D0153"/>
    <w:rsid w:val="002D1631"/>
    <w:rsid w:val="002D403A"/>
    <w:rsid w:val="002D4262"/>
    <w:rsid w:val="002D71FB"/>
    <w:rsid w:val="002E1064"/>
    <w:rsid w:val="002E1531"/>
    <w:rsid w:val="002E2D3E"/>
    <w:rsid w:val="002E323F"/>
    <w:rsid w:val="002E7CFB"/>
    <w:rsid w:val="002F1B12"/>
    <w:rsid w:val="002F591B"/>
    <w:rsid w:val="002F7B47"/>
    <w:rsid w:val="00300013"/>
    <w:rsid w:val="003006F8"/>
    <w:rsid w:val="00300BF2"/>
    <w:rsid w:val="003016F7"/>
    <w:rsid w:val="003027C1"/>
    <w:rsid w:val="0030537F"/>
    <w:rsid w:val="00305718"/>
    <w:rsid w:val="00305EC5"/>
    <w:rsid w:val="00306107"/>
    <w:rsid w:val="0030779E"/>
    <w:rsid w:val="003077B8"/>
    <w:rsid w:val="003077EB"/>
    <w:rsid w:val="003111F8"/>
    <w:rsid w:val="0031204A"/>
    <w:rsid w:val="0031272B"/>
    <w:rsid w:val="003127D3"/>
    <w:rsid w:val="003146BF"/>
    <w:rsid w:val="00315435"/>
    <w:rsid w:val="00316341"/>
    <w:rsid w:val="00317E2D"/>
    <w:rsid w:val="00317F8C"/>
    <w:rsid w:val="0032038C"/>
    <w:rsid w:val="00325C5E"/>
    <w:rsid w:val="0032738E"/>
    <w:rsid w:val="00330433"/>
    <w:rsid w:val="00331C5F"/>
    <w:rsid w:val="00333074"/>
    <w:rsid w:val="00333223"/>
    <w:rsid w:val="00333EC6"/>
    <w:rsid w:val="003364C1"/>
    <w:rsid w:val="00337F82"/>
    <w:rsid w:val="00337FAC"/>
    <w:rsid w:val="00340640"/>
    <w:rsid w:val="00340BE5"/>
    <w:rsid w:val="003427DA"/>
    <w:rsid w:val="003435D6"/>
    <w:rsid w:val="003458E0"/>
    <w:rsid w:val="00345CCD"/>
    <w:rsid w:val="00347351"/>
    <w:rsid w:val="003511CE"/>
    <w:rsid w:val="00351909"/>
    <w:rsid w:val="00352BE0"/>
    <w:rsid w:val="0035333E"/>
    <w:rsid w:val="003538F0"/>
    <w:rsid w:val="003555D5"/>
    <w:rsid w:val="00357DAE"/>
    <w:rsid w:val="00361259"/>
    <w:rsid w:val="00361429"/>
    <w:rsid w:val="00362AA7"/>
    <w:rsid w:val="003705BF"/>
    <w:rsid w:val="00370935"/>
    <w:rsid w:val="00375E52"/>
    <w:rsid w:val="00377721"/>
    <w:rsid w:val="00377F81"/>
    <w:rsid w:val="00382234"/>
    <w:rsid w:val="0038672F"/>
    <w:rsid w:val="00386882"/>
    <w:rsid w:val="00386BC9"/>
    <w:rsid w:val="00386F24"/>
    <w:rsid w:val="0039053D"/>
    <w:rsid w:val="003914D7"/>
    <w:rsid w:val="0039449C"/>
    <w:rsid w:val="00397C94"/>
    <w:rsid w:val="003A0290"/>
    <w:rsid w:val="003A25BB"/>
    <w:rsid w:val="003B0963"/>
    <w:rsid w:val="003B0D03"/>
    <w:rsid w:val="003B1F0A"/>
    <w:rsid w:val="003B2C1F"/>
    <w:rsid w:val="003B48BF"/>
    <w:rsid w:val="003B51BB"/>
    <w:rsid w:val="003B5533"/>
    <w:rsid w:val="003B5A85"/>
    <w:rsid w:val="003B71EE"/>
    <w:rsid w:val="003B7621"/>
    <w:rsid w:val="003C13A6"/>
    <w:rsid w:val="003C1EB4"/>
    <w:rsid w:val="003C664E"/>
    <w:rsid w:val="003C7CD7"/>
    <w:rsid w:val="003D00D4"/>
    <w:rsid w:val="003D1E47"/>
    <w:rsid w:val="003D3C14"/>
    <w:rsid w:val="003D4557"/>
    <w:rsid w:val="003D52D2"/>
    <w:rsid w:val="003D543D"/>
    <w:rsid w:val="003D59FD"/>
    <w:rsid w:val="003E10B8"/>
    <w:rsid w:val="003E122D"/>
    <w:rsid w:val="003E13F5"/>
    <w:rsid w:val="003E4E15"/>
    <w:rsid w:val="003E5AE8"/>
    <w:rsid w:val="003F07EE"/>
    <w:rsid w:val="003F0F41"/>
    <w:rsid w:val="003F29F2"/>
    <w:rsid w:val="003F47DF"/>
    <w:rsid w:val="003F604C"/>
    <w:rsid w:val="003F7E20"/>
    <w:rsid w:val="00405E90"/>
    <w:rsid w:val="004065CE"/>
    <w:rsid w:val="0040728F"/>
    <w:rsid w:val="004105DD"/>
    <w:rsid w:val="00410DCE"/>
    <w:rsid w:val="004119C3"/>
    <w:rsid w:val="0041404E"/>
    <w:rsid w:val="0041429D"/>
    <w:rsid w:val="00414E1F"/>
    <w:rsid w:val="004168D4"/>
    <w:rsid w:val="0041765C"/>
    <w:rsid w:val="00420837"/>
    <w:rsid w:val="00421EEC"/>
    <w:rsid w:val="0042255C"/>
    <w:rsid w:val="00422933"/>
    <w:rsid w:val="00422F4B"/>
    <w:rsid w:val="004248B4"/>
    <w:rsid w:val="00424C66"/>
    <w:rsid w:val="0042526D"/>
    <w:rsid w:val="004254A2"/>
    <w:rsid w:val="00426D71"/>
    <w:rsid w:val="00427538"/>
    <w:rsid w:val="00430256"/>
    <w:rsid w:val="00431395"/>
    <w:rsid w:val="00431BF1"/>
    <w:rsid w:val="004342F8"/>
    <w:rsid w:val="00434A2F"/>
    <w:rsid w:val="004373DF"/>
    <w:rsid w:val="0044083A"/>
    <w:rsid w:val="004408FA"/>
    <w:rsid w:val="004418CD"/>
    <w:rsid w:val="0044552A"/>
    <w:rsid w:val="00451501"/>
    <w:rsid w:val="004528D0"/>
    <w:rsid w:val="00452907"/>
    <w:rsid w:val="00454564"/>
    <w:rsid w:val="004562E5"/>
    <w:rsid w:val="00457BC3"/>
    <w:rsid w:val="0046034D"/>
    <w:rsid w:val="004611B1"/>
    <w:rsid w:val="00462272"/>
    <w:rsid w:val="0046390C"/>
    <w:rsid w:val="00465D4E"/>
    <w:rsid w:val="004669BA"/>
    <w:rsid w:val="00467BDD"/>
    <w:rsid w:val="004701B4"/>
    <w:rsid w:val="00470EE4"/>
    <w:rsid w:val="004717F6"/>
    <w:rsid w:val="00474747"/>
    <w:rsid w:val="0047481E"/>
    <w:rsid w:val="00474918"/>
    <w:rsid w:val="00475EAF"/>
    <w:rsid w:val="004811D5"/>
    <w:rsid w:val="004815F8"/>
    <w:rsid w:val="00481E32"/>
    <w:rsid w:val="004831ED"/>
    <w:rsid w:val="004836A7"/>
    <w:rsid w:val="004847B4"/>
    <w:rsid w:val="00484921"/>
    <w:rsid w:val="00486614"/>
    <w:rsid w:val="00487E11"/>
    <w:rsid w:val="00487FB8"/>
    <w:rsid w:val="00490D96"/>
    <w:rsid w:val="004919D4"/>
    <w:rsid w:val="00491FB2"/>
    <w:rsid w:val="0049212C"/>
    <w:rsid w:val="00495C39"/>
    <w:rsid w:val="004A1224"/>
    <w:rsid w:val="004A175C"/>
    <w:rsid w:val="004A1AE3"/>
    <w:rsid w:val="004A247B"/>
    <w:rsid w:val="004A28C5"/>
    <w:rsid w:val="004A660C"/>
    <w:rsid w:val="004A6B44"/>
    <w:rsid w:val="004B0B19"/>
    <w:rsid w:val="004B0DB2"/>
    <w:rsid w:val="004B353D"/>
    <w:rsid w:val="004B37A7"/>
    <w:rsid w:val="004B4426"/>
    <w:rsid w:val="004B5F2A"/>
    <w:rsid w:val="004B74B2"/>
    <w:rsid w:val="004C1399"/>
    <w:rsid w:val="004C1C09"/>
    <w:rsid w:val="004C289A"/>
    <w:rsid w:val="004C2A0C"/>
    <w:rsid w:val="004C2A17"/>
    <w:rsid w:val="004C4CAE"/>
    <w:rsid w:val="004C5507"/>
    <w:rsid w:val="004D1E1A"/>
    <w:rsid w:val="004D23A9"/>
    <w:rsid w:val="004D29F5"/>
    <w:rsid w:val="004D2F90"/>
    <w:rsid w:val="004D7804"/>
    <w:rsid w:val="004D79C9"/>
    <w:rsid w:val="004E2825"/>
    <w:rsid w:val="004E3079"/>
    <w:rsid w:val="004E62E4"/>
    <w:rsid w:val="004F0E90"/>
    <w:rsid w:val="004F0F5B"/>
    <w:rsid w:val="004F22B8"/>
    <w:rsid w:val="004F2437"/>
    <w:rsid w:val="004F45F0"/>
    <w:rsid w:val="004F4624"/>
    <w:rsid w:val="004F5573"/>
    <w:rsid w:val="004F634F"/>
    <w:rsid w:val="0050141B"/>
    <w:rsid w:val="00502638"/>
    <w:rsid w:val="005029BC"/>
    <w:rsid w:val="005048E3"/>
    <w:rsid w:val="00504C3F"/>
    <w:rsid w:val="00505A77"/>
    <w:rsid w:val="00505CB3"/>
    <w:rsid w:val="005067C7"/>
    <w:rsid w:val="00506EB0"/>
    <w:rsid w:val="0050798C"/>
    <w:rsid w:val="0051030F"/>
    <w:rsid w:val="005136CD"/>
    <w:rsid w:val="00514B1A"/>
    <w:rsid w:val="00514B24"/>
    <w:rsid w:val="00517384"/>
    <w:rsid w:val="00521860"/>
    <w:rsid w:val="005222CC"/>
    <w:rsid w:val="00522622"/>
    <w:rsid w:val="005257C4"/>
    <w:rsid w:val="00525AB1"/>
    <w:rsid w:val="005267FB"/>
    <w:rsid w:val="00527492"/>
    <w:rsid w:val="005277F5"/>
    <w:rsid w:val="005307E9"/>
    <w:rsid w:val="005310C1"/>
    <w:rsid w:val="00531224"/>
    <w:rsid w:val="00532994"/>
    <w:rsid w:val="005329BE"/>
    <w:rsid w:val="00532D12"/>
    <w:rsid w:val="00533206"/>
    <w:rsid w:val="00533442"/>
    <w:rsid w:val="00533515"/>
    <w:rsid w:val="00534AC0"/>
    <w:rsid w:val="00535557"/>
    <w:rsid w:val="0053606A"/>
    <w:rsid w:val="005369C0"/>
    <w:rsid w:val="00540D82"/>
    <w:rsid w:val="00541254"/>
    <w:rsid w:val="00542BA5"/>
    <w:rsid w:val="00545573"/>
    <w:rsid w:val="00547EB8"/>
    <w:rsid w:val="00552FC2"/>
    <w:rsid w:val="00553DA2"/>
    <w:rsid w:val="00555623"/>
    <w:rsid w:val="005562DC"/>
    <w:rsid w:val="00556725"/>
    <w:rsid w:val="00557A85"/>
    <w:rsid w:val="00560562"/>
    <w:rsid w:val="005606B5"/>
    <w:rsid w:val="00562BAD"/>
    <w:rsid w:val="00566181"/>
    <w:rsid w:val="005708BD"/>
    <w:rsid w:val="00574906"/>
    <w:rsid w:val="00574E9E"/>
    <w:rsid w:val="005752BC"/>
    <w:rsid w:val="0057622F"/>
    <w:rsid w:val="00577977"/>
    <w:rsid w:val="00581D30"/>
    <w:rsid w:val="00584245"/>
    <w:rsid w:val="00584D80"/>
    <w:rsid w:val="005863FB"/>
    <w:rsid w:val="00586535"/>
    <w:rsid w:val="00586BB5"/>
    <w:rsid w:val="00586DFB"/>
    <w:rsid w:val="005904C2"/>
    <w:rsid w:val="005905BC"/>
    <w:rsid w:val="00590B75"/>
    <w:rsid w:val="00590DAA"/>
    <w:rsid w:val="00591D74"/>
    <w:rsid w:val="005922E6"/>
    <w:rsid w:val="00592349"/>
    <w:rsid w:val="00596F3F"/>
    <w:rsid w:val="00597EEF"/>
    <w:rsid w:val="005A1C4E"/>
    <w:rsid w:val="005A3678"/>
    <w:rsid w:val="005A390C"/>
    <w:rsid w:val="005A426B"/>
    <w:rsid w:val="005A4A1A"/>
    <w:rsid w:val="005A5084"/>
    <w:rsid w:val="005A61D3"/>
    <w:rsid w:val="005A7E70"/>
    <w:rsid w:val="005B40E8"/>
    <w:rsid w:val="005B6DAA"/>
    <w:rsid w:val="005B7314"/>
    <w:rsid w:val="005B7D8B"/>
    <w:rsid w:val="005C03F6"/>
    <w:rsid w:val="005C0475"/>
    <w:rsid w:val="005C1569"/>
    <w:rsid w:val="005C225D"/>
    <w:rsid w:val="005C4604"/>
    <w:rsid w:val="005C4BEE"/>
    <w:rsid w:val="005C6E74"/>
    <w:rsid w:val="005C781C"/>
    <w:rsid w:val="005D3254"/>
    <w:rsid w:val="005D330E"/>
    <w:rsid w:val="005D3528"/>
    <w:rsid w:val="005D49A6"/>
    <w:rsid w:val="005D7A35"/>
    <w:rsid w:val="005E034F"/>
    <w:rsid w:val="005E09A7"/>
    <w:rsid w:val="005E198B"/>
    <w:rsid w:val="005E19D9"/>
    <w:rsid w:val="005E1D35"/>
    <w:rsid w:val="005E2A31"/>
    <w:rsid w:val="005E35E8"/>
    <w:rsid w:val="005E36B9"/>
    <w:rsid w:val="005E442F"/>
    <w:rsid w:val="005E5519"/>
    <w:rsid w:val="005E61D8"/>
    <w:rsid w:val="005E7E2C"/>
    <w:rsid w:val="005F29CD"/>
    <w:rsid w:val="005F3175"/>
    <w:rsid w:val="005F3436"/>
    <w:rsid w:val="005F3BBD"/>
    <w:rsid w:val="005F4739"/>
    <w:rsid w:val="005F642B"/>
    <w:rsid w:val="005F67FC"/>
    <w:rsid w:val="006018F6"/>
    <w:rsid w:val="006026E1"/>
    <w:rsid w:val="00603A90"/>
    <w:rsid w:val="00605163"/>
    <w:rsid w:val="006065BF"/>
    <w:rsid w:val="00606F86"/>
    <w:rsid w:val="006070EA"/>
    <w:rsid w:val="00607ABE"/>
    <w:rsid w:val="00607F53"/>
    <w:rsid w:val="006103D0"/>
    <w:rsid w:val="0061082C"/>
    <w:rsid w:val="00611EAE"/>
    <w:rsid w:val="0061364A"/>
    <w:rsid w:val="00613BEA"/>
    <w:rsid w:val="0061402C"/>
    <w:rsid w:val="00615113"/>
    <w:rsid w:val="0061595F"/>
    <w:rsid w:val="00616179"/>
    <w:rsid w:val="0061675B"/>
    <w:rsid w:val="0062052B"/>
    <w:rsid w:val="00621A86"/>
    <w:rsid w:val="00623401"/>
    <w:rsid w:val="00625C40"/>
    <w:rsid w:val="006274B3"/>
    <w:rsid w:val="00627E7C"/>
    <w:rsid w:val="00631369"/>
    <w:rsid w:val="00632481"/>
    <w:rsid w:val="0063262D"/>
    <w:rsid w:val="00634AD9"/>
    <w:rsid w:val="00637BBD"/>
    <w:rsid w:val="00640D17"/>
    <w:rsid w:val="00642768"/>
    <w:rsid w:val="00646ACE"/>
    <w:rsid w:val="006474C0"/>
    <w:rsid w:val="00647927"/>
    <w:rsid w:val="00652B9B"/>
    <w:rsid w:val="00653743"/>
    <w:rsid w:val="00653DD9"/>
    <w:rsid w:val="00654E6A"/>
    <w:rsid w:val="00657486"/>
    <w:rsid w:val="006575F3"/>
    <w:rsid w:val="006576C3"/>
    <w:rsid w:val="00660871"/>
    <w:rsid w:val="00662809"/>
    <w:rsid w:val="00664E08"/>
    <w:rsid w:val="0066774D"/>
    <w:rsid w:val="00667F42"/>
    <w:rsid w:val="00671284"/>
    <w:rsid w:val="006727FC"/>
    <w:rsid w:val="00673906"/>
    <w:rsid w:val="006765BC"/>
    <w:rsid w:val="00676E5B"/>
    <w:rsid w:val="00677D6B"/>
    <w:rsid w:val="00680795"/>
    <w:rsid w:val="00680D8F"/>
    <w:rsid w:val="00682713"/>
    <w:rsid w:val="00683579"/>
    <w:rsid w:val="006854CE"/>
    <w:rsid w:val="006863EC"/>
    <w:rsid w:val="0068790B"/>
    <w:rsid w:val="006941DD"/>
    <w:rsid w:val="0069466B"/>
    <w:rsid w:val="006952FA"/>
    <w:rsid w:val="006956FF"/>
    <w:rsid w:val="006A009F"/>
    <w:rsid w:val="006A2332"/>
    <w:rsid w:val="006A257C"/>
    <w:rsid w:val="006A2615"/>
    <w:rsid w:val="006A499D"/>
    <w:rsid w:val="006A5866"/>
    <w:rsid w:val="006A7B57"/>
    <w:rsid w:val="006B0F54"/>
    <w:rsid w:val="006B415B"/>
    <w:rsid w:val="006B4C95"/>
    <w:rsid w:val="006B4CBA"/>
    <w:rsid w:val="006B5F82"/>
    <w:rsid w:val="006C2E46"/>
    <w:rsid w:val="006C3185"/>
    <w:rsid w:val="006C3544"/>
    <w:rsid w:val="006C4E45"/>
    <w:rsid w:val="006C5EE1"/>
    <w:rsid w:val="006C61B1"/>
    <w:rsid w:val="006D0669"/>
    <w:rsid w:val="006D3771"/>
    <w:rsid w:val="006D440A"/>
    <w:rsid w:val="006D592F"/>
    <w:rsid w:val="006D62BE"/>
    <w:rsid w:val="006D7B71"/>
    <w:rsid w:val="006D7EDC"/>
    <w:rsid w:val="006E0006"/>
    <w:rsid w:val="006E0DF6"/>
    <w:rsid w:val="006E1BDE"/>
    <w:rsid w:val="006E336C"/>
    <w:rsid w:val="006E3B9E"/>
    <w:rsid w:val="006E4A27"/>
    <w:rsid w:val="006E5828"/>
    <w:rsid w:val="006E6BB9"/>
    <w:rsid w:val="006E784F"/>
    <w:rsid w:val="006F0B4F"/>
    <w:rsid w:val="006F26BA"/>
    <w:rsid w:val="006F2DF3"/>
    <w:rsid w:val="006F2DF9"/>
    <w:rsid w:val="006F3653"/>
    <w:rsid w:val="006F3C6F"/>
    <w:rsid w:val="006F3DB7"/>
    <w:rsid w:val="006F41C6"/>
    <w:rsid w:val="006F5DD9"/>
    <w:rsid w:val="006F6FA2"/>
    <w:rsid w:val="007001D0"/>
    <w:rsid w:val="00700CE3"/>
    <w:rsid w:val="00701498"/>
    <w:rsid w:val="00701E70"/>
    <w:rsid w:val="007036AE"/>
    <w:rsid w:val="00704F47"/>
    <w:rsid w:val="007072C2"/>
    <w:rsid w:val="0070746B"/>
    <w:rsid w:val="007075CA"/>
    <w:rsid w:val="0071151E"/>
    <w:rsid w:val="00711571"/>
    <w:rsid w:val="0071482B"/>
    <w:rsid w:val="00714C8F"/>
    <w:rsid w:val="00715214"/>
    <w:rsid w:val="00715A32"/>
    <w:rsid w:val="00716F57"/>
    <w:rsid w:val="00721409"/>
    <w:rsid w:val="007221A2"/>
    <w:rsid w:val="00722364"/>
    <w:rsid w:val="00722935"/>
    <w:rsid w:val="00727815"/>
    <w:rsid w:val="00730E31"/>
    <w:rsid w:val="00732561"/>
    <w:rsid w:val="00734C7A"/>
    <w:rsid w:val="00734E06"/>
    <w:rsid w:val="00735844"/>
    <w:rsid w:val="00736E9D"/>
    <w:rsid w:val="007373FA"/>
    <w:rsid w:val="0074063F"/>
    <w:rsid w:val="00740EF1"/>
    <w:rsid w:val="00744DBD"/>
    <w:rsid w:val="00745398"/>
    <w:rsid w:val="00750451"/>
    <w:rsid w:val="00753890"/>
    <w:rsid w:val="007561F0"/>
    <w:rsid w:val="00756632"/>
    <w:rsid w:val="0075754A"/>
    <w:rsid w:val="00760554"/>
    <w:rsid w:val="0076083D"/>
    <w:rsid w:val="00761DC2"/>
    <w:rsid w:val="0076273D"/>
    <w:rsid w:val="00762B1E"/>
    <w:rsid w:val="007652E7"/>
    <w:rsid w:val="00766434"/>
    <w:rsid w:val="00770E10"/>
    <w:rsid w:val="00771E5C"/>
    <w:rsid w:val="00772107"/>
    <w:rsid w:val="00774A83"/>
    <w:rsid w:val="00775146"/>
    <w:rsid w:val="0077566D"/>
    <w:rsid w:val="00776097"/>
    <w:rsid w:val="007766A5"/>
    <w:rsid w:val="00776E39"/>
    <w:rsid w:val="00780082"/>
    <w:rsid w:val="0078016D"/>
    <w:rsid w:val="00782098"/>
    <w:rsid w:val="0078228A"/>
    <w:rsid w:val="00786724"/>
    <w:rsid w:val="007900CB"/>
    <w:rsid w:val="00790E9B"/>
    <w:rsid w:val="007917E7"/>
    <w:rsid w:val="007927C6"/>
    <w:rsid w:val="0079348E"/>
    <w:rsid w:val="0079405B"/>
    <w:rsid w:val="0079506B"/>
    <w:rsid w:val="007A05F4"/>
    <w:rsid w:val="007A0BB9"/>
    <w:rsid w:val="007A1D73"/>
    <w:rsid w:val="007A4023"/>
    <w:rsid w:val="007A5258"/>
    <w:rsid w:val="007A5A94"/>
    <w:rsid w:val="007A68C1"/>
    <w:rsid w:val="007A6C47"/>
    <w:rsid w:val="007B2D54"/>
    <w:rsid w:val="007B31F7"/>
    <w:rsid w:val="007B347F"/>
    <w:rsid w:val="007B5A98"/>
    <w:rsid w:val="007B5E30"/>
    <w:rsid w:val="007C2270"/>
    <w:rsid w:val="007C27D4"/>
    <w:rsid w:val="007C4CCE"/>
    <w:rsid w:val="007C570A"/>
    <w:rsid w:val="007C7D49"/>
    <w:rsid w:val="007D1D99"/>
    <w:rsid w:val="007D4D2A"/>
    <w:rsid w:val="007D763D"/>
    <w:rsid w:val="007E00B1"/>
    <w:rsid w:val="007E0749"/>
    <w:rsid w:val="007E2717"/>
    <w:rsid w:val="007E2F87"/>
    <w:rsid w:val="007E334F"/>
    <w:rsid w:val="007E3D27"/>
    <w:rsid w:val="007E5D39"/>
    <w:rsid w:val="007E66C8"/>
    <w:rsid w:val="007E67BD"/>
    <w:rsid w:val="007E6BBD"/>
    <w:rsid w:val="007F06E1"/>
    <w:rsid w:val="007F3983"/>
    <w:rsid w:val="007F3CCF"/>
    <w:rsid w:val="007F517F"/>
    <w:rsid w:val="007F6391"/>
    <w:rsid w:val="007F6FB8"/>
    <w:rsid w:val="007F7481"/>
    <w:rsid w:val="007F76FF"/>
    <w:rsid w:val="007F7970"/>
    <w:rsid w:val="007F7EB7"/>
    <w:rsid w:val="00801491"/>
    <w:rsid w:val="008015A7"/>
    <w:rsid w:val="00803099"/>
    <w:rsid w:val="00804AAA"/>
    <w:rsid w:val="0081066B"/>
    <w:rsid w:val="00810809"/>
    <w:rsid w:val="00810E5B"/>
    <w:rsid w:val="00812350"/>
    <w:rsid w:val="00812741"/>
    <w:rsid w:val="008128E3"/>
    <w:rsid w:val="00815871"/>
    <w:rsid w:val="00820CF4"/>
    <w:rsid w:val="00821789"/>
    <w:rsid w:val="0082180B"/>
    <w:rsid w:val="00825D4F"/>
    <w:rsid w:val="00825E25"/>
    <w:rsid w:val="00826EF2"/>
    <w:rsid w:val="00830017"/>
    <w:rsid w:val="00830DC9"/>
    <w:rsid w:val="00833A6A"/>
    <w:rsid w:val="00833E2F"/>
    <w:rsid w:val="008368F3"/>
    <w:rsid w:val="0083698F"/>
    <w:rsid w:val="00837959"/>
    <w:rsid w:val="008400A8"/>
    <w:rsid w:val="0084156A"/>
    <w:rsid w:val="008427B1"/>
    <w:rsid w:val="008449FF"/>
    <w:rsid w:val="00844BE8"/>
    <w:rsid w:val="0084534D"/>
    <w:rsid w:val="0084601D"/>
    <w:rsid w:val="00846C73"/>
    <w:rsid w:val="0085161D"/>
    <w:rsid w:val="00855597"/>
    <w:rsid w:val="00855780"/>
    <w:rsid w:val="00856178"/>
    <w:rsid w:val="00856C69"/>
    <w:rsid w:val="008570AB"/>
    <w:rsid w:val="00857477"/>
    <w:rsid w:val="00862545"/>
    <w:rsid w:val="00863118"/>
    <w:rsid w:val="00863170"/>
    <w:rsid w:val="008636B4"/>
    <w:rsid w:val="00865A76"/>
    <w:rsid w:val="0086730B"/>
    <w:rsid w:val="008679E6"/>
    <w:rsid w:val="00867A0F"/>
    <w:rsid w:val="00871811"/>
    <w:rsid w:val="0087253E"/>
    <w:rsid w:val="00872E1F"/>
    <w:rsid w:val="00873942"/>
    <w:rsid w:val="00877F83"/>
    <w:rsid w:val="00880558"/>
    <w:rsid w:val="00881CB8"/>
    <w:rsid w:val="00885DA2"/>
    <w:rsid w:val="00886342"/>
    <w:rsid w:val="008875DE"/>
    <w:rsid w:val="0089092F"/>
    <w:rsid w:val="00896961"/>
    <w:rsid w:val="00896FF4"/>
    <w:rsid w:val="008A0E85"/>
    <w:rsid w:val="008A1DDE"/>
    <w:rsid w:val="008A371D"/>
    <w:rsid w:val="008A41CA"/>
    <w:rsid w:val="008A519D"/>
    <w:rsid w:val="008A5443"/>
    <w:rsid w:val="008A55A8"/>
    <w:rsid w:val="008A5F01"/>
    <w:rsid w:val="008A6B66"/>
    <w:rsid w:val="008B0969"/>
    <w:rsid w:val="008B11D0"/>
    <w:rsid w:val="008B4464"/>
    <w:rsid w:val="008B49F6"/>
    <w:rsid w:val="008B4BF2"/>
    <w:rsid w:val="008B50B8"/>
    <w:rsid w:val="008B56E5"/>
    <w:rsid w:val="008B5AFD"/>
    <w:rsid w:val="008B605C"/>
    <w:rsid w:val="008B6650"/>
    <w:rsid w:val="008B7A4E"/>
    <w:rsid w:val="008C1506"/>
    <w:rsid w:val="008C15EB"/>
    <w:rsid w:val="008C27C5"/>
    <w:rsid w:val="008C2D30"/>
    <w:rsid w:val="008C68EF"/>
    <w:rsid w:val="008C6C92"/>
    <w:rsid w:val="008C77F7"/>
    <w:rsid w:val="008D0AE4"/>
    <w:rsid w:val="008D1847"/>
    <w:rsid w:val="008D1B0D"/>
    <w:rsid w:val="008D2F52"/>
    <w:rsid w:val="008D6B57"/>
    <w:rsid w:val="008D74C3"/>
    <w:rsid w:val="008D7DFC"/>
    <w:rsid w:val="008E00FD"/>
    <w:rsid w:val="008E07C6"/>
    <w:rsid w:val="008E33EA"/>
    <w:rsid w:val="008E4180"/>
    <w:rsid w:val="008E5DFF"/>
    <w:rsid w:val="008E5F84"/>
    <w:rsid w:val="008E6A1B"/>
    <w:rsid w:val="008F0EA9"/>
    <w:rsid w:val="008F1B1E"/>
    <w:rsid w:val="008F2B7E"/>
    <w:rsid w:val="008F411D"/>
    <w:rsid w:val="008F4D31"/>
    <w:rsid w:val="008F53F5"/>
    <w:rsid w:val="008F5AFC"/>
    <w:rsid w:val="008F5FF0"/>
    <w:rsid w:val="008F61F2"/>
    <w:rsid w:val="008F63BC"/>
    <w:rsid w:val="008F7F78"/>
    <w:rsid w:val="00900316"/>
    <w:rsid w:val="0090122A"/>
    <w:rsid w:val="0090394F"/>
    <w:rsid w:val="00904EF2"/>
    <w:rsid w:val="009054D3"/>
    <w:rsid w:val="00907B9D"/>
    <w:rsid w:val="00910CFA"/>
    <w:rsid w:val="009125D2"/>
    <w:rsid w:val="00913F86"/>
    <w:rsid w:val="00915E3F"/>
    <w:rsid w:val="0091757C"/>
    <w:rsid w:val="0092099E"/>
    <w:rsid w:val="0092273F"/>
    <w:rsid w:val="009238F1"/>
    <w:rsid w:val="009249B4"/>
    <w:rsid w:val="009260C6"/>
    <w:rsid w:val="00926716"/>
    <w:rsid w:val="00926ED2"/>
    <w:rsid w:val="009270DB"/>
    <w:rsid w:val="0093491F"/>
    <w:rsid w:val="00935DF7"/>
    <w:rsid w:val="00935E14"/>
    <w:rsid w:val="009361DA"/>
    <w:rsid w:val="00942454"/>
    <w:rsid w:val="00946968"/>
    <w:rsid w:val="00950DB5"/>
    <w:rsid w:val="00951BD3"/>
    <w:rsid w:val="009559F2"/>
    <w:rsid w:val="00957310"/>
    <w:rsid w:val="0095750D"/>
    <w:rsid w:val="0096278C"/>
    <w:rsid w:val="00962B8F"/>
    <w:rsid w:val="00964464"/>
    <w:rsid w:val="00965665"/>
    <w:rsid w:val="0096632E"/>
    <w:rsid w:val="009669E1"/>
    <w:rsid w:val="00966D4F"/>
    <w:rsid w:val="00971F52"/>
    <w:rsid w:val="0097202E"/>
    <w:rsid w:val="00972E0B"/>
    <w:rsid w:val="009732CE"/>
    <w:rsid w:val="009748F0"/>
    <w:rsid w:val="00974A7C"/>
    <w:rsid w:val="0097587B"/>
    <w:rsid w:val="009766FE"/>
    <w:rsid w:val="00977715"/>
    <w:rsid w:val="009778EF"/>
    <w:rsid w:val="00980439"/>
    <w:rsid w:val="00982444"/>
    <w:rsid w:val="00982BA7"/>
    <w:rsid w:val="00982D92"/>
    <w:rsid w:val="00982F10"/>
    <w:rsid w:val="009834A0"/>
    <w:rsid w:val="009843A8"/>
    <w:rsid w:val="00984993"/>
    <w:rsid w:val="0098697A"/>
    <w:rsid w:val="009875EE"/>
    <w:rsid w:val="00987E22"/>
    <w:rsid w:val="00993EA1"/>
    <w:rsid w:val="0099496C"/>
    <w:rsid w:val="00996569"/>
    <w:rsid w:val="009A057B"/>
    <w:rsid w:val="009A06F0"/>
    <w:rsid w:val="009A14DE"/>
    <w:rsid w:val="009A7BC2"/>
    <w:rsid w:val="009B187D"/>
    <w:rsid w:val="009B1897"/>
    <w:rsid w:val="009B1BB7"/>
    <w:rsid w:val="009B3DA6"/>
    <w:rsid w:val="009B48D4"/>
    <w:rsid w:val="009B5B95"/>
    <w:rsid w:val="009B7FD2"/>
    <w:rsid w:val="009C0992"/>
    <w:rsid w:val="009C0C48"/>
    <w:rsid w:val="009C1830"/>
    <w:rsid w:val="009C23DA"/>
    <w:rsid w:val="009C24B3"/>
    <w:rsid w:val="009C2C09"/>
    <w:rsid w:val="009C2E5A"/>
    <w:rsid w:val="009C4583"/>
    <w:rsid w:val="009C6214"/>
    <w:rsid w:val="009C7B18"/>
    <w:rsid w:val="009C7B91"/>
    <w:rsid w:val="009C7C48"/>
    <w:rsid w:val="009C7D55"/>
    <w:rsid w:val="009C7F52"/>
    <w:rsid w:val="009D07F2"/>
    <w:rsid w:val="009D1884"/>
    <w:rsid w:val="009D24A3"/>
    <w:rsid w:val="009D3665"/>
    <w:rsid w:val="009D373E"/>
    <w:rsid w:val="009D3C84"/>
    <w:rsid w:val="009D4D3C"/>
    <w:rsid w:val="009D6969"/>
    <w:rsid w:val="009D7470"/>
    <w:rsid w:val="009D7A58"/>
    <w:rsid w:val="009E0BAE"/>
    <w:rsid w:val="009E0CED"/>
    <w:rsid w:val="009E17A2"/>
    <w:rsid w:val="009E26C0"/>
    <w:rsid w:val="009E2D23"/>
    <w:rsid w:val="009E4043"/>
    <w:rsid w:val="009E43C1"/>
    <w:rsid w:val="009F3BA0"/>
    <w:rsid w:val="009F3F5D"/>
    <w:rsid w:val="009F4B3E"/>
    <w:rsid w:val="009F4CB9"/>
    <w:rsid w:val="009F52B8"/>
    <w:rsid w:val="009F6F42"/>
    <w:rsid w:val="009F7924"/>
    <w:rsid w:val="00A004B5"/>
    <w:rsid w:val="00A01C02"/>
    <w:rsid w:val="00A05113"/>
    <w:rsid w:val="00A054DC"/>
    <w:rsid w:val="00A06502"/>
    <w:rsid w:val="00A069AE"/>
    <w:rsid w:val="00A10389"/>
    <w:rsid w:val="00A103BD"/>
    <w:rsid w:val="00A10AD7"/>
    <w:rsid w:val="00A1133E"/>
    <w:rsid w:val="00A11888"/>
    <w:rsid w:val="00A11E62"/>
    <w:rsid w:val="00A11E8F"/>
    <w:rsid w:val="00A12369"/>
    <w:rsid w:val="00A14357"/>
    <w:rsid w:val="00A1524F"/>
    <w:rsid w:val="00A1525F"/>
    <w:rsid w:val="00A15E63"/>
    <w:rsid w:val="00A167D9"/>
    <w:rsid w:val="00A17672"/>
    <w:rsid w:val="00A176BD"/>
    <w:rsid w:val="00A200E6"/>
    <w:rsid w:val="00A20C5D"/>
    <w:rsid w:val="00A20D02"/>
    <w:rsid w:val="00A239CC"/>
    <w:rsid w:val="00A23BC2"/>
    <w:rsid w:val="00A24BB8"/>
    <w:rsid w:val="00A279AC"/>
    <w:rsid w:val="00A30C5D"/>
    <w:rsid w:val="00A310F1"/>
    <w:rsid w:val="00A34480"/>
    <w:rsid w:val="00A35FAA"/>
    <w:rsid w:val="00A40163"/>
    <w:rsid w:val="00A409BC"/>
    <w:rsid w:val="00A413AD"/>
    <w:rsid w:val="00A41422"/>
    <w:rsid w:val="00A42F6D"/>
    <w:rsid w:val="00A443F8"/>
    <w:rsid w:val="00A44612"/>
    <w:rsid w:val="00A44720"/>
    <w:rsid w:val="00A44A92"/>
    <w:rsid w:val="00A51337"/>
    <w:rsid w:val="00A540A5"/>
    <w:rsid w:val="00A54248"/>
    <w:rsid w:val="00A55B6F"/>
    <w:rsid w:val="00A609D3"/>
    <w:rsid w:val="00A619B5"/>
    <w:rsid w:val="00A6388E"/>
    <w:rsid w:val="00A70398"/>
    <w:rsid w:val="00A709AD"/>
    <w:rsid w:val="00A733CB"/>
    <w:rsid w:val="00A751AD"/>
    <w:rsid w:val="00A775CF"/>
    <w:rsid w:val="00A77853"/>
    <w:rsid w:val="00A77FAF"/>
    <w:rsid w:val="00A80C87"/>
    <w:rsid w:val="00A81D60"/>
    <w:rsid w:val="00A83241"/>
    <w:rsid w:val="00A84503"/>
    <w:rsid w:val="00A8782F"/>
    <w:rsid w:val="00A90C74"/>
    <w:rsid w:val="00A9167D"/>
    <w:rsid w:val="00A919E7"/>
    <w:rsid w:val="00A9293A"/>
    <w:rsid w:val="00A92D25"/>
    <w:rsid w:val="00A943E1"/>
    <w:rsid w:val="00A94689"/>
    <w:rsid w:val="00A94DDB"/>
    <w:rsid w:val="00A96349"/>
    <w:rsid w:val="00A965CD"/>
    <w:rsid w:val="00AA27AA"/>
    <w:rsid w:val="00AA2DF3"/>
    <w:rsid w:val="00AA50BC"/>
    <w:rsid w:val="00AA70B4"/>
    <w:rsid w:val="00AB0B01"/>
    <w:rsid w:val="00AB24E7"/>
    <w:rsid w:val="00AB3237"/>
    <w:rsid w:val="00AB3A2D"/>
    <w:rsid w:val="00AB75AE"/>
    <w:rsid w:val="00AB76EC"/>
    <w:rsid w:val="00AB7933"/>
    <w:rsid w:val="00AB7A09"/>
    <w:rsid w:val="00AB7C05"/>
    <w:rsid w:val="00AC13C9"/>
    <w:rsid w:val="00AC3D18"/>
    <w:rsid w:val="00AD10CF"/>
    <w:rsid w:val="00AD2FC0"/>
    <w:rsid w:val="00AD35EA"/>
    <w:rsid w:val="00AD3BC7"/>
    <w:rsid w:val="00AD4967"/>
    <w:rsid w:val="00AD562E"/>
    <w:rsid w:val="00AD5B1B"/>
    <w:rsid w:val="00AD6DB9"/>
    <w:rsid w:val="00AE2459"/>
    <w:rsid w:val="00AE29C2"/>
    <w:rsid w:val="00AE3D23"/>
    <w:rsid w:val="00AE4EC8"/>
    <w:rsid w:val="00AE5D9F"/>
    <w:rsid w:val="00AE5F15"/>
    <w:rsid w:val="00AE61C0"/>
    <w:rsid w:val="00AE76C9"/>
    <w:rsid w:val="00AF0C7E"/>
    <w:rsid w:val="00AF0EB2"/>
    <w:rsid w:val="00AF1167"/>
    <w:rsid w:val="00AF2221"/>
    <w:rsid w:val="00AF2791"/>
    <w:rsid w:val="00AF32F0"/>
    <w:rsid w:val="00AF3811"/>
    <w:rsid w:val="00AF418D"/>
    <w:rsid w:val="00AF47A1"/>
    <w:rsid w:val="00AF560E"/>
    <w:rsid w:val="00AF6220"/>
    <w:rsid w:val="00AF70EE"/>
    <w:rsid w:val="00AF7618"/>
    <w:rsid w:val="00B00B01"/>
    <w:rsid w:val="00B02162"/>
    <w:rsid w:val="00B04550"/>
    <w:rsid w:val="00B04964"/>
    <w:rsid w:val="00B061AE"/>
    <w:rsid w:val="00B06ACC"/>
    <w:rsid w:val="00B10605"/>
    <w:rsid w:val="00B10F95"/>
    <w:rsid w:val="00B12331"/>
    <w:rsid w:val="00B15B71"/>
    <w:rsid w:val="00B21941"/>
    <w:rsid w:val="00B21E61"/>
    <w:rsid w:val="00B21EB4"/>
    <w:rsid w:val="00B22F29"/>
    <w:rsid w:val="00B233F5"/>
    <w:rsid w:val="00B23F55"/>
    <w:rsid w:val="00B24916"/>
    <w:rsid w:val="00B2691D"/>
    <w:rsid w:val="00B26C44"/>
    <w:rsid w:val="00B273B4"/>
    <w:rsid w:val="00B27820"/>
    <w:rsid w:val="00B30944"/>
    <w:rsid w:val="00B33F4D"/>
    <w:rsid w:val="00B364D0"/>
    <w:rsid w:val="00B36B81"/>
    <w:rsid w:val="00B37148"/>
    <w:rsid w:val="00B42B56"/>
    <w:rsid w:val="00B460B5"/>
    <w:rsid w:val="00B47F4C"/>
    <w:rsid w:val="00B51526"/>
    <w:rsid w:val="00B56B78"/>
    <w:rsid w:val="00B60F6F"/>
    <w:rsid w:val="00B60FAC"/>
    <w:rsid w:val="00B61348"/>
    <w:rsid w:val="00B617F3"/>
    <w:rsid w:val="00B61A52"/>
    <w:rsid w:val="00B6230B"/>
    <w:rsid w:val="00B64DE4"/>
    <w:rsid w:val="00B65221"/>
    <w:rsid w:val="00B676B8"/>
    <w:rsid w:val="00B70C9E"/>
    <w:rsid w:val="00B71222"/>
    <w:rsid w:val="00B7358B"/>
    <w:rsid w:val="00B7388C"/>
    <w:rsid w:val="00B73E0D"/>
    <w:rsid w:val="00B830A1"/>
    <w:rsid w:val="00B83705"/>
    <w:rsid w:val="00B83CA0"/>
    <w:rsid w:val="00B84243"/>
    <w:rsid w:val="00B85C34"/>
    <w:rsid w:val="00B86625"/>
    <w:rsid w:val="00B876C0"/>
    <w:rsid w:val="00B9211B"/>
    <w:rsid w:val="00B93884"/>
    <w:rsid w:val="00B94638"/>
    <w:rsid w:val="00B94A65"/>
    <w:rsid w:val="00B94ADF"/>
    <w:rsid w:val="00B94BF8"/>
    <w:rsid w:val="00B94FB4"/>
    <w:rsid w:val="00B95D2D"/>
    <w:rsid w:val="00B9676C"/>
    <w:rsid w:val="00BA0966"/>
    <w:rsid w:val="00BA0CC9"/>
    <w:rsid w:val="00BA0F2F"/>
    <w:rsid w:val="00BA1DE1"/>
    <w:rsid w:val="00BA1ED1"/>
    <w:rsid w:val="00BA2F8D"/>
    <w:rsid w:val="00BA379F"/>
    <w:rsid w:val="00BA6777"/>
    <w:rsid w:val="00BB2A98"/>
    <w:rsid w:val="00BB2B07"/>
    <w:rsid w:val="00BB3AB5"/>
    <w:rsid w:val="00BB3DA8"/>
    <w:rsid w:val="00BB498B"/>
    <w:rsid w:val="00BB6D23"/>
    <w:rsid w:val="00BB721D"/>
    <w:rsid w:val="00BB7455"/>
    <w:rsid w:val="00BC2C65"/>
    <w:rsid w:val="00BC3CAB"/>
    <w:rsid w:val="00BC42CE"/>
    <w:rsid w:val="00BC6702"/>
    <w:rsid w:val="00BC78AD"/>
    <w:rsid w:val="00BD210E"/>
    <w:rsid w:val="00BE27C7"/>
    <w:rsid w:val="00BE70B3"/>
    <w:rsid w:val="00BE7D58"/>
    <w:rsid w:val="00BF0270"/>
    <w:rsid w:val="00BF0E14"/>
    <w:rsid w:val="00BF164E"/>
    <w:rsid w:val="00BF23C3"/>
    <w:rsid w:val="00BF5548"/>
    <w:rsid w:val="00BF6D42"/>
    <w:rsid w:val="00BF74F7"/>
    <w:rsid w:val="00BF7ED9"/>
    <w:rsid w:val="00C008F0"/>
    <w:rsid w:val="00C00AA5"/>
    <w:rsid w:val="00C03A93"/>
    <w:rsid w:val="00C07DEC"/>
    <w:rsid w:val="00C1005F"/>
    <w:rsid w:val="00C107D2"/>
    <w:rsid w:val="00C10E26"/>
    <w:rsid w:val="00C11F05"/>
    <w:rsid w:val="00C11F2F"/>
    <w:rsid w:val="00C12D0A"/>
    <w:rsid w:val="00C15DEF"/>
    <w:rsid w:val="00C171AB"/>
    <w:rsid w:val="00C20E76"/>
    <w:rsid w:val="00C23647"/>
    <w:rsid w:val="00C2476F"/>
    <w:rsid w:val="00C258F6"/>
    <w:rsid w:val="00C2641F"/>
    <w:rsid w:val="00C3009E"/>
    <w:rsid w:val="00C31E81"/>
    <w:rsid w:val="00C3239B"/>
    <w:rsid w:val="00C326DA"/>
    <w:rsid w:val="00C3324A"/>
    <w:rsid w:val="00C337D5"/>
    <w:rsid w:val="00C342CD"/>
    <w:rsid w:val="00C34390"/>
    <w:rsid w:val="00C34C59"/>
    <w:rsid w:val="00C359BA"/>
    <w:rsid w:val="00C36775"/>
    <w:rsid w:val="00C41D55"/>
    <w:rsid w:val="00C428E6"/>
    <w:rsid w:val="00C42D37"/>
    <w:rsid w:val="00C431A3"/>
    <w:rsid w:val="00C44BE3"/>
    <w:rsid w:val="00C44C1D"/>
    <w:rsid w:val="00C45579"/>
    <w:rsid w:val="00C52077"/>
    <w:rsid w:val="00C53EF2"/>
    <w:rsid w:val="00C55846"/>
    <w:rsid w:val="00C6305B"/>
    <w:rsid w:val="00C63C1F"/>
    <w:rsid w:val="00C63ED7"/>
    <w:rsid w:val="00C64E0C"/>
    <w:rsid w:val="00C66B65"/>
    <w:rsid w:val="00C74126"/>
    <w:rsid w:val="00C7418D"/>
    <w:rsid w:val="00C74C39"/>
    <w:rsid w:val="00C74DA9"/>
    <w:rsid w:val="00C753CE"/>
    <w:rsid w:val="00C7638D"/>
    <w:rsid w:val="00C763EA"/>
    <w:rsid w:val="00C778F7"/>
    <w:rsid w:val="00C8049D"/>
    <w:rsid w:val="00C85E77"/>
    <w:rsid w:val="00C866BE"/>
    <w:rsid w:val="00C8748F"/>
    <w:rsid w:val="00C87FB8"/>
    <w:rsid w:val="00C906D1"/>
    <w:rsid w:val="00C91CF4"/>
    <w:rsid w:val="00C92123"/>
    <w:rsid w:val="00C93B2B"/>
    <w:rsid w:val="00C95374"/>
    <w:rsid w:val="00C95596"/>
    <w:rsid w:val="00C95850"/>
    <w:rsid w:val="00C95B85"/>
    <w:rsid w:val="00C97F24"/>
    <w:rsid w:val="00CA0B5E"/>
    <w:rsid w:val="00CA0F4F"/>
    <w:rsid w:val="00CA2F21"/>
    <w:rsid w:val="00CA3214"/>
    <w:rsid w:val="00CA35EE"/>
    <w:rsid w:val="00CA450E"/>
    <w:rsid w:val="00CA4819"/>
    <w:rsid w:val="00CA49A3"/>
    <w:rsid w:val="00CA600B"/>
    <w:rsid w:val="00CA662C"/>
    <w:rsid w:val="00CA709C"/>
    <w:rsid w:val="00CA7BA1"/>
    <w:rsid w:val="00CB16FA"/>
    <w:rsid w:val="00CB1F59"/>
    <w:rsid w:val="00CB4589"/>
    <w:rsid w:val="00CB54F0"/>
    <w:rsid w:val="00CB62C0"/>
    <w:rsid w:val="00CB795F"/>
    <w:rsid w:val="00CB797D"/>
    <w:rsid w:val="00CC0486"/>
    <w:rsid w:val="00CC0B67"/>
    <w:rsid w:val="00CC1B1A"/>
    <w:rsid w:val="00CC4867"/>
    <w:rsid w:val="00CC5AB0"/>
    <w:rsid w:val="00CC5ED2"/>
    <w:rsid w:val="00CC7ED8"/>
    <w:rsid w:val="00CC7F08"/>
    <w:rsid w:val="00CD1BF3"/>
    <w:rsid w:val="00CD29A5"/>
    <w:rsid w:val="00CD3382"/>
    <w:rsid w:val="00CD4601"/>
    <w:rsid w:val="00CD6ED1"/>
    <w:rsid w:val="00CE0085"/>
    <w:rsid w:val="00CE0472"/>
    <w:rsid w:val="00CE2B6C"/>
    <w:rsid w:val="00CE2C1A"/>
    <w:rsid w:val="00CE3F53"/>
    <w:rsid w:val="00CE4134"/>
    <w:rsid w:val="00CE558E"/>
    <w:rsid w:val="00CE7933"/>
    <w:rsid w:val="00CF2C6F"/>
    <w:rsid w:val="00CF3254"/>
    <w:rsid w:val="00CF4131"/>
    <w:rsid w:val="00CF5085"/>
    <w:rsid w:val="00D00382"/>
    <w:rsid w:val="00D0086A"/>
    <w:rsid w:val="00D02EF1"/>
    <w:rsid w:val="00D05127"/>
    <w:rsid w:val="00D055DE"/>
    <w:rsid w:val="00D05719"/>
    <w:rsid w:val="00D07A8D"/>
    <w:rsid w:val="00D1024D"/>
    <w:rsid w:val="00D120BF"/>
    <w:rsid w:val="00D143EC"/>
    <w:rsid w:val="00D1741D"/>
    <w:rsid w:val="00D174C3"/>
    <w:rsid w:val="00D17D15"/>
    <w:rsid w:val="00D17E55"/>
    <w:rsid w:val="00D2179B"/>
    <w:rsid w:val="00D22699"/>
    <w:rsid w:val="00D2316C"/>
    <w:rsid w:val="00D24FF4"/>
    <w:rsid w:val="00D30A84"/>
    <w:rsid w:val="00D30CBA"/>
    <w:rsid w:val="00D323B5"/>
    <w:rsid w:val="00D327B7"/>
    <w:rsid w:val="00D36333"/>
    <w:rsid w:val="00D37B68"/>
    <w:rsid w:val="00D37C36"/>
    <w:rsid w:val="00D428B3"/>
    <w:rsid w:val="00D43447"/>
    <w:rsid w:val="00D44D21"/>
    <w:rsid w:val="00D459CF"/>
    <w:rsid w:val="00D46A7B"/>
    <w:rsid w:val="00D50C9B"/>
    <w:rsid w:val="00D5165C"/>
    <w:rsid w:val="00D518B3"/>
    <w:rsid w:val="00D549BF"/>
    <w:rsid w:val="00D551E1"/>
    <w:rsid w:val="00D55763"/>
    <w:rsid w:val="00D5708A"/>
    <w:rsid w:val="00D576B5"/>
    <w:rsid w:val="00D57849"/>
    <w:rsid w:val="00D60439"/>
    <w:rsid w:val="00D6199A"/>
    <w:rsid w:val="00D655F5"/>
    <w:rsid w:val="00D6661E"/>
    <w:rsid w:val="00D70BF5"/>
    <w:rsid w:val="00D70EB2"/>
    <w:rsid w:val="00D715EF"/>
    <w:rsid w:val="00D75924"/>
    <w:rsid w:val="00D75DD0"/>
    <w:rsid w:val="00D7602E"/>
    <w:rsid w:val="00D76996"/>
    <w:rsid w:val="00D7743F"/>
    <w:rsid w:val="00D77A83"/>
    <w:rsid w:val="00D81071"/>
    <w:rsid w:val="00D816B5"/>
    <w:rsid w:val="00D82879"/>
    <w:rsid w:val="00D83B82"/>
    <w:rsid w:val="00D84105"/>
    <w:rsid w:val="00D85D3F"/>
    <w:rsid w:val="00D87479"/>
    <w:rsid w:val="00D9150D"/>
    <w:rsid w:val="00D92B42"/>
    <w:rsid w:val="00D94828"/>
    <w:rsid w:val="00D961F2"/>
    <w:rsid w:val="00D97687"/>
    <w:rsid w:val="00D9775E"/>
    <w:rsid w:val="00DA1610"/>
    <w:rsid w:val="00DA1A11"/>
    <w:rsid w:val="00DA1BEF"/>
    <w:rsid w:val="00DA28A8"/>
    <w:rsid w:val="00DA3143"/>
    <w:rsid w:val="00DA4EAE"/>
    <w:rsid w:val="00DA6854"/>
    <w:rsid w:val="00DA6D4F"/>
    <w:rsid w:val="00DA6FB4"/>
    <w:rsid w:val="00DA7AC3"/>
    <w:rsid w:val="00DB10A8"/>
    <w:rsid w:val="00DB2D39"/>
    <w:rsid w:val="00DB4C98"/>
    <w:rsid w:val="00DB584E"/>
    <w:rsid w:val="00DB69D9"/>
    <w:rsid w:val="00DB6D87"/>
    <w:rsid w:val="00DC32EC"/>
    <w:rsid w:val="00DC4099"/>
    <w:rsid w:val="00DC4790"/>
    <w:rsid w:val="00DC6737"/>
    <w:rsid w:val="00DD051E"/>
    <w:rsid w:val="00DD0BA0"/>
    <w:rsid w:val="00DD5E1B"/>
    <w:rsid w:val="00DD7B40"/>
    <w:rsid w:val="00DD7CC1"/>
    <w:rsid w:val="00DE117E"/>
    <w:rsid w:val="00DE1987"/>
    <w:rsid w:val="00DE2A71"/>
    <w:rsid w:val="00DE36CF"/>
    <w:rsid w:val="00DE42BA"/>
    <w:rsid w:val="00DE4CD1"/>
    <w:rsid w:val="00DE50C2"/>
    <w:rsid w:val="00DE566F"/>
    <w:rsid w:val="00DE5DF9"/>
    <w:rsid w:val="00DE5E0C"/>
    <w:rsid w:val="00DF0728"/>
    <w:rsid w:val="00DF1ADC"/>
    <w:rsid w:val="00DF2249"/>
    <w:rsid w:val="00DF30D5"/>
    <w:rsid w:val="00DF363A"/>
    <w:rsid w:val="00DF4173"/>
    <w:rsid w:val="00DF4C9E"/>
    <w:rsid w:val="00DF61C8"/>
    <w:rsid w:val="00DF6323"/>
    <w:rsid w:val="00DF6B26"/>
    <w:rsid w:val="00DF70FB"/>
    <w:rsid w:val="00DF744E"/>
    <w:rsid w:val="00E00258"/>
    <w:rsid w:val="00E01B7C"/>
    <w:rsid w:val="00E054BA"/>
    <w:rsid w:val="00E05967"/>
    <w:rsid w:val="00E06F9F"/>
    <w:rsid w:val="00E10D3F"/>
    <w:rsid w:val="00E121DD"/>
    <w:rsid w:val="00E14195"/>
    <w:rsid w:val="00E14B6C"/>
    <w:rsid w:val="00E15A7E"/>
    <w:rsid w:val="00E1675C"/>
    <w:rsid w:val="00E16977"/>
    <w:rsid w:val="00E16BE1"/>
    <w:rsid w:val="00E17DAB"/>
    <w:rsid w:val="00E20628"/>
    <w:rsid w:val="00E2103B"/>
    <w:rsid w:val="00E2256F"/>
    <w:rsid w:val="00E22A07"/>
    <w:rsid w:val="00E23015"/>
    <w:rsid w:val="00E26003"/>
    <w:rsid w:val="00E273FF"/>
    <w:rsid w:val="00E27685"/>
    <w:rsid w:val="00E27B91"/>
    <w:rsid w:val="00E30FE2"/>
    <w:rsid w:val="00E37BA9"/>
    <w:rsid w:val="00E42411"/>
    <w:rsid w:val="00E42C8A"/>
    <w:rsid w:val="00E4345C"/>
    <w:rsid w:val="00E43965"/>
    <w:rsid w:val="00E43E3B"/>
    <w:rsid w:val="00E4452C"/>
    <w:rsid w:val="00E4582E"/>
    <w:rsid w:val="00E45DA0"/>
    <w:rsid w:val="00E46611"/>
    <w:rsid w:val="00E46AB8"/>
    <w:rsid w:val="00E473B3"/>
    <w:rsid w:val="00E51F1C"/>
    <w:rsid w:val="00E536F4"/>
    <w:rsid w:val="00E54185"/>
    <w:rsid w:val="00E551F8"/>
    <w:rsid w:val="00E55963"/>
    <w:rsid w:val="00E55ABA"/>
    <w:rsid w:val="00E5604F"/>
    <w:rsid w:val="00E56782"/>
    <w:rsid w:val="00E6158E"/>
    <w:rsid w:val="00E62B36"/>
    <w:rsid w:val="00E62DF5"/>
    <w:rsid w:val="00E647C8"/>
    <w:rsid w:val="00E64C02"/>
    <w:rsid w:val="00E67C82"/>
    <w:rsid w:val="00E702CE"/>
    <w:rsid w:val="00E70F0A"/>
    <w:rsid w:val="00E731D7"/>
    <w:rsid w:val="00E73765"/>
    <w:rsid w:val="00E73D4B"/>
    <w:rsid w:val="00E74ACE"/>
    <w:rsid w:val="00E77ADE"/>
    <w:rsid w:val="00E77C06"/>
    <w:rsid w:val="00E82607"/>
    <w:rsid w:val="00E831F7"/>
    <w:rsid w:val="00E835D7"/>
    <w:rsid w:val="00E84AB4"/>
    <w:rsid w:val="00E855E0"/>
    <w:rsid w:val="00E860B7"/>
    <w:rsid w:val="00E8780D"/>
    <w:rsid w:val="00E9027A"/>
    <w:rsid w:val="00E90AEC"/>
    <w:rsid w:val="00E95527"/>
    <w:rsid w:val="00E95DB8"/>
    <w:rsid w:val="00E95E3B"/>
    <w:rsid w:val="00E97527"/>
    <w:rsid w:val="00EA186C"/>
    <w:rsid w:val="00EA5A9E"/>
    <w:rsid w:val="00EA6556"/>
    <w:rsid w:val="00EA6842"/>
    <w:rsid w:val="00EB04C4"/>
    <w:rsid w:val="00EB1B80"/>
    <w:rsid w:val="00EB4175"/>
    <w:rsid w:val="00EB4C26"/>
    <w:rsid w:val="00EB5127"/>
    <w:rsid w:val="00EB53F2"/>
    <w:rsid w:val="00EB7803"/>
    <w:rsid w:val="00EC0295"/>
    <w:rsid w:val="00EC0454"/>
    <w:rsid w:val="00EC19FA"/>
    <w:rsid w:val="00EC5F86"/>
    <w:rsid w:val="00EC7F52"/>
    <w:rsid w:val="00ED0940"/>
    <w:rsid w:val="00ED25CE"/>
    <w:rsid w:val="00ED3A55"/>
    <w:rsid w:val="00ED402C"/>
    <w:rsid w:val="00ED5466"/>
    <w:rsid w:val="00ED6081"/>
    <w:rsid w:val="00EE0455"/>
    <w:rsid w:val="00EE0ACF"/>
    <w:rsid w:val="00EE2749"/>
    <w:rsid w:val="00EE37DE"/>
    <w:rsid w:val="00EE67C5"/>
    <w:rsid w:val="00EE79BD"/>
    <w:rsid w:val="00EE7C90"/>
    <w:rsid w:val="00EF1185"/>
    <w:rsid w:val="00EF18EF"/>
    <w:rsid w:val="00EF4031"/>
    <w:rsid w:val="00F01FF7"/>
    <w:rsid w:val="00F05908"/>
    <w:rsid w:val="00F10305"/>
    <w:rsid w:val="00F1076B"/>
    <w:rsid w:val="00F10D71"/>
    <w:rsid w:val="00F11B9B"/>
    <w:rsid w:val="00F11D20"/>
    <w:rsid w:val="00F120D0"/>
    <w:rsid w:val="00F13E0D"/>
    <w:rsid w:val="00F20B6E"/>
    <w:rsid w:val="00F20FF5"/>
    <w:rsid w:val="00F23729"/>
    <w:rsid w:val="00F248EC"/>
    <w:rsid w:val="00F24BCF"/>
    <w:rsid w:val="00F24C64"/>
    <w:rsid w:val="00F25C8D"/>
    <w:rsid w:val="00F25E56"/>
    <w:rsid w:val="00F2639B"/>
    <w:rsid w:val="00F276EE"/>
    <w:rsid w:val="00F3255F"/>
    <w:rsid w:val="00F32576"/>
    <w:rsid w:val="00F32C53"/>
    <w:rsid w:val="00F3510E"/>
    <w:rsid w:val="00F35B8D"/>
    <w:rsid w:val="00F373DC"/>
    <w:rsid w:val="00F37EF3"/>
    <w:rsid w:val="00F403D6"/>
    <w:rsid w:val="00F40782"/>
    <w:rsid w:val="00F41A99"/>
    <w:rsid w:val="00F422EF"/>
    <w:rsid w:val="00F42894"/>
    <w:rsid w:val="00F45CF2"/>
    <w:rsid w:val="00F47B25"/>
    <w:rsid w:val="00F51346"/>
    <w:rsid w:val="00F5235B"/>
    <w:rsid w:val="00F53C43"/>
    <w:rsid w:val="00F54947"/>
    <w:rsid w:val="00F54F7B"/>
    <w:rsid w:val="00F560DC"/>
    <w:rsid w:val="00F56916"/>
    <w:rsid w:val="00F56AD0"/>
    <w:rsid w:val="00F56CB1"/>
    <w:rsid w:val="00F626C2"/>
    <w:rsid w:val="00F63B53"/>
    <w:rsid w:val="00F63F85"/>
    <w:rsid w:val="00F64B73"/>
    <w:rsid w:val="00F65819"/>
    <w:rsid w:val="00F67A6B"/>
    <w:rsid w:val="00F72D23"/>
    <w:rsid w:val="00F7379B"/>
    <w:rsid w:val="00F74CB0"/>
    <w:rsid w:val="00F75495"/>
    <w:rsid w:val="00F765EB"/>
    <w:rsid w:val="00F81CE4"/>
    <w:rsid w:val="00F8404E"/>
    <w:rsid w:val="00F8673B"/>
    <w:rsid w:val="00F87B5B"/>
    <w:rsid w:val="00F908F8"/>
    <w:rsid w:val="00F92442"/>
    <w:rsid w:val="00F926C8"/>
    <w:rsid w:val="00F9308B"/>
    <w:rsid w:val="00F97D2D"/>
    <w:rsid w:val="00FA023B"/>
    <w:rsid w:val="00FA05A4"/>
    <w:rsid w:val="00FA30C2"/>
    <w:rsid w:val="00FA63B6"/>
    <w:rsid w:val="00FA64DF"/>
    <w:rsid w:val="00FA7135"/>
    <w:rsid w:val="00FA71DC"/>
    <w:rsid w:val="00FA784C"/>
    <w:rsid w:val="00FB045A"/>
    <w:rsid w:val="00FB06E1"/>
    <w:rsid w:val="00FB0CA2"/>
    <w:rsid w:val="00FB308D"/>
    <w:rsid w:val="00FB5FF4"/>
    <w:rsid w:val="00FB6216"/>
    <w:rsid w:val="00FB6912"/>
    <w:rsid w:val="00FC00DD"/>
    <w:rsid w:val="00FC0675"/>
    <w:rsid w:val="00FC1239"/>
    <w:rsid w:val="00FC1247"/>
    <w:rsid w:val="00FC157A"/>
    <w:rsid w:val="00FC1C66"/>
    <w:rsid w:val="00FC1F17"/>
    <w:rsid w:val="00FC3CD4"/>
    <w:rsid w:val="00FC46B2"/>
    <w:rsid w:val="00FC4944"/>
    <w:rsid w:val="00FC5E29"/>
    <w:rsid w:val="00FD1B30"/>
    <w:rsid w:val="00FD3D3E"/>
    <w:rsid w:val="00FD4377"/>
    <w:rsid w:val="00FD5051"/>
    <w:rsid w:val="00FD5958"/>
    <w:rsid w:val="00FD5A0F"/>
    <w:rsid w:val="00FD5B76"/>
    <w:rsid w:val="00FD756D"/>
    <w:rsid w:val="00FD7972"/>
    <w:rsid w:val="00FD7A9E"/>
    <w:rsid w:val="00FE059A"/>
    <w:rsid w:val="00FE0781"/>
    <w:rsid w:val="00FE158E"/>
    <w:rsid w:val="00FE29AF"/>
    <w:rsid w:val="00FE4BF0"/>
    <w:rsid w:val="00FE54AE"/>
    <w:rsid w:val="00FF2339"/>
    <w:rsid w:val="00FF2430"/>
    <w:rsid w:val="00FF26B9"/>
    <w:rsid w:val="00FF33AA"/>
    <w:rsid w:val="00FF371D"/>
    <w:rsid w:val="00FF637D"/>
    <w:rsid w:val="00FF64CF"/>
    <w:rsid w:val="00FF6999"/>
    <w:rsid w:val="00FF6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0817">
      <w:bodyDiv w:val="1"/>
      <w:marLeft w:val="0"/>
      <w:marRight w:val="0"/>
      <w:marTop w:val="0"/>
      <w:marBottom w:val="0"/>
      <w:divBdr>
        <w:top w:val="none" w:sz="0" w:space="0" w:color="auto"/>
        <w:left w:val="none" w:sz="0" w:space="0" w:color="auto"/>
        <w:bottom w:val="none" w:sz="0" w:space="0" w:color="auto"/>
        <w:right w:val="none" w:sz="0" w:space="0" w:color="auto"/>
      </w:divBdr>
    </w:div>
    <w:div w:id="7559161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329954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7907606">
      <w:bodyDiv w:val="1"/>
      <w:marLeft w:val="0"/>
      <w:marRight w:val="0"/>
      <w:marTop w:val="0"/>
      <w:marBottom w:val="0"/>
      <w:divBdr>
        <w:top w:val="none" w:sz="0" w:space="0" w:color="auto"/>
        <w:left w:val="none" w:sz="0" w:space="0" w:color="auto"/>
        <w:bottom w:val="none" w:sz="0" w:space="0" w:color="auto"/>
        <w:right w:val="none" w:sz="0" w:space="0" w:color="auto"/>
      </w:divBdr>
    </w:div>
    <w:div w:id="244190858">
      <w:bodyDiv w:val="1"/>
      <w:marLeft w:val="0"/>
      <w:marRight w:val="0"/>
      <w:marTop w:val="0"/>
      <w:marBottom w:val="0"/>
      <w:divBdr>
        <w:top w:val="none" w:sz="0" w:space="0" w:color="auto"/>
        <w:left w:val="none" w:sz="0" w:space="0" w:color="auto"/>
        <w:bottom w:val="none" w:sz="0" w:space="0" w:color="auto"/>
        <w:right w:val="none" w:sz="0" w:space="0" w:color="auto"/>
      </w:divBdr>
    </w:div>
    <w:div w:id="264729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27901457">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24230627">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8862616">
      <w:bodyDiv w:val="1"/>
      <w:marLeft w:val="0"/>
      <w:marRight w:val="0"/>
      <w:marTop w:val="0"/>
      <w:marBottom w:val="0"/>
      <w:divBdr>
        <w:top w:val="none" w:sz="0" w:space="0" w:color="auto"/>
        <w:left w:val="none" w:sz="0" w:space="0" w:color="auto"/>
        <w:bottom w:val="none" w:sz="0" w:space="0" w:color="auto"/>
        <w:right w:val="none" w:sz="0" w:space="0" w:color="auto"/>
      </w:divBdr>
    </w:div>
    <w:div w:id="484442528">
      <w:bodyDiv w:val="1"/>
      <w:marLeft w:val="0"/>
      <w:marRight w:val="0"/>
      <w:marTop w:val="0"/>
      <w:marBottom w:val="0"/>
      <w:divBdr>
        <w:top w:val="none" w:sz="0" w:space="0" w:color="auto"/>
        <w:left w:val="none" w:sz="0" w:space="0" w:color="auto"/>
        <w:bottom w:val="none" w:sz="0" w:space="0" w:color="auto"/>
        <w:right w:val="none" w:sz="0" w:space="0" w:color="auto"/>
      </w:divBdr>
    </w:div>
    <w:div w:id="488328089">
      <w:bodyDiv w:val="1"/>
      <w:marLeft w:val="0"/>
      <w:marRight w:val="0"/>
      <w:marTop w:val="0"/>
      <w:marBottom w:val="0"/>
      <w:divBdr>
        <w:top w:val="none" w:sz="0" w:space="0" w:color="auto"/>
        <w:left w:val="none" w:sz="0" w:space="0" w:color="auto"/>
        <w:bottom w:val="none" w:sz="0" w:space="0" w:color="auto"/>
        <w:right w:val="none" w:sz="0" w:space="0" w:color="auto"/>
      </w:divBdr>
    </w:div>
    <w:div w:id="490289626">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6699198">
      <w:bodyDiv w:val="1"/>
      <w:marLeft w:val="0"/>
      <w:marRight w:val="0"/>
      <w:marTop w:val="0"/>
      <w:marBottom w:val="0"/>
      <w:divBdr>
        <w:top w:val="none" w:sz="0" w:space="0" w:color="auto"/>
        <w:left w:val="none" w:sz="0" w:space="0" w:color="auto"/>
        <w:bottom w:val="none" w:sz="0" w:space="0" w:color="auto"/>
        <w:right w:val="none" w:sz="0" w:space="0" w:color="auto"/>
      </w:divBdr>
    </w:div>
    <w:div w:id="518473141">
      <w:bodyDiv w:val="1"/>
      <w:marLeft w:val="0"/>
      <w:marRight w:val="0"/>
      <w:marTop w:val="0"/>
      <w:marBottom w:val="0"/>
      <w:divBdr>
        <w:top w:val="none" w:sz="0" w:space="0" w:color="auto"/>
        <w:left w:val="none" w:sz="0" w:space="0" w:color="auto"/>
        <w:bottom w:val="none" w:sz="0" w:space="0" w:color="auto"/>
        <w:right w:val="none" w:sz="0" w:space="0" w:color="auto"/>
      </w:divBdr>
    </w:div>
    <w:div w:id="560290841">
      <w:bodyDiv w:val="1"/>
      <w:marLeft w:val="0"/>
      <w:marRight w:val="0"/>
      <w:marTop w:val="0"/>
      <w:marBottom w:val="0"/>
      <w:divBdr>
        <w:top w:val="none" w:sz="0" w:space="0" w:color="auto"/>
        <w:left w:val="none" w:sz="0" w:space="0" w:color="auto"/>
        <w:bottom w:val="none" w:sz="0" w:space="0" w:color="auto"/>
        <w:right w:val="none" w:sz="0" w:space="0" w:color="auto"/>
      </w:divBdr>
    </w:div>
    <w:div w:id="5621825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62661858">
      <w:bodyDiv w:val="1"/>
      <w:marLeft w:val="0"/>
      <w:marRight w:val="0"/>
      <w:marTop w:val="0"/>
      <w:marBottom w:val="0"/>
      <w:divBdr>
        <w:top w:val="none" w:sz="0" w:space="0" w:color="auto"/>
        <w:left w:val="none" w:sz="0" w:space="0" w:color="auto"/>
        <w:bottom w:val="none" w:sz="0" w:space="0" w:color="auto"/>
        <w:right w:val="none" w:sz="0" w:space="0" w:color="auto"/>
      </w:divBdr>
    </w:div>
    <w:div w:id="672952980">
      <w:bodyDiv w:val="1"/>
      <w:marLeft w:val="0"/>
      <w:marRight w:val="0"/>
      <w:marTop w:val="0"/>
      <w:marBottom w:val="0"/>
      <w:divBdr>
        <w:top w:val="none" w:sz="0" w:space="0" w:color="auto"/>
        <w:left w:val="none" w:sz="0" w:space="0" w:color="auto"/>
        <w:bottom w:val="none" w:sz="0" w:space="0" w:color="auto"/>
        <w:right w:val="none" w:sz="0" w:space="0" w:color="auto"/>
      </w:divBdr>
    </w:div>
    <w:div w:id="770008206">
      <w:bodyDiv w:val="1"/>
      <w:marLeft w:val="0"/>
      <w:marRight w:val="0"/>
      <w:marTop w:val="0"/>
      <w:marBottom w:val="0"/>
      <w:divBdr>
        <w:top w:val="none" w:sz="0" w:space="0" w:color="auto"/>
        <w:left w:val="none" w:sz="0" w:space="0" w:color="auto"/>
        <w:bottom w:val="none" w:sz="0" w:space="0" w:color="auto"/>
        <w:right w:val="none" w:sz="0" w:space="0" w:color="auto"/>
      </w:divBdr>
    </w:div>
    <w:div w:id="777062192">
      <w:bodyDiv w:val="1"/>
      <w:marLeft w:val="0"/>
      <w:marRight w:val="0"/>
      <w:marTop w:val="0"/>
      <w:marBottom w:val="0"/>
      <w:divBdr>
        <w:top w:val="none" w:sz="0" w:space="0" w:color="auto"/>
        <w:left w:val="none" w:sz="0" w:space="0" w:color="auto"/>
        <w:bottom w:val="none" w:sz="0" w:space="0" w:color="auto"/>
        <w:right w:val="none" w:sz="0" w:space="0" w:color="auto"/>
      </w:divBdr>
    </w:div>
    <w:div w:id="806969405">
      <w:bodyDiv w:val="1"/>
      <w:marLeft w:val="0"/>
      <w:marRight w:val="0"/>
      <w:marTop w:val="0"/>
      <w:marBottom w:val="0"/>
      <w:divBdr>
        <w:top w:val="none" w:sz="0" w:space="0" w:color="auto"/>
        <w:left w:val="none" w:sz="0" w:space="0" w:color="auto"/>
        <w:bottom w:val="none" w:sz="0" w:space="0" w:color="auto"/>
        <w:right w:val="none" w:sz="0" w:space="0" w:color="auto"/>
      </w:divBdr>
    </w:div>
    <w:div w:id="83480173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4105140">
      <w:bodyDiv w:val="1"/>
      <w:marLeft w:val="0"/>
      <w:marRight w:val="0"/>
      <w:marTop w:val="0"/>
      <w:marBottom w:val="0"/>
      <w:divBdr>
        <w:top w:val="none" w:sz="0" w:space="0" w:color="auto"/>
        <w:left w:val="none" w:sz="0" w:space="0" w:color="auto"/>
        <w:bottom w:val="none" w:sz="0" w:space="0" w:color="auto"/>
        <w:right w:val="none" w:sz="0" w:space="0" w:color="auto"/>
      </w:divBdr>
    </w:div>
    <w:div w:id="89104312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6595212">
      <w:bodyDiv w:val="1"/>
      <w:marLeft w:val="0"/>
      <w:marRight w:val="0"/>
      <w:marTop w:val="0"/>
      <w:marBottom w:val="0"/>
      <w:divBdr>
        <w:top w:val="none" w:sz="0" w:space="0" w:color="auto"/>
        <w:left w:val="none" w:sz="0" w:space="0" w:color="auto"/>
        <w:bottom w:val="none" w:sz="0" w:space="0" w:color="auto"/>
        <w:right w:val="none" w:sz="0" w:space="0" w:color="auto"/>
      </w:divBdr>
    </w:div>
    <w:div w:id="95120813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6059982">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0491000">
      <w:bodyDiv w:val="1"/>
      <w:marLeft w:val="0"/>
      <w:marRight w:val="0"/>
      <w:marTop w:val="0"/>
      <w:marBottom w:val="0"/>
      <w:divBdr>
        <w:top w:val="none" w:sz="0" w:space="0" w:color="auto"/>
        <w:left w:val="none" w:sz="0" w:space="0" w:color="auto"/>
        <w:bottom w:val="none" w:sz="0" w:space="0" w:color="auto"/>
        <w:right w:val="none" w:sz="0" w:space="0" w:color="auto"/>
      </w:divBdr>
    </w:div>
    <w:div w:id="1033264412">
      <w:bodyDiv w:val="1"/>
      <w:marLeft w:val="0"/>
      <w:marRight w:val="0"/>
      <w:marTop w:val="0"/>
      <w:marBottom w:val="0"/>
      <w:divBdr>
        <w:top w:val="none" w:sz="0" w:space="0" w:color="auto"/>
        <w:left w:val="none" w:sz="0" w:space="0" w:color="auto"/>
        <w:bottom w:val="none" w:sz="0" w:space="0" w:color="auto"/>
        <w:right w:val="none" w:sz="0" w:space="0" w:color="auto"/>
      </w:divBdr>
    </w:div>
    <w:div w:id="1034385787">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77291722">
      <w:bodyDiv w:val="1"/>
      <w:marLeft w:val="0"/>
      <w:marRight w:val="0"/>
      <w:marTop w:val="0"/>
      <w:marBottom w:val="0"/>
      <w:divBdr>
        <w:top w:val="none" w:sz="0" w:space="0" w:color="auto"/>
        <w:left w:val="none" w:sz="0" w:space="0" w:color="auto"/>
        <w:bottom w:val="none" w:sz="0" w:space="0" w:color="auto"/>
        <w:right w:val="none" w:sz="0" w:space="0" w:color="auto"/>
      </w:divBdr>
    </w:div>
    <w:div w:id="1084454225">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1492192">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68907234">
      <w:bodyDiv w:val="1"/>
      <w:marLeft w:val="0"/>
      <w:marRight w:val="0"/>
      <w:marTop w:val="0"/>
      <w:marBottom w:val="0"/>
      <w:divBdr>
        <w:top w:val="none" w:sz="0" w:space="0" w:color="auto"/>
        <w:left w:val="none" w:sz="0" w:space="0" w:color="auto"/>
        <w:bottom w:val="none" w:sz="0" w:space="0" w:color="auto"/>
        <w:right w:val="none" w:sz="0" w:space="0" w:color="auto"/>
      </w:divBdr>
    </w:div>
    <w:div w:id="116982972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12464609">
      <w:bodyDiv w:val="1"/>
      <w:marLeft w:val="0"/>
      <w:marRight w:val="0"/>
      <w:marTop w:val="0"/>
      <w:marBottom w:val="0"/>
      <w:divBdr>
        <w:top w:val="none" w:sz="0" w:space="0" w:color="auto"/>
        <w:left w:val="none" w:sz="0" w:space="0" w:color="auto"/>
        <w:bottom w:val="none" w:sz="0" w:space="0" w:color="auto"/>
        <w:right w:val="none" w:sz="0" w:space="0" w:color="auto"/>
      </w:divBdr>
    </w:div>
    <w:div w:id="1439712824">
      <w:bodyDiv w:val="1"/>
      <w:marLeft w:val="0"/>
      <w:marRight w:val="0"/>
      <w:marTop w:val="0"/>
      <w:marBottom w:val="0"/>
      <w:divBdr>
        <w:top w:val="none" w:sz="0" w:space="0" w:color="auto"/>
        <w:left w:val="none" w:sz="0" w:space="0" w:color="auto"/>
        <w:bottom w:val="none" w:sz="0" w:space="0" w:color="auto"/>
        <w:right w:val="none" w:sz="0" w:space="0" w:color="auto"/>
      </w:divBdr>
    </w:div>
    <w:div w:id="1440880016">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780601">
      <w:bodyDiv w:val="1"/>
      <w:marLeft w:val="0"/>
      <w:marRight w:val="0"/>
      <w:marTop w:val="0"/>
      <w:marBottom w:val="0"/>
      <w:divBdr>
        <w:top w:val="none" w:sz="0" w:space="0" w:color="auto"/>
        <w:left w:val="none" w:sz="0" w:space="0" w:color="auto"/>
        <w:bottom w:val="none" w:sz="0" w:space="0" w:color="auto"/>
        <w:right w:val="none" w:sz="0" w:space="0" w:color="auto"/>
      </w:divBdr>
    </w:div>
    <w:div w:id="1486315374">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40126747">
      <w:bodyDiv w:val="1"/>
      <w:marLeft w:val="0"/>
      <w:marRight w:val="0"/>
      <w:marTop w:val="0"/>
      <w:marBottom w:val="0"/>
      <w:divBdr>
        <w:top w:val="none" w:sz="0" w:space="0" w:color="auto"/>
        <w:left w:val="none" w:sz="0" w:space="0" w:color="auto"/>
        <w:bottom w:val="none" w:sz="0" w:space="0" w:color="auto"/>
        <w:right w:val="none" w:sz="0" w:space="0" w:color="auto"/>
      </w:divBdr>
    </w:div>
    <w:div w:id="155905213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9144872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5423711">
      <w:bodyDiv w:val="1"/>
      <w:marLeft w:val="0"/>
      <w:marRight w:val="0"/>
      <w:marTop w:val="0"/>
      <w:marBottom w:val="0"/>
      <w:divBdr>
        <w:top w:val="none" w:sz="0" w:space="0" w:color="auto"/>
        <w:left w:val="none" w:sz="0" w:space="0" w:color="auto"/>
        <w:bottom w:val="none" w:sz="0" w:space="0" w:color="auto"/>
        <w:right w:val="none" w:sz="0" w:space="0" w:color="auto"/>
      </w:divBdr>
    </w:div>
    <w:div w:id="1717271516">
      <w:bodyDiv w:val="1"/>
      <w:marLeft w:val="0"/>
      <w:marRight w:val="0"/>
      <w:marTop w:val="0"/>
      <w:marBottom w:val="0"/>
      <w:divBdr>
        <w:top w:val="none" w:sz="0" w:space="0" w:color="auto"/>
        <w:left w:val="none" w:sz="0" w:space="0" w:color="auto"/>
        <w:bottom w:val="none" w:sz="0" w:space="0" w:color="auto"/>
        <w:right w:val="none" w:sz="0" w:space="0" w:color="auto"/>
      </w:divBdr>
    </w:div>
    <w:div w:id="172336650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9057596">
      <w:bodyDiv w:val="1"/>
      <w:marLeft w:val="0"/>
      <w:marRight w:val="0"/>
      <w:marTop w:val="0"/>
      <w:marBottom w:val="0"/>
      <w:divBdr>
        <w:top w:val="none" w:sz="0" w:space="0" w:color="auto"/>
        <w:left w:val="none" w:sz="0" w:space="0" w:color="auto"/>
        <w:bottom w:val="none" w:sz="0" w:space="0" w:color="auto"/>
        <w:right w:val="none" w:sz="0" w:space="0" w:color="auto"/>
      </w:divBdr>
    </w:div>
    <w:div w:id="181942312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29397929">
      <w:bodyDiv w:val="1"/>
      <w:marLeft w:val="0"/>
      <w:marRight w:val="0"/>
      <w:marTop w:val="0"/>
      <w:marBottom w:val="0"/>
      <w:divBdr>
        <w:top w:val="none" w:sz="0" w:space="0" w:color="auto"/>
        <w:left w:val="none" w:sz="0" w:space="0" w:color="auto"/>
        <w:bottom w:val="none" w:sz="0" w:space="0" w:color="auto"/>
        <w:right w:val="none" w:sz="0" w:space="0" w:color="auto"/>
      </w:divBdr>
    </w:div>
    <w:div w:id="1831096857">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50089625">
      <w:bodyDiv w:val="1"/>
      <w:marLeft w:val="0"/>
      <w:marRight w:val="0"/>
      <w:marTop w:val="0"/>
      <w:marBottom w:val="0"/>
      <w:divBdr>
        <w:top w:val="none" w:sz="0" w:space="0" w:color="auto"/>
        <w:left w:val="none" w:sz="0" w:space="0" w:color="auto"/>
        <w:bottom w:val="none" w:sz="0" w:space="0" w:color="auto"/>
        <w:right w:val="none" w:sz="0" w:space="0" w:color="auto"/>
      </w:divBdr>
    </w:div>
    <w:div w:id="1950431733">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7103367">
      <w:bodyDiv w:val="1"/>
      <w:marLeft w:val="0"/>
      <w:marRight w:val="0"/>
      <w:marTop w:val="0"/>
      <w:marBottom w:val="0"/>
      <w:divBdr>
        <w:top w:val="none" w:sz="0" w:space="0" w:color="auto"/>
        <w:left w:val="none" w:sz="0" w:space="0" w:color="auto"/>
        <w:bottom w:val="none" w:sz="0" w:space="0" w:color="auto"/>
        <w:right w:val="none" w:sz="0" w:space="0" w:color="auto"/>
      </w:divBdr>
    </w:div>
    <w:div w:id="1980574342">
      <w:bodyDiv w:val="1"/>
      <w:marLeft w:val="0"/>
      <w:marRight w:val="0"/>
      <w:marTop w:val="0"/>
      <w:marBottom w:val="0"/>
      <w:divBdr>
        <w:top w:val="none" w:sz="0" w:space="0" w:color="auto"/>
        <w:left w:val="none" w:sz="0" w:space="0" w:color="auto"/>
        <w:bottom w:val="none" w:sz="0" w:space="0" w:color="auto"/>
        <w:right w:val="none" w:sz="0" w:space="0" w:color="auto"/>
      </w:divBdr>
    </w:div>
    <w:div w:id="1999843145">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5.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5354E2C1A1800A409D686EE5B476D455" ma:contentTypeVersion="11" ma:contentTypeDescription="" ma:contentTypeScope="" ma:versionID="6a8e13556158ed0b49c7399d91712fdb">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825bfe1b75efa0a7f08aa0a0f7cea6a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2014CSSG-727-287</_dlc_DocId>
    <_dlc_DocIdUrl xmlns="eb47d8b7-fefc-4923-b53c-9685ba6b7210">
      <Url>http://tweb/sites/cssg/mcd/pubs/pt/_layouts/15/DocIdRedir.aspx?ID=2014CSSG-727-287</Url>
      <Description>2014CSSG-727-287</Description>
    </_dlc_DocIdUrl>
  </documentManagement>
</p:propertie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605AAC981168BE40A9BD548B81A50DF6|1757814118" UniqueId="dfcffb86-ae69-48ff-b02e-2c46fcd97350">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1FFA-4035-472C-9EAE-D6E0B316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B04FC-F1E0-47BD-B08E-FBED5ED909D7}">
  <ds:schemaRefs>
    <ds:schemaRef ds:uri="http://schemas.microsoft.com/office/2006/documentManagement/types"/>
    <ds:schemaRef ds:uri="http://schemas.microsoft.com/office/2006/metadata/properties"/>
    <ds:schemaRef ds:uri="http://purl.org/dc/terms/"/>
    <ds:schemaRef ds:uri="eb47d8b7-fefc-4923-b53c-9685ba6b7210"/>
    <ds:schemaRef ds:uri="http://schemas.microsoft.com/office/infopath/2007/PartnerControls"/>
    <ds:schemaRef ds:uri="http://schemas.openxmlformats.org/package/2006/metadata/core-properties"/>
    <ds:schemaRef ds:uri="http://www.w3.org/XML/1998/namespace"/>
    <ds:schemaRef ds:uri="http://schemas.microsoft.com/sharepoint/v3"/>
    <ds:schemaRef ds:uri="http://purl.org/dc/dcmitype/"/>
    <ds:schemaRef ds:uri="http://purl.org/dc/elements/1.1/"/>
  </ds:schemaRefs>
</ds:datastoreItem>
</file>

<file path=customXml/itemProps3.xml><?xml version="1.0" encoding="utf-8"?>
<ds:datastoreItem xmlns:ds="http://schemas.openxmlformats.org/officeDocument/2006/customXml" ds:itemID="{3783EF23-FDE9-4BC4-9D0E-C386C25B28C2}">
  <ds:schemaRefs>
    <ds:schemaRef ds:uri="office.server.policy"/>
  </ds:schemaRefs>
</ds:datastoreItem>
</file>

<file path=customXml/itemProps4.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5.xml><?xml version="1.0" encoding="utf-8"?>
<ds:datastoreItem xmlns:ds="http://schemas.openxmlformats.org/officeDocument/2006/customXml" ds:itemID="{855133F8-EFF4-4823-BD43-293BB1C3CD60}">
  <ds:schemaRefs>
    <ds:schemaRef ds:uri="http://schemas.microsoft.com/sharepoint/events"/>
  </ds:schemaRefs>
</ds:datastoreItem>
</file>

<file path=customXml/itemProps6.xml><?xml version="1.0" encoding="utf-8"?>
<ds:datastoreItem xmlns:ds="http://schemas.openxmlformats.org/officeDocument/2006/customXml" ds:itemID="{C0142767-5810-4190-87CE-BDEE89BF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4</TotalTime>
  <Pages>27</Pages>
  <Words>2644</Words>
  <Characters>15367</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17976</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Publications Team</dc:creator>
  <cp:keywords>[SEC=UNCLASSIFIED:For-Official-Use-Only]</cp:keywords>
  <cp:lastModifiedBy>Danielle Wills</cp:lastModifiedBy>
  <cp:revision>3</cp:revision>
  <cp:lastPrinted>2015-05-10T10:06:00Z</cp:lastPrinted>
  <dcterms:created xsi:type="dcterms:W3CDTF">2015-05-12T01:24:00Z</dcterms:created>
  <dcterms:modified xsi:type="dcterms:W3CDTF">2015-05-12T01:29:00Z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0x010100605AAC981168BE40A9BD548B81A50DF6005354E2C1A1800A409D686EE5B476D455</vt:lpwstr>
  </property>
  <property fmtid="{D5CDD505-2E9C-101B-9397-08002B2CF9AE}" pid="5" name="TSYRecordClass">
    <vt:lpwstr>75;#AE-20337-Destroy 7 years after action completed|668ae28e-5138-4c7c-82db-1c8c6afc81a6</vt:lpwstr>
  </property>
  <property fmtid="{D5CDD505-2E9C-101B-9397-08002B2CF9AE}" pid="6" name="_dlc_DocIdItemGuid">
    <vt:lpwstr>f2062dbe-9663-4abe-8923-d8e886ea0b01</vt:lpwstr>
  </property>
  <property fmtid="{D5CDD505-2E9C-101B-9397-08002B2CF9AE}" pid="7" name="PM_SecurityClassification">
    <vt:lpwstr>UNCLASSIFIED</vt:lpwstr>
  </property>
  <property fmtid="{D5CDD505-2E9C-101B-9397-08002B2CF9AE}" pid="8" name="PM_Qualifier">
    <vt:lpwstr>For-Official-Use-Only</vt:lpwstr>
  </property>
  <property fmtid="{D5CDD505-2E9C-101B-9397-08002B2CF9AE}" pid="9" name="PM_DisplayValueSecClassificationWithQualifier">
    <vt:lpwstr>UNCLASSIFIED For Official Use Only</vt:lpwstr>
  </property>
  <property fmtid="{D5CDD505-2E9C-101B-9397-08002B2CF9AE}" pid="10" name="PM_InsertionValue">
    <vt:lpwstr>UNCLASSIFIED\r\nFor Official Use Only</vt:lpwstr>
  </property>
  <property fmtid="{D5CDD505-2E9C-101B-9397-08002B2CF9AE}" pid="11" name="PM_Originator_Hash_SHA1">
    <vt:lpwstr>87980400D64ED6E33B0A0B3DFC2C760DBF70338E</vt:lpwstr>
  </property>
  <property fmtid="{D5CDD505-2E9C-101B-9397-08002B2CF9AE}" pid="12" name="PM_Hash_Version">
    <vt:lpwstr>2014.1</vt:lpwstr>
  </property>
  <property fmtid="{D5CDD505-2E9C-101B-9397-08002B2CF9AE}" pid="13" name="PM_Hash_Salt">
    <vt:lpwstr>F3BE3457296DFAD237F045E81A5F23E4</vt:lpwstr>
  </property>
  <property fmtid="{D5CDD505-2E9C-101B-9397-08002B2CF9AE}" pid="14" name="PM_Hash_SHA1">
    <vt:lpwstr>0BE7312E49DA4DD3C38D9ED326BD98FF68B50930</vt:lpwstr>
  </property>
</Properties>
</file>