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3E" w:rsidRPr="006765BC" w:rsidRDefault="007F3CCF" w:rsidP="007F3983">
      <w:pPr>
        <w:pStyle w:val="Department"/>
        <w:spacing w:before="1320"/>
      </w:pPr>
      <w:bookmarkStart w:id="0" w:name="_Toc190766151"/>
      <w:bookmarkStart w:id="1" w:name="_GoBack"/>
      <w:bookmarkEnd w:id="1"/>
      <w:r w:rsidRPr="006765BC">
        <w:t>Safe Work Australia</w:t>
      </w:r>
    </w:p>
    <w:p w:rsidR="006765BC" w:rsidRDefault="002E2D3E" w:rsidP="006765BC">
      <w:pPr>
        <w:pStyle w:val="DepartmentSubtitle"/>
        <w:spacing w:before="2080"/>
        <w:sectPr w:rsidR="006765BC" w:rsidSect="00F64B73">
          <w:footerReference w:type="even" r:id="rId14"/>
          <w:footerReference w:type="default" r:id="rId15"/>
          <w:type w:val="oddPage"/>
          <w:pgSz w:w="9979" w:h="14175" w:code="259"/>
          <w:pgMar w:top="1418" w:right="1418" w:bottom="1418" w:left="1418" w:header="851" w:footer="1134" w:gutter="0"/>
          <w:cols w:space="708"/>
          <w:titlePg/>
          <w:docGrid w:linePitch="360"/>
        </w:sectPr>
      </w:pPr>
      <w:r>
        <w:t>Entity re</w:t>
      </w:r>
      <w:r w:rsidR="006765BC">
        <w:t>sources and planned performance</w:t>
      </w:r>
    </w:p>
    <w:p w:rsidR="002E2D3E" w:rsidRPr="00452907" w:rsidRDefault="002E2D3E" w:rsidP="006765BC">
      <w:pPr>
        <w:pStyle w:val="ContentsHeading"/>
      </w:pPr>
      <w:r w:rsidRPr="00452907">
        <w:lastRenderedPageBreak/>
        <w:t>Safe Work Australia</w:t>
      </w:r>
    </w:p>
    <w:p w:rsidR="002E2D3E" w:rsidRDefault="002E2D3E">
      <w:pPr>
        <w:pStyle w:val="TOC3"/>
        <w:rPr>
          <w:rFonts w:ascii="Times New Roman" w:hAnsi="Times New Roman"/>
          <w:b w:val="0"/>
          <w:noProof/>
          <w:sz w:val="24"/>
          <w:szCs w:val="24"/>
        </w:rPr>
      </w:pPr>
      <w:r>
        <w:rPr>
          <w:noProof/>
        </w:rPr>
        <w:t xml:space="preserve">Section 1: Entity overview </w:t>
      </w:r>
      <w:r w:rsidR="00EF1185">
        <w:rPr>
          <w:noProof/>
        </w:rPr>
        <w:t>and resources</w:t>
      </w:r>
      <w:r w:rsidR="00EF1185">
        <w:rPr>
          <w:noProof/>
        </w:rPr>
        <w:tab/>
        <w:t>211</w:t>
      </w:r>
    </w:p>
    <w:p w:rsidR="002E2D3E" w:rsidRDefault="002E2D3E">
      <w:pPr>
        <w:pStyle w:val="TOC4"/>
        <w:tabs>
          <w:tab w:val="left" w:pos="800"/>
        </w:tabs>
        <w:rPr>
          <w:rFonts w:ascii="Times New Roman" w:hAnsi="Times New Roman"/>
          <w:noProof/>
          <w:sz w:val="24"/>
          <w:szCs w:val="24"/>
        </w:rPr>
      </w:pPr>
      <w:r>
        <w:rPr>
          <w:noProof/>
        </w:rPr>
        <w:t>1.1</w:t>
      </w:r>
      <w:r>
        <w:rPr>
          <w:rFonts w:ascii="Times New Roman" w:hAnsi="Times New Roman"/>
          <w:noProof/>
          <w:sz w:val="24"/>
          <w:szCs w:val="24"/>
        </w:rPr>
        <w:tab/>
      </w:r>
      <w:r w:rsidR="00EF1185">
        <w:rPr>
          <w:noProof/>
        </w:rPr>
        <w:t>Strategic direction statement</w:t>
      </w:r>
      <w:r w:rsidR="00EF1185">
        <w:rPr>
          <w:noProof/>
        </w:rPr>
        <w:tab/>
        <w:t>211</w:t>
      </w:r>
    </w:p>
    <w:p w:rsidR="002E2D3E" w:rsidRDefault="002E2D3E">
      <w:pPr>
        <w:pStyle w:val="TOC4"/>
        <w:tabs>
          <w:tab w:val="left" w:pos="800"/>
        </w:tabs>
        <w:rPr>
          <w:rFonts w:ascii="Times New Roman" w:hAnsi="Times New Roman"/>
          <w:noProof/>
          <w:sz w:val="24"/>
          <w:szCs w:val="24"/>
        </w:rPr>
      </w:pPr>
      <w:r>
        <w:rPr>
          <w:noProof/>
        </w:rPr>
        <w:t>1.2</w:t>
      </w:r>
      <w:r>
        <w:rPr>
          <w:rFonts w:ascii="Times New Roman" w:hAnsi="Times New Roman"/>
          <w:noProof/>
          <w:sz w:val="24"/>
          <w:szCs w:val="24"/>
        </w:rPr>
        <w:tab/>
      </w:r>
      <w:r w:rsidR="00EF1185">
        <w:rPr>
          <w:noProof/>
        </w:rPr>
        <w:t>Entity resource statement</w:t>
      </w:r>
      <w:r w:rsidR="00EF1185">
        <w:rPr>
          <w:noProof/>
        </w:rPr>
        <w:tab/>
        <w:t>213</w:t>
      </w:r>
    </w:p>
    <w:p w:rsidR="002E2D3E" w:rsidRDefault="002E2D3E">
      <w:pPr>
        <w:pStyle w:val="TOC4"/>
        <w:tabs>
          <w:tab w:val="left" w:pos="800"/>
        </w:tabs>
        <w:rPr>
          <w:noProof/>
        </w:rPr>
      </w:pPr>
      <w:r>
        <w:rPr>
          <w:noProof/>
        </w:rPr>
        <w:t>1.3</w:t>
      </w:r>
      <w:r>
        <w:rPr>
          <w:rFonts w:ascii="Times New Roman" w:hAnsi="Times New Roman"/>
          <w:noProof/>
          <w:sz w:val="24"/>
          <w:szCs w:val="24"/>
        </w:rPr>
        <w:tab/>
      </w:r>
      <w:r w:rsidR="00EF1185">
        <w:rPr>
          <w:noProof/>
        </w:rPr>
        <w:t>Budget measures</w:t>
      </w:r>
      <w:r w:rsidR="00EF1185">
        <w:rPr>
          <w:noProof/>
        </w:rPr>
        <w:tab/>
        <w:t>215</w:t>
      </w:r>
    </w:p>
    <w:p w:rsidR="002E2D3E" w:rsidRDefault="002E2D3E">
      <w:pPr>
        <w:pStyle w:val="TOC3"/>
        <w:rPr>
          <w:rFonts w:ascii="Times New Roman" w:hAnsi="Times New Roman"/>
          <w:b w:val="0"/>
          <w:noProof/>
          <w:sz w:val="24"/>
          <w:szCs w:val="24"/>
        </w:rPr>
      </w:pPr>
      <w:r>
        <w:rPr>
          <w:noProof/>
        </w:rPr>
        <w:t>Section 2: Out</w:t>
      </w:r>
      <w:r w:rsidR="00EF1185">
        <w:rPr>
          <w:noProof/>
        </w:rPr>
        <w:t>comes and planned performance</w:t>
      </w:r>
      <w:r w:rsidR="00EF1185">
        <w:rPr>
          <w:noProof/>
        </w:rPr>
        <w:tab/>
        <w:t>216</w:t>
      </w:r>
    </w:p>
    <w:p w:rsidR="002E2D3E" w:rsidRDefault="002E2D3E">
      <w:pPr>
        <w:pStyle w:val="TOC4"/>
        <w:tabs>
          <w:tab w:val="left" w:pos="800"/>
        </w:tabs>
        <w:rPr>
          <w:rFonts w:ascii="Times New Roman" w:hAnsi="Times New Roman"/>
          <w:noProof/>
          <w:sz w:val="24"/>
          <w:szCs w:val="24"/>
        </w:rPr>
      </w:pPr>
      <w:r>
        <w:rPr>
          <w:noProof/>
        </w:rPr>
        <w:t>2.1</w:t>
      </w:r>
      <w:r>
        <w:rPr>
          <w:rFonts w:ascii="Times New Roman" w:hAnsi="Times New Roman"/>
          <w:noProof/>
          <w:sz w:val="24"/>
          <w:szCs w:val="24"/>
        </w:rPr>
        <w:tab/>
      </w:r>
      <w:r>
        <w:rPr>
          <w:noProof/>
        </w:rPr>
        <w:t>Outcome</w:t>
      </w:r>
      <w:r w:rsidR="00EF1185">
        <w:rPr>
          <w:noProof/>
        </w:rPr>
        <w:t>s and performance information</w:t>
      </w:r>
      <w:r w:rsidR="00EF1185">
        <w:rPr>
          <w:noProof/>
        </w:rPr>
        <w:tab/>
        <w:t>216</w:t>
      </w:r>
    </w:p>
    <w:p w:rsidR="002E2D3E" w:rsidRDefault="002E2D3E">
      <w:pPr>
        <w:pStyle w:val="TOC3"/>
        <w:rPr>
          <w:rFonts w:ascii="Times New Roman" w:hAnsi="Times New Roman"/>
          <w:b w:val="0"/>
          <w:noProof/>
          <w:sz w:val="24"/>
          <w:szCs w:val="24"/>
        </w:rPr>
      </w:pPr>
      <w:r>
        <w:rPr>
          <w:noProof/>
        </w:rPr>
        <w:t>Section 3: Explanatory tables and budgeted financial st</w:t>
      </w:r>
      <w:r w:rsidR="00EF1185">
        <w:rPr>
          <w:noProof/>
        </w:rPr>
        <w:t>atements</w:t>
      </w:r>
      <w:r w:rsidR="00EF1185">
        <w:rPr>
          <w:noProof/>
        </w:rPr>
        <w:tab/>
        <w:t>222</w:t>
      </w:r>
    </w:p>
    <w:p w:rsidR="002E2D3E" w:rsidRDefault="002E2D3E">
      <w:pPr>
        <w:pStyle w:val="TOC4"/>
        <w:tabs>
          <w:tab w:val="left" w:pos="800"/>
        </w:tabs>
        <w:rPr>
          <w:noProof/>
        </w:rPr>
      </w:pPr>
      <w:r>
        <w:rPr>
          <w:noProof/>
        </w:rPr>
        <w:t>3.1</w:t>
      </w:r>
      <w:r>
        <w:rPr>
          <w:rFonts w:ascii="Times New Roman" w:hAnsi="Times New Roman"/>
          <w:noProof/>
          <w:sz w:val="24"/>
          <w:szCs w:val="24"/>
        </w:rPr>
        <w:tab/>
      </w:r>
      <w:r w:rsidR="00EF1185">
        <w:rPr>
          <w:noProof/>
        </w:rPr>
        <w:t>Explanatory tables</w:t>
      </w:r>
      <w:r w:rsidR="00EF1185">
        <w:rPr>
          <w:noProof/>
        </w:rPr>
        <w:tab/>
        <w:t>222</w:t>
      </w:r>
    </w:p>
    <w:p w:rsidR="002E2D3E" w:rsidRDefault="002E2D3E" w:rsidP="00557A85">
      <w:pPr>
        <w:pStyle w:val="TOC4"/>
        <w:tabs>
          <w:tab w:val="left" w:pos="800"/>
        </w:tabs>
        <w:rPr>
          <w:noProof/>
        </w:rPr>
      </w:pPr>
      <w:r>
        <w:rPr>
          <w:noProof/>
        </w:rPr>
        <w:t>3.2</w:t>
      </w:r>
      <w:r>
        <w:rPr>
          <w:rFonts w:ascii="Times New Roman" w:hAnsi="Times New Roman"/>
          <w:noProof/>
          <w:sz w:val="24"/>
          <w:szCs w:val="24"/>
        </w:rPr>
        <w:tab/>
      </w:r>
      <w:r w:rsidR="00EF1185">
        <w:rPr>
          <w:noProof/>
        </w:rPr>
        <w:t>Budgeted financial statements</w:t>
      </w:r>
      <w:r w:rsidR="00EF1185">
        <w:rPr>
          <w:noProof/>
        </w:rPr>
        <w:tab/>
        <w:t>223</w:t>
      </w:r>
    </w:p>
    <w:p w:rsidR="002E2D3E" w:rsidRPr="008B5AFD" w:rsidRDefault="002E2D3E" w:rsidP="008B5AFD"/>
    <w:p w:rsidR="006765BC" w:rsidRDefault="006765BC" w:rsidP="006765BC">
      <w:pPr>
        <w:pStyle w:val="Heading1"/>
        <w:jc w:val="left"/>
        <w:sectPr w:rsidR="006765BC" w:rsidSect="00574EDF">
          <w:headerReference w:type="first" r:id="rId16"/>
          <w:footerReference w:type="first" r:id="rId17"/>
          <w:type w:val="oddPage"/>
          <w:pgSz w:w="9979" w:h="14175" w:code="259"/>
          <w:pgMar w:top="1418" w:right="1418" w:bottom="1418" w:left="1418" w:header="851" w:footer="1134" w:gutter="0"/>
          <w:pgNumType w:start="209"/>
          <w:cols w:space="708"/>
          <w:titlePg/>
          <w:docGrid w:linePitch="360"/>
        </w:sectPr>
      </w:pPr>
    </w:p>
    <w:p w:rsidR="002E2D3E" w:rsidRPr="006765BC" w:rsidRDefault="007F3CCF" w:rsidP="006765BC">
      <w:pPr>
        <w:pStyle w:val="Heading1"/>
      </w:pPr>
      <w:r w:rsidRPr="006765BC">
        <w:lastRenderedPageBreak/>
        <w:t>Safe Work Australia</w:t>
      </w:r>
    </w:p>
    <w:p w:rsidR="002E2D3E" w:rsidRDefault="002E2D3E" w:rsidP="00257FF4">
      <w:pPr>
        <w:pStyle w:val="Heading2"/>
      </w:pPr>
      <w:r>
        <w:t>Section 1: Entity overview and resources</w:t>
      </w:r>
    </w:p>
    <w:p w:rsidR="002E2D3E" w:rsidRDefault="002E2D3E" w:rsidP="00257FF4">
      <w:pPr>
        <w:pStyle w:val="Heading3"/>
      </w:pPr>
      <w:r>
        <w:t>1.1</w:t>
      </w:r>
      <w:r>
        <w:tab/>
        <w:t>Strategic direction statement</w:t>
      </w:r>
    </w:p>
    <w:p w:rsidR="002E2D3E" w:rsidRDefault="002E2D3E" w:rsidP="002E2D3E">
      <w:r>
        <w:t xml:space="preserve">Safe Work Australia was established as a Statutory Agency on 1 November 2009 under the </w:t>
      </w:r>
      <w:r>
        <w:rPr>
          <w:i/>
          <w:iCs/>
        </w:rPr>
        <w:t xml:space="preserve">Safe Work Australia Act 2008 </w:t>
      </w:r>
      <w:r>
        <w:t>(the Act). The agency operates under the Commonwealth Government's accountability and governance frameworks.</w:t>
      </w:r>
    </w:p>
    <w:p w:rsidR="002E2D3E" w:rsidRDefault="002E2D3E" w:rsidP="002E2D3E">
      <w:r>
        <w:t xml:space="preserve">Safe Work Australia is the body leading the development of national policy to improve work health and safety and workers’ compensation across Australia. Safe Work Australia works collaboratively with regulators, industry and worker associations and the community, to realise the national vision of </w:t>
      </w:r>
      <w:r w:rsidRPr="00A42101">
        <w:rPr>
          <w:i/>
        </w:rPr>
        <w:t>healthy, safe and productive working lives</w:t>
      </w:r>
      <w:r>
        <w:t>.</w:t>
      </w:r>
    </w:p>
    <w:p w:rsidR="002E2D3E" w:rsidRDefault="002E2D3E" w:rsidP="002E2D3E">
      <w:r>
        <w:t xml:space="preserve">The establishment of Safe Work Australia was provided for in the </w:t>
      </w:r>
      <w:r>
        <w:rPr>
          <w:i/>
        </w:rPr>
        <w:t xml:space="preserve">Intergovernmental Agreement for Regulatory and Operational Reform in Occupational Health and </w:t>
      </w:r>
      <w:r w:rsidRPr="00BE0653">
        <w:rPr>
          <w:i/>
        </w:rPr>
        <w:t>Safety (IGA)</w:t>
      </w:r>
      <w:r w:rsidRPr="00BE0653">
        <w:t>, agreed by the Council of Australian Governments (</w:t>
      </w:r>
      <w:proofErr w:type="spellStart"/>
      <w:r w:rsidRPr="00BE0653">
        <w:t>COAG</w:t>
      </w:r>
      <w:proofErr w:type="spellEnd"/>
      <w:r w:rsidRPr="00BE0653">
        <w:t>) on 3 July 2008</w:t>
      </w:r>
      <w:r>
        <w:t xml:space="preserve">. </w:t>
      </w:r>
    </w:p>
    <w:p w:rsidR="002E2D3E" w:rsidRDefault="002E2D3E" w:rsidP="002E2D3E">
      <w:r>
        <w:t>The agency is jointly funded by the Commonwealth, state and territory governments. This funding arrangement promotes collaboration with jurisdictions on policy development, implementation, compliance and enforcement, and communication activities.</w:t>
      </w:r>
    </w:p>
    <w:p w:rsidR="002E2D3E" w:rsidRDefault="002E2D3E" w:rsidP="002E2D3E">
      <w:r>
        <w:t>Safe Work Australia has 15 Members, including an independent Chair, nine Members representing the Commonwealth and each state and territory, two Members representing the interests of employers, two representing the interests of employees, and the Chief Executive Officer of Safe Work Australia (</w:t>
      </w:r>
      <w:proofErr w:type="spellStart"/>
      <w:r>
        <w:t>CEO</w:t>
      </w:r>
      <w:proofErr w:type="spellEnd"/>
      <w:r>
        <w:t>).</w:t>
      </w:r>
    </w:p>
    <w:p w:rsidR="002E2D3E" w:rsidRDefault="002E2D3E" w:rsidP="002E2D3E">
      <w:r>
        <w:t xml:space="preserve">The </w:t>
      </w:r>
      <w:proofErr w:type="spellStart"/>
      <w:r>
        <w:t>CEO</w:t>
      </w:r>
      <w:proofErr w:type="spellEnd"/>
      <w:r>
        <w:t xml:space="preserve"> manages the agency under section 45 of the Act and is the Accountable Authority in accordance with the </w:t>
      </w:r>
      <w:r>
        <w:rPr>
          <w:i/>
        </w:rPr>
        <w:t>Public Governance, Performance and Accountability Act 2013</w:t>
      </w:r>
      <w:r>
        <w:t>.</w:t>
      </w:r>
    </w:p>
    <w:p w:rsidR="002E2D3E" w:rsidRDefault="002E2D3E" w:rsidP="002E2D3E">
      <w:r>
        <w:t>Together, the Safe Work Australia Members and the agency work to achieve:</w:t>
      </w:r>
    </w:p>
    <w:p w:rsidR="002E2D3E" w:rsidRPr="00A103BD" w:rsidRDefault="002E2D3E" w:rsidP="00A103BD">
      <w:pPr>
        <w:pStyle w:val="Bullets"/>
      </w:pPr>
      <w:r w:rsidRPr="00A103BD">
        <w:t>significant and continued reductions in the incidence of work-related death, injury and illness through</w:t>
      </w:r>
    </w:p>
    <w:p w:rsidR="002E2D3E" w:rsidRPr="008B3EF8" w:rsidRDefault="002E2D3E" w:rsidP="002E1531">
      <w:pPr>
        <w:pStyle w:val="Dash"/>
        <w:numPr>
          <w:ilvl w:val="1"/>
          <w:numId w:val="17"/>
        </w:numPr>
        <w:spacing w:after="120"/>
      </w:pPr>
      <w:r w:rsidRPr="008B3EF8">
        <w:t xml:space="preserve">an improved and reformed work health and safety framework </w:t>
      </w:r>
    </w:p>
    <w:p w:rsidR="002E2D3E" w:rsidRPr="008B3EF8" w:rsidRDefault="002E2D3E" w:rsidP="002E1531">
      <w:pPr>
        <w:pStyle w:val="Dash"/>
        <w:numPr>
          <w:ilvl w:val="1"/>
          <w:numId w:val="17"/>
        </w:numPr>
        <w:spacing w:after="120"/>
      </w:pPr>
      <w:r w:rsidRPr="008B3EF8">
        <w:t>increased work health and safety awareness and skills</w:t>
      </w:r>
    </w:p>
    <w:p w:rsidR="002E2D3E" w:rsidRPr="008B3EF8" w:rsidRDefault="002E2D3E" w:rsidP="002E1531">
      <w:pPr>
        <w:pStyle w:val="Dash"/>
        <w:numPr>
          <w:ilvl w:val="1"/>
          <w:numId w:val="17"/>
        </w:numPr>
        <w:tabs>
          <w:tab w:val="clear" w:pos="567"/>
          <w:tab w:val="num" w:pos="851"/>
        </w:tabs>
        <w:spacing w:after="120"/>
      </w:pPr>
      <w:r w:rsidRPr="008B3EF8">
        <w:t>developing and maintaining an evidence base which informs policy and practice</w:t>
      </w:r>
    </w:p>
    <w:p w:rsidR="002E2D3E" w:rsidRPr="008B3EF8" w:rsidRDefault="002E2D3E" w:rsidP="002E1531">
      <w:pPr>
        <w:pStyle w:val="Dash"/>
        <w:numPr>
          <w:ilvl w:val="1"/>
          <w:numId w:val="17"/>
        </w:numPr>
        <w:tabs>
          <w:tab w:val="clear" w:pos="567"/>
          <w:tab w:val="num" w:pos="1135"/>
        </w:tabs>
        <w:spacing w:after="120"/>
      </w:pPr>
      <w:r w:rsidRPr="008B3EF8">
        <w:t xml:space="preserve">reduced exposure to work-related hazards causing injury and illness </w:t>
      </w:r>
    </w:p>
    <w:p w:rsidR="002E2D3E" w:rsidRPr="008B3EF8" w:rsidRDefault="002E2D3E" w:rsidP="002E1531">
      <w:pPr>
        <w:pStyle w:val="Dash"/>
        <w:numPr>
          <w:ilvl w:val="1"/>
          <w:numId w:val="17"/>
        </w:numPr>
        <w:tabs>
          <w:tab w:val="clear" w:pos="567"/>
          <w:tab w:val="num" w:pos="851"/>
        </w:tabs>
        <w:spacing w:after="120"/>
      </w:pPr>
      <w:r w:rsidRPr="008B3EF8">
        <w:t>improved quality of workplace controls</w:t>
      </w:r>
    </w:p>
    <w:p w:rsidR="002E2D3E" w:rsidRDefault="002E2D3E" w:rsidP="002E2D3E">
      <w:pPr>
        <w:pStyle w:val="Bullets"/>
        <w:tabs>
          <w:tab w:val="clear" w:pos="284"/>
          <w:tab w:val="num" w:pos="568"/>
        </w:tabs>
      </w:pPr>
      <w:proofErr w:type="gramStart"/>
      <w:r>
        <w:lastRenderedPageBreak/>
        <w:t>improved</w:t>
      </w:r>
      <w:proofErr w:type="gramEnd"/>
      <w:r>
        <w:t xml:space="preserve"> outcomes for injured workers and their employers through more effective, efficient, clearly understood and sustainable workers’ compensation arrangements.</w:t>
      </w:r>
    </w:p>
    <w:p w:rsidR="002E2D3E" w:rsidRDefault="002E2D3E" w:rsidP="002E2D3E">
      <w:pPr>
        <w:pStyle w:val="Bullets"/>
        <w:numPr>
          <w:ilvl w:val="0"/>
          <w:numId w:val="0"/>
        </w:numPr>
      </w:pPr>
      <w:r>
        <w:t>During 2015</w:t>
      </w:r>
      <w:r w:rsidR="00A103BD">
        <w:t>–</w:t>
      </w:r>
      <w:r>
        <w:t>16, Safe Work Australia will continue to be a model for the innovative development of multi-stakeholder policy and be central to Australia becoming a world leader in the delivery of improved safety and compensation outcomes. We will do this by:</w:t>
      </w:r>
    </w:p>
    <w:p w:rsidR="002E2D3E" w:rsidRDefault="002E2D3E" w:rsidP="00825E25">
      <w:pPr>
        <w:pStyle w:val="Bullets"/>
      </w:pPr>
      <w:r>
        <w:t xml:space="preserve">acting as a forum to bring together and recognise varying views and interests to enable the effective development of national policy </w:t>
      </w:r>
    </w:p>
    <w:p w:rsidR="002E2D3E" w:rsidRDefault="002E2D3E" w:rsidP="00825E25">
      <w:pPr>
        <w:pStyle w:val="Bullets"/>
      </w:pPr>
      <w:r>
        <w:t>using our influence to increase knowledge and awareness of health and safety and workers’ compensation and normalise the c</w:t>
      </w:r>
      <w:r w:rsidR="007F7EB7">
        <w:t>onversation about safe work</w:t>
      </w:r>
    </w:p>
    <w:p w:rsidR="002E2D3E" w:rsidRDefault="002E2D3E" w:rsidP="00825E25">
      <w:pPr>
        <w:pStyle w:val="Bullets"/>
      </w:pPr>
      <w:proofErr w:type="gramStart"/>
      <w:r>
        <w:t>being</w:t>
      </w:r>
      <w:proofErr w:type="gramEnd"/>
      <w:r>
        <w:t xml:space="preserve"> a key source of work health and safety and workers’ compensation research, evaluation and data.  </w:t>
      </w:r>
    </w:p>
    <w:p w:rsidR="002E2D3E" w:rsidRDefault="002E2D3E" w:rsidP="00257FF4">
      <w:pPr>
        <w:pStyle w:val="Heading3"/>
      </w:pPr>
      <w:r>
        <w:br w:type="page"/>
      </w:r>
      <w:r>
        <w:lastRenderedPageBreak/>
        <w:t>1.2</w:t>
      </w:r>
      <w:r>
        <w:tab/>
        <w:t>Entity resource statement</w:t>
      </w:r>
    </w:p>
    <w:p w:rsidR="002E2D3E" w:rsidRDefault="002E2D3E" w:rsidP="00257FF4">
      <w:r>
        <w:t>Table 1.1 shows the total resources from all sources. The table summarises how resources will be applied by outcome and departmental classification.</w:t>
      </w:r>
    </w:p>
    <w:p w:rsidR="002E2D3E" w:rsidRDefault="002E2D3E" w:rsidP="002E2D3E">
      <w:pPr>
        <w:pStyle w:val="TableHeading"/>
      </w:pPr>
      <w:r w:rsidRPr="005C4BEE">
        <w:t xml:space="preserve">Table 1.1: </w:t>
      </w:r>
      <w:r>
        <w:t xml:space="preserve">Safe Work Australia </w:t>
      </w:r>
      <w:r w:rsidRPr="005C4BEE">
        <w:t>resource statement — Budget</w:t>
      </w:r>
      <w:r>
        <w:t xml:space="preserve"> e</w:t>
      </w:r>
      <w:r w:rsidRPr="005C4BEE">
        <w:t xml:space="preserve">stimates for </w:t>
      </w:r>
      <w:r>
        <w:t>2015</w:t>
      </w:r>
      <w:r w:rsidR="00A103BD">
        <w:t>–</w:t>
      </w:r>
      <w:r>
        <w:t>16</w:t>
      </w:r>
      <w:r w:rsidRPr="005C4BEE">
        <w:t xml:space="preserve"> as at Budget May </w:t>
      </w:r>
      <w:r>
        <w:t>2015</w:t>
      </w:r>
    </w:p>
    <w:p w:rsidR="00AB7C05" w:rsidRPr="001370C2" w:rsidRDefault="00A854FD" w:rsidP="001370C2">
      <w:pPr>
        <w:pStyle w:val="TableGraphi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50.6pt;height:174.05pt">
            <v:imagedata r:id="rId18" o:title=""/>
          </v:shape>
        </w:pict>
      </w:r>
    </w:p>
    <w:p w:rsidR="00753890" w:rsidRDefault="00753890" w:rsidP="002E2D3E">
      <w:pPr>
        <w:pStyle w:val="TableGraphic"/>
      </w:pPr>
      <w:r>
        <w:br w:type="page"/>
      </w:r>
    </w:p>
    <w:p w:rsidR="00753890" w:rsidRDefault="00753890" w:rsidP="00753890">
      <w:pPr>
        <w:pStyle w:val="TableHeading"/>
      </w:pPr>
      <w:r w:rsidRPr="005C4BEE">
        <w:lastRenderedPageBreak/>
        <w:t xml:space="preserve">Table 1.1: </w:t>
      </w:r>
      <w:r>
        <w:t xml:space="preserve">Safe Work Australia </w:t>
      </w:r>
      <w:r w:rsidRPr="005C4BEE">
        <w:t>resource statement — Budget</w:t>
      </w:r>
      <w:r>
        <w:t xml:space="preserve"> e</w:t>
      </w:r>
      <w:r w:rsidRPr="005C4BEE">
        <w:t xml:space="preserve">stimates for </w:t>
      </w:r>
      <w:r>
        <w:t>2015–16</w:t>
      </w:r>
      <w:r w:rsidRPr="005C4BEE">
        <w:t xml:space="preserve"> as at Budget May </w:t>
      </w:r>
      <w:r>
        <w:t xml:space="preserve">2015 (continued) </w:t>
      </w:r>
    </w:p>
    <w:p w:rsidR="00753890" w:rsidRPr="00753890" w:rsidRDefault="00A854FD" w:rsidP="001370C2">
      <w:pPr>
        <w:pStyle w:val="FootnoteText"/>
      </w:pPr>
      <w:r>
        <w:pict>
          <v:shape id="_x0000_i1130" type="#_x0000_t75" style="width:358.1pt;height:241.05pt">
            <v:imagedata r:id="rId19" o:title=""/>
          </v:shape>
        </w:pict>
      </w:r>
    </w:p>
    <w:p w:rsidR="001370C2" w:rsidRDefault="001370C2" w:rsidP="001370C2">
      <w:pPr>
        <w:pStyle w:val="FootnoteText"/>
      </w:pPr>
      <w:r w:rsidRPr="007F7EB7">
        <w:rPr>
          <w:vertAlign w:val="superscript"/>
        </w:rPr>
        <w:t>1</w:t>
      </w:r>
      <w:r>
        <w:t xml:space="preserve"> </w:t>
      </w:r>
      <w:r w:rsidRPr="001370C2">
        <w:t>Appropriation Bill (</w:t>
      </w:r>
      <w:proofErr w:type="spellStart"/>
      <w:r w:rsidRPr="001370C2">
        <w:t>No.1</w:t>
      </w:r>
      <w:proofErr w:type="spellEnd"/>
      <w:r w:rsidRPr="001370C2">
        <w:t>) 2015</w:t>
      </w:r>
      <w:r w:rsidR="007F7EB7">
        <w:t>–</w:t>
      </w:r>
      <w:r w:rsidRPr="001370C2">
        <w:t>16.</w:t>
      </w:r>
    </w:p>
    <w:p w:rsidR="001370C2" w:rsidRDefault="001370C2" w:rsidP="001370C2">
      <w:pPr>
        <w:pStyle w:val="FootnoteText"/>
      </w:pPr>
      <w:r w:rsidRPr="007F7EB7">
        <w:rPr>
          <w:vertAlign w:val="superscript"/>
        </w:rPr>
        <w:t>2</w:t>
      </w:r>
      <w:r>
        <w:t xml:space="preserve"> Estimated adjusted balance carried forward from previous year.</w:t>
      </w:r>
    </w:p>
    <w:p w:rsidR="001370C2" w:rsidRDefault="001370C2" w:rsidP="001370C2">
      <w:pPr>
        <w:pStyle w:val="FootnoteText"/>
      </w:pPr>
      <w:r w:rsidRPr="007F7EB7">
        <w:rPr>
          <w:vertAlign w:val="superscript"/>
        </w:rPr>
        <w:t>3</w:t>
      </w:r>
      <w:r>
        <w:t xml:space="preserve"> Includes an amount of $</w:t>
      </w:r>
      <w:proofErr w:type="spellStart"/>
      <w:r>
        <w:t>0.073m</w:t>
      </w:r>
      <w:proofErr w:type="spellEnd"/>
      <w:r>
        <w:t xml:space="preserve"> in 2015-16 for the Departmental Capital Budget (refer to Table 3.2.5 for further details). For accounting purposes this amount has been designated as 'contributions by owners'.</w:t>
      </w:r>
    </w:p>
    <w:p w:rsidR="001370C2" w:rsidRDefault="001370C2" w:rsidP="001370C2">
      <w:pPr>
        <w:pStyle w:val="FootnoteText"/>
      </w:pPr>
      <w:r w:rsidRPr="007F7EB7">
        <w:rPr>
          <w:vertAlign w:val="superscript"/>
        </w:rPr>
        <w:t>4</w:t>
      </w:r>
      <w:r>
        <w:t xml:space="preserve"> Estimated opening balance for special accounts (less ‘Special Public Money’ held in accounts like Other Trust Monies accounts (</w:t>
      </w:r>
      <w:proofErr w:type="spellStart"/>
      <w:r>
        <w:t>OTM</w:t>
      </w:r>
      <w:proofErr w:type="spellEnd"/>
      <w:r>
        <w:t>), Services for other Government and Non-agency Bodies  accounts (</w:t>
      </w:r>
      <w:proofErr w:type="spellStart"/>
      <w:r>
        <w:t>SOG</w:t>
      </w:r>
      <w:proofErr w:type="spellEnd"/>
      <w:r>
        <w:t>), or Services for Other Entities and Trust Moneys accounts (</w:t>
      </w:r>
      <w:proofErr w:type="spellStart"/>
      <w:r>
        <w:t>SOETM</w:t>
      </w:r>
      <w:proofErr w:type="spellEnd"/>
      <w:r>
        <w:t>). For further information on special accounts see Table 3.1.2.</w:t>
      </w:r>
    </w:p>
    <w:p w:rsidR="002E2D3E" w:rsidRDefault="001370C2" w:rsidP="001370C2">
      <w:pPr>
        <w:pStyle w:val="FootnoteText"/>
      </w:pPr>
      <w:r w:rsidRPr="007F7EB7">
        <w:rPr>
          <w:vertAlign w:val="superscript"/>
        </w:rPr>
        <w:t>5</w:t>
      </w:r>
      <w:r>
        <w:t xml:space="preserve"> Appropriation receipts from Safe Work Australia annual and special appropriations for 2014</w:t>
      </w:r>
      <w:r w:rsidR="007F7EB7">
        <w:t>–</w:t>
      </w:r>
      <w:r>
        <w:t>15 included above.</w:t>
      </w:r>
    </w:p>
    <w:p w:rsidR="006765BC" w:rsidRDefault="001370C2" w:rsidP="006765BC">
      <w:pPr>
        <w:pStyle w:val="FootnoteText"/>
      </w:pPr>
      <w:r w:rsidRPr="001370C2">
        <w:t>Reader note: All figures are GST exclusive.</w:t>
      </w:r>
      <w:r w:rsidR="006765BC">
        <w:br w:type="page"/>
      </w:r>
    </w:p>
    <w:p w:rsidR="002E2D3E" w:rsidRDefault="002E2D3E" w:rsidP="00C7638D">
      <w:pPr>
        <w:pStyle w:val="Heading3"/>
      </w:pPr>
      <w:r>
        <w:lastRenderedPageBreak/>
        <w:t>1.3</w:t>
      </w:r>
      <w:r>
        <w:tab/>
        <w:t>Budget measures</w:t>
      </w:r>
    </w:p>
    <w:p w:rsidR="002E2D3E" w:rsidRPr="001C41D6" w:rsidRDefault="002E2D3E" w:rsidP="002E2D3E">
      <w:r w:rsidRPr="001C41D6">
        <w:t xml:space="preserve">Safe Work Australia </w:t>
      </w:r>
      <w:r>
        <w:t>does not have any new measures since the</w:t>
      </w:r>
      <w:r w:rsidRPr="001C41D6">
        <w:t xml:space="preserve"> 201</w:t>
      </w:r>
      <w:r>
        <w:t>4</w:t>
      </w:r>
      <w:r w:rsidR="009F6F42">
        <w:t>–</w:t>
      </w:r>
      <w:r w:rsidRPr="001C41D6">
        <w:t>1</w:t>
      </w:r>
      <w:r>
        <w:t>5</w:t>
      </w:r>
      <w:r w:rsidRPr="001C41D6">
        <w:t xml:space="preserve"> Budget.</w:t>
      </w:r>
      <w:r>
        <w:t xml:space="preserve"> For this reason Table 1.2 is not presented.</w:t>
      </w:r>
    </w:p>
    <w:p w:rsidR="002E2D3E" w:rsidRPr="005C4BEE" w:rsidRDefault="002E2D3E" w:rsidP="002B595D">
      <w:pPr>
        <w:pStyle w:val="TableHeadingcontinued"/>
        <w:rPr>
          <w:sz w:val="16"/>
        </w:rPr>
      </w:pPr>
      <w:r>
        <w:br w:type="page"/>
      </w:r>
    </w:p>
    <w:p w:rsidR="002E2D3E" w:rsidRDefault="002E2D3E" w:rsidP="00123218">
      <w:pPr>
        <w:pStyle w:val="Heading2"/>
      </w:pPr>
      <w:r>
        <w:lastRenderedPageBreak/>
        <w:t>Section 2: Outcomes and planned performance</w:t>
      </w:r>
    </w:p>
    <w:p w:rsidR="002E2D3E" w:rsidRDefault="002E2D3E" w:rsidP="00BB3AB5">
      <w:pPr>
        <w:pStyle w:val="Heading3"/>
      </w:pPr>
      <w:r>
        <w:t>2.1</w:t>
      </w:r>
      <w:r>
        <w:tab/>
        <w:t>Outcomes and performance information</w:t>
      </w:r>
    </w:p>
    <w:p w:rsidR="002E2D3E" w:rsidRDefault="002E2D3E" w:rsidP="00BE7D58">
      <w:r>
        <w:t xml:space="preserve">Government outcomes are the intended results, impacts or consequences of actions by the </w:t>
      </w:r>
      <w:r w:rsidR="00825E25">
        <w:t>g</w:t>
      </w:r>
      <w:r>
        <w:t xml:space="preserve">overnment on the Australian community. </w:t>
      </w:r>
      <w:r w:rsidRPr="00E95DB8">
        <w:t xml:space="preserve">Commonwealth </w:t>
      </w:r>
      <w:r>
        <w:t>programmes</w:t>
      </w:r>
      <w:r w:rsidRPr="00E95DB8">
        <w:t xml:space="preserve"> are the primary vehicle by which </w:t>
      </w:r>
      <w:r>
        <w:t>g</w:t>
      </w:r>
      <w:r w:rsidRPr="00E95DB8">
        <w:t xml:space="preserve">overnment </w:t>
      </w:r>
      <w:r>
        <w:t xml:space="preserve">entities </w:t>
      </w:r>
      <w:r w:rsidRPr="00E95DB8">
        <w:t xml:space="preserve">achieve the intended results of their outcome statements. </w:t>
      </w:r>
      <w:r>
        <w:t xml:space="preserve">Entities </w:t>
      </w:r>
      <w:r w:rsidRPr="00E95DB8">
        <w:t xml:space="preserve">are required to identify the </w:t>
      </w:r>
      <w:r>
        <w:t>programmes which contribute to government outcomes over the Budget and forward years.</w:t>
      </w:r>
    </w:p>
    <w:p w:rsidR="002E2D3E" w:rsidRDefault="002E2D3E" w:rsidP="002E2D3E">
      <w:pPr>
        <w:pStyle w:val="Bullets"/>
        <w:numPr>
          <w:ilvl w:val="0"/>
          <w:numId w:val="0"/>
        </w:numPr>
        <w:tabs>
          <w:tab w:val="left" w:pos="720"/>
        </w:tabs>
      </w:pPr>
      <w:r>
        <w:t xml:space="preserve">Each outcome is described below together with its related programmes, specifying the performance indicators and targets used to assess and monitor the performance of </w:t>
      </w:r>
      <w:r w:rsidRPr="001C41D6">
        <w:rPr>
          <w:color w:val="auto"/>
        </w:rPr>
        <w:t xml:space="preserve">Safe Work Australia </w:t>
      </w:r>
      <w:r>
        <w:t>in achieving government outcomes.</w:t>
      </w:r>
    </w:p>
    <w:p w:rsidR="002E2D3E" w:rsidRDefault="007F7EB7" w:rsidP="007F7EB7">
      <w:pPr>
        <w:pStyle w:val="ProgramHeading"/>
      </w:pPr>
      <w:r>
        <w:t>Outcome 1: Healthier, safer and more productive workplaces through improvements to Australian work health and safety and workers’ compensation arrangements.</w:t>
      </w:r>
    </w:p>
    <w:p w:rsidR="002E2D3E" w:rsidRDefault="002E2D3E" w:rsidP="00451501">
      <w:pPr>
        <w:pStyle w:val="Heading4"/>
      </w:pPr>
      <w:r>
        <w:t>Outcome 1 strategy</w:t>
      </w:r>
    </w:p>
    <w:p w:rsidR="002E2D3E" w:rsidRPr="00C005D5" w:rsidRDefault="002E2D3E" w:rsidP="002E2D3E">
      <w:pPr>
        <w:pStyle w:val="Bullets"/>
        <w:numPr>
          <w:ilvl w:val="0"/>
          <w:numId w:val="0"/>
        </w:numPr>
        <w:tabs>
          <w:tab w:val="left" w:pos="720"/>
        </w:tabs>
      </w:pPr>
      <w:r w:rsidRPr="00C005D5">
        <w:t>Safe Work Australia works with representatives of the Commonwealth, state and territory governments, employers and employees to:</w:t>
      </w:r>
    </w:p>
    <w:p w:rsidR="002E2D3E" w:rsidRPr="00C005D5" w:rsidRDefault="009F6F42" w:rsidP="002E2D3E">
      <w:pPr>
        <w:pStyle w:val="Bullets"/>
      </w:pPr>
      <w:r>
        <w:t>s</w:t>
      </w:r>
      <w:r w:rsidR="002E2D3E" w:rsidRPr="00C005D5">
        <w:t xml:space="preserve">upport the implementation of the </w:t>
      </w:r>
      <w:r w:rsidR="002E2D3E" w:rsidRPr="00C005D5">
        <w:rPr>
          <w:i/>
        </w:rPr>
        <w:t xml:space="preserve">Australian Work Health and </w:t>
      </w:r>
      <w:r>
        <w:rPr>
          <w:i/>
        </w:rPr>
        <w:t>Safety Strategy 2012</w:t>
      </w:r>
      <w:r w:rsidR="009C7B91">
        <w:rPr>
          <w:i/>
        </w:rPr>
        <w:t>—</w:t>
      </w:r>
      <w:r>
        <w:rPr>
          <w:i/>
        </w:rPr>
        <w:t>2022</w:t>
      </w:r>
    </w:p>
    <w:p w:rsidR="002E2D3E" w:rsidRPr="00C005D5" w:rsidRDefault="009F6F42" w:rsidP="002E2D3E">
      <w:pPr>
        <w:pStyle w:val="Bullets"/>
      </w:pPr>
      <w:r>
        <w:t>p</w:t>
      </w:r>
      <w:r w:rsidR="002E2D3E" w:rsidRPr="00C005D5">
        <w:t>romote community awareness and knowledge of work health and safety and workers’ compensation</w:t>
      </w:r>
    </w:p>
    <w:p w:rsidR="002E2D3E" w:rsidRPr="00C005D5" w:rsidRDefault="009F6F42" w:rsidP="002E2D3E">
      <w:pPr>
        <w:pStyle w:val="Bullets"/>
      </w:pPr>
      <w:r>
        <w:t>s</w:t>
      </w:r>
      <w:r w:rsidR="002E2D3E" w:rsidRPr="00C005D5">
        <w:t>upport evidence informed policy, program</w:t>
      </w:r>
      <w:r w:rsidR="009669E1">
        <w:t>me</w:t>
      </w:r>
      <w:r w:rsidR="002E2D3E" w:rsidRPr="00C005D5">
        <w:t>s and practice through national work health and safety and workers’ compensation data, resear</w:t>
      </w:r>
      <w:r>
        <w:t>ch and evaluation program</w:t>
      </w:r>
      <w:r w:rsidR="009669E1">
        <w:t>me</w:t>
      </w:r>
      <w:r>
        <w:t>s</w:t>
      </w:r>
    </w:p>
    <w:p w:rsidR="002E2D3E" w:rsidRPr="00C005D5" w:rsidRDefault="009F6F42" w:rsidP="002E2D3E">
      <w:pPr>
        <w:pStyle w:val="Bullets"/>
      </w:pPr>
      <w:r>
        <w:t>i</w:t>
      </w:r>
      <w:r w:rsidR="002E2D3E" w:rsidRPr="00C005D5">
        <w:t>mprove and reform work health and safety laws in Australia t</w:t>
      </w:r>
      <w:r w:rsidR="002E2D3E">
        <w:t>o</w:t>
      </w:r>
      <w:r w:rsidR="002E2D3E" w:rsidRPr="00C005D5">
        <w:t xml:space="preserve"> provide a consistent, equitable and high level of protection to all workers, while ensuring practicability for small </w:t>
      </w:r>
      <w:r>
        <w:t>business and individual workers</w:t>
      </w:r>
    </w:p>
    <w:p w:rsidR="002E2D3E" w:rsidRPr="00C005D5" w:rsidRDefault="009F6F42" w:rsidP="002E2D3E">
      <w:pPr>
        <w:pStyle w:val="Bullets"/>
      </w:pPr>
      <w:r>
        <w:t>p</w:t>
      </w:r>
      <w:r w:rsidR="002E2D3E" w:rsidRPr="00C005D5">
        <w:t>romote consistent approaches and improved knowledge, skills and capabilities for managing heal</w:t>
      </w:r>
      <w:r>
        <w:t>th and safety hazards and risks</w:t>
      </w:r>
    </w:p>
    <w:p w:rsidR="007F7EB7" w:rsidRDefault="007F7EB7" w:rsidP="002E2D3E">
      <w:pPr>
        <w:pStyle w:val="Bullets"/>
      </w:pPr>
      <w:r>
        <w:br w:type="page"/>
      </w:r>
    </w:p>
    <w:p w:rsidR="002E2D3E" w:rsidRDefault="009F6F42" w:rsidP="002E2D3E">
      <w:pPr>
        <w:pStyle w:val="Bullets"/>
      </w:pPr>
      <w:r>
        <w:lastRenderedPageBreak/>
        <w:t>i</w:t>
      </w:r>
      <w:r w:rsidR="002E2D3E">
        <w:t>dentify opportunities to improve wor</w:t>
      </w:r>
      <w:r>
        <w:t>kers’ compensation arrangements</w:t>
      </w:r>
    </w:p>
    <w:p w:rsidR="002E2D3E" w:rsidRDefault="009F6F42" w:rsidP="002E2D3E">
      <w:pPr>
        <w:pStyle w:val="Bullets"/>
        <w:rPr>
          <w:lang w:eastAsia="en-AU"/>
        </w:rPr>
      </w:pPr>
      <w:r>
        <w:rPr>
          <w:lang w:eastAsia="en-AU"/>
        </w:rPr>
        <w:t>d</w:t>
      </w:r>
      <w:r w:rsidR="002E2D3E">
        <w:rPr>
          <w:lang w:eastAsia="en-AU"/>
        </w:rPr>
        <w:t xml:space="preserve">evelop nationally </w:t>
      </w:r>
      <w:r w:rsidR="002E2D3E">
        <w:t>c</w:t>
      </w:r>
      <w:r>
        <w:t>onsistent explosives regulation</w:t>
      </w:r>
    </w:p>
    <w:p w:rsidR="002E2D3E" w:rsidRDefault="009F6F42" w:rsidP="002E2D3E">
      <w:pPr>
        <w:pStyle w:val="Bullets"/>
        <w:rPr>
          <w:lang w:eastAsia="en-AU"/>
        </w:rPr>
      </w:pPr>
      <w:r>
        <w:t>c</w:t>
      </w:r>
      <w:r w:rsidR="002E2D3E">
        <w:t>ooperate and share information, expertise and experience w</w:t>
      </w:r>
      <w:r>
        <w:t>ith international organisations</w:t>
      </w:r>
    </w:p>
    <w:p w:rsidR="002E2D3E" w:rsidRDefault="002E2D3E">
      <w:pPr>
        <w:spacing w:after="0"/>
        <w:rPr>
          <w:rFonts w:cs="Arial"/>
          <w:color w:val="000000"/>
          <w:szCs w:val="16"/>
          <w:highlight w:val="yellow"/>
          <w:lang w:eastAsia="en-US"/>
        </w:rPr>
      </w:pPr>
      <w:r>
        <w:rPr>
          <w:highlight w:val="yellow"/>
        </w:rPr>
        <w:br w:type="page"/>
      </w:r>
    </w:p>
    <w:p w:rsidR="002E2D3E" w:rsidRDefault="002E2D3E" w:rsidP="00825E25">
      <w:pPr>
        <w:pStyle w:val="Heading5"/>
      </w:pPr>
      <w:r>
        <w:lastRenderedPageBreak/>
        <w:t xml:space="preserve"> Outcome expense statement</w:t>
      </w:r>
    </w:p>
    <w:p w:rsidR="002E2D3E" w:rsidRDefault="002E2D3E" w:rsidP="00BE7D58">
      <w:r>
        <w:t xml:space="preserve">Table 2.1 provides an overview of the total expenses for </w:t>
      </w:r>
      <w:r w:rsidR="007F7EB7">
        <w:t>O</w:t>
      </w:r>
      <w:r>
        <w:t xml:space="preserve">utcome </w:t>
      </w:r>
      <w:r w:rsidRPr="00EE4C48">
        <w:t>1</w:t>
      </w:r>
      <w:r>
        <w:t xml:space="preserve"> by programme.</w:t>
      </w:r>
    </w:p>
    <w:p w:rsidR="002E2D3E" w:rsidRDefault="002E2D3E" w:rsidP="00BE7D58">
      <w:pPr>
        <w:pStyle w:val="TableHeading"/>
      </w:pPr>
      <w:r w:rsidRPr="005C4BEE">
        <w:t>Table 2.1: Budgeted expenses for Outcome 1</w:t>
      </w:r>
    </w:p>
    <w:p w:rsidR="002E2D3E" w:rsidRPr="00753890" w:rsidRDefault="00A854FD" w:rsidP="00753890">
      <w:pPr>
        <w:pStyle w:val="TableGraphic"/>
      </w:pPr>
      <w:r>
        <w:pict>
          <v:shape id="_x0000_i1131" type="#_x0000_t75" style="width:358.1pt;height:220.4pt">
            <v:imagedata r:id="rId20" o:title=""/>
          </v:shape>
        </w:pict>
      </w:r>
    </w:p>
    <w:p w:rsidR="007F7EB7" w:rsidRDefault="007F7EB7" w:rsidP="00753890">
      <w:pPr>
        <w:pStyle w:val="FootnoteText"/>
      </w:pPr>
    </w:p>
    <w:p w:rsidR="00753890" w:rsidRDefault="00753890" w:rsidP="00753890">
      <w:pPr>
        <w:pStyle w:val="FootnoteText"/>
      </w:pPr>
      <w:r w:rsidRPr="007F7EB7">
        <w:rPr>
          <w:vertAlign w:val="superscript"/>
        </w:rPr>
        <w:t>1</w:t>
      </w:r>
      <w:r>
        <w:t xml:space="preserve"> Departmental appropriation combines 'Ordinary annual services (Appropriation Bill No. 1)' and 'Revenue from independent sources (s 74)'.</w:t>
      </w:r>
    </w:p>
    <w:p w:rsidR="00753890" w:rsidRDefault="00753890" w:rsidP="00753890">
      <w:pPr>
        <w:pStyle w:val="FootnoteText"/>
      </w:pPr>
      <w:r w:rsidRPr="007F7EB7">
        <w:rPr>
          <w:vertAlign w:val="superscript"/>
        </w:rPr>
        <w:t>2</w:t>
      </w:r>
      <w:r>
        <w:t xml:space="preserve"> Expenses not requiring appropriation in the Budget year are made up of depreciation expenses, amortisation expenses, and audit fees.</w:t>
      </w:r>
    </w:p>
    <w:p w:rsidR="002E2D3E" w:rsidRDefault="00753890" w:rsidP="00D816B5">
      <w:pPr>
        <w:pStyle w:val="Footnote"/>
        <w:spacing w:before="120" w:after="120"/>
        <w:rPr>
          <w:i/>
          <w:color w:val="FF0000"/>
        </w:rPr>
      </w:pPr>
      <w:r>
        <w:t>Note: Departmental appropriation splits and totals are indicative estimates and may change in the course of the budget year as government priorities change.</w:t>
      </w:r>
      <w:r w:rsidR="002E2D3E">
        <w:br w:type="page"/>
      </w:r>
      <w:r w:rsidR="002E2D3E" w:rsidRPr="00152B79">
        <w:rPr>
          <w:rStyle w:val="Heading4Char"/>
        </w:rPr>
        <w:lastRenderedPageBreak/>
        <w:t>Contributions to Outcome 1</w:t>
      </w:r>
      <w:r w:rsidR="002E2D3E">
        <w:t xml:space="preserve"> </w:t>
      </w:r>
    </w:p>
    <w:p w:rsidR="002E2D3E" w:rsidRPr="00FD5958" w:rsidRDefault="007F7EB7" w:rsidP="007F7EB7">
      <w:pPr>
        <w:pStyle w:val="ProgramHeading"/>
      </w:pPr>
      <w:r>
        <w:t>Programme 1</w:t>
      </w:r>
      <w:r w:rsidR="00FF6999">
        <w:t>.1</w:t>
      </w:r>
      <w:r>
        <w:t>: Reform of and improvements to Australian work health and safety and workers’ compensation arrangements</w:t>
      </w:r>
    </w:p>
    <w:p w:rsidR="009F6F42" w:rsidRDefault="009F6F42" w:rsidP="009F6F42">
      <w:pPr>
        <w:pStyle w:val="Heading5"/>
      </w:pPr>
      <w:r>
        <w:t xml:space="preserve">Programme </w:t>
      </w:r>
      <w:r w:rsidR="00B21E61">
        <w:t>o</w:t>
      </w:r>
      <w:r>
        <w:t>bjective</w:t>
      </w:r>
    </w:p>
    <w:p w:rsidR="009F6F42" w:rsidRDefault="009F6F42" w:rsidP="009F6F42">
      <w:r>
        <w:t>Safe Work Australia has an important national role to achieve significant and continual reductions in the incidence of work-related death, injury and illness and to improve outcomes for injured workers and their employers.</w:t>
      </w:r>
      <w:r w:rsidR="00935DF7">
        <w:t xml:space="preserve"> </w:t>
      </w:r>
    </w:p>
    <w:p w:rsidR="009F6F42" w:rsidRDefault="009F6F42" w:rsidP="009F6F42">
      <w:r>
        <w:t>To be able to meet its objectives Safe Work Australia works collaboratively with regulators, industry and employee associations and the community to achieve healthy, safe and productive working lives for all Australians.</w:t>
      </w:r>
    </w:p>
    <w:p w:rsidR="002E2D3E" w:rsidRDefault="009F6F42" w:rsidP="009F6F42">
      <w:r w:rsidRPr="00C005D5">
        <w:t xml:space="preserve">Safe Work Australia is required by the Act to prepare a corporate plan every four years which deals with the outcomes to be achieved by Safe Work Australia and the strategies to be followed to achieve those outcomes. </w:t>
      </w:r>
      <w:r>
        <w:t>A</w:t>
      </w:r>
      <w:r w:rsidRPr="00C005D5">
        <w:t xml:space="preserve">n operational plan </w:t>
      </w:r>
      <w:r>
        <w:t xml:space="preserve">is required to be </w:t>
      </w:r>
      <w:r w:rsidRPr="00C005D5">
        <w:t xml:space="preserve">prepared each year to outline </w:t>
      </w:r>
      <w:r>
        <w:t>the activities to give effect to these strategies</w:t>
      </w:r>
      <w:r w:rsidRPr="00C005D5">
        <w:t xml:space="preserve">. </w:t>
      </w:r>
      <w:r>
        <w:t xml:space="preserve"> </w:t>
      </w:r>
    </w:p>
    <w:p w:rsidR="009F6F42" w:rsidRDefault="009F6F42" w:rsidP="009F6F42">
      <w:pPr>
        <w:pStyle w:val="Heading5"/>
      </w:pPr>
      <w:r>
        <w:t>Programme expenses</w:t>
      </w:r>
    </w:p>
    <w:p w:rsidR="002E2D3E" w:rsidRDefault="009F6F42" w:rsidP="009F6F42">
      <w:r w:rsidRPr="00AF4EED">
        <w:t>The work of the agency continues to focus on the objectives of Programme 1 and as prescribed by legislation.  The agency has not identified any significant trends or variances over the forward years.</w:t>
      </w:r>
    </w:p>
    <w:p w:rsidR="00825E25" w:rsidRDefault="00825E25" w:rsidP="00825E25">
      <w:pPr>
        <w:pStyle w:val="TableHeading"/>
      </w:pPr>
      <w:r>
        <w:t xml:space="preserve">Table </w:t>
      </w:r>
      <w:r w:rsidR="007F7EB7">
        <w:t>2.1.1</w:t>
      </w:r>
      <w:r>
        <w:t xml:space="preserve"> Programme expenses</w:t>
      </w:r>
    </w:p>
    <w:p w:rsidR="007F7EB7" w:rsidRDefault="00A854FD" w:rsidP="001370C2">
      <w:pPr>
        <w:pStyle w:val="TableGraphic"/>
      </w:pPr>
      <w:r>
        <w:pict>
          <v:shape id="_x0000_i1132" type="#_x0000_t75" style="width:359.35pt;height:123.35pt">
            <v:imagedata r:id="rId21" o:title=""/>
          </v:shape>
        </w:pict>
      </w:r>
    </w:p>
    <w:p w:rsidR="007F7EB7" w:rsidRDefault="007F7EB7" w:rsidP="001370C2">
      <w:pPr>
        <w:pStyle w:val="TableGraphic"/>
        <w:rPr>
          <w:rStyle w:val="FootnoteTextChar"/>
        </w:rPr>
      </w:pPr>
    </w:p>
    <w:p w:rsidR="00753890" w:rsidRDefault="00753890" w:rsidP="001370C2">
      <w:pPr>
        <w:pStyle w:val="TableGraphic"/>
        <w:rPr>
          <w:rFonts w:cs="Arial"/>
        </w:rPr>
      </w:pPr>
      <w:r w:rsidRPr="007F7EB7">
        <w:rPr>
          <w:rStyle w:val="FootnoteTextChar"/>
          <w:vertAlign w:val="superscript"/>
        </w:rPr>
        <w:t>1</w:t>
      </w:r>
      <w:r w:rsidRPr="001370C2">
        <w:rPr>
          <w:rStyle w:val="FootnoteTextChar"/>
        </w:rPr>
        <w:t xml:space="preserve"> Expenses not requiring appropriation in the Budget year are made up of depreciation expenses, amortisation expenses, and audit fees.</w:t>
      </w:r>
      <w:r>
        <w:rPr>
          <w:rFonts w:cs="Arial"/>
        </w:rPr>
        <w:br w:type="page"/>
      </w:r>
    </w:p>
    <w:p w:rsidR="009F6F42" w:rsidRDefault="009F6F42" w:rsidP="009F6F42">
      <w:pPr>
        <w:pStyle w:val="TableColumnHeadingLeft"/>
        <w:jc w:val="both"/>
        <w:rPr>
          <w:rFonts w:cs="Arial"/>
        </w:rPr>
      </w:pPr>
      <w:r>
        <w:rPr>
          <w:rFonts w:cs="Arial"/>
        </w:rPr>
        <w:lastRenderedPageBreak/>
        <w:t>Programme 1</w:t>
      </w:r>
      <w:r w:rsidR="00FF6999">
        <w:rPr>
          <w:rFonts w:cs="Arial"/>
        </w:rPr>
        <w:t>.1</w:t>
      </w:r>
      <w:r>
        <w:rPr>
          <w:rFonts w:cs="Arial"/>
        </w:rPr>
        <w:t xml:space="preserve"> Deliverables  </w:t>
      </w:r>
    </w:p>
    <w:p w:rsidR="009F6F42" w:rsidRPr="00C005D5" w:rsidRDefault="009F6F42" w:rsidP="009F6F42">
      <w:r w:rsidRPr="00C005D5">
        <w:t>The deliverables for Safe Work Australia are highlighted in its annual operational plan:</w:t>
      </w:r>
    </w:p>
    <w:p w:rsidR="009F6F42" w:rsidRPr="009F6F42" w:rsidRDefault="009F6F42" w:rsidP="009F6F42">
      <w:pPr>
        <w:pStyle w:val="Bullets"/>
      </w:pPr>
      <w:r w:rsidRPr="009F6F42">
        <w:t xml:space="preserve">Coordinate and monitor the implementation of the </w:t>
      </w:r>
      <w:r w:rsidRPr="009F6F42">
        <w:rPr>
          <w:i/>
        </w:rPr>
        <w:t>Australian Work Health and Safety Strategy 2012–2022</w:t>
      </w:r>
      <w:r w:rsidRPr="009F6F42">
        <w:t>.</w:t>
      </w:r>
    </w:p>
    <w:p w:rsidR="009F6F42" w:rsidRPr="009F6F42" w:rsidRDefault="009F6F42" w:rsidP="009F6F42">
      <w:pPr>
        <w:pStyle w:val="Bullets"/>
      </w:pPr>
      <w:r w:rsidRPr="009F6F42">
        <w:t>Promote consistent messages on work health and safety and workers' compensation through the implementation of the Communication and Stakeholder Engagement Strategy.</w:t>
      </w:r>
    </w:p>
    <w:p w:rsidR="009F6F42" w:rsidRPr="009F6F42" w:rsidRDefault="009F6F42" w:rsidP="009F6F42">
      <w:pPr>
        <w:pStyle w:val="Bullets"/>
      </w:pPr>
      <w:r w:rsidRPr="009F6F42">
        <w:t xml:space="preserve">Collect, maintain, improve and report on national work health and safety and workers' compensation data through implementation of the </w:t>
      </w:r>
      <w:r w:rsidRPr="009F6F42">
        <w:rPr>
          <w:i/>
        </w:rPr>
        <w:t>Dat</w:t>
      </w:r>
      <w:r w:rsidR="009C7B91">
        <w:rPr>
          <w:i/>
        </w:rPr>
        <w:t>a and Analysis Work Plan 2015–</w:t>
      </w:r>
      <w:r w:rsidRPr="009F6F42">
        <w:rPr>
          <w:i/>
        </w:rPr>
        <w:t>16</w:t>
      </w:r>
      <w:r w:rsidRPr="009F6F42">
        <w:t>.</w:t>
      </w:r>
    </w:p>
    <w:p w:rsidR="009F6F42" w:rsidRPr="009F6F42" w:rsidRDefault="009F6F42" w:rsidP="009F6F42">
      <w:pPr>
        <w:pStyle w:val="Bullets"/>
      </w:pPr>
      <w:r w:rsidRPr="009F6F42">
        <w:t xml:space="preserve">Identify new priority issues and undertake and disseminate research including on emerging issues and through implementation of the </w:t>
      </w:r>
      <w:r w:rsidRPr="009F6F42">
        <w:rPr>
          <w:i/>
        </w:rPr>
        <w:t xml:space="preserve">Research </w:t>
      </w:r>
      <w:r w:rsidR="009C7B91">
        <w:rPr>
          <w:i/>
        </w:rPr>
        <w:t>and Evaluation Work Plan 2015–</w:t>
      </w:r>
      <w:r w:rsidRPr="009F6F42">
        <w:rPr>
          <w:i/>
        </w:rPr>
        <w:t>16</w:t>
      </w:r>
      <w:r w:rsidRPr="009F6F42">
        <w:t xml:space="preserve">. </w:t>
      </w:r>
    </w:p>
    <w:p w:rsidR="009F6F42" w:rsidRPr="009F6F42" w:rsidRDefault="009F6F42" w:rsidP="009F6F42">
      <w:pPr>
        <w:pStyle w:val="Bullets"/>
      </w:pPr>
      <w:r w:rsidRPr="009F6F42">
        <w:t xml:space="preserve">Monitor, evaluate and improve the model </w:t>
      </w:r>
      <w:r>
        <w:t>work h</w:t>
      </w:r>
      <w:r w:rsidRPr="009F6F42">
        <w:t xml:space="preserve">ealth and </w:t>
      </w:r>
      <w:r>
        <w:t>s</w:t>
      </w:r>
      <w:r w:rsidRPr="009F6F42">
        <w:t>afety laws to improve safety outcomes, address issues impeding the effective and efficient operation of the laws and remove unnecessary over-regulation.</w:t>
      </w:r>
    </w:p>
    <w:p w:rsidR="009F6F42" w:rsidRPr="009F6F42" w:rsidRDefault="009F6F42" w:rsidP="009F6F42">
      <w:pPr>
        <w:pStyle w:val="Bullets"/>
      </w:pPr>
      <w:r w:rsidRPr="009F6F42">
        <w:t xml:space="preserve">Facilitate the development of accessible, effective and practical material to aid understanding and compliance; minimise regulatory cost; and support improved work health and safety outcomes, particularly for small business and individuals. </w:t>
      </w:r>
    </w:p>
    <w:p w:rsidR="009F6F42" w:rsidRPr="009F6F42" w:rsidRDefault="009F6F42" w:rsidP="009F6F42">
      <w:pPr>
        <w:pStyle w:val="Bullets"/>
      </w:pPr>
      <w:r w:rsidRPr="009F6F42">
        <w:t xml:space="preserve">Improve consistency in workers' compensation arrangements through implementation of the </w:t>
      </w:r>
      <w:r w:rsidRPr="009F6F42">
        <w:rPr>
          <w:i/>
        </w:rPr>
        <w:t>Workers</w:t>
      </w:r>
      <w:r w:rsidR="009C7B91">
        <w:rPr>
          <w:i/>
        </w:rPr>
        <w:t>’ Compensation Work Plan 2015–</w:t>
      </w:r>
      <w:r w:rsidRPr="009F6F42">
        <w:rPr>
          <w:i/>
        </w:rPr>
        <w:t>16</w:t>
      </w:r>
      <w:r w:rsidRPr="009F6F42">
        <w:t>.</w:t>
      </w:r>
    </w:p>
    <w:p w:rsidR="009F6F42" w:rsidRPr="009F6F42" w:rsidRDefault="009F6F42" w:rsidP="009F6F42">
      <w:pPr>
        <w:pStyle w:val="Bullets"/>
      </w:pPr>
      <w:r w:rsidRPr="009F6F42">
        <w:t xml:space="preserve">Develop policy proposals that will lead to nationally consistent explosives regulation. </w:t>
      </w:r>
    </w:p>
    <w:p w:rsidR="009F6F42" w:rsidRPr="009F6F42" w:rsidRDefault="009F6F42" w:rsidP="009F6F42">
      <w:pPr>
        <w:pStyle w:val="Bullets"/>
      </w:pPr>
      <w:r w:rsidRPr="009F6F42">
        <w:t>Liaise with other countries or international organisations on matters relating to work health and safety and workers' compensation including representing Australia as appropriate.</w:t>
      </w:r>
    </w:p>
    <w:p w:rsidR="00825E25" w:rsidRDefault="00825E25" w:rsidP="009F6F42">
      <w:pPr>
        <w:pStyle w:val="Heading5"/>
      </w:pPr>
      <w:r>
        <w:br w:type="page"/>
      </w:r>
    </w:p>
    <w:p w:rsidR="009F6F42" w:rsidRPr="006B7D7F" w:rsidRDefault="009F6F42" w:rsidP="009F6F42">
      <w:pPr>
        <w:pStyle w:val="Heading5"/>
      </w:pPr>
      <w:r w:rsidRPr="006B7D7F">
        <w:lastRenderedPageBreak/>
        <w:t>Programme 1</w:t>
      </w:r>
      <w:r w:rsidR="00FF6999">
        <w:t>.1</w:t>
      </w:r>
      <w:r w:rsidRPr="006B7D7F">
        <w:t xml:space="preserve"> </w:t>
      </w:r>
      <w:r>
        <w:t>K</w:t>
      </w:r>
      <w:r w:rsidRPr="006B7D7F">
        <w:t xml:space="preserve">ey </w:t>
      </w:r>
      <w:r>
        <w:t>p</w:t>
      </w:r>
      <w:r w:rsidRPr="006B7D7F">
        <w:t xml:space="preserve">erformance </w:t>
      </w:r>
      <w:r>
        <w:t>i</w:t>
      </w:r>
      <w:r w:rsidRPr="006B7D7F">
        <w:t xml:space="preserve">ndicators </w:t>
      </w:r>
    </w:p>
    <w:p w:rsidR="009F6F42" w:rsidRDefault="009F6F42" w:rsidP="009F6F42">
      <w:r w:rsidRPr="006B7D7F">
        <w:t>Key performance indicators are framed around the operational plan. The effectiveness of key activities to assist in reducing death, injury and disease and towards meeting the outcome of healthier, safer and more productive workplaces will be measured through systematic review and evaluation.</w:t>
      </w:r>
      <w:r>
        <w:t xml:space="preserve"> The agency’s performance measurement framework will be reviewed </w:t>
      </w:r>
      <w:proofErr w:type="gramStart"/>
      <w:r>
        <w:t>during</w:t>
      </w:r>
      <w:r w:rsidR="00E56782">
        <w:t xml:space="preserve"> </w:t>
      </w:r>
      <w:proofErr w:type="gramEnd"/>
      <w:r w:rsidR="00E56782">
        <w:fldChar w:fldCharType="begin"/>
      </w:r>
      <w:r w:rsidR="00E56782">
        <w:instrText>EQ 2015–2016</w:instrText>
      </w:r>
      <w:r w:rsidR="00E56782">
        <w:fldChar w:fldCharType="end"/>
      </w:r>
      <w:r>
        <w:t>.</w:t>
      </w:r>
    </w:p>
    <w:p w:rsidR="009F6F42" w:rsidRPr="009F6F42" w:rsidRDefault="009F6F42" w:rsidP="009F6F42">
      <w:pPr>
        <w:pStyle w:val="TableHeading"/>
      </w:pPr>
      <w:r w:rsidRPr="009F6F42">
        <w:t xml:space="preserve">Table </w:t>
      </w:r>
      <w:proofErr w:type="spellStart"/>
      <w:r w:rsidR="009D4D3C">
        <w:t>2.1.1.A</w:t>
      </w:r>
      <w:proofErr w:type="spellEnd"/>
      <w:r w:rsidRPr="009F6F42">
        <w:t xml:space="preserve"> Programme 1</w:t>
      </w:r>
      <w:r w:rsidR="00FF6999">
        <w:t>.1</w:t>
      </w:r>
      <w:r w:rsidR="00B21E61">
        <w:t xml:space="preserve"> K</w:t>
      </w:r>
      <w:r w:rsidRPr="009F6F42">
        <w:t>ey performance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3006"/>
      </w:tblGrid>
      <w:tr w:rsidR="009F6F42" w:rsidRPr="00330786" w:rsidTr="009F6F42">
        <w:trPr>
          <w:tblHeader/>
        </w:trPr>
        <w:tc>
          <w:tcPr>
            <w:tcW w:w="4388"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F6F42">
            <w:pPr>
              <w:pStyle w:val="TableTextBold"/>
            </w:pPr>
            <w:r w:rsidRPr="001B4E80">
              <w:t>Quality</w:t>
            </w:r>
          </w:p>
        </w:tc>
        <w:tc>
          <w:tcPr>
            <w:tcW w:w="3090"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C7B91">
            <w:pPr>
              <w:pStyle w:val="TableTextBold"/>
            </w:pPr>
            <w:r w:rsidRPr="001B4E80">
              <w:t>2015–16 target</w:t>
            </w:r>
          </w:p>
        </w:tc>
      </w:tr>
      <w:tr w:rsidR="009F6F42" w:rsidRPr="00330786" w:rsidTr="009F6F42">
        <w:trPr>
          <w:tblHeader/>
        </w:trPr>
        <w:tc>
          <w:tcPr>
            <w:tcW w:w="4388"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F6F42">
            <w:pPr>
              <w:pStyle w:val="TableText"/>
            </w:pPr>
            <w:r w:rsidRPr="001B4E80">
              <w:t xml:space="preserve">The work health and safety framework continues to be developed, implemented and reviewed in accordance with </w:t>
            </w:r>
            <w:proofErr w:type="spellStart"/>
            <w:r w:rsidRPr="001B4E80">
              <w:t>COAG</w:t>
            </w:r>
            <w:proofErr w:type="spellEnd"/>
            <w:r w:rsidRPr="001B4E80">
              <w:t xml:space="preserve"> requirements.</w:t>
            </w:r>
          </w:p>
        </w:tc>
        <w:tc>
          <w:tcPr>
            <w:tcW w:w="3090"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C7B91">
            <w:pPr>
              <w:pStyle w:val="TableText"/>
            </w:pPr>
            <w:proofErr w:type="spellStart"/>
            <w:r w:rsidRPr="001B4E80">
              <w:t>COAG</w:t>
            </w:r>
            <w:proofErr w:type="spellEnd"/>
            <w:r w:rsidRPr="001B4E80">
              <w:t xml:space="preserve"> requirements are met.</w:t>
            </w:r>
          </w:p>
        </w:tc>
      </w:tr>
      <w:tr w:rsidR="009F6F42" w:rsidRPr="00330786" w:rsidTr="009F6F42">
        <w:trPr>
          <w:tblHeader/>
        </w:trPr>
        <w:tc>
          <w:tcPr>
            <w:tcW w:w="4388"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F6F42">
            <w:pPr>
              <w:pStyle w:val="TableText"/>
            </w:pPr>
            <w:r w:rsidRPr="001B4E80">
              <w:t>Level of satisfaction of the Chair of Safe Work Australia with how the agency is achieving the deliverables of its operational plan.</w:t>
            </w:r>
          </w:p>
        </w:tc>
        <w:tc>
          <w:tcPr>
            <w:tcW w:w="3090"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C7B91">
            <w:pPr>
              <w:pStyle w:val="TableText"/>
            </w:pPr>
            <w:r w:rsidRPr="001B4E80">
              <w:t>Chair rates the performance of the agency as very good or above.</w:t>
            </w:r>
          </w:p>
        </w:tc>
      </w:tr>
      <w:tr w:rsidR="009F6F42" w:rsidTr="009F6F42">
        <w:trPr>
          <w:tblHeader/>
        </w:trPr>
        <w:tc>
          <w:tcPr>
            <w:tcW w:w="4388"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F6F42">
            <w:pPr>
              <w:pStyle w:val="TableText"/>
            </w:pPr>
            <w:r w:rsidRPr="001B4E80">
              <w:t>Level of satisfaction of the Members of Safe Work Australia with how the agency is achieving the deliverables of its operational plan.</w:t>
            </w:r>
          </w:p>
        </w:tc>
        <w:tc>
          <w:tcPr>
            <w:tcW w:w="3090" w:type="dxa"/>
            <w:tcBorders>
              <w:top w:val="single" w:sz="4" w:space="0" w:color="auto"/>
              <w:left w:val="single" w:sz="4" w:space="0" w:color="auto"/>
              <w:bottom w:val="single" w:sz="4" w:space="0" w:color="auto"/>
              <w:right w:val="single" w:sz="4" w:space="0" w:color="auto"/>
            </w:tcBorders>
            <w:hideMark/>
          </w:tcPr>
          <w:p w:rsidR="009F6F42" w:rsidRPr="001B4E80" w:rsidRDefault="009F6F42" w:rsidP="009C7B91">
            <w:pPr>
              <w:pStyle w:val="TableText"/>
            </w:pPr>
            <w:r w:rsidRPr="001B4E80">
              <w:t>80% of Members agree the agency is achieving the deliverables of its operational plan.</w:t>
            </w:r>
          </w:p>
        </w:tc>
      </w:tr>
    </w:tbl>
    <w:p w:rsidR="002E2D3E" w:rsidRDefault="002E2D3E">
      <w:pPr>
        <w:pStyle w:val="Heading2"/>
        <w:spacing w:before="0" w:after="120"/>
      </w:pPr>
      <w:r>
        <w:br w:type="page"/>
      </w:r>
      <w:r>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2E2D3E" w:rsidRDefault="002E2D3E" w:rsidP="0027614D">
      <w:pPr>
        <w:pStyle w:val="Heading3"/>
      </w:pPr>
      <w:r>
        <w:t>3.1</w:t>
      </w:r>
      <w:r>
        <w:tab/>
        <w:t>Explanatory tables</w:t>
      </w:r>
    </w:p>
    <w:p w:rsidR="002E2D3E" w:rsidRDefault="002E2D3E" w:rsidP="007E67BD">
      <w:pPr>
        <w:pStyle w:val="Heading4"/>
      </w:pPr>
      <w:r>
        <w:t>3.1.1</w:t>
      </w:r>
      <w:r>
        <w:tab/>
        <w:t>Movement of administered funds between years</w:t>
      </w:r>
    </w:p>
    <w:p w:rsidR="002E2D3E" w:rsidRPr="0063280D" w:rsidRDefault="002E2D3E" w:rsidP="009C23DA">
      <w:pPr>
        <w:pStyle w:val="ExampleText0"/>
        <w:spacing w:after="0"/>
        <w:rPr>
          <w:i w:val="0"/>
          <w:color w:val="auto"/>
        </w:rPr>
      </w:pPr>
      <w:r w:rsidRPr="0063280D">
        <w:rPr>
          <w:i w:val="0"/>
          <w:color w:val="auto"/>
        </w:rPr>
        <w:t>Safe Work Austra</w:t>
      </w:r>
      <w:r>
        <w:rPr>
          <w:i w:val="0"/>
          <w:color w:val="auto"/>
        </w:rPr>
        <w:t>lia has no administered funds</w:t>
      </w:r>
      <w:r w:rsidRPr="0063280D">
        <w:rPr>
          <w:i w:val="0"/>
          <w:color w:val="auto"/>
        </w:rPr>
        <w:t>.</w:t>
      </w:r>
      <w:r>
        <w:rPr>
          <w:i w:val="0"/>
          <w:color w:val="auto"/>
        </w:rPr>
        <w:t xml:space="preserve"> For this reason Table 3.1.1 is not presented.</w:t>
      </w:r>
    </w:p>
    <w:p w:rsidR="002E2D3E" w:rsidRDefault="002E2D3E">
      <w:pPr>
        <w:pStyle w:val="Heading4"/>
        <w:spacing w:before="0"/>
      </w:pPr>
    </w:p>
    <w:p w:rsidR="002E2D3E" w:rsidRDefault="002E2D3E">
      <w:pPr>
        <w:pStyle w:val="Heading4"/>
        <w:spacing w:before="0"/>
      </w:pPr>
      <w:r>
        <w:t>3.1.2</w:t>
      </w:r>
      <w:r>
        <w:tab/>
        <w:t>Special accounts</w:t>
      </w:r>
    </w:p>
    <w:p w:rsidR="002E2D3E" w:rsidRDefault="002E2D3E" w:rsidP="00574E9E">
      <w:r>
        <w:t xml:space="preserve">Special accounts provide a means to set aside and record amounts used for specified purposes. Special accounts can be created by a Finance Minister’s determination under section 78 of the </w:t>
      </w:r>
      <w:proofErr w:type="spellStart"/>
      <w:r>
        <w:t>PGPA</w:t>
      </w:r>
      <w:proofErr w:type="spellEnd"/>
      <w:r w:rsidRPr="00DA28A8">
        <w:t xml:space="preserve"> Act</w:t>
      </w:r>
      <w:r>
        <w:rPr>
          <w:i/>
        </w:rPr>
        <w:t xml:space="preserve"> </w:t>
      </w:r>
      <w:r>
        <w:t xml:space="preserve">or under separate enabling legislation (section 80 of the </w:t>
      </w:r>
      <w:proofErr w:type="spellStart"/>
      <w:r>
        <w:t>PGPA</w:t>
      </w:r>
      <w:proofErr w:type="spellEnd"/>
      <w:r>
        <w:t xml:space="preserve"> Act refers). Table 3.1.2 shows the expected additions (receipts) and reductions (payments) for each account used by Safe Work Australia.</w:t>
      </w:r>
    </w:p>
    <w:p w:rsidR="002E2D3E" w:rsidRPr="005C4BEE" w:rsidRDefault="002E2D3E" w:rsidP="00574E9E">
      <w:pPr>
        <w:pStyle w:val="TableHeading"/>
      </w:pPr>
      <w:r w:rsidRPr="005C4BEE">
        <w:t>Table 3.1.2: Estimates of special account flows and balances</w:t>
      </w:r>
    </w:p>
    <w:p w:rsidR="002E2D3E" w:rsidRDefault="00A854FD" w:rsidP="00C03A93">
      <w:pPr>
        <w:pStyle w:val="TableGraphic"/>
        <w:rPr>
          <w:rFonts w:ascii="Times New Roman" w:hAnsi="Times New Roman"/>
        </w:rPr>
      </w:pPr>
      <w:r>
        <w:pict>
          <v:shape id="_x0000_i1133" type="#_x0000_t75" style="width:359.35pt;height:128.35pt;mso-position-vertical:absolute">
            <v:imagedata r:id="rId22" o:title=""/>
          </v:shape>
        </w:pict>
      </w:r>
    </w:p>
    <w:p w:rsidR="00A24BB8" w:rsidRPr="00A24BB8" w:rsidRDefault="00A24BB8" w:rsidP="00A24BB8">
      <w:pPr>
        <w:pStyle w:val="FootnoteText"/>
      </w:pPr>
    </w:p>
    <w:p w:rsidR="002E2D3E" w:rsidRPr="00A24BB8" w:rsidRDefault="00753890" w:rsidP="00A24BB8">
      <w:pPr>
        <w:pStyle w:val="FootnoteText"/>
      </w:pPr>
      <w:r w:rsidRPr="00A24BB8">
        <w:t xml:space="preserve"> (D) = Departmental</w:t>
      </w:r>
    </w:p>
    <w:p w:rsidR="002E2D3E" w:rsidRDefault="002E2D3E" w:rsidP="00B04964">
      <w:pPr>
        <w:pStyle w:val="Heading4"/>
      </w:pPr>
      <w:r>
        <w:t>3.1.3</w:t>
      </w:r>
      <w:r>
        <w:tab/>
        <w:t xml:space="preserve">Australian Government Indigenous </w:t>
      </w:r>
      <w:r w:rsidR="00A81D60">
        <w:t>e</w:t>
      </w:r>
      <w:r>
        <w:t>xpenditure</w:t>
      </w:r>
    </w:p>
    <w:p w:rsidR="002E2D3E" w:rsidRPr="002216A8" w:rsidRDefault="002E2D3E" w:rsidP="009C23DA">
      <w:pPr>
        <w:pStyle w:val="ExampleText0"/>
        <w:rPr>
          <w:i w:val="0"/>
          <w:color w:val="auto"/>
        </w:rPr>
      </w:pPr>
      <w:r w:rsidRPr="002216A8">
        <w:rPr>
          <w:i w:val="0"/>
          <w:color w:val="auto"/>
        </w:rPr>
        <w:t xml:space="preserve">Safe Work Australia has no </w:t>
      </w:r>
      <w:r>
        <w:rPr>
          <w:i w:val="0"/>
          <w:color w:val="auto"/>
        </w:rPr>
        <w:t xml:space="preserve">Australian Government </w:t>
      </w:r>
      <w:r w:rsidRPr="002216A8">
        <w:rPr>
          <w:i w:val="0"/>
          <w:color w:val="auto"/>
        </w:rPr>
        <w:t xml:space="preserve">Indigenous </w:t>
      </w:r>
      <w:r w:rsidR="00A81D60">
        <w:rPr>
          <w:i w:val="0"/>
          <w:color w:val="auto"/>
        </w:rPr>
        <w:t>e</w:t>
      </w:r>
      <w:r w:rsidRPr="002216A8">
        <w:rPr>
          <w:i w:val="0"/>
          <w:color w:val="auto"/>
        </w:rPr>
        <w:t>xpenditure</w:t>
      </w:r>
      <w:r>
        <w:rPr>
          <w:i w:val="0"/>
          <w:color w:val="auto"/>
        </w:rPr>
        <w:t xml:space="preserve"> to report</w:t>
      </w:r>
      <w:r w:rsidRPr="002216A8">
        <w:rPr>
          <w:i w:val="0"/>
          <w:color w:val="auto"/>
        </w:rPr>
        <w:t>.</w:t>
      </w:r>
      <w:r>
        <w:rPr>
          <w:i w:val="0"/>
          <w:color w:val="auto"/>
        </w:rPr>
        <w:t xml:space="preserve"> For this reason Table 3.1.3 is not presented.</w:t>
      </w:r>
    </w:p>
    <w:p w:rsidR="002E2D3E" w:rsidRDefault="002E2D3E" w:rsidP="00EA5A9E">
      <w:pPr>
        <w:pStyle w:val="Heading3"/>
      </w:pPr>
      <w:r>
        <w:lastRenderedPageBreak/>
        <w:t>3.2</w:t>
      </w:r>
      <w:r>
        <w:tab/>
        <w:t>Budgeted financial statements</w:t>
      </w:r>
    </w:p>
    <w:p w:rsidR="002E2D3E" w:rsidRDefault="002E2D3E" w:rsidP="00E4582E">
      <w:pPr>
        <w:pStyle w:val="Heading4"/>
      </w:pPr>
      <w:r>
        <w:t>3.2.1</w:t>
      </w:r>
      <w:r>
        <w:tab/>
        <w:t>Differences in entity resourcing and financial statements</w:t>
      </w:r>
    </w:p>
    <w:p w:rsidR="00825E25" w:rsidRDefault="002E2D3E" w:rsidP="00825E25">
      <w:pPr>
        <w:pStyle w:val="ExampleText0"/>
        <w:rPr>
          <w:i w:val="0"/>
          <w:color w:val="auto"/>
        </w:rPr>
      </w:pPr>
      <w:r w:rsidRPr="005A5CFD">
        <w:rPr>
          <w:i w:val="0"/>
          <w:color w:val="auto"/>
        </w:rPr>
        <w:t>The agency receives funds from states and territories and matched appropriation funding from the Commonwealth as provided for in the I</w:t>
      </w:r>
      <w:r>
        <w:rPr>
          <w:i w:val="0"/>
          <w:color w:val="auto"/>
        </w:rPr>
        <w:t>GA</w:t>
      </w:r>
      <w:r w:rsidR="00257133">
        <w:rPr>
          <w:i w:val="0"/>
          <w:color w:val="auto"/>
        </w:rPr>
        <w:t>.</w:t>
      </w:r>
    </w:p>
    <w:p w:rsidR="00825E25" w:rsidRDefault="002E2D3E" w:rsidP="00825E25">
      <w:pPr>
        <w:pStyle w:val="Heading4"/>
      </w:pPr>
      <w:r>
        <w:t>3.2.2</w:t>
      </w:r>
      <w:r>
        <w:tab/>
        <w:t>Analysis of budgeted financial statements</w:t>
      </w:r>
    </w:p>
    <w:p w:rsidR="009F6F42" w:rsidRDefault="002E2D3E" w:rsidP="00825E25">
      <w:pPr>
        <w:rPr>
          <w:b/>
        </w:rPr>
      </w:pPr>
      <w:r w:rsidRPr="005A5CFD">
        <w:t>The agency is not expecting any major changes in its operations from a financial perspective. Funding arrangements are provided for in the IGA.</w:t>
      </w:r>
    </w:p>
    <w:p w:rsidR="002E2D3E" w:rsidRPr="009F6F42" w:rsidRDefault="002E2D3E" w:rsidP="009F6F42">
      <w:pPr>
        <w:pStyle w:val="Heading4"/>
      </w:pPr>
      <w:r w:rsidRPr="009F6F42">
        <w:rPr>
          <w:rStyle w:val="Heading4Char"/>
          <w:b/>
        </w:rPr>
        <w:t>3.2.3</w:t>
      </w:r>
      <w:r w:rsidRPr="009F6F42">
        <w:rPr>
          <w:rStyle w:val="Heading4Char"/>
          <w:b/>
        </w:rPr>
        <w:tab/>
        <w:t>Budgeted financial statements tables</w:t>
      </w:r>
    </w:p>
    <w:p w:rsidR="002E2D3E" w:rsidRDefault="002E2D3E" w:rsidP="002E2D3E">
      <w:pPr>
        <w:pStyle w:val="TableHeading"/>
        <w:rPr>
          <w:snapToGrid w:val="0"/>
        </w:rPr>
      </w:pPr>
      <w:r w:rsidRPr="00E855E0">
        <w:t>Table 3.2.1</w:t>
      </w:r>
      <w:r>
        <w:t>:</w:t>
      </w:r>
      <w:r w:rsidRPr="00E855E0">
        <w:t xml:space="preserve"> Comprehensive income statement (showing net cost of services)</w:t>
      </w:r>
      <w:r>
        <w:t xml:space="preserve"> </w:t>
      </w:r>
      <w:r>
        <w:rPr>
          <w:snapToGrid w:val="0"/>
        </w:rPr>
        <w:t>for the period ended 30 June</w:t>
      </w:r>
    </w:p>
    <w:p w:rsidR="002E2D3E" w:rsidRPr="00A965CD" w:rsidRDefault="00A854FD" w:rsidP="002E2D3E">
      <w:pPr>
        <w:pStyle w:val="TableGraphic"/>
      </w:pPr>
      <w:r>
        <w:pict>
          <v:shape id="_x0000_i1134" type="#_x0000_t75" style="width:359.35pt;height:306.15pt">
            <v:imagedata r:id="rId23" o:title=""/>
          </v:shape>
        </w:pict>
      </w:r>
    </w:p>
    <w:p w:rsidR="00A24BB8" w:rsidRDefault="00A24BB8" w:rsidP="00753890">
      <w:pPr>
        <w:pStyle w:val="TableHeading"/>
      </w:pPr>
      <w:r>
        <w:br w:type="page"/>
      </w:r>
    </w:p>
    <w:p w:rsidR="00753890" w:rsidRDefault="00753890" w:rsidP="00753890">
      <w:pPr>
        <w:pStyle w:val="TableHeading"/>
        <w:rPr>
          <w:snapToGrid w:val="0"/>
        </w:rPr>
      </w:pPr>
      <w:r w:rsidRPr="00E855E0">
        <w:lastRenderedPageBreak/>
        <w:t>Table 3.2.1</w:t>
      </w:r>
      <w:r>
        <w:t>:</w:t>
      </w:r>
      <w:r w:rsidRPr="00E855E0">
        <w:t xml:space="preserve"> Comprehensive income statement (showing net cost of services)</w:t>
      </w:r>
      <w:r>
        <w:t xml:space="preserve"> </w:t>
      </w:r>
      <w:r>
        <w:rPr>
          <w:snapToGrid w:val="0"/>
        </w:rPr>
        <w:t>for the period ended 30 June (continued)</w:t>
      </w:r>
    </w:p>
    <w:p w:rsidR="00A24BB8" w:rsidRPr="00A24BB8" w:rsidRDefault="00A24BB8" w:rsidP="00A24BB8">
      <w:pPr>
        <w:pStyle w:val="TableHeading"/>
      </w:pPr>
      <w:r w:rsidRPr="00A24BB8">
        <w:t>Note: Impact of net cash appropriation arrangements</w:t>
      </w:r>
    </w:p>
    <w:p w:rsidR="00753890" w:rsidRDefault="00A854FD" w:rsidP="00C03A93">
      <w:pPr>
        <w:pStyle w:val="TableGraphic"/>
      </w:pPr>
      <w:r>
        <w:pict>
          <v:shape id="_x0000_i1135" type="#_x0000_t75" style="width:358.75pt;height:130.25pt">
            <v:imagedata r:id="rId24" o:title=""/>
          </v:shape>
        </w:pict>
      </w:r>
    </w:p>
    <w:p w:rsidR="00C03A93" w:rsidRPr="00C03A93" w:rsidRDefault="00C03A93" w:rsidP="00C03A93">
      <w:pPr>
        <w:pStyle w:val="FootnoteText"/>
      </w:pPr>
    </w:p>
    <w:p w:rsidR="00753890" w:rsidRDefault="0083698F" w:rsidP="009F6F42">
      <w:pPr>
        <w:pStyle w:val="FootnoteText"/>
      </w:pPr>
      <w:r w:rsidRPr="0083698F">
        <w:rPr>
          <w:vertAlign w:val="superscript"/>
        </w:rPr>
        <w:t>1</w:t>
      </w:r>
      <w:r w:rsidR="00753890" w:rsidRPr="00753890">
        <w:t xml:space="preserve"> From 2010</w:t>
      </w:r>
      <w:r>
        <w:t>–</w:t>
      </w:r>
      <w:r w:rsidR="00753890" w:rsidRPr="00753890">
        <w:t xml:space="preserve">11, the </w:t>
      </w:r>
      <w:r>
        <w:t>g</w:t>
      </w:r>
      <w:r w:rsidR="00753890" w:rsidRPr="00753890">
        <w:t xml:space="preserve">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00753890" w:rsidRPr="00753890">
        <w:t>DCB</w:t>
      </w:r>
      <w:proofErr w:type="spellEnd"/>
      <w:r w:rsidR="00753890" w:rsidRPr="00753890">
        <w:t xml:space="preserve">) provided through Bill 1 equity appropriations. For information regarding </w:t>
      </w:r>
      <w:proofErr w:type="spellStart"/>
      <w:r w:rsidR="00753890" w:rsidRPr="00753890">
        <w:t>DCBs</w:t>
      </w:r>
      <w:proofErr w:type="spellEnd"/>
      <w:r w:rsidR="00753890" w:rsidRPr="00753890">
        <w:t>, please refer to Table 3.2.5 Departmental Capital Budget Statement.</w:t>
      </w:r>
    </w:p>
    <w:p w:rsidR="002E2D3E" w:rsidRPr="009F6F42" w:rsidRDefault="002E2D3E" w:rsidP="009F6F42">
      <w:pPr>
        <w:pStyle w:val="FootnoteText"/>
      </w:pPr>
      <w:proofErr w:type="gramStart"/>
      <w:r w:rsidRPr="009F6F42">
        <w:t>Prepared on Australian Accounting Standards basis.</w:t>
      </w:r>
      <w:proofErr w:type="gramEnd"/>
    </w:p>
    <w:p w:rsidR="002E2D3E" w:rsidRDefault="002E2D3E" w:rsidP="002E2D3E">
      <w:pPr>
        <w:pStyle w:val="TableHeading"/>
      </w:pPr>
      <w:r>
        <w:br w:type="page"/>
      </w:r>
      <w:r w:rsidRPr="00E4582E">
        <w:lastRenderedPageBreak/>
        <w:t>Table 3.2.2: Budg</w:t>
      </w:r>
      <w:r>
        <w:t xml:space="preserve">eted departmental balance sheet </w:t>
      </w:r>
      <w:r w:rsidRPr="00E4582E">
        <w:t>(as at 30 June)</w:t>
      </w:r>
    </w:p>
    <w:p w:rsidR="00753890" w:rsidRPr="00753890" w:rsidRDefault="00A854FD" w:rsidP="00753890">
      <w:pPr>
        <w:pStyle w:val="TableGraphic"/>
      </w:pPr>
      <w:r>
        <w:pict>
          <v:shape id="_x0000_i1136" type="#_x0000_t75" style="width:353.75pt;height:286.75pt">
            <v:imagedata r:id="rId25" o:title=""/>
          </v:shape>
        </w:pict>
      </w:r>
    </w:p>
    <w:p w:rsidR="00753890" w:rsidRDefault="00753890" w:rsidP="004669BA">
      <w:pPr>
        <w:pStyle w:val="TableHeading"/>
      </w:pPr>
      <w:r>
        <w:br w:type="page"/>
      </w:r>
    </w:p>
    <w:p w:rsidR="002E2D3E" w:rsidRDefault="002E2D3E" w:rsidP="004669BA">
      <w:pPr>
        <w:pStyle w:val="TableHeading"/>
      </w:pPr>
      <w:r w:rsidRPr="00BD210E">
        <w:lastRenderedPageBreak/>
        <w:t>Table 3.2.2: Budgeted departmental balance sheet</w:t>
      </w:r>
      <w:r>
        <w:t xml:space="preserve"> </w:t>
      </w:r>
      <w:r w:rsidRPr="00BD210E">
        <w:t>(as at 30 June) (continued)</w:t>
      </w:r>
    </w:p>
    <w:p w:rsidR="002E2D3E" w:rsidRPr="00F626C2" w:rsidRDefault="00A854FD" w:rsidP="002E2D3E">
      <w:pPr>
        <w:pStyle w:val="TableGraphic"/>
      </w:pPr>
      <w:r>
        <w:rPr>
          <w:noProof/>
        </w:rPr>
        <w:pict>
          <v:shape id="_x0000_i1137" type="#_x0000_t75" style="width:358.75pt;height:126.45pt">
            <v:imagedata r:id="rId26" o:title=""/>
          </v:shape>
        </w:pict>
      </w:r>
    </w:p>
    <w:p w:rsidR="00A24BB8" w:rsidRPr="00A24BB8" w:rsidRDefault="00A24BB8" w:rsidP="00A24BB8">
      <w:pPr>
        <w:pStyle w:val="FootnoteText"/>
      </w:pPr>
    </w:p>
    <w:p w:rsidR="002E2D3E" w:rsidRDefault="002E2D3E" w:rsidP="004669BA">
      <w:pPr>
        <w:pStyle w:val="FootnoteText"/>
      </w:pPr>
      <w:r w:rsidRPr="00E4582E">
        <w:t>*</w:t>
      </w:r>
      <w:r w:rsidR="004669BA">
        <w:tab/>
      </w:r>
      <w:r>
        <w:t>’</w:t>
      </w:r>
      <w:r w:rsidRPr="00F626C2">
        <w:t>E</w:t>
      </w:r>
      <w:r>
        <w:t>quity’</w:t>
      </w:r>
      <w:r w:rsidRPr="00E4582E">
        <w:t xml:space="preserve"> is the residual interest in assets after deduction of liabilities.</w:t>
      </w:r>
    </w:p>
    <w:p w:rsidR="002E2D3E" w:rsidRDefault="002E2D3E" w:rsidP="004669BA">
      <w:pPr>
        <w:pStyle w:val="FootnoteText"/>
      </w:pPr>
      <w:proofErr w:type="gramStart"/>
      <w:r>
        <w:t>Prepared on Australian Accounting Standards basis.</w:t>
      </w:r>
      <w:proofErr w:type="gramEnd"/>
    </w:p>
    <w:p w:rsidR="002E2D3E" w:rsidRDefault="002E2D3E" w:rsidP="00EA5A9E">
      <w:pPr>
        <w:pStyle w:val="TableHeading"/>
      </w:pPr>
      <w:r>
        <w:br w:type="page"/>
      </w:r>
    </w:p>
    <w:p w:rsidR="002E2D3E" w:rsidRDefault="002E2D3E" w:rsidP="00EA5A9E">
      <w:pPr>
        <w:pStyle w:val="TableHeading"/>
      </w:pPr>
      <w:r>
        <w:lastRenderedPageBreak/>
        <w:t>Table 3.2.3</w:t>
      </w:r>
      <w:r w:rsidRPr="00D30CBA">
        <w:t xml:space="preserve">: Departmental </w:t>
      </w:r>
      <w:r>
        <w:t>s</w:t>
      </w:r>
      <w:r w:rsidRPr="00D30CBA">
        <w:t xml:space="preserve">tatement of </w:t>
      </w:r>
      <w:r>
        <w:t>c</w:t>
      </w:r>
      <w:r w:rsidRPr="00D30CBA">
        <w:t xml:space="preserve">hanges in </w:t>
      </w:r>
      <w:r>
        <w:t>e</w:t>
      </w:r>
      <w:r w:rsidRPr="00D30CBA">
        <w:t xml:space="preserve">quity — </w:t>
      </w:r>
      <w:r>
        <w:t>s</w:t>
      </w:r>
      <w:r w:rsidRPr="00D30CBA">
        <w:t>ummar</w:t>
      </w:r>
      <w:r>
        <w:t>y of movement (Budget year 2015</w:t>
      </w:r>
      <w:r w:rsidR="009C4583">
        <w:t>–</w:t>
      </w:r>
      <w:r>
        <w:t>16</w:t>
      </w:r>
      <w:r w:rsidRPr="00D30CBA">
        <w:t>)</w:t>
      </w:r>
    </w:p>
    <w:p w:rsidR="0083698F" w:rsidRDefault="00A854FD" w:rsidP="001370C2">
      <w:pPr>
        <w:pStyle w:val="TableGraphic"/>
      </w:pPr>
      <w:r>
        <w:pict>
          <v:shape id="_x0000_i1138" type="#_x0000_t75" style="width:373.15pt;height:261.7pt">
            <v:imagedata r:id="rId27" o:title=""/>
          </v:shape>
        </w:pict>
      </w:r>
    </w:p>
    <w:p w:rsidR="002E2D3E" w:rsidRDefault="002E2D3E" w:rsidP="0083698F">
      <w:pPr>
        <w:pStyle w:val="FootnoteText"/>
      </w:pPr>
      <w:proofErr w:type="gramStart"/>
      <w:r>
        <w:t>Prepared on Australian Accounting Standards basis.</w:t>
      </w:r>
      <w:proofErr w:type="gramEnd"/>
    </w:p>
    <w:p w:rsidR="002E2D3E" w:rsidRDefault="002E2D3E" w:rsidP="0061675B">
      <w:pPr>
        <w:pStyle w:val="NoSpacing"/>
      </w:pPr>
      <w:r>
        <w:br w:type="page"/>
      </w:r>
    </w:p>
    <w:p w:rsidR="00591D74" w:rsidRDefault="002E2D3E" w:rsidP="00EA5A9E">
      <w:pPr>
        <w:pStyle w:val="TableHeading"/>
      </w:pPr>
      <w:r>
        <w:lastRenderedPageBreak/>
        <w:t xml:space="preserve">Table 3.2.4: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6765BC" w:rsidRDefault="00A854FD" w:rsidP="00591D74">
      <w:pPr>
        <w:pStyle w:val="TableGraphic"/>
      </w:pPr>
      <w:r>
        <w:pict>
          <v:shape id="_x0000_i1139" type="#_x0000_t75" style="width:5in;height:442.65pt">
            <v:imagedata r:id="rId28" o:title=""/>
          </v:shape>
        </w:pict>
      </w:r>
    </w:p>
    <w:p w:rsidR="00591D74" w:rsidRDefault="00591D74" w:rsidP="00591D74">
      <w:pPr>
        <w:pStyle w:val="TableGraphic"/>
      </w:pPr>
      <w:r>
        <w:br w:type="page"/>
      </w:r>
    </w:p>
    <w:p w:rsidR="002E2D3E" w:rsidRPr="004669BA" w:rsidRDefault="002E2D3E" w:rsidP="004669BA">
      <w:pPr>
        <w:pStyle w:val="TableHeading"/>
      </w:pPr>
      <w:r w:rsidRPr="004669BA">
        <w:lastRenderedPageBreak/>
        <w:t>Table 3.2.5: Departmental capital budget statement (for the period ended 30 June)</w:t>
      </w:r>
    </w:p>
    <w:p w:rsidR="0083698F" w:rsidRDefault="00A854FD" w:rsidP="0083698F">
      <w:pPr>
        <w:pStyle w:val="FootnoteText"/>
      </w:pPr>
      <w:r>
        <w:pict>
          <v:shape id="_x0000_i1140" type="#_x0000_t75" style="width:364.4pt;height:246.7pt">
            <v:imagedata r:id="rId29" o:title=""/>
          </v:shape>
        </w:pict>
      </w:r>
    </w:p>
    <w:p w:rsidR="00753890" w:rsidRPr="00753890" w:rsidRDefault="0083698F" w:rsidP="0083698F">
      <w:pPr>
        <w:pStyle w:val="FootnoteText"/>
      </w:pPr>
      <w:r w:rsidRPr="0083698F">
        <w:rPr>
          <w:vertAlign w:val="superscript"/>
        </w:rPr>
        <w:t>1</w:t>
      </w:r>
      <w:r w:rsidR="00753890" w:rsidRPr="00753890">
        <w:t xml:space="preserve"> Does not include annual finance lease costs. Include purchases from current and previous years' Departmental Capital Budgets (</w:t>
      </w:r>
      <w:proofErr w:type="spellStart"/>
      <w:r w:rsidR="00753890" w:rsidRPr="00753890">
        <w:t>DCBs</w:t>
      </w:r>
      <w:proofErr w:type="spellEnd"/>
      <w:r w:rsidR="00753890" w:rsidRPr="00753890">
        <w:t>).</w:t>
      </w:r>
    </w:p>
    <w:p w:rsidR="00063E48" w:rsidRDefault="0083698F" w:rsidP="00063E48">
      <w:pPr>
        <w:pStyle w:val="FootnoteText"/>
      </w:pPr>
      <w:r w:rsidRPr="0083698F">
        <w:rPr>
          <w:vertAlign w:val="superscript"/>
        </w:rPr>
        <w:t>2</w:t>
      </w:r>
      <w:r w:rsidR="00753890" w:rsidRPr="00753890">
        <w:t xml:space="preserve"> Includes the following sources of funding:</w:t>
      </w:r>
    </w:p>
    <w:p w:rsidR="00A24BB8" w:rsidRDefault="00063E48" w:rsidP="00063E48">
      <w:pPr>
        <w:pStyle w:val="FootnoteText"/>
      </w:pPr>
      <w:r>
        <w:tab/>
      </w:r>
      <w:r w:rsidR="00753890" w:rsidRPr="00753890">
        <w:t xml:space="preserve">- </w:t>
      </w:r>
      <w:proofErr w:type="gramStart"/>
      <w:r w:rsidR="00753890" w:rsidRPr="00753890">
        <w:t>current</w:t>
      </w:r>
      <w:proofErr w:type="gramEnd"/>
      <w:r w:rsidR="00753890" w:rsidRPr="00753890">
        <w:t xml:space="preserve"> Bill 1 and prior year Act 1/3/5 appropriations (</w:t>
      </w:r>
      <w:r w:rsidR="00A24BB8">
        <w:t xml:space="preserve">excluding amounts from the </w:t>
      </w:r>
      <w:proofErr w:type="spellStart"/>
      <w:r w:rsidR="00A24BB8">
        <w:t>DCB</w:t>
      </w:r>
      <w:proofErr w:type="spellEnd"/>
      <w:r w:rsidR="00A24BB8">
        <w:t>)</w:t>
      </w:r>
      <w:r w:rsidR="00A24BB8">
        <w:tab/>
      </w:r>
    </w:p>
    <w:p w:rsidR="00753890" w:rsidRPr="00753890" w:rsidRDefault="00063E48" w:rsidP="00753890">
      <w:pPr>
        <w:pStyle w:val="FootnoteText"/>
      </w:pPr>
      <w:r>
        <w:tab/>
      </w:r>
      <w:r w:rsidR="00753890" w:rsidRPr="00753890">
        <w:t xml:space="preserve">- </w:t>
      </w:r>
      <w:proofErr w:type="gramStart"/>
      <w:r w:rsidR="00753890" w:rsidRPr="00753890">
        <w:t>do</w:t>
      </w:r>
      <w:r w:rsidR="00A24BB8">
        <w:t>nations</w:t>
      </w:r>
      <w:proofErr w:type="gramEnd"/>
      <w:r w:rsidR="00A24BB8">
        <w:t xml:space="preserve"> and contributions</w:t>
      </w:r>
      <w:r w:rsidR="00753890" w:rsidRPr="00753890">
        <w:tab/>
      </w:r>
    </w:p>
    <w:p w:rsidR="00753890" w:rsidRPr="00753890" w:rsidRDefault="00063E48" w:rsidP="00753890">
      <w:pPr>
        <w:pStyle w:val="FootnoteText"/>
      </w:pPr>
      <w:r>
        <w:tab/>
      </w:r>
      <w:r w:rsidR="00A24BB8">
        <w:t xml:space="preserve">- </w:t>
      </w:r>
      <w:proofErr w:type="gramStart"/>
      <w:r w:rsidR="00A24BB8">
        <w:t>gifts</w:t>
      </w:r>
      <w:proofErr w:type="gramEnd"/>
      <w:r w:rsidR="00753890" w:rsidRPr="00753890">
        <w:tab/>
      </w:r>
    </w:p>
    <w:p w:rsidR="00753890" w:rsidRPr="00753890" w:rsidRDefault="00063E48" w:rsidP="00753890">
      <w:pPr>
        <w:pStyle w:val="FootnoteText"/>
      </w:pPr>
      <w:r>
        <w:tab/>
      </w:r>
      <w:r w:rsidR="00A24BB8">
        <w:t xml:space="preserve">- </w:t>
      </w:r>
      <w:proofErr w:type="gramStart"/>
      <w:r w:rsidR="00A24BB8">
        <w:t>internally</w:t>
      </w:r>
      <w:proofErr w:type="gramEnd"/>
      <w:r w:rsidR="00A24BB8">
        <w:t xml:space="preserve"> developed assets</w:t>
      </w:r>
      <w:r w:rsidR="00753890" w:rsidRPr="00753890">
        <w:tab/>
      </w:r>
    </w:p>
    <w:p w:rsidR="00753890" w:rsidRPr="00753890" w:rsidRDefault="00063E48" w:rsidP="00753890">
      <w:pPr>
        <w:pStyle w:val="FootnoteText"/>
      </w:pPr>
      <w:r>
        <w:tab/>
      </w:r>
      <w:r w:rsidR="00753890" w:rsidRPr="00753890">
        <w:t>-</w:t>
      </w:r>
      <w:r w:rsidR="00A24BB8">
        <w:t xml:space="preserve"> </w:t>
      </w:r>
      <w:proofErr w:type="gramStart"/>
      <w:r w:rsidR="00A24BB8">
        <w:t>s</w:t>
      </w:r>
      <w:proofErr w:type="gramEnd"/>
      <w:r w:rsidR="00A24BB8">
        <w:t xml:space="preserve"> 74 Retained revenue receipts</w:t>
      </w:r>
    </w:p>
    <w:p w:rsidR="002E2D3E" w:rsidRDefault="00063E48" w:rsidP="00753890">
      <w:pPr>
        <w:pStyle w:val="FootnoteText"/>
      </w:pPr>
      <w:r>
        <w:tab/>
      </w:r>
      <w:r w:rsidR="00753890" w:rsidRPr="00753890">
        <w:t xml:space="preserve">- </w:t>
      </w:r>
      <w:proofErr w:type="gramStart"/>
      <w:r w:rsidR="00753890" w:rsidRPr="00753890">
        <w:t>proceeds</w:t>
      </w:r>
      <w:proofErr w:type="gramEnd"/>
      <w:r w:rsidR="00753890" w:rsidRPr="00753890">
        <w:t xml:space="preserve"> from the sale of assets.</w:t>
      </w:r>
    </w:p>
    <w:p w:rsidR="00753890" w:rsidRDefault="00753890" w:rsidP="002E2D3E">
      <w:pPr>
        <w:pStyle w:val="TableHeading"/>
        <w:keepLines/>
        <w:spacing w:after="0"/>
      </w:pPr>
      <w:r>
        <w:br w:type="page"/>
      </w:r>
    </w:p>
    <w:p w:rsidR="002E2D3E" w:rsidRDefault="002E2D3E" w:rsidP="002E2D3E">
      <w:pPr>
        <w:pStyle w:val="TableHeading"/>
        <w:keepLines/>
        <w:spacing w:after="0"/>
      </w:pPr>
      <w:r w:rsidRPr="00735844">
        <w:lastRenderedPageBreak/>
        <w:t>Table 3.2.6: Statement of asset movements (Budget year 2015</w:t>
      </w:r>
      <w:r w:rsidR="004669BA" w:rsidRPr="00735844">
        <w:t>–</w:t>
      </w:r>
      <w:r w:rsidRPr="00735844">
        <w:t>16)</w:t>
      </w:r>
    </w:p>
    <w:p w:rsidR="002E2D3E" w:rsidRDefault="00A854FD" w:rsidP="00753890">
      <w:pPr>
        <w:pStyle w:val="TableGraphic"/>
        <w:rPr>
          <w:rFonts w:ascii="Times New Roman" w:hAnsi="Times New Roman"/>
        </w:rPr>
      </w:pPr>
      <w:r>
        <w:pict>
          <v:shape id="_x0000_i1141" type="#_x0000_t75" style="width:343.1pt;height:240.4pt;mso-position-vertical:absolute">
            <v:imagedata r:id="rId30" o:title=""/>
          </v:shape>
        </w:pict>
      </w:r>
    </w:p>
    <w:p w:rsidR="009C4583" w:rsidRDefault="009C4583" w:rsidP="009C4583">
      <w:pPr>
        <w:pStyle w:val="FootnoteText"/>
      </w:pPr>
    </w:p>
    <w:p w:rsidR="009C4583" w:rsidRDefault="009C4583" w:rsidP="009C4583">
      <w:pPr>
        <w:pStyle w:val="FootnoteText"/>
      </w:pPr>
      <w:r w:rsidRPr="009C4583">
        <w:rPr>
          <w:vertAlign w:val="superscript"/>
        </w:rPr>
        <w:t>1</w:t>
      </w:r>
      <w:r>
        <w:t xml:space="preserve"> </w:t>
      </w:r>
      <w:r w:rsidR="00753890">
        <w:t>"Appropriation ordinary annual services" refers to funding provided through Appropriation Bill (</w:t>
      </w:r>
      <w:proofErr w:type="spellStart"/>
      <w:r w:rsidR="00753890">
        <w:t>No.1</w:t>
      </w:r>
      <w:proofErr w:type="spellEnd"/>
      <w:r w:rsidR="00753890">
        <w:t>) 2015</w:t>
      </w:r>
      <w:r>
        <w:t>–</w:t>
      </w:r>
      <w:r w:rsidR="009C7B91">
        <w:t>16 for depreciation/</w:t>
      </w:r>
      <w:r w:rsidR="00753890">
        <w:t xml:space="preserve">amortisation expenses, </w:t>
      </w:r>
      <w:proofErr w:type="spellStart"/>
      <w:r w:rsidR="00753890">
        <w:t>DCBs</w:t>
      </w:r>
      <w:proofErr w:type="spellEnd"/>
      <w:r w:rsidR="00753890">
        <w:t xml:space="preserve"> or other operational expenses.</w:t>
      </w:r>
      <w:r w:rsidR="00753890">
        <w:tab/>
      </w:r>
    </w:p>
    <w:p w:rsidR="00753890" w:rsidRDefault="00753890" w:rsidP="006765BC">
      <w:pPr>
        <w:pStyle w:val="FootnoteText"/>
      </w:pPr>
      <w:r>
        <w:br w:type="page"/>
      </w:r>
    </w:p>
    <w:p w:rsidR="002E2D3E" w:rsidRDefault="002E2D3E" w:rsidP="002E2D3E">
      <w:pPr>
        <w:pStyle w:val="TableHeading"/>
        <w:spacing w:after="0"/>
      </w:pPr>
      <w:r w:rsidRPr="00D30CBA">
        <w:lastRenderedPageBreak/>
        <w:t>Table 3.2.</w:t>
      </w:r>
      <w:r>
        <w:t>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2E2D3E" w:rsidRPr="007D3A05" w:rsidRDefault="002E2D3E" w:rsidP="002E2D3E">
      <w:pPr>
        <w:spacing w:after="0"/>
      </w:pPr>
      <w:r w:rsidRPr="007D3A05">
        <w:t>Safe Work Australia has no income and expenses administered on behalf of government. For this reason Table 3.2.7 is not presented.</w:t>
      </w:r>
    </w:p>
    <w:p w:rsidR="002E2D3E" w:rsidRPr="007D3A05" w:rsidRDefault="002E2D3E" w:rsidP="002E2D3E">
      <w:pPr>
        <w:pStyle w:val="TableHeading"/>
        <w:spacing w:after="0"/>
      </w:pPr>
      <w:r w:rsidRPr="007D3A05">
        <w:t>Table 3.2.8 Schedule of budgeted assets a</w:t>
      </w:r>
      <w:r>
        <w:t xml:space="preserve">nd liabilities </w:t>
      </w:r>
      <w:r w:rsidRPr="007D3A05">
        <w:t xml:space="preserve">administered on </w:t>
      </w:r>
      <w:r>
        <w:t>b</w:t>
      </w:r>
      <w:r w:rsidRPr="007D3A05">
        <w:t xml:space="preserve">ehalf of </w:t>
      </w:r>
      <w:r>
        <w:t>g</w:t>
      </w:r>
      <w:r w:rsidRPr="007D3A05">
        <w:t>overnment (as at 30 June)</w:t>
      </w:r>
      <w:r>
        <w:t xml:space="preserve"> </w:t>
      </w:r>
    </w:p>
    <w:p w:rsidR="002E2D3E" w:rsidRPr="007D3A05" w:rsidRDefault="002E2D3E" w:rsidP="002E2D3E">
      <w:pPr>
        <w:spacing w:after="0"/>
      </w:pPr>
      <w:r w:rsidRPr="007D3A05">
        <w:t>Safe Work Australia has no administered assets and liabilities. For this reason Table 3.2.8 is not presented.</w:t>
      </w:r>
    </w:p>
    <w:p w:rsidR="002E2D3E" w:rsidRPr="007D3A05" w:rsidRDefault="002E2D3E" w:rsidP="002E2D3E">
      <w:pPr>
        <w:pStyle w:val="TableHeading"/>
        <w:spacing w:after="0"/>
      </w:pPr>
      <w:r w:rsidRPr="007D3A05">
        <w:t xml:space="preserve">Table 3.2.9: Schedule of </w:t>
      </w:r>
      <w:r>
        <w:t>b</w:t>
      </w:r>
      <w:r w:rsidRPr="007D3A05">
        <w:t xml:space="preserve">udgeted </w:t>
      </w:r>
      <w:r>
        <w:t>a</w:t>
      </w:r>
      <w:r w:rsidRPr="007D3A05">
        <w:t xml:space="preserve">dministered </w:t>
      </w:r>
      <w:r>
        <w:t>c</w:t>
      </w:r>
      <w:r w:rsidRPr="007D3A05">
        <w:t xml:space="preserve">ash </w:t>
      </w:r>
      <w:r>
        <w:t>f</w:t>
      </w:r>
      <w:r w:rsidRPr="007D3A05">
        <w:t>lows</w:t>
      </w:r>
      <w:r>
        <w:t xml:space="preserve"> </w:t>
      </w:r>
      <w:r w:rsidRPr="007D3A05">
        <w:t>(for the period ended 30 June)</w:t>
      </w:r>
    </w:p>
    <w:p w:rsidR="002E2D3E" w:rsidRPr="007D3A05" w:rsidRDefault="002E2D3E" w:rsidP="002E2D3E">
      <w:pPr>
        <w:spacing w:after="0"/>
      </w:pPr>
      <w:r w:rsidRPr="007D3A05">
        <w:t>Safe Work Australia has no administered cash flows. For this reason Table 3.2.9 is not presented.</w:t>
      </w:r>
    </w:p>
    <w:p w:rsidR="002E2D3E" w:rsidRPr="00C258F6" w:rsidRDefault="002E2D3E" w:rsidP="004669BA">
      <w:pPr>
        <w:pStyle w:val="TableHeading"/>
      </w:pPr>
      <w:r w:rsidRPr="00C258F6">
        <w:t>Table 3.2.10: Administered capital budget statement (for the period ended 30 June)</w:t>
      </w:r>
    </w:p>
    <w:p w:rsidR="002E2D3E" w:rsidRPr="00C258F6" w:rsidRDefault="002E2D3E" w:rsidP="002E2D3E">
      <w:pPr>
        <w:spacing w:after="0"/>
      </w:pPr>
      <w:r w:rsidRPr="00C258F6">
        <w:t>Safe Work Australia has no administered capital purchases. For this reason Table 3.2.10 is not presented.</w:t>
      </w:r>
    </w:p>
    <w:p w:rsidR="002E2D3E" w:rsidRPr="00C258F6" w:rsidRDefault="002E2D3E" w:rsidP="002E2D3E">
      <w:pPr>
        <w:pStyle w:val="TableHeading"/>
      </w:pPr>
      <w:r w:rsidRPr="00C258F6">
        <w:t>Table 3.2.11: Statement of administered asset movements (Budget year 2015</w:t>
      </w:r>
      <w:r w:rsidR="00C258F6" w:rsidRPr="00C258F6">
        <w:t>–</w:t>
      </w:r>
      <w:r w:rsidRPr="00C258F6">
        <w:t xml:space="preserve">16) </w:t>
      </w:r>
    </w:p>
    <w:p w:rsidR="002E2D3E" w:rsidRDefault="002E2D3E" w:rsidP="002E2D3E">
      <w:r w:rsidRPr="00C258F6">
        <w:t>Safe Work Australia has no administered non-financial assets. For this reason Table 3.2.11 is not presented.</w:t>
      </w:r>
    </w:p>
    <w:p w:rsidR="002E2D3E" w:rsidRDefault="002E2D3E" w:rsidP="002E2D3E">
      <w:pPr>
        <w:pStyle w:val="Heading4"/>
        <w:spacing w:before="240"/>
      </w:pPr>
      <w:r>
        <w:t>3.2.4</w:t>
      </w:r>
      <w:r>
        <w:tab/>
        <w:t>Notes to the financial statements</w:t>
      </w:r>
    </w:p>
    <w:p w:rsidR="0061082C" w:rsidRPr="00805EDE" w:rsidRDefault="002E2D3E" w:rsidP="00574EDF">
      <w:pPr>
        <w:pStyle w:val="TableGraphic"/>
      </w:pPr>
      <w:r>
        <w:t>Other gains represented in the Comprehensive Income Statement are resources received free of charge from other Commonwealth agencies.</w:t>
      </w:r>
      <w:bookmarkEnd w:id="0"/>
    </w:p>
    <w:sectPr w:rsidR="0061082C" w:rsidRPr="00805EDE" w:rsidSect="00F64B73">
      <w:headerReference w:type="even" r:id="rId31"/>
      <w:headerReference w:type="default" r:id="rId32"/>
      <w:headerReference w:type="first" r:id="rId33"/>
      <w:type w:val="oddPage"/>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929741"/>
      <w:docPartObj>
        <w:docPartGallery w:val="Page Numbers (Bottom of Page)"/>
        <w:docPartUnique/>
      </w:docPartObj>
    </w:sdtPr>
    <w:sdtEndPr>
      <w:rPr>
        <w:noProof/>
      </w:rPr>
    </w:sdtEndPr>
    <w:sdtContent>
      <w:p w:rsidR="00574EDF" w:rsidRDefault="00574EDF">
        <w:pPr>
          <w:pStyle w:val="Footer"/>
        </w:pPr>
        <w:r>
          <w:fldChar w:fldCharType="begin"/>
        </w:r>
        <w:r>
          <w:instrText xml:space="preserve"> PAGE   \* MERGEFORMAT </w:instrText>
        </w:r>
        <w:r>
          <w:fldChar w:fldCharType="separate"/>
        </w:r>
        <w:r>
          <w:rPr>
            <w:noProof/>
          </w:rPr>
          <w:t>230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878432"/>
      <w:docPartObj>
        <w:docPartGallery w:val="Page Numbers (Bottom of Page)"/>
        <w:docPartUnique/>
      </w:docPartObj>
    </w:sdtPr>
    <w:sdtEndPr>
      <w:rPr>
        <w:noProof/>
      </w:rPr>
    </w:sdtEndPr>
    <w:sdtContent>
      <w:p w:rsidR="00574EDF" w:rsidRDefault="00574EDF">
        <w:pPr>
          <w:pStyle w:val="Footer"/>
        </w:pPr>
        <w:r>
          <w:fldChar w:fldCharType="begin"/>
        </w:r>
        <w:r>
          <w:instrText xml:space="preserve"> PAGE   \* MERGEFORMAT </w:instrText>
        </w:r>
        <w:r>
          <w:fldChar w:fldCharType="separate"/>
        </w:r>
        <w:r>
          <w:rPr>
            <w:noProof/>
          </w:rPr>
          <w:t>231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79263"/>
      <w:docPartObj>
        <w:docPartGallery w:val="Page Numbers (Bottom of Page)"/>
        <w:docPartUnique/>
      </w:docPartObj>
    </w:sdtPr>
    <w:sdtEndPr>
      <w:rPr>
        <w:noProof/>
      </w:rPr>
    </w:sdtEndPr>
    <w:sdtContent>
      <w:p w:rsidR="00470EE4" w:rsidRDefault="00470EE4">
        <w:pPr>
          <w:pStyle w:val="Footer"/>
        </w:pPr>
        <w:r>
          <w:fldChar w:fldCharType="begin"/>
        </w:r>
        <w:r>
          <w:instrText xml:space="preserve"> PAGE   \* MERGEFORMAT </w:instrText>
        </w:r>
        <w:r>
          <w:fldChar w:fldCharType="separate"/>
        </w:r>
        <w:r w:rsidR="00574EDF">
          <w:rPr>
            <w:noProof/>
          </w:rPr>
          <w:t>211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EC1188" w:rsidRDefault="00470EE4" w:rsidP="00F64B73">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DF" w:rsidRPr="00F10D71" w:rsidRDefault="00574EDF" w:rsidP="00574EDF">
    <w:pPr>
      <w:pStyle w:val="HeaderEven"/>
    </w:pPr>
    <w:r>
      <w:t>SWA Budget Statements 2015–16</w:t>
    </w:r>
  </w:p>
  <w:p w:rsidR="00470EE4" w:rsidRPr="00574EDF" w:rsidRDefault="00470EE4" w:rsidP="00574EDF">
    <w:pPr>
      <w:pStyle w:val="HeaderEve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DF" w:rsidRPr="00F10D71" w:rsidRDefault="00574EDF" w:rsidP="00574EDF">
    <w:pPr>
      <w:pStyle w:val="HeaderOdd"/>
    </w:pPr>
    <w:r>
      <w:t>SWA Budget Statements 2015–16</w:t>
    </w:r>
  </w:p>
  <w:p w:rsidR="00470EE4" w:rsidRPr="00574EDF" w:rsidRDefault="00470EE4" w:rsidP="00574E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574EDF" w:rsidP="00F10D71">
    <w:pPr>
      <w:pStyle w:val="HeaderOdd"/>
    </w:pPr>
    <w:r>
      <w:t>SWA Budget Statements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4EDF"/>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54FD"/>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eb47d8b7-fefc-4923-b53c-9685ba6b7210"/>
    <ds:schemaRef ds:uri="http://schemas.microsoft.com/sharepoint/v3"/>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14B3C866-4E83-423F-94CA-E73FFD28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5</TotalTime>
  <Pages>25</Pages>
  <Words>2355</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16276</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2015-05-12T00:57:00Z</dcterms:created>
  <dcterms:modified xsi:type="dcterms:W3CDTF">2015-05-12T01:02:00Z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