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AC" w:rsidRPr="00084EF4" w:rsidRDefault="00084EF4" w:rsidP="00163902">
      <w:pPr>
        <w:pStyle w:val="TPHeading1"/>
        <w:spacing w:before="4560"/>
        <w:ind w:left="0"/>
        <w:jc w:val="center"/>
      </w:pPr>
      <w:bookmarkStart w:id="0" w:name="_Toc23559331"/>
      <w:r>
        <w:t>Portfolio</w:t>
      </w:r>
      <w:r w:rsidR="00F51DAC" w:rsidRPr="00084EF4">
        <w:t xml:space="preserve"> </w:t>
      </w:r>
      <w:r>
        <w:t>A</w:t>
      </w:r>
      <w:r w:rsidR="00F51DAC" w:rsidRPr="00084EF4">
        <w:t>dditional</w:t>
      </w:r>
      <w:r w:rsidR="00163902">
        <w:rPr>
          <w:lang w:val="en-AU"/>
        </w:rPr>
        <w:br/>
      </w:r>
      <w:r w:rsidR="00F51DAC" w:rsidRPr="00084EF4">
        <w:t>E</w:t>
      </w:r>
      <w:r>
        <w:t>stimates</w:t>
      </w:r>
      <w:bookmarkEnd w:id="0"/>
      <w:r w:rsidR="00F51DAC" w:rsidRPr="00084EF4">
        <w:t xml:space="preserve"> S</w:t>
      </w:r>
      <w:r>
        <w:t xml:space="preserve">tatements </w:t>
      </w:r>
      <w:r w:rsidR="00A1234B" w:rsidRPr="00084EF4">
        <w:t>201</w:t>
      </w:r>
      <w:r w:rsidR="005A0A5D" w:rsidRPr="005A0A5D">
        <w:rPr>
          <w:spacing w:val="40"/>
        </w:rPr>
        <w:t>5</w:t>
      </w:r>
      <w:r w:rsidR="005A0A5D" w:rsidRPr="005A0A5D">
        <w:rPr>
          <w:spacing w:val="-14"/>
          <w:w w:val="80"/>
          <w:position w:val="2"/>
        </w:rPr>
        <w:t>–</w:t>
      </w:r>
      <w:r w:rsidR="00A1234B" w:rsidRPr="005A0A5D">
        <w:rPr>
          <w:spacing w:val="-14"/>
        </w:rPr>
        <w:t>1</w:t>
      </w:r>
      <w:r w:rsidR="002A70ED">
        <w:t>6</w:t>
      </w:r>
    </w:p>
    <w:p w:rsidR="00F51DAC" w:rsidRPr="00163902" w:rsidRDefault="0008550D" w:rsidP="00163902">
      <w:pPr>
        <w:pStyle w:val="TPHeading2"/>
        <w:spacing w:before="600"/>
        <w:jc w:val="center"/>
      </w:pPr>
      <w:r w:rsidRPr="00163902">
        <w:t>E</w:t>
      </w:r>
      <w:r w:rsidR="00163902" w:rsidRPr="00163902">
        <w:t>mployment Portfolio</w:t>
      </w:r>
    </w:p>
    <w:p w:rsidR="00F51DAC" w:rsidRPr="00084EF4" w:rsidRDefault="00F51DAC" w:rsidP="001F3C45">
      <w:pPr>
        <w:pStyle w:val="TPHeading3"/>
        <w:spacing w:before="4080"/>
        <w:ind w:left="0"/>
        <w:jc w:val="center"/>
        <w:rPr>
          <w:rFonts w:ascii="Garamond" w:hAnsi="Garamond"/>
          <w:caps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A1234B" w:rsidRPr="00084EF4">
        <w:rPr>
          <w:rFonts w:ascii="Garamond" w:hAnsi="Garamond"/>
          <w:caps w:val="0"/>
        </w:rPr>
        <w:t>201</w:t>
      </w:r>
      <w:r w:rsidR="002A70ED" w:rsidRPr="005A0A5D">
        <w:rPr>
          <w:rFonts w:ascii="Garamond" w:hAnsi="Garamond"/>
          <w:caps w:val="0"/>
          <w:spacing w:val="28"/>
        </w:rPr>
        <w:t>5</w:t>
      </w:r>
      <w:r w:rsidR="00101FFF" w:rsidRPr="005A0A5D">
        <w:rPr>
          <w:rFonts w:ascii="Garamond" w:hAnsi="Garamond"/>
          <w:caps w:val="0"/>
          <w:spacing w:val="28"/>
          <w:w w:val="80"/>
          <w:position w:val="2"/>
        </w:rPr>
        <w:t>–</w:t>
      </w:r>
      <w:r w:rsidR="00A1234B" w:rsidRPr="00084EF4">
        <w:rPr>
          <w:rFonts w:ascii="Garamond" w:hAnsi="Garamond"/>
          <w:caps w:val="0"/>
        </w:rPr>
        <w:t>1</w:t>
      </w:r>
      <w:r w:rsidR="002A70ED">
        <w:rPr>
          <w:rFonts w:ascii="Garamond" w:hAnsi="Garamond"/>
          <w:caps w:val="0"/>
        </w:rPr>
        <w:t>6</w:t>
      </w:r>
    </w:p>
    <w:p w:rsidR="00F51DAC" w:rsidRPr="00084EF4" w:rsidRDefault="00F51DAC" w:rsidP="003756BD">
      <w:pPr>
        <w:jc w:val="center"/>
        <w:rPr>
          <w:snapToGrid w:val="0"/>
        </w:rPr>
      </w:pPr>
    </w:p>
    <w:p w:rsidR="00F51DAC" w:rsidRDefault="00F51DAC" w:rsidP="00F51DAC">
      <w:pPr>
        <w:pStyle w:val="OverviewParagraph"/>
        <w:rPr>
          <w:rFonts w:ascii="Arial" w:hAnsi="Arial"/>
        </w:rPr>
        <w:sectPr w:rsidR="00F51DAC" w:rsidSect="00750030">
          <w:headerReference w:type="even" r:id="rId10"/>
          <w:headerReference w:type="default" r:id="rId11"/>
          <w:footerReference w:type="even" r:id="rId12"/>
          <w:footerReference w:type="default" r:id="rId13"/>
          <w:headerReference w:type="first" r:id="rId14"/>
          <w:footerReference w:type="first" r:id="rId15"/>
          <w:pgSz w:w="11907" w:h="16840" w:code="9"/>
          <w:pgMar w:top="2466" w:right="2098" w:bottom="2466" w:left="2098" w:header="1899" w:footer="1899" w:gutter="0"/>
          <w:pgNumType w:fmt="lowerRoman"/>
          <w:cols w:space="720"/>
          <w:titlePg/>
          <w:docGrid w:linePitch="272"/>
        </w:sectPr>
      </w:pPr>
      <w:bookmarkStart w:id="1" w:name="_Toc491014608"/>
      <w:bookmarkStart w:id="2" w:name="_Toc491014750"/>
      <w:bookmarkStart w:id="3" w:name="_Toc491031921"/>
    </w:p>
    <w:p w:rsidR="003E5422" w:rsidRDefault="003E5422" w:rsidP="003E5422">
      <w:r>
        <w:lastRenderedPageBreak/>
        <w:t xml:space="preserve">© Commonwealth of Australia </w:t>
      </w:r>
      <w:r w:rsidR="00147274" w:rsidRPr="00E05750">
        <w:t>201</w:t>
      </w:r>
      <w:r w:rsidR="00B808E9" w:rsidRPr="00E05750">
        <w:t>6</w:t>
      </w:r>
    </w:p>
    <w:p w:rsidR="006A0DB5" w:rsidRDefault="006A0DB5" w:rsidP="00E05750">
      <w:pPr>
        <w:jc w:val="left"/>
      </w:pPr>
      <w:r>
        <w:t>ISSN 2203–2991 (print</w:t>
      </w:r>
      <w:proofErr w:type="gramStart"/>
      <w:r>
        <w:t>)</w:t>
      </w:r>
      <w:proofErr w:type="gramEnd"/>
      <w:r>
        <w:br/>
        <w:t>ISSN 2203–3009 (online)</w:t>
      </w:r>
    </w:p>
    <w:p w:rsidR="003E5422" w:rsidRPr="00DB3B0D" w:rsidRDefault="003E5422" w:rsidP="0008550D">
      <w:pPr>
        <w:tabs>
          <w:tab w:val="left" w:pos="1650"/>
        </w:tabs>
        <w:spacing w:before="100" w:beforeAutospacing="1" w:after="100" w:afterAutospacing="1"/>
        <w:jc w:val="left"/>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6" w:history="1">
        <w:r>
          <w:rPr>
            <w:rStyle w:val="Hyperlink"/>
          </w:rPr>
          <w:t>Creative Commons BY Attribution 3.0 Australia</w:t>
        </w:r>
      </w:hyperlink>
      <w:r w:rsidRPr="00DB3B0D">
        <w:rPr>
          <w:rStyle w:val="A5"/>
          <w:rFonts w:ascii="Calibri" w:hAnsi="Calibri" w:cs="Calibri"/>
          <w:sz w:val="24"/>
          <w:szCs w:val="24"/>
        </w:rPr>
        <w:t xml:space="preserve"> </w:t>
      </w:r>
      <w:r>
        <w:t xml:space="preserve">licence, with the exception of the Commonwealth Coat of Arms, the </w:t>
      </w:r>
      <w:r w:rsidR="0008550D">
        <w:t xml:space="preserve">Department of Employment </w:t>
      </w:r>
      <w:r>
        <w:t>logo, photographs, images, signatures and where otherwise stated. The full licence terms are available from</w:t>
      </w:r>
      <w:r w:rsidRPr="00DB3B0D">
        <w:rPr>
          <w:rStyle w:val="A5"/>
          <w:rFonts w:ascii="Calibri" w:hAnsi="Calibri" w:cs="Calibri"/>
          <w:sz w:val="24"/>
          <w:szCs w:val="24"/>
        </w:rPr>
        <w:t xml:space="preserve"> </w:t>
      </w:r>
      <w:hyperlink r:id="rId17" w:history="1">
        <w:r>
          <w:rPr>
            <w:rStyle w:val="Hyperlink"/>
          </w:rPr>
          <w:t>http://creativecommons.org/licenses/by/3.0/au/legalcode</w:t>
        </w:r>
      </w:hyperlink>
      <w:r>
        <w:rPr>
          <w:rStyle w:val="Hyperlink"/>
        </w:rPr>
        <w:t>.</w:t>
      </w:r>
      <w:r>
        <w:rPr>
          <w:color w:val="000000"/>
          <w:sz w:val="24"/>
          <w:szCs w:val="24"/>
        </w:rPr>
        <w:t xml:space="preserve"> </w:t>
      </w:r>
    </w:p>
    <w:p w:rsidR="003E5422" w:rsidRPr="00DB3B0D" w:rsidRDefault="00596E54" w:rsidP="003E5422">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2F0EF6C9" wp14:editId="6C1E54D5">
            <wp:extent cx="809625" cy="285750"/>
            <wp:effectExtent l="0" t="0" r="9525" b="0"/>
            <wp:docPr id="5" name="Picture 5" descr="Creative Commons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rsidR="003E5422" w:rsidRPr="00DB3B0D" w:rsidRDefault="003E5422" w:rsidP="0008550D">
      <w:pPr>
        <w:tabs>
          <w:tab w:val="left" w:pos="1650"/>
        </w:tabs>
        <w:spacing w:before="100" w:beforeAutospacing="1" w:after="100" w:afterAutospacing="1"/>
        <w:jc w:val="left"/>
        <w:rPr>
          <w:sz w:val="22"/>
          <w:szCs w:val="22"/>
        </w:rPr>
      </w:pPr>
      <w:r>
        <w:t>Use of</w:t>
      </w:r>
      <w:r w:rsidR="0008550D">
        <w:t xml:space="preserve"> Department of Employment </w:t>
      </w:r>
      <w:r>
        <w:t>material under a</w:t>
      </w:r>
      <w:r w:rsidRPr="00DB3B0D">
        <w:rPr>
          <w:rFonts w:cs="Calibri"/>
          <w:color w:val="000000"/>
          <w:sz w:val="24"/>
          <w:szCs w:val="24"/>
        </w:rPr>
        <w:t xml:space="preserve"> </w:t>
      </w:r>
      <w:hyperlink r:id="rId19" w:history="1">
        <w:r>
          <w:rPr>
            <w:rStyle w:val="Hyperlink"/>
          </w:rPr>
          <w:t>Creative Commons BY Attribution 3.0 Australia</w:t>
        </w:r>
      </w:hyperlink>
      <w:r>
        <w:rPr>
          <w:rStyle w:val="Hyperlink"/>
        </w:rPr>
        <w:t xml:space="preserve"> </w:t>
      </w:r>
      <w:r>
        <w:t xml:space="preserve">licence requires you to attribute the work (but not in any way that suggests that the </w:t>
      </w:r>
      <w:r w:rsidR="0008550D">
        <w:t xml:space="preserve">Department of Employment </w:t>
      </w:r>
      <w:r>
        <w:t xml:space="preserve">endorses you or your use of the work). </w:t>
      </w:r>
    </w:p>
    <w:p w:rsidR="003E5422" w:rsidRDefault="0008550D" w:rsidP="0008550D">
      <w:pPr>
        <w:ind w:firstLine="720"/>
        <w:jc w:val="left"/>
        <w:rPr>
          <w:i/>
        </w:rPr>
      </w:pPr>
      <w:r w:rsidRPr="00E05750">
        <w:rPr>
          <w:i/>
        </w:rPr>
        <w:t>Department of Employment</w:t>
      </w:r>
      <w:r>
        <w:rPr>
          <w:i/>
        </w:rPr>
        <w:t xml:space="preserve"> </w:t>
      </w:r>
      <w:r w:rsidR="003E5422">
        <w:rPr>
          <w:i/>
        </w:rPr>
        <w:t>material used 'as supplied'</w:t>
      </w:r>
    </w:p>
    <w:p w:rsidR="003E5422" w:rsidRDefault="003E5422" w:rsidP="0008550D">
      <w:pPr>
        <w:jc w:val="left"/>
      </w:pPr>
      <w:r>
        <w:t xml:space="preserve">Provided you have not modified or transformed </w:t>
      </w:r>
      <w:r w:rsidR="0008550D">
        <w:t xml:space="preserve">Department of Employment </w:t>
      </w:r>
      <w:r>
        <w:t xml:space="preserve">material in any way including, for example, by changing the </w:t>
      </w:r>
      <w:r w:rsidR="0008550D">
        <w:t xml:space="preserve">Department of Employment </w:t>
      </w:r>
      <w:r>
        <w:t xml:space="preserve">text; calculating percentage changes; graphing or charting data; or deriving new statistics from published </w:t>
      </w:r>
      <w:r w:rsidR="0008550D">
        <w:t xml:space="preserve">Department of Employment </w:t>
      </w:r>
      <w:r>
        <w:t>statistics</w:t>
      </w:r>
      <w:r w:rsidR="0008550D">
        <w:t>—</w:t>
      </w:r>
      <w:r>
        <w:t xml:space="preserve">then </w:t>
      </w:r>
      <w:r w:rsidR="0008550D">
        <w:t xml:space="preserve">the Department of Employment </w:t>
      </w:r>
      <w:r>
        <w:t xml:space="preserve">prefers the following attribution: </w:t>
      </w:r>
    </w:p>
    <w:p w:rsidR="003E5422" w:rsidRDefault="003E5422" w:rsidP="0008550D">
      <w:pPr>
        <w:ind w:firstLine="720"/>
        <w:jc w:val="left"/>
      </w:pPr>
      <w:r>
        <w:rPr>
          <w:i/>
        </w:rPr>
        <w:t xml:space="preserve">Source: The </w:t>
      </w:r>
      <w:r>
        <w:rPr>
          <w:i/>
          <w:iCs/>
        </w:rPr>
        <w:t>Australian Government </w:t>
      </w:r>
      <w:r w:rsidR="0008550D" w:rsidRPr="00E05750">
        <w:rPr>
          <w:i/>
        </w:rPr>
        <w:t>Department of Employment</w:t>
      </w:r>
    </w:p>
    <w:p w:rsidR="003E5422" w:rsidRDefault="003E5422" w:rsidP="0008550D">
      <w:pPr>
        <w:jc w:val="left"/>
      </w:pPr>
      <w:r>
        <w:t>Derivative material</w:t>
      </w:r>
    </w:p>
    <w:p w:rsidR="003E5422" w:rsidRDefault="003E5422" w:rsidP="0008550D">
      <w:pPr>
        <w:jc w:val="left"/>
      </w:pPr>
      <w:r>
        <w:t>If you have modified or transformed</w:t>
      </w:r>
      <w:r w:rsidR="0008550D">
        <w:t xml:space="preserve"> Department of </w:t>
      </w:r>
      <w:r w:rsidR="009238B1">
        <w:t>Employment material</w:t>
      </w:r>
      <w:r>
        <w:t xml:space="preserve">, or derived new material from those of the </w:t>
      </w:r>
      <w:r w:rsidR="0008550D">
        <w:t xml:space="preserve">Department of </w:t>
      </w:r>
      <w:r w:rsidR="009238B1">
        <w:t>Employment in</w:t>
      </w:r>
      <w:r>
        <w:t xml:space="preserve"> any way, then </w:t>
      </w:r>
      <w:r w:rsidR="009238B1">
        <w:t>Department of Employment</w:t>
      </w:r>
      <w:r>
        <w:t xml:space="preserve"> prefers the following attribution: </w:t>
      </w:r>
    </w:p>
    <w:p w:rsidR="003E5422" w:rsidRDefault="003E5422" w:rsidP="0008550D">
      <w:pPr>
        <w:ind w:firstLine="720"/>
        <w:jc w:val="left"/>
      </w:pPr>
      <w:r>
        <w:rPr>
          <w:i/>
        </w:rPr>
        <w:t>Based on The Australian Government</w:t>
      </w:r>
      <w:r w:rsidR="0008550D">
        <w:rPr>
          <w:i/>
        </w:rPr>
        <w:t xml:space="preserve"> Department of Employment</w:t>
      </w:r>
      <w:r w:rsidR="009238B1">
        <w:rPr>
          <w:i/>
        </w:rPr>
        <w:t xml:space="preserve"> </w:t>
      </w:r>
      <w:r>
        <w:rPr>
          <w:i/>
        </w:rPr>
        <w:t>data</w:t>
      </w:r>
    </w:p>
    <w:p w:rsidR="003E5422" w:rsidRDefault="003E5422" w:rsidP="003E5422">
      <w:pPr>
        <w:spacing w:after="40"/>
        <w:rPr>
          <w:b/>
        </w:rPr>
      </w:pPr>
      <w:r>
        <w:rPr>
          <w:b/>
        </w:rPr>
        <w:t>Use of the Coat of Arms</w:t>
      </w:r>
    </w:p>
    <w:p w:rsidR="003E5422" w:rsidRDefault="003E5422" w:rsidP="00E05750">
      <w:pPr>
        <w:jc w:val="left"/>
      </w:pPr>
      <w:r>
        <w:t xml:space="preserve">The terms under which the Coat of Arms can be used are set out on the It’s an Honour website (see </w:t>
      </w:r>
      <w:bookmarkStart w:id="4" w:name="_GoBack"/>
      <w:r w:rsidR="00133268">
        <w:fldChar w:fldCharType="begin"/>
      </w:r>
      <w:r w:rsidR="00133268">
        <w:instrText xml:space="preserve"> HYPERLINK "http://www.itsanhonour.gov.au" </w:instrText>
      </w:r>
      <w:r w:rsidR="00133268">
        <w:fldChar w:fldCharType="separate"/>
      </w:r>
      <w:r>
        <w:rPr>
          <w:rStyle w:val="Hyperlink"/>
        </w:rPr>
        <w:t>www.itsanhonour.gov.au</w:t>
      </w:r>
      <w:r w:rsidR="00133268">
        <w:rPr>
          <w:rStyle w:val="Hyperlink"/>
        </w:rPr>
        <w:fldChar w:fldCharType="end"/>
      </w:r>
      <w:bookmarkEnd w:id="4"/>
      <w:r>
        <w:t>)</w:t>
      </w:r>
    </w:p>
    <w:p w:rsidR="003E5422" w:rsidRDefault="003E5422" w:rsidP="003E5422">
      <w:pPr>
        <w:spacing w:after="40"/>
        <w:rPr>
          <w:b/>
        </w:rPr>
      </w:pPr>
      <w:r>
        <w:rPr>
          <w:b/>
        </w:rPr>
        <w:t>Other Uses</w:t>
      </w:r>
    </w:p>
    <w:p w:rsidR="0073762B" w:rsidRDefault="003E5422" w:rsidP="007A29F8">
      <w:pPr>
        <w:jc w:val="left"/>
      </w:pPr>
      <w:r>
        <w:t>Inquiries regarding this licence and any other use of this document are welcome at:</w:t>
      </w:r>
      <w:r w:rsidR="00941438">
        <w:t xml:space="preserve"> </w:t>
      </w:r>
      <w:r w:rsidR="0008550D">
        <w:br/>
        <w:t>Department of Employment on 1300 488 064</w:t>
      </w:r>
      <w:r>
        <w:br w:type="page"/>
      </w:r>
    </w:p>
    <w:p w:rsidR="00F46C93" w:rsidRPr="00F46C93" w:rsidRDefault="00F46C93" w:rsidP="00F46C93">
      <w:pPr>
        <w:spacing w:after="0"/>
      </w:pPr>
      <w:r>
        <w:rPr>
          <w:noProof/>
        </w:rPr>
        <w:lastRenderedPageBreak/>
        <w:drawing>
          <wp:anchor distT="0" distB="0" distL="114300" distR="114300" simplePos="0" relativeHeight="251659264" behindDoc="0" locked="0" layoutInCell="1" allowOverlap="1">
            <wp:simplePos x="0" y="0"/>
            <wp:positionH relativeFrom="column">
              <wp:posOffset>-4362</wp:posOffset>
            </wp:positionH>
            <wp:positionV relativeFrom="paragraph">
              <wp:posOffset>-134675</wp:posOffset>
            </wp:positionV>
            <wp:extent cx="4969510" cy="6631337"/>
            <wp:effectExtent l="0" t="0" r="254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Desktop\Signed PAES LoT.jpg"/>
                    <pic:cNvPicPr>
                      <a:picLocks noChangeAspect="1"/>
                    </pic:cNvPicPr>
                  </pic:nvPicPr>
                  <pic:blipFill rotWithShape="1">
                    <a:blip r:embed="rId20" cstate="print">
                      <a:biLevel thresh="75000"/>
                      <a:extLst>
                        <a:ext uri="{28A0092B-C50C-407E-A947-70E740481C1C}">
                          <a14:useLocalDpi xmlns:a14="http://schemas.microsoft.com/office/drawing/2010/main" val="0"/>
                        </a:ext>
                      </a:extLst>
                    </a:blip>
                    <a:srcRect/>
                    <a:stretch/>
                  </pic:blipFill>
                  <pic:spPr bwMode="auto">
                    <a:xfrm>
                      <a:off x="0" y="0"/>
                      <a:ext cx="4969510" cy="6631337"/>
                    </a:xfrm>
                    <a:prstGeom prst="rect">
                      <a:avLst/>
                    </a:prstGeom>
                    <a:noFill/>
                    <a:ln>
                      <a:noFill/>
                    </a:ln>
                    <a:extLst>
                      <a:ext uri="{53640926-AAD7-44D8-BBD7-CCE9431645EC}">
                        <a14:shadowObscured xmlns:a14="http://schemas.microsoft.com/office/drawing/2010/main"/>
                      </a:ext>
                    </a:extLst>
                  </pic:spPr>
                </pic:pic>
              </a:graphicData>
            </a:graphic>
          </wp:anchor>
        </w:drawing>
      </w:r>
      <w:r w:rsidRPr="00F46C93">
        <w:t xml:space="preserve">Senator the Hon </w:t>
      </w:r>
      <w:proofErr w:type="spellStart"/>
      <w:r w:rsidRPr="00F46C93">
        <w:t>Michelia</w:t>
      </w:r>
      <w:proofErr w:type="spellEnd"/>
      <w:r w:rsidRPr="00F46C93">
        <w:t xml:space="preserve"> Cash</w:t>
      </w:r>
    </w:p>
    <w:p w:rsidR="00F46C93" w:rsidRPr="00F46C93" w:rsidRDefault="00F46C93" w:rsidP="00F46C93">
      <w:pPr>
        <w:spacing w:after="0"/>
      </w:pPr>
      <w:r w:rsidRPr="00F46C93">
        <w:t>Minister for Employment</w:t>
      </w:r>
    </w:p>
    <w:p w:rsidR="00F46C93" w:rsidRPr="00F46C93" w:rsidRDefault="00F46C93" w:rsidP="00F46C93">
      <w:pPr>
        <w:spacing w:after="0"/>
      </w:pPr>
      <w:r w:rsidRPr="00F46C93">
        <w:t>Minister for Women</w:t>
      </w:r>
    </w:p>
    <w:p w:rsidR="00F46C93" w:rsidRPr="00F46C93" w:rsidRDefault="00F46C93" w:rsidP="00F46C93">
      <w:pPr>
        <w:spacing w:after="0"/>
      </w:pPr>
      <w:r w:rsidRPr="00F46C93">
        <w:t>Minister Assisting the Prime Minister for the Public Service</w:t>
      </w:r>
    </w:p>
    <w:p w:rsidR="00F46C93" w:rsidRPr="00F46C93" w:rsidRDefault="00F46C93" w:rsidP="00F46C93">
      <w:pPr>
        <w:spacing w:after="0"/>
      </w:pPr>
    </w:p>
    <w:p w:rsidR="00F46C93" w:rsidRPr="00F46C93" w:rsidRDefault="00F46C93" w:rsidP="00F46C93">
      <w:pPr>
        <w:spacing w:after="0"/>
      </w:pPr>
      <w:r w:rsidRPr="00F46C93">
        <w:t>President of the Senate</w:t>
      </w:r>
    </w:p>
    <w:p w:rsidR="00F46C93" w:rsidRPr="00F46C93" w:rsidRDefault="00F46C93" w:rsidP="00F46C93">
      <w:pPr>
        <w:spacing w:after="0"/>
      </w:pPr>
      <w:r w:rsidRPr="00F46C93">
        <w:t>Australian Senate</w:t>
      </w:r>
    </w:p>
    <w:p w:rsidR="00F46C93" w:rsidRPr="00F46C93" w:rsidRDefault="00F46C93" w:rsidP="00F46C93">
      <w:pPr>
        <w:spacing w:after="0"/>
      </w:pPr>
      <w:r w:rsidRPr="00F46C93">
        <w:t>Parliament House</w:t>
      </w:r>
    </w:p>
    <w:p w:rsidR="00F46C93" w:rsidRPr="00F46C93" w:rsidRDefault="00F46C93" w:rsidP="00F46C93">
      <w:pPr>
        <w:spacing w:after="0"/>
      </w:pPr>
      <w:r w:rsidRPr="00F46C93">
        <w:t>CANBERRA ACT 2600</w:t>
      </w:r>
    </w:p>
    <w:p w:rsidR="00F46C93" w:rsidRPr="00F46C93" w:rsidRDefault="00F46C93" w:rsidP="00F46C93">
      <w:pPr>
        <w:spacing w:after="0"/>
      </w:pPr>
    </w:p>
    <w:p w:rsidR="00F46C93" w:rsidRPr="00F46C93" w:rsidRDefault="00F46C93" w:rsidP="00F46C93">
      <w:pPr>
        <w:spacing w:after="0"/>
      </w:pPr>
      <w:r w:rsidRPr="00F46C93">
        <w:t>Speaker</w:t>
      </w:r>
    </w:p>
    <w:p w:rsidR="00F46C93" w:rsidRPr="00F46C93" w:rsidRDefault="00F46C93" w:rsidP="00F46C93">
      <w:pPr>
        <w:spacing w:after="0"/>
      </w:pPr>
      <w:r w:rsidRPr="00F46C93">
        <w:t>House of Representatives</w:t>
      </w:r>
    </w:p>
    <w:p w:rsidR="00F46C93" w:rsidRPr="00F46C93" w:rsidRDefault="00F46C93" w:rsidP="00F46C93">
      <w:pPr>
        <w:spacing w:after="0"/>
      </w:pPr>
      <w:r w:rsidRPr="00F46C93">
        <w:t>Parliament House</w:t>
      </w:r>
    </w:p>
    <w:p w:rsidR="00F46C93" w:rsidRPr="00F46C93" w:rsidRDefault="00F46C93" w:rsidP="00F46C93">
      <w:pPr>
        <w:spacing w:after="0"/>
      </w:pPr>
      <w:r w:rsidRPr="00F46C93">
        <w:t>CANBERRA ACT 2600</w:t>
      </w:r>
    </w:p>
    <w:p w:rsidR="00F46C93" w:rsidRPr="00F46C93" w:rsidRDefault="00F46C93" w:rsidP="00F46C93">
      <w:pPr>
        <w:spacing w:after="0"/>
      </w:pPr>
    </w:p>
    <w:p w:rsidR="00F46C93" w:rsidRPr="00F46C93" w:rsidRDefault="00F46C93" w:rsidP="00F46C93">
      <w:pPr>
        <w:spacing w:after="0"/>
      </w:pPr>
      <w:r w:rsidRPr="00F46C93">
        <w:t>Dear Mr President</w:t>
      </w:r>
    </w:p>
    <w:p w:rsidR="00F46C93" w:rsidRPr="00F46C93" w:rsidRDefault="00F46C93" w:rsidP="00F46C93">
      <w:pPr>
        <w:spacing w:after="0"/>
      </w:pPr>
      <w:r w:rsidRPr="00F46C93">
        <w:t>Dear Mr Speaker</w:t>
      </w:r>
    </w:p>
    <w:p w:rsidR="00F46C93" w:rsidRPr="00F46C93" w:rsidRDefault="00F46C93" w:rsidP="00F46C93">
      <w:pPr>
        <w:spacing w:after="0"/>
      </w:pPr>
    </w:p>
    <w:p w:rsidR="00F46C93" w:rsidRPr="00F46C93" w:rsidRDefault="00F46C93" w:rsidP="00F46C93">
      <w:pPr>
        <w:spacing w:after="0"/>
      </w:pPr>
      <w:r w:rsidRPr="00F46C93">
        <w:t>Employment Portfolio Additional Estimates Statements 2015-16</w:t>
      </w:r>
    </w:p>
    <w:p w:rsidR="00F46C93" w:rsidRPr="00F46C93" w:rsidRDefault="00F46C93" w:rsidP="00F46C93">
      <w:pPr>
        <w:spacing w:after="0"/>
      </w:pPr>
    </w:p>
    <w:p w:rsidR="00F46C93" w:rsidRPr="00F46C93" w:rsidRDefault="00F46C93" w:rsidP="00F46C93">
      <w:pPr>
        <w:spacing w:after="0"/>
      </w:pPr>
      <w:r w:rsidRPr="00F46C93">
        <w:t>I hereby submit Portfolio Additional Estimates Statements in support of the 2015-16 Additional Estimates for the Employment Portfolio.</w:t>
      </w:r>
    </w:p>
    <w:p w:rsidR="00F46C93" w:rsidRPr="00F46C93" w:rsidRDefault="00F46C93" w:rsidP="00F46C93">
      <w:pPr>
        <w:spacing w:after="0"/>
      </w:pPr>
    </w:p>
    <w:p w:rsidR="00F46C93" w:rsidRPr="00F46C93" w:rsidRDefault="00F46C93" w:rsidP="00F46C93">
      <w:pPr>
        <w:spacing w:after="0"/>
      </w:pPr>
      <w:r w:rsidRPr="00F46C93">
        <w:t>These statements have been developed, and are submitted to the Parliament, as a statement on the funding requirements being sought for the Portfolio.</w:t>
      </w:r>
    </w:p>
    <w:p w:rsidR="00F46C93" w:rsidRPr="00F46C93" w:rsidRDefault="00F46C93" w:rsidP="00F46C93">
      <w:pPr>
        <w:spacing w:after="0"/>
      </w:pPr>
    </w:p>
    <w:p w:rsidR="00F46C93" w:rsidRPr="00F46C93" w:rsidRDefault="00F46C93" w:rsidP="00F46C93">
      <w:pPr>
        <w:spacing w:after="0"/>
      </w:pPr>
      <w:r w:rsidRPr="00F46C93">
        <w:t>I present these statements by virtue of my ministerial responsibility for accountability to the Parliament, and through it, the public.</w:t>
      </w:r>
    </w:p>
    <w:p w:rsidR="00F46C93" w:rsidRPr="00F46C93" w:rsidRDefault="00F46C93" w:rsidP="00F46C93">
      <w:pPr>
        <w:spacing w:after="0"/>
      </w:pPr>
    </w:p>
    <w:p w:rsidR="00F46C93" w:rsidRPr="00F46C93" w:rsidRDefault="00F46C93" w:rsidP="00F46C93">
      <w:pPr>
        <w:spacing w:after="0"/>
      </w:pPr>
      <w:r w:rsidRPr="00F46C93">
        <w:t>Yours sincerely</w:t>
      </w:r>
    </w:p>
    <w:p w:rsidR="00F46C93" w:rsidRPr="00F46C93" w:rsidRDefault="00F46C93" w:rsidP="00F46C93">
      <w:pPr>
        <w:spacing w:after="0"/>
      </w:pPr>
    </w:p>
    <w:p w:rsidR="00F46C93" w:rsidRPr="00F46C93" w:rsidRDefault="00F46C93" w:rsidP="00F46C93">
      <w:pPr>
        <w:spacing w:after="0"/>
      </w:pPr>
      <w:r w:rsidRPr="00F46C93">
        <w:t>(</w:t>
      </w:r>
      <w:proofErr w:type="gramStart"/>
      <w:r w:rsidRPr="00F46C93">
        <w:t>signed</w:t>
      </w:r>
      <w:proofErr w:type="gramEnd"/>
      <w:r w:rsidRPr="00F46C93">
        <w:t>)</w:t>
      </w:r>
    </w:p>
    <w:p w:rsidR="00F46C93" w:rsidRPr="00F46C93" w:rsidRDefault="00F46C93" w:rsidP="00F46C93">
      <w:pPr>
        <w:spacing w:after="0"/>
      </w:pPr>
      <w:r w:rsidRPr="00F46C93">
        <w:t xml:space="preserve">Senator the Hon </w:t>
      </w:r>
      <w:proofErr w:type="spellStart"/>
      <w:r w:rsidRPr="00F46C93">
        <w:t>Michelia</w:t>
      </w:r>
      <w:proofErr w:type="spellEnd"/>
      <w:r w:rsidRPr="00F46C93">
        <w:t xml:space="preserve"> Cash</w:t>
      </w:r>
    </w:p>
    <w:p w:rsidR="00F46C93" w:rsidRPr="00F46C93" w:rsidRDefault="00F46C93" w:rsidP="00F46C93">
      <w:pPr>
        <w:jc w:val="left"/>
        <w:rPr>
          <w:rFonts w:ascii="Times New Roman" w:hAnsi="Times New Roman"/>
          <w:b/>
          <w:smallCaps/>
          <w:color w:val="000000"/>
          <w:sz w:val="28"/>
          <w:szCs w:val="28"/>
        </w:rPr>
      </w:pPr>
    </w:p>
    <w:p w:rsidR="005B0F69" w:rsidRDefault="00F46C93" w:rsidP="00F46C93">
      <w:pPr>
        <w:pStyle w:val="Area"/>
        <w:jc w:val="left"/>
      </w:pPr>
      <w:r w:rsidRPr="00F46C93">
        <w:t>Parliament House Canberra ACT 2600 Telephone (02) 6277 7320 Fax (02) 6273 4115</w:t>
      </w:r>
    </w:p>
    <w:p w:rsidR="008D344A" w:rsidRDefault="00F46C93" w:rsidP="005B0F69">
      <w:pPr>
        <w:pStyle w:val="Area"/>
      </w:pPr>
      <w:r>
        <w:rPr>
          <w:noProof/>
        </w:rPr>
        <w:drawing>
          <wp:anchor distT="0" distB="0" distL="114300" distR="114300" simplePos="0" relativeHeight="251658240" behindDoc="0" locked="0" layoutInCell="1" allowOverlap="1">
            <wp:simplePos x="0" y="0"/>
            <wp:positionH relativeFrom="column">
              <wp:posOffset>3589</wp:posOffset>
            </wp:positionH>
            <wp:positionV relativeFrom="paragraph">
              <wp:posOffset>321922</wp:posOffset>
            </wp:positionV>
            <wp:extent cx="4889998" cy="532733"/>
            <wp:effectExtent l="0" t="0" r="0" b="127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Desktop\Signed PAES LoT.jpg"/>
                    <pic:cNvPicPr>
                      <a:picLocks noChangeAspect="1"/>
                    </pic:cNvPicPr>
                  </pic:nvPicPr>
                  <pic:blipFill rotWithShape="1">
                    <a:blip r:embed="rId21" cstate="print">
                      <a:biLevel thresh="75000"/>
                      <a:extLst>
                        <a:ext uri="{28A0092B-C50C-407E-A947-70E740481C1C}">
                          <a14:useLocalDpi xmlns:a14="http://schemas.microsoft.com/office/drawing/2010/main" val="0"/>
                        </a:ext>
                      </a:extLst>
                    </a:blip>
                    <a:srcRect/>
                    <a:stretch/>
                  </pic:blipFill>
                  <pic:spPr bwMode="auto">
                    <a:xfrm>
                      <a:off x="0" y="0"/>
                      <a:ext cx="4889998" cy="532733"/>
                    </a:xfrm>
                    <a:prstGeom prst="rect">
                      <a:avLst/>
                    </a:prstGeom>
                    <a:noFill/>
                    <a:ln>
                      <a:noFill/>
                    </a:ln>
                    <a:extLst>
                      <a:ext uri="{53640926-AAD7-44D8-BBD7-CCE9431645EC}">
                        <a14:shadowObscured xmlns:a14="http://schemas.microsoft.com/office/drawing/2010/main"/>
                      </a:ext>
                    </a:extLst>
                  </pic:spPr>
                </pic:pic>
              </a:graphicData>
            </a:graphic>
          </wp:anchor>
        </w:drawing>
      </w:r>
    </w:p>
    <w:bookmarkEnd w:id="1"/>
    <w:bookmarkEnd w:id="2"/>
    <w:bookmarkEnd w:id="3"/>
    <w:p w:rsidR="00F51DAC" w:rsidRDefault="00F51DAC" w:rsidP="00F51DAC">
      <w:pPr>
        <w:sectPr w:rsidR="00F51DAC" w:rsidSect="004C04CB">
          <w:headerReference w:type="even" r:id="rId22"/>
          <w:headerReference w:type="default" r:id="rId23"/>
          <w:headerReference w:type="first" r:id="rId24"/>
          <w:footerReference w:type="first" r:id="rId25"/>
          <w:pgSz w:w="11907" w:h="16840" w:code="9"/>
          <w:pgMar w:top="2466" w:right="2098" w:bottom="2466" w:left="2098" w:header="1899" w:footer="1899" w:gutter="0"/>
          <w:pgNumType w:fmt="lowerRoman"/>
          <w:cols w:space="720"/>
          <w:titlePg/>
        </w:sectPr>
      </w:pPr>
    </w:p>
    <w:p w:rsidR="00F51DAC" w:rsidRPr="00447D46" w:rsidRDefault="00F51DAC" w:rsidP="00E26BFA">
      <w:pPr>
        <w:pStyle w:val="Heading2"/>
      </w:pPr>
      <w:r>
        <w:lastRenderedPageBreak/>
        <w:t>Abbreviations and</w:t>
      </w:r>
      <w:r w:rsidRPr="00447D46">
        <w:t xml:space="preserve"> conventions </w:t>
      </w:r>
    </w:p>
    <w:p w:rsidR="00F51DAC" w:rsidRDefault="00F51DAC" w:rsidP="00F51DAC">
      <w:pPr>
        <w:tabs>
          <w:tab w:val="left" w:pos="567"/>
        </w:tabs>
      </w:pPr>
      <w:r>
        <w:t>The following notations may be used:</w:t>
      </w:r>
    </w:p>
    <w:p w:rsidR="00F51DAC" w:rsidRDefault="00F51DAC" w:rsidP="00F51DAC">
      <w:pPr>
        <w:tabs>
          <w:tab w:val="left" w:pos="567"/>
          <w:tab w:val="left" w:pos="1701"/>
        </w:tabs>
        <w:spacing w:after="60"/>
        <w:ind w:left="567"/>
      </w:pPr>
      <w:r>
        <w:t>NEC/</w:t>
      </w:r>
      <w:proofErr w:type="spellStart"/>
      <w:r>
        <w:t>nec</w:t>
      </w:r>
      <w:proofErr w:type="spellEnd"/>
      <w:r>
        <w:tab/>
        <w:t>not elsewhere classified</w:t>
      </w:r>
    </w:p>
    <w:p w:rsidR="00F51DAC" w:rsidRDefault="00E15CF3" w:rsidP="00F51DAC">
      <w:pPr>
        <w:tabs>
          <w:tab w:val="left" w:pos="567"/>
          <w:tab w:val="left" w:pos="1701"/>
        </w:tabs>
        <w:spacing w:after="60"/>
        <w:ind w:left="567"/>
      </w:pPr>
      <w:r>
        <w:noBreakHyphen/>
      </w:r>
      <w:r w:rsidR="00F51DAC">
        <w:tab/>
      </w:r>
      <w:proofErr w:type="gramStart"/>
      <w:r w:rsidR="00F51DAC">
        <w:t>nil</w:t>
      </w:r>
      <w:proofErr w:type="gramEnd"/>
    </w:p>
    <w:p w:rsidR="00F51DAC" w:rsidRDefault="00F51DAC" w:rsidP="00F51DAC">
      <w:pPr>
        <w:tabs>
          <w:tab w:val="left" w:pos="567"/>
          <w:tab w:val="left" w:pos="1701"/>
        </w:tabs>
        <w:spacing w:after="60"/>
        <w:ind w:left="567"/>
      </w:pPr>
      <w:r>
        <w:t>..</w:t>
      </w:r>
      <w:r>
        <w:tab/>
      </w:r>
      <w:proofErr w:type="gramStart"/>
      <w:r>
        <w:t>not</w:t>
      </w:r>
      <w:proofErr w:type="gramEnd"/>
      <w:r>
        <w:t xml:space="preserve"> zero, but rounded to zero</w:t>
      </w:r>
    </w:p>
    <w:p w:rsidR="00F51DAC" w:rsidRDefault="00F51DAC" w:rsidP="00F51DAC">
      <w:pPr>
        <w:tabs>
          <w:tab w:val="left" w:pos="567"/>
          <w:tab w:val="left" w:pos="1701"/>
        </w:tabs>
        <w:spacing w:after="60"/>
        <w:ind w:left="567"/>
      </w:pPr>
      <w:proofErr w:type="spellStart"/>
      <w:proofErr w:type="gramStart"/>
      <w:r>
        <w:t>na</w:t>
      </w:r>
      <w:proofErr w:type="spellEnd"/>
      <w:proofErr w:type="gramEnd"/>
      <w:r>
        <w:tab/>
        <w:t>not applicable (unless otherwise specified)</w:t>
      </w:r>
    </w:p>
    <w:p w:rsidR="00F51DAC" w:rsidRDefault="00F51DAC" w:rsidP="00F51DAC">
      <w:pPr>
        <w:tabs>
          <w:tab w:val="left" w:pos="567"/>
          <w:tab w:val="left" w:pos="1701"/>
        </w:tabs>
        <w:spacing w:after="60"/>
        <w:ind w:left="567"/>
      </w:pPr>
      <w:proofErr w:type="spellStart"/>
      <w:proofErr w:type="gramStart"/>
      <w:r>
        <w:t>nfp</w:t>
      </w:r>
      <w:proofErr w:type="spellEnd"/>
      <w:proofErr w:type="gramEnd"/>
      <w:r>
        <w:tab/>
        <w:t>not for publication</w:t>
      </w:r>
    </w:p>
    <w:p w:rsidR="00F51DAC" w:rsidRDefault="00F51DAC" w:rsidP="00F51DAC">
      <w:pPr>
        <w:tabs>
          <w:tab w:val="left" w:pos="567"/>
          <w:tab w:val="left" w:pos="1701"/>
        </w:tabs>
        <w:spacing w:after="60"/>
        <w:ind w:left="567"/>
      </w:pPr>
      <w:r>
        <w:t>$m</w:t>
      </w:r>
      <w:r>
        <w:tab/>
        <w:t>$ million</w:t>
      </w:r>
    </w:p>
    <w:p w:rsidR="00FC5CDE" w:rsidRDefault="00F51DAC" w:rsidP="009E35FD">
      <w:pPr>
        <w:jc w:val="left"/>
      </w:pPr>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rsidR="00F51DAC" w:rsidRDefault="00F51DAC" w:rsidP="00F53464">
      <w:pPr>
        <w:pStyle w:val="Heading2"/>
      </w:pPr>
      <w:bookmarkStart w:id="5" w:name="_Toc210646442"/>
      <w:bookmarkStart w:id="6" w:name="_Toc210698421"/>
      <w:bookmarkStart w:id="7" w:name="_Toc210700992"/>
      <w:bookmarkStart w:id="8" w:name="_Toc210703165"/>
      <w:bookmarkStart w:id="9" w:name="_Toc210703206"/>
      <w:r>
        <w:t>Enquiries</w:t>
      </w:r>
      <w:bookmarkEnd w:id="5"/>
      <w:bookmarkEnd w:id="6"/>
      <w:bookmarkEnd w:id="7"/>
      <w:bookmarkEnd w:id="8"/>
      <w:bookmarkEnd w:id="9"/>
    </w:p>
    <w:p w:rsidR="00F51DAC" w:rsidRDefault="00F51DAC" w:rsidP="009E35FD">
      <w:pPr>
        <w:jc w:val="left"/>
      </w:pPr>
      <w:r>
        <w:t>Should you have any enquiries regarding this publication please contact</w:t>
      </w:r>
      <w:r w:rsidR="0008550D">
        <w:t xml:space="preserve"> Glen </w:t>
      </w:r>
      <w:proofErr w:type="spellStart"/>
      <w:r w:rsidR="0008550D">
        <w:t>Casson</w:t>
      </w:r>
      <w:proofErr w:type="spellEnd"/>
      <w:r w:rsidR="00726A60">
        <w:t>, Chief Finance</w:t>
      </w:r>
      <w:r>
        <w:t xml:space="preserve"> Officer in the Department of </w:t>
      </w:r>
      <w:r w:rsidR="00C67609">
        <w:t>Employment</w:t>
      </w:r>
      <w:r>
        <w:t xml:space="preserve"> on </w:t>
      </w:r>
      <w:r w:rsidR="00C67609">
        <w:t>1300 488 064</w:t>
      </w:r>
      <w:r>
        <w:t>.</w:t>
      </w:r>
    </w:p>
    <w:p w:rsidR="00F51DAC" w:rsidRDefault="0051350D" w:rsidP="009E35FD">
      <w:pPr>
        <w:jc w:val="left"/>
      </w:pPr>
      <w:r>
        <w:t>Links to Portfolio Budget Statements (including Portfolio Additional Estimates Statements and Portfolio Supplementary Additional Estimates Statements) can be located on the Australian Government Budget website at www.budget.gov.au.</w:t>
      </w:r>
    </w:p>
    <w:p w:rsidR="00F51DAC" w:rsidRDefault="00F51DAC" w:rsidP="00F51DAC">
      <w:pPr>
        <w:pStyle w:val="ContentsHeading"/>
        <w:rPr>
          <w:snapToGrid w:val="0"/>
        </w:rPr>
        <w:sectPr w:rsidR="00F51DAC" w:rsidSect="004C04CB">
          <w:headerReference w:type="even" r:id="rId26"/>
          <w:headerReference w:type="default" r:id="rId27"/>
          <w:footerReference w:type="even" r:id="rId28"/>
          <w:footerReference w:type="default" r:id="rId29"/>
          <w:headerReference w:type="first" r:id="rId30"/>
          <w:footerReference w:type="first" r:id="rId31"/>
          <w:pgSz w:w="11907" w:h="16840" w:code="9"/>
          <w:pgMar w:top="2466" w:right="2098" w:bottom="2466" w:left="2098" w:header="1899" w:footer="1899" w:gutter="0"/>
          <w:pgNumType w:fmt="lowerRoman"/>
          <w:cols w:space="720"/>
          <w:titlePg/>
        </w:sectPr>
      </w:pPr>
    </w:p>
    <w:p w:rsidR="00F63D27" w:rsidRDefault="00F51DAC" w:rsidP="001F3C45">
      <w:pPr>
        <w:pStyle w:val="PartHeading"/>
        <w:spacing w:before="3600"/>
        <w:sectPr w:rsidR="00F63D27" w:rsidSect="00D04FFC">
          <w:footerReference w:type="first" r:id="rId32"/>
          <w:type w:val="oddPage"/>
          <w:pgSz w:w="11907" w:h="16840" w:code="9"/>
          <w:pgMar w:top="2466" w:right="2098" w:bottom="2466" w:left="2098" w:header="1899" w:footer="1899" w:gutter="0"/>
          <w:pgNumType w:fmt="lowerRoman"/>
          <w:cols w:space="720"/>
          <w:titlePg/>
        </w:sectPr>
      </w:pPr>
      <w:bookmarkStart w:id="10" w:name="_Toc112211948"/>
      <w:bookmarkStart w:id="11" w:name="_Toc112212042"/>
      <w:bookmarkStart w:id="12" w:name="_Toc112137860"/>
      <w:bookmarkStart w:id="13" w:name="_Toc112224367"/>
      <w:bookmarkStart w:id="14" w:name="_Toc210646443"/>
      <w:bookmarkStart w:id="15" w:name="_Toc210698422"/>
      <w:r w:rsidRPr="005F4216">
        <w:lastRenderedPageBreak/>
        <w:t xml:space="preserve">User </w:t>
      </w:r>
      <w:r w:rsidR="00C10DE5" w:rsidRPr="005F4216">
        <w:t>guide</w:t>
      </w:r>
      <w:r>
        <w:br/>
      </w:r>
      <w:r w:rsidRPr="00084EF4">
        <w:t>to</w:t>
      </w:r>
      <w:r w:rsidRPr="005F4216">
        <w:t xml:space="preserve"> the</w:t>
      </w:r>
      <w:r>
        <w:br/>
      </w:r>
      <w:r w:rsidRPr="005F4216">
        <w:t>Portfolio Additional</w:t>
      </w:r>
      <w:r>
        <w:br/>
      </w:r>
      <w:r w:rsidRPr="005F4216">
        <w:t>Estimate</w:t>
      </w:r>
      <w:r w:rsidR="00D542E7">
        <w:t>s</w:t>
      </w:r>
      <w:r w:rsidRPr="005F4216">
        <w:t xml:space="preserve"> Statements</w:t>
      </w:r>
    </w:p>
    <w:p w:rsidR="00F51DAC" w:rsidRDefault="00F51DAC" w:rsidP="00F51DAC">
      <w:pPr>
        <w:pStyle w:val="Heading1"/>
        <w:rPr>
          <w:kern w:val="0"/>
          <w:lang w:val="en-US"/>
        </w:rPr>
      </w:pPr>
      <w:r>
        <w:rPr>
          <w:kern w:val="0"/>
          <w:lang w:val="en-US"/>
        </w:rPr>
        <w:lastRenderedPageBreak/>
        <w:t>User Guide</w:t>
      </w:r>
      <w:bookmarkEnd w:id="10"/>
      <w:bookmarkEnd w:id="11"/>
      <w:bookmarkEnd w:id="12"/>
      <w:bookmarkEnd w:id="13"/>
      <w:bookmarkEnd w:id="14"/>
      <w:bookmarkEnd w:id="15"/>
    </w:p>
    <w:p w:rsidR="00F51DAC" w:rsidRDefault="00F51DAC" w:rsidP="00E26BFA">
      <w:pPr>
        <w:tabs>
          <w:tab w:val="right" w:pos="7088"/>
        </w:tabs>
        <w:jc w:val="left"/>
      </w:pPr>
      <w:r>
        <w:t xml:space="preserve">The purpose of the </w:t>
      </w:r>
      <w:r w:rsidR="003962BF">
        <w:t>2015</w:t>
      </w:r>
      <w:r w:rsidR="00C67609">
        <w:t>–</w:t>
      </w:r>
      <w:r w:rsidR="003962BF">
        <w:t xml:space="preserve">16 </w:t>
      </w:r>
      <w:r>
        <w:t xml:space="preserve">Portfolio Additional Estimates Statements (PAES), like that of the Portfolio Budget Statements (PB Statements), is to inform Senators and Members of Parliament of the proposed allocation of resources to Government outcomes by </w:t>
      </w:r>
      <w:r w:rsidR="00726A60">
        <w:t>entities</w:t>
      </w:r>
      <w:r>
        <w:t xml:space="preserve"> within the portfolio. The focus of the PAES differs from the PB Statements in one important aspect</w:t>
      </w:r>
      <w:r w:rsidR="00E15CF3">
        <w:t xml:space="preserve">. </w:t>
      </w:r>
      <w:r>
        <w:t xml:space="preserve">While the PAES include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C67609">
        <w:t>-</w:t>
      </w:r>
      <w:r>
        <w:t xml:space="preserve">financial planned performance of </w:t>
      </w:r>
      <w:r w:rsidR="009D4B20">
        <w:t>programmes</w:t>
      </w:r>
      <w:r>
        <w:t xml:space="preserve"> supporting those outcomes.</w:t>
      </w:r>
    </w:p>
    <w:p w:rsidR="00F51DAC" w:rsidRDefault="00F51DAC" w:rsidP="00E26BFA">
      <w:pPr>
        <w:tabs>
          <w:tab w:val="right" w:pos="7088"/>
        </w:tabs>
        <w:jc w:val="left"/>
      </w:pPr>
      <w:r>
        <w:t xml:space="preserve">The PAES facilitate understanding of the proposed appropriations in </w:t>
      </w:r>
      <w:r w:rsidRPr="00B94BE6">
        <w:t>Appropriation Bills (</w:t>
      </w:r>
      <w:r w:rsidR="00A1234B" w:rsidRPr="00B94BE6">
        <w:t xml:space="preserve">Nos. 3 </w:t>
      </w:r>
      <w:r w:rsidR="001A1C55" w:rsidRPr="00B94BE6">
        <w:t>and</w:t>
      </w:r>
      <w:r w:rsidR="00A1234B" w:rsidRPr="00B94BE6">
        <w:t xml:space="preserve"> 4</w:t>
      </w:r>
      <w:r w:rsidRPr="00B94BE6">
        <w:t>)</w:t>
      </w:r>
      <w:r w:rsidRPr="00A94F3F">
        <w:rPr>
          <w:i/>
        </w:rPr>
        <w:t xml:space="preserve"> </w:t>
      </w:r>
      <w:r w:rsidR="00A1234B" w:rsidRPr="00D542E7">
        <w:t>201</w:t>
      </w:r>
      <w:r w:rsidR="00B94BE6" w:rsidRPr="00D542E7">
        <w:t>5</w:t>
      </w:r>
      <w:r w:rsidR="00ED5898" w:rsidRPr="00D542E7">
        <w:t>–</w:t>
      </w:r>
      <w:r w:rsidR="00A1234B" w:rsidRPr="00D542E7">
        <w:t>1</w:t>
      </w:r>
      <w:r w:rsidR="00B94BE6" w:rsidRPr="00D542E7">
        <w:t>6</w:t>
      </w:r>
      <w:r>
        <w:t xml:space="preserve">. In this sense the PAES is declared by the Additional Estimates Appropriation Bills to be a ‘relevant document’ to the interpretation of the Bills according to section 15AB of the </w:t>
      </w:r>
      <w:r>
        <w:rPr>
          <w:i/>
        </w:rPr>
        <w:t>Acts Interpretation Act 1901</w:t>
      </w:r>
      <w:r>
        <w:t>.</w:t>
      </w:r>
    </w:p>
    <w:p w:rsidR="00F51DAC" w:rsidRDefault="00F51DAC" w:rsidP="00E26BFA">
      <w:pPr>
        <w:tabs>
          <w:tab w:val="right" w:pos="7088"/>
        </w:tabs>
        <w:jc w:val="left"/>
      </w:pPr>
      <w:r>
        <w:t xml:space="preserve">Whereas the </w:t>
      </w:r>
      <w:r w:rsidRPr="00D542E7">
        <w:t>Mid</w:t>
      </w:r>
      <w:r w:rsidR="00C67609" w:rsidRPr="00D542E7">
        <w:t>-</w:t>
      </w:r>
      <w:r w:rsidRPr="00D542E7">
        <w:t xml:space="preserve">Year Economic and Fiscal Outlook </w:t>
      </w:r>
      <w:r w:rsidR="0092657C" w:rsidRPr="00D542E7">
        <w:t>(</w:t>
      </w:r>
      <w:proofErr w:type="spellStart"/>
      <w:r w:rsidR="0092657C" w:rsidRPr="00D542E7">
        <w:t>MYEFO</w:t>
      </w:r>
      <w:proofErr w:type="spellEnd"/>
      <w:r w:rsidR="0092657C" w:rsidRPr="00D542E7">
        <w:t xml:space="preserve">) </w:t>
      </w:r>
      <w:r w:rsidR="00A1234B" w:rsidRPr="00D542E7">
        <w:t>201</w:t>
      </w:r>
      <w:r w:rsidR="00B94BE6" w:rsidRPr="00D542E7">
        <w:t>5</w:t>
      </w:r>
      <w:r w:rsidR="00ED5898" w:rsidRPr="00D542E7">
        <w:t>–</w:t>
      </w:r>
      <w:r w:rsidR="003962BF" w:rsidRPr="00D542E7">
        <w:t>16</w:t>
      </w:r>
      <w:r w:rsidRPr="0032322C">
        <w:t xml:space="preserve"> is</w:t>
      </w:r>
      <w:r>
        <w:t xml:space="preserve"> a mid</w:t>
      </w:r>
      <w:r w:rsidR="00ED5898">
        <w:t>-</w:t>
      </w:r>
      <w:r>
        <w:t xml:space="preserve">year budget report which provides updated information to allow the assessment of the Government’s fiscal performance against its fiscal strategy, the PAES update the most recent budget appropriations for </w:t>
      </w:r>
      <w:r w:rsidR="00726A60">
        <w:t>entities</w:t>
      </w:r>
      <w:r>
        <w:t xml:space="preserve"> within the portfolio.</w:t>
      </w:r>
    </w:p>
    <w:p w:rsidR="00F51DAC" w:rsidRDefault="00F51DAC" w:rsidP="0090206F">
      <w:pPr>
        <w:pStyle w:val="Heading2"/>
      </w:pPr>
      <w:r>
        <w:br w:type="page"/>
      </w:r>
      <w:bookmarkStart w:id="16" w:name="_Toc450201413"/>
      <w:bookmarkStart w:id="17" w:name="_Toc492796965"/>
      <w:bookmarkStart w:id="18" w:name="_Toc492797089"/>
      <w:bookmarkStart w:id="19" w:name="_Toc492799505"/>
      <w:bookmarkStart w:id="20" w:name="_Toc492799660"/>
      <w:bookmarkStart w:id="21" w:name="_Toc533505720"/>
      <w:bookmarkStart w:id="22" w:name="_Toc533505944"/>
      <w:bookmarkStart w:id="23" w:name="_Toc77997684"/>
      <w:bookmarkStart w:id="24" w:name="_Toc77998670"/>
      <w:bookmarkStart w:id="25" w:name="_Toc78339819"/>
      <w:bookmarkStart w:id="26" w:name="_Toc79405325"/>
      <w:bookmarkStart w:id="27" w:name="_Toc79405368"/>
      <w:bookmarkStart w:id="28" w:name="_Toc112045573"/>
      <w:bookmarkStart w:id="29" w:name="_Toc112211950"/>
      <w:bookmarkStart w:id="30" w:name="_Toc112212044"/>
      <w:bookmarkStart w:id="31" w:name="_Toc112137862"/>
      <w:bookmarkStart w:id="32" w:name="_Toc112137887"/>
      <w:bookmarkStart w:id="33" w:name="_Toc112224369"/>
      <w:bookmarkStart w:id="34" w:name="_Toc210611950"/>
      <w:bookmarkStart w:id="35" w:name="_Toc210646444"/>
      <w:bookmarkStart w:id="36" w:name="_Toc210698423"/>
      <w:bookmarkStart w:id="37" w:name="_Toc210700993"/>
      <w:bookmarkStart w:id="38" w:name="_Toc210703166"/>
      <w:bookmarkStart w:id="39" w:name="_Toc210703207"/>
      <w:r>
        <w:lastRenderedPageBreak/>
        <w:t xml:space="preserve">Structure of the </w:t>
      </w:r>
      <w:r w:rsidRPr="00A64635">
        <w:t>Portfolio</w:t>
      </w:r>
      <w:r>
        <w:t xml:space="preserve"> Additional Estimates Statements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51DAC" w:rsidRDefault="00F51DAC" w:rsidP="00F51DAC">
      <w:pPr>
        <w:tabs>
          <w:tab w:val="right" w:pos="7088"/>
        </w:tabs>
        <w:jc w:val="left"/>
      </w:pPr>
      <w:r>
        <w:t>The PAES are presented in three parts with subsections.</w:t>
      </w:r>
    </w:p>
    <w:p w:rsidR="000049BF" w:rsidRDefault="000049BF" w:rsidP="007B258B">
      <w:pPr>
        <w:pBdr>
          <w:top w:val="single" w:sz="4" w:space="1" w:color="E6E6E6"/>
          <w:left w:val="single" w:sz="4" w:space="3" w:color="E6E6E6"/>
          <w:bottom w:val="single" w:sz="4" w:space="12" w:color="E6E6E6"/>
          <w:right w:val="single" w:sz="4" w:space="3" w:color="E6E6E6"/>
        </w:pBdr>
        <w:shd w:val="clear" w:color="auto" w:fill="E6E6E6"/>
        <w:tabs>
          <w:tab w:val="right" w:pos="7088"/>
        </w:tabs>
        <w:spacing w:after="0"/>
        <w:ind w:left="113" w:right="113"/>
        <w:jc w:val="left"/>
        <w:rPr>
          <w:b/>
        </w:rPr>
      </w:pPr>
      <w:r w:rsidRPr="000049BF">
        <w:rPr>
          <w:b/>
        </w:rPr>
        <w:t>User guide</w:t>
      </w:r>
    </w:p>
    <w:p w:rsidR="007B258B" w:rsidRDefault="007B258B" w:rsidP="007B258B">
      <w:pPr>
        <w:tabs>
          <w:tab w:val="right" w:pos="7088"/>
        </w:tabs>
        <w:ind w:left="113" w:right="113"/>
        <w:jc w:val="left"/>
      </w:pPr>
      <w:proofErr w:type="gramStart"/>
      <w:r w:rsidRPr="009D4B20">
        <w:t xml:space="preserve">Provides a brief introduction explaining the purpose of the </w:t>
      </w:r>
      <w:proofErr w:type="spellStart"/>
      <w:r w:rsidRPr="009D4B20">
        <w:t>PAES</w:t>
      </w:r>
      <w:proofErr w:type="spellEnd"/>
      <w:r w:rsidRPr="009D4B20">
        <w:t>.</w:t>
      </w:r>
      <w:proofErr w:type="gramEnd"/>
    </w:p>
    <w:p w:rsidR="007B258B" w:rsidRPr="000049BF" w:rsidRDefault="007B258B" w:rsidP="007B258B">
      <w:pPr>
        <w:pBdr>
          <w:top w:val="single" w:sz="4" w:space="1" w:color="E6E6E6"/>
          <w:left w:val="single" w:sz="4" w:space="3" w:color="E6E6E6"/>
          <w:bottom w:val="single" w:sz="4" w:space="12" w:color="E6E6E6"/>
          <w:right w:val="single" w:sz="4" w:space="3" w:color="E6E6E6"/>
        </w:pBdr>
        <w:shd w:val="clear" w:color="auto" w:fill="E6E6E6"/>
        <w:tabs>
          <w:tab w:val="right" w:pos="7088"/>
        </w:tabs>
        <w:spacing w:after="0"/>
        <w:ind w:left="113" w:right="113"/>
        <w:jc w:val="left"/>
        <w:rPr>
          <w:b/>
        </w:rPr>
      </w:pPr>
      <w:r w:rsidRPr="000049BF">
        <w:rPr>
          <w:b/>
        </w:rPr>
        <w:t>Portfolio overview</w:t>
      </w:r>
    </w:p>
    <w:p w:rsidR="007B258B" w:rsidRDefault="007B258B" w:rsidP="007B258B">
      <w:pPr>
        <w:tabs>
          <w:tab w:val="right" w:pos="7088"/>
        </w:tabs>
        <w:ind w:left="113" w:right="113"/>
        <w:jc w:val="left"/>
      </w:pPr>
      <w:proofErr w:type="gramStart"/>
      <w:r w:rsidRPr="009D4B20">
        <w:t>Provides an overview of the portfolio, including a chart that outlines the outcomes for entities in the portfolio.</w:t>
      </w:r>
      <w:proofErr w:type="gramEnd"/>
    </w:p>
    <w:p w:rsidR="007B258B" w:rsidRPr="000049BF" w:rsidRDefault="007B258B" w:rsidP="007B258B">
      <w:pPr>
        <w:pBdr>
          <w:top w:val="single" w:sz="4" w:space="1" w:color="E6E6E6"/>
          <w:left w:val="single" w:sz="4" w:space="3" w:color="E6E6E6"/>
          <w:bottom w:val="single" w:sz="4" w:space="12" w:color="E6E6E6"/>
          <w:right w:val="single" w:sz="4" w:space="3" w:color="E6E6E6"/>
        </w:pBdr>
        <w:shd w:val="clear" w:color="auto" w:fill="E6E6E6"/>
        <w:tabs>
          <w:tab w:val="right" w:pos="7088"/>
        </w:tabs>
        <w:spacing w:after="0"/>
        <w:ind w:left="113" w:right="113"/>
        <w:jc w:val="left"/>
        <w:rPr>
          <w:b/>
        </w:rPr>
      </w:pPr>
      <w:r w:rsidRPr="000049BF">
        <w:rPr>
          <w:b/>
        </w:rPr>
        <w:t>Entity Additional Estimates Statements</w:t>
      </w:r>
    </w:p>
    <w:p w:rsidR="007B258B" w:rsidRDefault="007B258B" w:rsidP="00ED3041">
      <w:pPr>
        <w:pBdr>
          <w:bottom w:val="single" w:sz="4" w:space="10" w:color="595959" w:themeColor="text1" w:themeTint="A6"/>
        </w:pBdr>
        <w:tabs>
          <w:tab w:val="right" w:pos="7088"/>
        </w:tabs>
        <w:spacing w:after="0"/>
        <w:ind w:left="113" w:right="113"/>
        <w:jc w:val="left"/>
      </w:pPr>
      <w:proofErr w:type="gramStart"/>
      <w:r w:rsidRPr="009D4B20">
        <w:t>A statement (under the name of the entity) for each entity affected by Additional Estimates.</w:t>
      </w:r>
      <w:proofErr w:type="gramEnd"/>
    </w:p>
    <w:p w:rsidR="007B258B" w:rsidRDefault="007B258B" w:rsidP="00ED3041">
      <w:pPr>
        <w:pBdr>
          <w:bottom w:val="single" w:sz="4" w:space="10" w:color="595959" w:themeColor="text1" w:themeTint="A6"/>
        </w:pBdr>
        <w:tabs>
          <w:tab w:val="right" w:pos="7088"/>
        </w:tabs>
        <w:spacing w:after="0"/>
        <w:ind w:right="113"/>
        <w:jc w:val="left"/>
        <w:sectPr w:rsidR="007B258B" w:rsidSect="00994862">
          <w:type w:val="oddPage"/>
          <w:pgSz w:w="11907" w:h="16840" w:code="9"/>
          <w:pgMar w:top="2466" w:right="2098" w:bottom="2466" w:left="2098" w:header="1899" w:footer="1899" w:gutter="0"/>
          <w:pgNumType w:fmt="lowerRoman"/>
          <w:cols w:space="720"/>
          <w:docGrid w:linePitch="272"/>
        </w:sectPr>
      </w:pPr>
    </w:p>
    <w:p w:rsidR="00ED3041" w:rsidRDefault="007B258B" w:rsidP="00ED3041">
      <w:pPr>
        <w:tabs>
          <w:tab w:val="right" w:pos="7088"/>
        </w:tabs>
        <w:spacing w:after="0"/>
        <w:ind w:left="113" w:right="113"/>
        <w:jc w:val="left"/>
        <w:rPr>
          <w:b/>
        </w:rPr>
      </w:pPr>
      <w:r w:rsidRPr="007B258B">
        <w:rPr>
          <w:b/>
        </w:rPr>
        <w:lastRenderedPageBreak/>
        <w:t>Section 1: Entity overview and resources</w:t>
      </w:r>
    </w:p>
    <w:p w:rsidR="007B258B" w:rsidRDefault="007B258B" w:rsidP="00ED3041">
      <w:pPr>
        <w:tabs>
          <w:tab w:val="right" w:pos="7088"/>
        </w:tabs>
        <w:spacing w:after="0"/>
        <w:ind w:left="113" w:right="113"/>
        <w:jc w:val="left"/>
      </w:pPr>
      <w:r>
        <w:br w:type="column"/>
      </w:r>
      <w:r w:rsidRPr="009D4B20">
        <w:lastRenderedPageBreak/>
        <w:t xml:space="preserve">This section details the </w:t>
      </w:r>
      <w:r>
        <w:t xml:space="preserve">changes in </w:t>
      </w:r>
      <w:r w:rsidRPr="009D4B20">
        <w:t>total resources available to an entity, the impact of any meas</w:t>
      </w:r>
      <w:r>
        <w:t>ures since Budget, and impact of</w:t>
      </w:r>
      <w:r w:rsidRPr="009D4B20">
        <w:t xml:space="preserve"> </w:t>
      </w:r>
      <w:r w:rsidRPr="00B94BE6">
        <w:t>Appropriation Bills Nos. 3 and 4</w:t>
      </w:r>
      <w:r w:rsidRPr="009D4B20">
        <w:t>.</w:t>
      </w:r>
    </w:p>
    <w:p w:rsidR="007B258B" w:rsidRDefault="007B258B" w:rsidP="00ED3041">
      <w:pPr>
        <w:tabs>
          <w:tab w:val="right" w:pos="7088"/>
        </w:tabs>
        <w:spacing w:after="0"/>
        <w:ind w:left="113" w:right="113"/>
        <w:jc w:val="left"/>
        <w:rPr>
          <w:b/>
        </w:rPr>
        <w:sectPr w:rsidR="007B258B" w:rsidSect="00FE67E7">
          <w:type w:val="continuous"/>
          <w:pgSz w:w="11907" w:h="16840" w:code="9"/>
          <w:pgMar w:top="2466" w:right="2098" w:bottom="2466" w:left="2098" w:header="1899" w:footer="1899" w:gutter="0"/>
          <w:pgNumType w:fmt="lowerRoman"/>
          <w:cols w:num="2" w:space="28" w:equalWidth="0">
            <w:col w:w="2268" w:space="28"/>
            <w:col w:w="5415"/>
          </w:cols>
          <w:docGrid w:linePitch="272"/>
        </w:sectPr>
      </w:pPr>
    </w:p>
    <w:p w:rsidR="007B258B" w:rsidRPr="00FE67E7" w:rsidRDefault="007B258B" w:rsidP="00FE67E7">
      <w:pPr>
        <w:pBdr>
          <w:bottom w:val="single" w:sz="4" w:space="4" w:color="595959" w:themeColor="text1" w:themeTint="A6"/>
        </w:pBdr>
        <w:tabs>
          <w:tab w:val="right" w:pos="7088"/>
        </w:tabs>
        <w:spacing w:after="0"/>
        <w:ind w:left="113" w:right="113"/>
        <w:jc w:val="left"/>
      </w:pPr>
    </w:p>
    <w:p w:rsidR="00ED3041" w:rsidRPr="00FE67E7" w:rsidRDefault="00ED3041" w:rsidP="00FE67E7">
      <w:pPr>
        <w:pBdr>
          <w:bottom w:val="single" w:sz="4" w:space="4" w:color="595959" w:themeColor="text1" w:themeTint="A6"/>
        </w:pBdr>
        <w:tabs>
          <w:tab w:val="right" w:pos="7088"/>
        </w:tabs>
        <w:spacing w:after="0"/>
        <w:ind w:left="113" w:right="113"/>
        <w:jc w:val="left"/>
        <w:sectPr w:rsidR="00ED3041" w:rsidRPr="00FE67E7" w:rsidSect="007B258B">
          <w:type w:val="continuous"/>
          <w:pgSz w:w="11907" w:h="16840" w:code="9"/>
          <w:pgMar w:top="2466" w:right="2098" w:bottom="2466" w:left="2098" w:header="1899" w:footer="1899" w:gutter="0"/>
          <w:pgNumType w:fmt="lowerRoman"/>
          <w:cols w:space="720"/>
          <w:docGrid w:linePitch="272"/>
        </w:sectPr>
      </w:pPr>
    </w:p>
    <w:p w:rsidR="00ED3041" w:rsidRPr="00ED3041" w:rsidRDefault="00ED3041" w:rsidP="00ED3041">
      <w:pPr>
        <w:tabs>
          <w:tab w:val="right" w:pos="7088"/>
        </w:tabs>
        <w:spacing w:after="0"/>
        <w:ind w:left="113" w:right="113"/>
        <w:jc w:val="left"/>
        <w:rPr>
          <w:b/>
        </w:rPr>
      </w:pPr>
      <w:r w:rsidRPr="00ED3041">
        <w:rPr>
          <w:b/>
        </w:rPr>
        <w:lastRenderedPageBreak/>
        <w:t>Section 2: Revisions to outcomes and planned performance</w:t>
      </w:r>
    </w:p>
    <w:p w:rsidR="00ED3041" w:rsidRDefault="00ED3041" w:rsidP="00ED3041">
      <w:pPr>
        <w:tabs>
          <w:tab w:val="right" w:pos="7088"/>
        </w:tabs>
        <w:spacing w:after="0"/>
        <w:ind w:left="113" w:right="113"/>
        <w:jc w:val="left"/>
        <w:rPr>
          <w:b/>
        </w:rPr>
      </w:pPr>
      <w:r>
        <w:br w:type="column"/>
      </w:r>
      <w:r w:rsidRPr="009D4B20">
        <w:lastRenderedPageBreak/>
        <w:t xml:space="preserve">This section details </w:t>
      </w:r>
      <w:r w:rsidRPr="009D4B20">
        <w:rPr>
          <w:b/>
        </w:rPr>
        <w:t>changes</w:t>
      </w:r>
      <w:r w:rsidRPr="009D4B20">
        <w:t xml:space="preserve"> to Government outcomes and/or </w:t>
      </w:r>
      <w:r w:rsidRPr="009D4B20">
        <w:rPr>
          <w:b/>
        </w:rPr>
        <w:t>changes</w:t>
      </w:r>
      <w:r w:rsidRPr="009D4B20">
        <w:t xml:space="preserve"> to the planned performance of entity programmes.</w:t>
      </w:r>
    </w:p>
    <w:p w:rsidR="00ED3041" w:rsidRDefault="00ED3041" w:rsidP="00ED3041">
      <w:pPr>
        <w:tabs>
          <w:tab w:val="right" w:pos="7088"/>
        </w:tabs>
        <w:spacing w:after="0"/>
        <w:ind w:left="113" w:right="113"/>
        <w:jc w:val="left"/>
        <w:rPr>
          <w:b/>
        </w:rPr>
        <w:sectPr w:rsidR="00ED3041" w:rsidSect="00FE67E7">
          <w:type w:val="continuous"/>
          <w:pgSz w:w="11907" w:h="16840" w:code="9"/>
          <w:pgMar w:top="2466" w:right="2098" w:bottom="2466" w:left="2098" w:header="1899" w:footer="1899" w:gutter="0"/>
          <w:pgNumType w:fmt="lowerRoman"/>
          <w:cols w:num="2" w:space="28" w:equalWidth="0">
            <w:col w:w="2268" w:space="28"/>
            <w:col w:w="5415"/>
          </w:cols>
          <w:docGrid w:linePitch="272"/>
        </w:sectPr>
      </w:pPr>
    </w:p>
    <w:p w:rsidR="00ED3041" w:rsidRPr="00FE67E7" w:rsidRDefault="00ED3041" w:rsidP="001D594B">
      <w:pPr>
        <w:pBdr>
          <w:bottom w:val="single" w:sz="4" w:space="4" w:color="595959" w:themeColor="text1" w:themeTint="A6"/>
        </w:pBdr>
        <w:tabs>
          <w:tab w:val="right" w:pos="7088"/>
        </w:tabs>
        <w:spacing w:after="0"/>
        <w:ind w:left="113" w:right="113"/>
        <w:jc w:val="left"/>
      </w:pPr>
    </w:p>
    <w:p w:rsidR="00ED3041" w:rsidRPr="00FE67E7" w:rsidRDefault="00ED3041" w:rsidP="001D594B">
      <w:pPr>
        <w:pBdr>
          <w:bottom w:val="single" w:sz="4" w:space="4" w:color="595959" w:themeColor="text1" w:themeTint="A6"/>
        </w:pBdr>
        <w:tabs>
          <w:tab w:val="right" w:pos="7088"/>
        </w:tabs>
        <w:spacing w:after="0"/>
        <w:ind w:left="113" w:right="113"/>
        <w:jc w:val="left"/>
        <w:sectPr w:rsidR="00ED3041" w:rsidRPr="00FE67E7" w:rsidSect="007B258B">
          <w:type w:val="continuous"/>
          <w:pgSz w:w="11907" w:h="16840" w:code="9"/>
          <w:pgMar w:top="2466" w:right="2098" w:bottom="2466" w:left="2098" w:header="1899" w:footer="1899" w:gutter="0"/>
          <w:pgNumType w:fmt="lowerRoman"/>
          <w:cols w:space="720"/>
          <w:docGrid w:linePitch="272"/>
        </w:sectPr>
      </w:pPr>
    </w:p>
    <w:p w:rsidR="00ED3041" w:rsidRDefault="00ED3041" w:rsidP="00ED3041">
      <w:pPr>
        <w:tabs>
          <w:tab w:val="right" w:pos="7088"/>
        </w:tabs>
        <w:spacing w:after="0"/>
        <w:ind w:left="113" w:right="113"/>
        <w:jc w:val="left"/>
        <w:rPr>
          <w:b/>
        </w:rPr>
      </w:pPr>
      <w:r w:rsidRPr="00ED3041">
        <w:rPr>
          <w:b/>
        </w:rPr>
        <w:lastRenderedPageBreak/>
        <w:t>Section 3: Explanatory tables and budgeted financial statements</w:t>
      </w:r>
    </w:p>
    <w:p w:rsidR="00ED3041" w:rsidRPr="00ED3041" w:rsidRDefault="00ED3041" w:rsidP="00ED3041">
      <w:pPr>
        <w:tabs>
          <w:tab w:val="right" w:pos="7088"/>
        </w:tabs>
        <w:spacing w:after="0"/>
        <w:ind w:left="113" w:right="113"/>
        <w:jc w:val="left"/>
      </w:pPr>
      <w:r w:rsidRPr="00FE67E7">
        <w:br w:type="column"/>
      </w:r>
      <w:r w:rsidRPr="009D4B20">
        <w:lastRenderedPageBreak/>
        <w:t>This section contains updated explanatory tables on special account flows and staffing levels and revisions to the budgeted financial statements.</w:t>
      </w:r>
    </w:p>
    <w:p w:rsidR="00ED3041" w:rsidRDefault="00ED3041" w:rsidP="001D594B">
      <w:pPr>
        <w:tabs>
          <w:tab w:val="right" w:pos="7088"/>
        </w:tabs>
        <w:ind w:right="113"/>
        <w:jc w:val="left"/>
        <w:rPr>
          <w:b/>
        </w:rPr>
        <w:sectPr w:rsidR="00ED3041" w:rsidSect="00FE67E7">
          <w:type w:val="continuous"/>
          <w:pgSz w:w="11907" w:h="16840" w:code="9"/>
          <w:pgMar w:top="2466" w:right="2098" w:bottom="2466" w:left="2098" w:header="1899" w:footer="1899" w:gutter="0"/>
          <w:pgNumType w:fmt="lowerRoman"/>
          <w:cols w:num="2" w:space="28" w:equalWidth="0">
            <w:col w:w="2268" w:space="28"/>
            <w:col w:w="5415"/>
          </w:cols>
          <w:docGrid w:linePitch="272"/>
        </w:sectPr>
      </w:pPr>
    </w:p>
    <w:p w:rsidR="00ED3041" w:rsidRPr="00FE67E7" w:rsidRDefault="00ED3041" w:rsidP="00FE67E7">
      <w:pPr>
        <w:pBdr>
          <w:bottom w:val="single" w:sz="4" w:space="0" w:color="595959" w:themeColor="text1" w:themeTint="A6"/>
        </w:pBdr>
        <w:tabs>
          <w:tab w:val="right" w:pos="7088"/>
        </w:tabs>
        <w:spacing w:after="0"/>
        <w:ind w:left="113" w:right="113"/>
        <w:jc w:val="left"/>
      </w:pPr>
    </w:p>
    <w:p w:rsidR="00F51DAC" w:rsidRDefault="00F51DAC" w:rsidP="00F51DAC">
      <w:pPr>
        <w:pStyle w:val="ContentsHeading"/>
        <w:rPr>
          <w:snapToGrid w:val="0"/>
        </w:rPr>
      </w:pPr>
      <w:bookmarkStart w:id="40" w:name="_Toc450201414"/>
      <w:bookmarkStart w:id="41" w:name="_Toc492796966"/>
      <w:bookmarkStart w:id="42" w:name="_Toc492797090"/>
      <w:bookmarkStart w:id="43" w:name="_Toc492799506"/>
      <w:bookmarkStart w:id="44" w:name="_Toc492799661"/>
      <w:bookmarkStart w:id="45" w:name="_Toc533505725"/>
      <w:bookmarkStart w:id="46" w:name="_Toc533505945"/>
      <w:bookmarkStart w:id="47" w:name="_Toc77997685"/>
      <w:bookmarkStart w:id="48" w:name="_Toc77998671"/>
      <w:bookmarkStart w:id="49" w:name="_Toc78339820"/>
      <w:bookmarkStart w:id="50" w:name="_Toc79405326"/>
      <w:bookmarkStart w:id="51" w:name="_Toc79405369"/>
      <w:bookmarkStart w:id="52" w:name="_Toc112045574"/>
      <w:r>
        <w:br w:type="page"/>
      </w:r>
      <w:bookmarkEnd w:id="40"/>
      <w:bookmarkEnd w:id="41"/>
      <w:bookmarkEnd w:id="42"/>
      <w:bookmarkEnd w:id="43"/>
      <w:bookmarkEnd w:id="44"/>
      <w:bookmarkEnd w:id="45"/>
      <w:bookmarkEnd w:id="46"/>
      <w:bookmarkEnd w:id="47"/>
      <w:bookmarkEnd w:id="48"/>
      <w:bookmarkEnd w:id="49"/>
      <w:bookmarkEnd w:id="50"/>
      <w:bookmarkEnd w:id="51"/>
      <w:bookmarkEnd w:id="52"/>
      <w:r>
        <w:lastRenderedPageBreak/>
        <w:t>C</w:t>
      </w:r>
      <w:r>
        <w:rPr>
          <w:snapToGrid w:val="0"/>
        </w:rPr>
        <w:t>ontents</w:t>
      </w:r>
    </w:p>
    <w:p w:rsidR="00F51DAC" w:rsidRDefault="00F51DAC" w:rsidP="00F51DAC">
      <w:pPr>
        <w:pStyle w:val="TOC1"/>
      </w:pPr>
      <w:bookmarkStart w:id="53" w:name="_Toc97459627"/>
      <w:bookmarkStart w:id="54" w:name="_Toc97459713"/>
      <w:r>
        <w:t xml:space="preserve">Portfolio </w:t>
      </w:r>
      <w:r w:rsidR="00AE6133">
        <w:t>overview</w:t>
      </w:r>
      <w:r>
        <w:tab/>
      </w:r>
      <w:r w:rsidR="00905F2D">
        <w:t>1</w:t>
      </w:r>
    </w:p>
    <w:p w:rsidR="00F51DAC" w:rsidRDefault="00F51DAC" w:rsidP="00F51DAC">
      <w:pPr>
        <w:pStyle w:val="TOC1"/>
      </w:pPr>
      <w:r>
        <w:t xml:space="preserve">Department of </w:t>
      </w:r>
      <w:bookmarkEnd w:id="53"/>
      <w:bookmarkEnd w:id="54"/>
      <w:r w:rsidR="00ED5898">
        <w:t>Employment</w:t>
      </w:r>
      <w:r>
        <w:tab/>
      </w:r>
      <w:r w:rsidR="00A40962">
        <w:t>7</w:t>
      </w:r>
    </w:p>
    <w:p w:rsidR="00F51DAC" w:rsidRDefault="00F51DAC" w:rsidP="00F51DAC"/>
    <w:p w:rsidR="00F51DAC" w:rsidRDefault="00F51DAC" w:rsidP="00F51DAC">
      <w:pPr>
        <w:jc w:val="center"/>
        <w:sectPr w:rsidR="00F51DAC" w:rsidSect="007B258B">
          <w:type w:val="continuous"/>
          <w:pgSz w:w="11907" w:h="16840" w:code="9"/>
          <w:pgMar w:top="2466" w:right="2098" w:bottom="2466" w:left="2098" w:header="1899" w:footer="1899" w:gutter="0"/>
          <w:pgNumType w:fmt="lowerRoman"/>
          <w:cols w:space="720"/>
          <w:docGrid w:linePitch="272"/>
        </w:sectPr>
      </w:pPr>
      <w:bookmarkStart w:id="55" w:name="_Toc449255752"/>
      <w:bookmarkStart w:id="56" w:name="_Toc460918631"/>
      <w:bookmarkStart w:id="57" w:name="_Toc490972395"/>
    </w:p>
    <w:p w:rsidR="00F51DAC" w:rsidRPr="00ED5898" w:rsidRDefault="00F51DAC" w:rsidP="00F51DAC">
      <w:pPr>
        <w:pStyle w:val="Heading1"/>
        <w:rPr>
          <w:rFonts w:ascii="Book Antiqua" w:hAnsi="Book Antiqua"/>
          <w:lang w:val="en-AU"/>
        </w:rPr>
      </w:pPr>
      <w:bookmarkStart w:id="58" w:name="_Toc436626774"/>
      <w:bookmarkStart w:id="59" w:name="_Toc490972396"/>
      <w:bookmarkStart w:id="60" w:name="_Toc491014610"/>
      <w:bookmarkStart w:id="61" w:name="_Toc491014752"/>
      <w:bookmarkStart w:id="62" w:name="_Toc491014932"/>
      <w:bookmarkStart w:id="63" w:name="_Toc491015079"/>
      <w:bookmarkStart w:id="64" w:name="_Toc491029227"/>
      <w:bookmarkStart w:id="65" w:name="_Toc491030315"/>
      <w:bookmarkStart w:id="66" w:name="_Toc491030774"/>
      <w:bookmarkStart w:id="67" w:name="_Toc449255755"/>
      <w:bookmarkStart w:id="68" w:name="_Toc491031337"/>
      <w:bookmarkStart w:id="69" w:name="_Toc491031925"/>
      <w:bookmarkStart w:id="70" w:name="_Toc491032095"/>
      <w:bookmarkStart w:id="71" w:name="_Toc491032207"/>
      <w:bookmarkStart w:id="72" w:name="_Toc491032314"/>
      <w:bookmarkStart w:id="73" w:name="_Toc491771701"/>
      <w:bookmarkStart w:id="74" w:name="_Toc491773276"/>
      <w:bookmarkStart w:id="75" w:name="_Toc23559336"/>
      <w:bookmarkStart w:id="76" w:name="_Toc23559370"/>
      <w:bookmarkStart w:id="77" w:name="_Toc23559660"/>
      <w:bookmarkStart w:id="78" w:name="_Toc23560123"/>
      <w:bookmarkStart w:id="79" w:name="_Toc23563419"/>
      <w:bookmarkStart w:id="80" w:name="_Toc77998672"/>
      <w:bookmarkStart w:id="81" w:name="_Toc79399713"/>
      <w:bookmarkStart w:id="82" w:name="_Toc112211952"/>
      <w:bookmarkStart w:id="83" w:name="_Toc112212046"/>
      <w:bookmarkStart w:id="84" w:name="_Toc112137864"/>
      <w:bookmarkStart w:id="85" w:name="_Toc112224371"/>
      <w:bookmarkStart w:id="86" w:name="_Toc210646445"/>
      <w:bookmarkStart w:id="87" w:name="_Toc210698424"/>
      <w:bookmarkEnd w:id="55"/>
      <w:bookmarkEnd w:id="56"/>
      <w:bookmarkEnd w:id="57"/>
      <w:r>
        <w:lastRenderedPageBreak/>
        <w:t>Portfolio</w:t>
      </w:r>
      <w:bookmarkEnd w:id="58"/>
      <w:r>
        <w:t xml:space="preserve"> </w:t>
      </w:r>
      <w:bookmarkStart w:id="88" w:name="_Toc436626775"/>
      <w:r w:rsidR="00AE6133">
        <w:t>overview</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0296E" w:rsidRDefault="00F0296E" w:rsidP="009F448B">
      <w:pPr>
        <w:jc w:val="left"/>
      </w:pPr>
      <w:r>
        <w:t xml:space="preserve">There have been no significant changes to the portfolio </w:t>
      </w:r>
      <w:r w:rsidR="0032322C">
        <w:t xml:space="preserve">as </w:t>
      </w:r>
      <w:r>
        <w:t xml:space="preserve">described in the </w:t>
      </w:r>
      <w:r>
        <w:br/>
        <w:t>2015–16 Portfolio Budget Statements.</w:t>
      </w:r>
    </w:p>
    <w:p w:rsidR="00F0296E" w:rsidRDefault="00F0296E" w:rsidP="009F448B">
      <w:pPr>
        <w:jc w:val="left"/>
      </w:pPr>
      <w:r>
        <w:t>A full outline of the Employment portfolio can be found at Figure 1.</w:t>
      </w:r>
    </w:p>
    <w:p w:rsidR="00F51DAC" w:rsidRDefault="00F0296E" w:rsidP="009F448B">
      <w:pPr>
        <w:jc w:val="left"/>
      </w:pPr>
      <w:r>
        <w:t xml:space="preserve">The Portfolio Additional Estimates Statements (PAES) provides information on variations since the Budget for the Portfolio’s Commonwealth entities who are seeking additional appropriations through Appropriation Bills No. 3 and No. 4. For the </w:t>
      </w:r>
      <w:r w:rsidR="002A7B73">
        <w:br/>
      </w:r>
      <w:r>
        <w:t>2015–16 PAES, variations relat</w:t>
      </w:r>
      <w:r w:rsidR="0032322C">
        <w:t>e</w:t>
      </w:r>
      <w:r>
        <w:t xml:space="preserve"> only to th</w:t>
      </w:r>
      <w:r w:rsidR="002A7B73">
        <w:t>e Department of Employment (the D</w:t>
      </w:r>
      <w:r>
        <w:t xml:space="preserve">epartment). </w:t>
      </w:r>
    </w:p>
    <w:p w:rsidR="00F51DAC" w:rsidRDefault="00F51DAC" w:rsidP="005A62FC">
      <w:pPr>
        <w:pStyle w:val="FigureHeading"/>
        <w:jc w:val="left"/>
      </w:pPr>
      <w:r>
        <w:br w:type="page"/>
      </w:r>
      <w:r>
        <w:lastRenderedPageBreak/>
        <w:t xml:space="preserve">Figure 1: </w:t>
      </w:r>
      <w:r w:rsidR="00C67609">
        <w:t xml:space="preserve">Employment </w:t>
      </w:r>
      <w:r w:rsidR="00AE6133">
        <w:t>portfolio structure and outcomes</w:t>
      </w:r>
    </w:p>
    <w:p w:rsidR="00E137DD" w:rsidRDefault="00E137DD" w:rsidP="00182DFC">
      <w:pPr>
        <w:pStyle w:val="ChartGraphic"/>
        <w:pBdr>
          <w:top w:val="single" w:sz="4" w:space="6" w:color="595959" w:themeColor="text1" w:themeTint="A6"/>
          <w:left w:val="single" w:sz="4" w:space="4" w:color="595959" w:themeColor="text1" w:themeTint="A6"/>
          <w:bottom w:val="single" w:sz="4" w:space="6" w:color="595959" w:themeColor="text1" w:themeTint="A6"/>
          <w:right w:val="single" w:sz="4" w:space="4" w:color="595959" w:themeColor="text1" w:themeTint="A6"/>
        </w:pBdr>
        <w:shd w:val="clear" w:color="auto" w:fill="F2F2F2"/>
        <w:rPr>
          <w:rFonts w:ascii="Book Antiqua" w:hAnsi="Book Antiqua"/>
          <w:szCs w:val="18"/>
        </w:rPr>
      </w:pPr>
      <w:r w:rsidRPr="00D542E7">
        <w:rPr>
          <w:rFonts w:ascii="Book Antiqua" w:hAnsi="Book Antiqua"/>
          <w:szCs w:val="18"/>
        </w:rPr>
        <w:t xml:space="preserve">Senator the Hon </w:t>
      </w:r>
      <w:proofErr w:type="spellStart"/>
      <w:r w:rsidRPr="00D542E7">
        <w:rPr>
          <w:rFonts w:ascii="Book Antiqua" w:hAnsi="Book Antiqua"/>
          <w:szCs w:val="18"/>
        </w:rPr>
        <w:t>Michaelia</w:t>
      </w:r>
      <w:proofErr w:type="spellEnd"/>
      <w:r w:rsidRPr="00D542E7">
        <w:rPr>
          <w:rFonts w:ascii="Book Antiqua" w:hAnsi="Book Antiqua"/>
          <w:szCs w:val="18"/>
        </w:rPr>
        <w:t xml:space="preserve"> Cash, Minister for Employment</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Department of Employment</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 xml:space="preserve">Renée Leon </w:t>
      </w:r>
      <w:proofErr w:type="spellStart"/>
      <w:r w:rsidRPr="00D542E7">
        <w:rPr>
          <w:rFonts w:ascii="Book Antiqua" w:hAnsi="Book Antiqua"/>
          <w:sz w:val="20"/>
          <w:szCs w:val="18"/>
        </w:rPr>
        <w:t>PSM</w:t>
      </w:r>
      <w:proofErr w:type="spellEnd"/>
      <w:r w:rsidRPr="00D542E7">
        <w:rPr>
          <w:rFonts w:ascii="Book Antiqua" w:hAnsi="Book Antiqua"/>
          <w:sz w:val="20"/>
          <w:szCs w:val="18"/>
        </w:rPr>
        <w:t>, Secretary</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b/>
          <w:sz w:val="20"/>
          <w:szCs w:val="18"/>
        </w:rPr>
      </w:pPr>
      <w:r w:rsidRPr="00D542E7">
        <w:rPr>
          <w:rFonts w:ascii="Book Antiqua" w:hAnsi="Book Antiqua"/>
          <w:b/>
          <w:sz w:val="20"/>
          <w:szCs w:val="18"/>
        </w:rPr>
        <w:t>Outcome 1</w:t>
      </w:r>
    </w:p>
    <w:p w:rsidR="00E137DD" w:rsidRPr="00D542E7" w:rsidRDefault="00E137DD" w:rsidP="00182DFC">
      <w:pPr>
        <w:pStyle w:val="TableTextBase"/>
        <w:pBdr>
          <w:left w:val="single" w:sz="4" w:space="4" w:color="595959" w:themeColor="text1" w:themeTint="A6"/>
          <w:right w:val="single" w:sz="4" w:space="4" w:color="595959" w:themeColor="text1" w:themeTint="A6"/>
        </w:pBdr>
        <w:spacing w:before="120" w:after="120"/>
        <w:rPr>
          <w:sz w:val="20"/>
        </w:rPr>
      </w:pPr>
      <w:r w:rsidRPr="00D542E7">
        <w:rPr>
          <w:sz w:val="20"/>
        </w:rPr>
        <w:t>Foster a productive and competitive labour market through employment policies and programmes that assist job seekers into work, meet employer needs and increase Australia’s workforce participation.</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rPr>
          <w:rFonts w:ascii="Book Antiqua" w:hAnsi="Book Antiqua"/>
          <w:b/>
          <w:sz w:val="20"/>
          <w:szCs w:val="18"/>
        </w:rPr>
      </w:pPr>
      <w:r w:rsidRPr="00D542E7">
        <w:rPr>
          <w:rFonts w:ascii="Book Antiqua" w:hAnsi="Book Antiqua"/>
          <w:b/>
          <w:sz w:val="20"/>
          <w:szCs w:val="18"/>
        </w:rPr>
        <w:t>Outcome 2</w:t>
      </w:r>
    </w:p>
    <w:p w:rsidR="00E137DD" w:rsidRPr="00182DFC" w:rsidRDefault="00E137DD" w:rsidP="00182DFC">
      <w:pPr>
        <w:pStyle w:val="ChartGraphic"/>
        <w:pBdr>
          <w:left w:val="single" w:sz="4" w:space="4" w:color="595959" w:themeColor="text1" w:themeTint="A6"/>
          <w:bottom w:val="single" w:sz="4" w:space="6" w:color="595959" w:themeColor="text1" w:themeTint="A6"/>
          <w:right w:val="single" w:sz="4" w:space="4" w:color="595959" w:themeColor="text1" w:themeTint="A6"/>
        </w:pBdr>
        <w:jc w:val="left"/>
        <w:rPr>
          <w:rFonts w:ascii="Book Antiqua" w:hAnsi="Book Antiqua"/>
        </w:rPr>
      </w:pPr>
      <w:r w:rsidRPr="00182DFC">
        <w:rPr>
          <w:rFonts w:ascii="Book Antiqua" w:hAnsi="Book Antiqua"/>
        </w:rPr>
        <w:t>Facilitate jobs growth through policies that promote fair, productive and safe workplaces.</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Asbestos Safety and Eradication Agency</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 xml:space="preserve">Peter </w:t>
      </w:r>
      <w:proofErr w:type="spellStart"/>
      <w:r w:rsidRPr="00D542E7">
        <w:rPr>
          <w:rFonts w:ascii="Book Antiqua" w:hAnsi="Book Antiqua"/>
          <w:sz w:val="20"/>
          <w:szCs w:val="18"/>
        </w:rPr>
        <w:t>Tighe</w:t>
      </w:r>
      <w:proofErr w:type="spellEnd"/>
      <w:r w:rsidRPr="00D542E7">
        <w:rPr>
          <w:rFonts w:ascii="Book Antiqua" w:hAnsi="Book Antiqua"/>
          <w:sz w:val="20"/>
          <w:szCs w:val="18"/>
        </w:rPr>
        <w:t>, Chief Executive Officer</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b/>
          <w:sz w:val="20"/>
          <w:szCs w:val="18"/>
        </w:rPr>
      </w:pPr>
      <w:r w:rsidRPr="00D542E7">
        <w:rPr>
          <w:rFonts w:ascii="Book Antiqua" w:hAnsi="Book Antiqua"/>
          <w:b/>
          <w:sz w:val="20"/>
          <w:szCs w:val="18"/>
        </w:rPr>
        <w:t xml:space="preserve">Outcome </w:t>
      </w:r>
    </w:p>
    <w:p w:rsidR="00E137DD" w:rsidRPr="00182DFC" w:rsidRDefault="00E137DD" w:rsidP="00182DFC">
      <w:pPr>
        <w:pStyle w:val="ChartGraphic"/>
        <w:pBdr>
          <w:left w:val="single" w:sz="4" w:space="4" w:color="595959" w:themeColor="text1" w:themeTint="A6"/>
          <w:bottom w:val="single" w:sz="4" w:space="6" w:color="595959" w:themeColor="text1" w:themeTint="A6"/>
          <w:right w:val="single" w:sz="4" w:space="4" w:color="595959" w:themeColor="text1" w:themeTint="A6"/>
        </w:pBdr>
        <w:jc w:val="both"/>
        <w:rPr>
          <w:rFonts w:ascii="Book Antiqua" w:hAnsi="Book Antiqua"/>
        </w:rPr>
      </w:pPr>
      <w:r w:rsidRPr="00182DFC">
        <w:rPr>
          <w:rFonts w:ascii="Book Antiqua" w:hAnsi="Book Antiqua"/>
        </w:rPr>
        <w:t>Assist in the prevention of exposure to asbestos fibres and the elimination of asbestos-related disease in Australia through implementing the National Strategic Plan for Asbestos Awareness and Management in Australia.</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proofErr w:type="spellStart"/>
      <w:r w:rsidRPr="00D542E7">
        <w:rPr>
          <w:rFonts w:ascii="Book Antiqua" w:hAnsi="Book Antiqua"/>
          <w:b/>
          <w:sz w:val="20"/>
          <w:szCs w:val="18"/>
        </w:rPr>
        <w:t>Comcare</w:t>
      </w:r>
      <w:proofErr w:type="spellEnd"/>
      <w:r w:rsidRPr="00D542E7">
        <w:rPr>
          <w:rFonts w:ascii="Book Antiqua" w:hAnsi="Book Antiqua"/>
          <w:b/>
          <w:sz w:val="20"/>
          <w:szCs w:val="18"/>
        </w:rPr>
        <w:t xml:space="preserve">, the Safety, Rehabilitation and Compensation Commission, and the Seafarers Safety, Rehabilitation and Compensation Authority </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Jennifer Taylor, Chief Executive Officer</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sz w:val="20"/>
          <w:szCs w:val="18"/>
        </w:rPr>
      </w:pPr>
      <w:r w:rsidRPr="00D542E7">
        <w:rPr>
          <w:rFonts w:ascii="Book Antiqua" w:hAnsi="Book Antiqua"/>
          <w:b/>
          <w:sz w:val="20"/>
          <w:szCs w:val="18"/>
        </w:rPr>
        <w:t xml:space="preserve">Outcome </w:t>
      </w:r>
    </w:p>
    <w:p w:rsidR="00E137DD" w:rsidRPr="00182DFC" w:rsidRDefault="00E137DD" w:rsidP="00182DFC">
      <w:pPr>
        <w:pStyle w:val="ChartGraphic"/>
        <w:pBdr>
          <w:left w:val="single" w:sz="4" w:space="4" w:color="595959" w:themeColor="text1" w:themeTint="A6"/>
          <w:bottom w:val="single" w:sz="4" w:space="6" w:color="595959" w:themeColor="text1" w:themeTint="A6"/>
          <w:right w:val="single" w:sz="4" w:space="4" w:color="595959" w:themeColor="text1" w:themeTint="A6"/>
        </w:pBdr>
        <w:jc w:val="left"/>
        <w:rPr>
          <w:rFonts w:ascii="Book Antiqua" w:hAnsi="Book Antiqua"/>
        </w:rPr>
      </w:pPr>
      <w:r w:rsidRPr="00182DFC">
        <w:rPr>
          <w:rFonts w:ascii="Book Antiqua" w:hAnsi="Book Antiqua"/>
        </w:rPr>
        <w:t xml:space="preserve">Supporting participation and productivity through healthy and safe workplaces that minimise the impact of harm in workplaces covered by </w:t>
      </w:r>
      <w:proofErr w:type="spellStart"/>
      <w:r w:rsidRPr="00182DFC">
        <w:rPr>
          <w:rFonts w:ascii="Book Antiqua" w:hAnsi="Book Antiqua"/>
        </w:rPr>
        <w:t>Comcare</w:t>
      </w:r>
      <w:proofErr w:type="spellEnd"/>
      <w:r w:rsidRPr="00182DFC">
        <w:rPr>
          <w:rFonts w:ascii="Book Antiqua" w:hAnsi="Book Antiqua"/>
        </w:rPr>
        <w:t>.</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Fair Work Commission</w:t>
      </w:r>
    </w:p>
    <w:p w:rsidR="00E137DD" w:rsidRPr="00D542E7" w:rsidRDefault="00E137DD" w:rsidP="00182DFC">
      <w:pPr>
        <w:pStyle w:val="Tabletextjustified"/>
        <w:keepNext/>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Bernadette O’Neill, General Manager</w:t>
      </w:r>
    </w:p>
    <w:p w:rsidR="00E137DD" w:rsidRPr="00D542E7" w:rsidRDefault="00E137DD" w:rsidP="00182DFC">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b/>
          <w:sz w:val="20"/>
          <w:szCs w:val="18"/>
        </w:rPr>
      </w:pPr>
      <w:r w:rsidRPr="00D542E7">
        <w:rPr>
          <w:rFonts w:ascii="Book Antiqua" w:hAnsi="Book Antiqua"/>
          <w:b/>
          <w:sz w:val="20"/>
          <w:szCs w:val="18"/>
        </w:rPr>
        <w:t>Outcome</w:t>
      </w:r>
    </w:p>
    <w:p w:rsidR="00E137DD" w:rsidRPr="00182DFC" w:rsidRDefault="00E137DD" w:rsidP="00182DFC">
      <w:pPr>
        <w:pStyle w:val="ChartGraphic"/>
        <w:pBdr>
          <w:left w:val="single" w:sz="4" w:space="4" w:color="595959" w:themeColor="text1" w:themeTint="A6"/>
          <w:bottom w:val="single" w:sz="4" w:space="6" w:color="595959" w:themeColor="text1" w:themeTint="A6"/>
          <w:right w:val="single" w:sz="4" w:space="4" w:color="595959" w:themeColor="text1" w:themeTint="A6"/>
        </w:pBdr>
        <w:jc w:val="left"/>
        <w:rPr>
          <w:rFonts w:ascii="Book Antiqua" w:hAnsi="Book Antiqua"/>
        </w:rPr>
      </w:pPr>
      <w:r w:rsidRPr="00182DFC">
        <w:rPr>
          <w:rFonts w:ascii="Book Antiqua" w:hAnsi="Book Antiqua"/>
        </w:rPr>
        <w:t>Simple, fair and flexible workplace relations for employees and employers through the exercise of powers to set and vary minimum wages and modern staff awards, facilitate collective bargaining, approve agreements and deal with disputes.</w:t>
      </w:r>
    </w:p>
    <w:p w:rsidR="00F535F1" w:rsidRDefault="00F535F1" w:rsidP="00A64635">
      <w:pPr>
        <w:pStyle w:val="SingleParagraph"/>
      </w:pPr>
      <w:bookmarkStart w:id="89" w:name="_Toc97433671"/>
      <w:bookmarkStart w:id="90" w:name="_Toc97433760"/>
      <w:bookmarkStart w:id="91" w:name="_Toc97433860"/>
      <w:bookmarkStart w:id="92" w:name="_Toc97434209"/>
      <w:bookmarkStart w:id="93" w:name="_Toc97528986"/>
      <w:bookmarkStart w:id="94" w:name="_Toc97529025"/>
      <w:bookmarkStart w:id="95" w:name="_Toc112224373"/>
    </w:p>
    <w:p w:rsidR="00F535F1" w:rsidRDefault="00F535F1">
      <w:pPr>
        <w:spacing w:after="0" w:line="240" w:lineRule="auto"/>
        <w:jc w:val="left"/>
      </w:pPr>
      <w:r>
        <w:br w:type="page"/>
      </w:r>
    </w:p>
    <w:p w:rsidR="00C67609" w:rsidRDefault="00C67609" w:rsidP="00816A9D">
      <w:pPr>
        <w:pStyle w:val="TableHeading"/>
        <w:spacing w:after="40"/>
        <w:rPr>
          <w:lang w:val="en-AU"/>
        </w:rPr>
      </w:pPr>
      <w:r>
        <w:t>Figure 1: Employment portfolio structure and outcomes (continued)</w:t>
      </w:r>
    </w:p>
    <w:p w:rsidR="005831FF" w:rsidRPr="00DF462B" w:rsidRDefault="005831FF" w:rsidP="00816A9D">
      <w:pPr>
        <w:pStyle w:val="Tabletextjustified"/>
        <w:pBdr>
          <w:top w:val="single" w:sz="4" w:space="6" w:color="595959" w:themeColor="text1" w:themeTint="A6"/>
          <w:left w:val="single" w:sz="4" w:space="4" w:color="595959" w:themeColor="text1" w:themeTint="A6"/>
          <w:right w:val="single" w:sz="4" w:space="4" w:color="595959" w:themeColor="text1" w:themeTint="A6"/>
        </w:pBdr>
        <w:spacing w:before="0" w:after="120" w:line="240" w:lineRule="exact"/>
        <w:jc w:val="center"/>
        <w:rPr>
          <w:rFonts w:ascii="Book Antiqua" w:hAnsi="Book Antiqua"/>
          <w:b/>
          <w:sz w:val="20"/>
          <w:szCs w:val="18"/>
        </w:rPr>
      </w:pPr>
      <w:r w:rsidRPr="00DF462B">
        <w:rPr>
          <w:rFonts w:ascii="Book Antiqua" w:hAnsi="Book Antiqua"/>
          <w:b/>
          <w:sz w:val="20"/>
          <w:szCs w:val="18"/>
        </w:rPr>
        <w:t>Fair Work Ombudsman</w:t>
      </w:r>
    </w:p>
    <w:p w:rsidR="005831FF" w:rsidRPr="00DF462B"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F462B">
        <w:rPr>
          <w:rFonts w:ascii="Book Antiqua" w:hAnsi="Book Antiqua"/>
          <w:sz w:val="20"/>
          <w:szCs w:val="18"/>
        </w:rPr>
        <w:t>Natalie James, Ombudsman</w:t>
      </w:r>
    </w:p>
    <w:p w:rsidR="005831FF" w:rsidRPr="00DF462B"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sz w:val="20"/>
          <w:szCs w:val="18"/>
        </w:rPr>
      </w:pPr>
      <w:r w:rsidRPr="00DF462B">
        <w:rPr>
          <w:rFonts w:ascii="Book Antiqua" w:hAnsi="Book Antiqua"/>
          <w:b/>
          <w:sz w:val="20"/>
          <w:szCs w:val="18"/>
        </w:rPr>
        <w:t>Outcome</w:t>
      </w:r>
      <w:r w:rsidRPr="00DF462B">
        <w:rPr>
          <w:rFonts w:ascii="Book Antiqua" w:hAnsi="Book Antiqua"/>
          <w:sz w:val="20"/>
          <w:szCs w:val="18"/>
        </w:rPr>
        <w:t xml:space="preserve"> </w:t>
      </w:r>
    </w:p>
    <w:p w:rsidR="005831FF" w:rsidRDefault="005831FF" w:rsidP="00816A9D">
      <w:pPr>
        <w:pBdr>
          <w:left w:val="single" w:sz="4" w:space="4" w:color="595959" w:themeColor="text1" w:themeTint="A6"/>
          <w:bottom w:val="single" w:sz="4" w:space="6" w:color="595959" w:themeColor="text1" w:themeTint="A6"/>
          <w:right w:val="single" w:sz="4" w:space="4" w:color="595959" w:themeColor="text1" w:themeTint="A6"/>
        </w:pBdr>
        <w:spacing w:after="0"/>
      </w:pPr>
      <w:proofErr w:type="gramStart"/>
      <w:r w:rsidRPr="00DF462B">
        <w:t>Compliance with workplace relations legislation by employees and employers through advice, education and, where necessary, enforcement.</w:t>
      </w:r>
      <w:proofErr w:type="gramEnd"/>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Office of the Fair Work Building Industry Inspectorate</w:t>
      </w:r>
    </w:p>
    <w:p w:rsidR="005831FF" w:rsidRPr="00D542E7" w:rsidRDefault="005831FF" w:rsidP="00816A9D">
      <w:pPr>
        <w:pStyle w:val="Tabletextjustified"/>
        <w:keepLines/>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 xml:space="preserve"> Nigel </w:t>
      </w:r>
      <w:proofErr w:type="spellStart"/>
      <w:r w:rsidRPr="00D542E7">
        <w:rPr>
          <w:rFonts w:ascii="Book Antiqua" w:hAnsi="Book Antiqua"/>
          <w:sz w:val="20"/>
          <w:szCs w:val="18"/>
        </w:rPr>
        <w:t>Hadgkiss</w:t>
      </w:r>
      <w:proofErr w:type="spellEnd"/>
      <w:r w:rsidRPr="00D542E7">
        <w:rPr>
          <w:rFonts w:ascii="Book Antiqua" w:hAnsi="Book Antiqua"/>
          <w:sz w:val="20"/>
          <w:szCs w:val="18"/>
        </w:rPr>
        <w:t xml:space="preserve"> </w:t>
      </w:r>
      <w:proofErr w:type="spellStart"/>
      <w:r w:rsidRPr="00D542E7">
        <w:rPr>
          <w:rFonts w:ascii="Book Antiqua" w:hAnsi="Book Antiqua"/>
          <w:sz w:val="20"/>
          <w:szCs w:val="18"/>
        </w:rPr>
        <w:t>APM</w:t>
      </w:r>
      <w:proofErr w:type="spellEnd"/>
      <w:r w:rsidRPr="00D542E7">
        <w:rPr>
          <w:rFonts w:ascii="Book Antiqua" w:hAnsi="Book Antiqua"/>
          <w:sz w:val="20"/>
          <w:szCs w:val="18"/>
        </w:rPr>
        <w:t>, Director</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sz w:val="20"/>
          <w:szCs w:val="18"/>
        </w:rPr>
      </w:pPr>
      <w:r w:rsidRPr="00D542E7">
        <w:rPr>
          <w:rFonts w:ascii="Book Antiqua" w:hAnsi="Book Antiqua"/>
          <w:b/>
          <w:sz w:val="20"/>
          <w:szCs w:val="18"/>
        </w:rPr>
        <w:t>Outcome</w:t>
      </w:r>
      <w:r w:rsidRPr="00D542E7">
        <w:rPr>
          <w:rFonts w:ascii="Book Antiqua" w:hAnsi="Book Antiqua"/>
          <w:sz w:val="20"/>
          <w:szCs w:val="18"/>
        </w:rPr>
        <w:t xml:space="preserve"> </w:t>
      </w:r>
    </w:p>
    <w:p w:rsidR="005831FF" w:rsidRDefault="005831FF" w:rsidP="00816A9D">
      <w:pPr>
        <w:pBdr>
          <w:left w:val="single" w:sz="4" w:space="4" w:color="595959" w:themeColor="text1" w:themeTint="A6"/>
          <w:bottom w:val="single" w:sz="4" w:space="6" w:color="595959" w:themeColor="text1" w:themeTint="A6"/>
          <w:right w:val="single" w:sz="4" w:space="4" w:color="595959" w:themeColor="text1" w:themeTint="A6"/>
        </w:pBdr>
        <w:spacing w:after="0"/>
      </w:pPr>
      <w:r w:rsidRPr="00D542E7">
        <w:t>Enforce workplace relations laws in the building and construction industry and ensure compliance with those laws by all participants in the building and construction industry through the provision of education, assistance and advice.</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Safe Work Australia</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Michelle Baxter, Chief Executive Officer</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b/>
          <w:sz w:val="20"/>
          <w:szCs w:val="18"/>
        </w:rPr>
      </w:pPr>
      <w:r w:rsidRPr="00D542E7">
        <w:rPr>
          <w:rFonts w:ascii="Book Antiqua" w:hAnsi="Book Antiqua"/>
          <w:b/>
          <w:sz w:val="20"/>
          <w:szCs w:val="18"/>
        </w:rPr>
        <w:t xml:space="preserve">Outcome </w:t>
      </w:r>
    </w:p>
    <w:p w:rsidR="005831FF" w:rsidRDefault="005831FF" w:rsidP="00816A9D">
      <w:pPr>
        <w:pBdr>
          <w:left w:val="single" w:sz="4" w:space="4" w:color="595959" w:themeColor="text1" w:themeTint="A6"/>
          <w:bottom w:val="single" w:sz="4" w:space="6" w:color="595959" w:themeColor="text1" w:themeTint="A6"/>
          <w:right w:val="single" w:sz="4" w:space="4" w:color="595959" w:themeColor="text1" w:themeTint="A6"/>
        </w:pBdr>
        <w:spacing w:after="0"/>
      </w:pPr>
      <w:r w:rsidRPr="00D542E7">
        <w:t>Healthier, safer and more productive workplaces through improvements to Australian work health and safety and workers’ compensation arrangements.</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b/>
          <w:sz w:val="20"/>
          <w:szCs w:val="18"/>
        </w:rPr>
      </w:pPr>
      <w:r w:rsidRPr="00D542E7">
        <w:rPr>
          <w:rFonts w:ascii="Book Antiqua" w:hAnsi="Book Antiqua"/>
          <w:b/>
          <w:sz w:val="20"/>
          <w:szCs w:val="18"/>
        </w:rPr>
        <w:t>Workplace Gender Equality Agency</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jc w:val="center"/>
        <w:rPr>
          <w:rFonts w:ascii="Book Antiqua" w:hAnsi="Book Antiqua"/>
          <w:sz w:val="20"/>
          <w:szCs w:val="18"/>
        </w:rPr>
      </w:pPr>
      <w:r w:rsidRPr="00D542E7">
        <w:rPr>
          <w:rFonts w:ascii="Book Antiqua" w:hAnsi="Book Antiqua"/>
          <w:sz w:val="20"/>
          <w:szCs w:val="18"/>
        </w:rPr>
        <w:t>Libby Lyons, Director</w:t>
      </w:r>
    </w:p>
    <w:p w:rsidR="005831FF" w:rsidRPr="00D542E7" w:rsidRDefault="005831FF" w:rsidP="00816A9D">
      <w:pPr>
        <w:pStyle w:val="Tabletextjustified"/>
        <w:pBdr>
          <w:left w:val="single" w:sz="4" w:space="4" w:color="595959" w:themeColor="text1" w:themeTint="A6"/>
          <w:right w:val="single" w:sz="4" w:space="4" w:color="595959" w:themeColor="text1" w:themeTint="A6"/>
        </w:pBdr>
        <w:spacing w:before="120" w:after="120" w:line="240" w:lineRule="exact"/>
        <w:rPr>
          <w:rFonts w:ascii="Book Antiqua" w:hAnsi="Book Antiqua"/>
          <w:b/>
          <w:sz w:val="20"/>
          <w:szCs w:val="18"/>
        </w:rPr>
      </w:pPr>
      <w:r w:rsidRPr="00D542E7">
        <w:rPr>
          <w:rFonts w:ascii="Book Antiqua" w:hAnsi="Book Antiqua"/>
          <w:b/>
          <w:sz w:val="20"/>
          <w:szCs w:val="18"/>
        </w:rPr>
        <w:t>Outcome</w:t>
      </w:r>
    </w:p>
    <w:p w:rsidR="005831FF" w:rsidRDefault="005831FF" w:rsidP="00816A9D">
      <w:pPr>
        <w:pBdr>
          <w:left w:val="single" w:sz="4" w:space="4" w:color="595959" w:themeColor="text1" w:themeTint="A6"/>
          <w:bottom w:val="single" w:sz="4" w:space="6" w:color="595959" w:themeColor="text1" w:themeTint="A6"/>
          <w:right w:val="single" w:sz="4" w:space="4" w:color="595959" w:themeColor="text1" w:themeTint="A6"/>
        </w:pBdr>
      </w:pPr>
      <w:r w:rsidRPr="00D542E7">
        <w:t>Promote and improve gender equality in Australian workplaces including the provision of advice and assistance to employers and the assessment and measurement of workplace gender data.</w:t>
      </w:r>
    </w:p>
    <w:p w:rsidR="00F51DAC" w:rsidRDefault="00F51DAC" w:rsidP="009F448B">
      <w:pPr>
        <w:pStyle w:val="TableGraphic"/>
      </w:pPr>
    </w:p>
    <w:p w:rsidR="00F51DAC" w:rsidRDefault="00F51DAC" w:rsidP="00F51DAC">
      <w:pPr>
        <w:pStyle w:val="PartHeading"/>
        <w:sectPr w:rsidR="00F51DAC" w:rsidSect="00905F2D">
          <w:headerReference w:type="even" r:id="rId33"/>
          <w:headerReference w:type="default" r:id="rId34"/>
          <w:headerReference w:type="first" r:id="rId35"/>
          <w:footerReference w:type="first" r:id="rId36"/>
          <w:type w:val="oddPage"/>
          <w:pgSz w:w="11907" w:h="16840" w:code="9"/>
          <w:pgMar w:top="2466" w:right="2098" w:bottom="2466" w:left="2098" w:header="1899" w:footer="1899" w:gutter="0"/>
          <w:pgNumType w:start="1"/>
          <w:cols w:space="720"/>
          <w:titlePg/>
        </w:sectPr>
      </w:pPr>
    </w:p>
    <w:p w:rsidR="00F51DAC" w:rsidRDefault="00F8568F" w:rsidP="00F51DAC">
      <w:pPr>
        <w:pStyle w:val="PartHeading"/>
      </w:pPr>
      <w:r>
        <w:t>additional estimates statements</w:t>
      </w:r>
      <w:bookmarkEnd w:id="89"/>
      <w:bookmarkEnd w:id="90"/>
      <w:bookmarkEnd w:id="91"/>
      <w:bookmarkEnd w:id="92"/>
      <w:bookmarkEnd w:id="93"/>
      <w:bookmarkEnd w:id="94"/>
      <w:bookmarkEnd w:id="95"/>
    </w:p>
    <w:p w:rsidR="00F51DAC" w:rsidRDefault="00F51DAC" w:rsidP="00F51DAC"/>
    <w:p w:rsidR="00F51DAC" w:rsidRDefault="00F51DAC" w:rsidP="00F51DAC">
      <w:pPr>
        <w:pStyle w:val="TOC1"/>
      </w:pPr>
      <w:r>
        <w:t xml:space="preserve">Department of </w:t>
      </w:r>
      <w:r w:rsidR="00ED5898">
        <w:t>Employment</w:t>
      </w:r>
      <w:r>
        <w:tab/>
      </w:r>
      <w:r w:rsidR="00A40962">
        <w:t>7</w:t>
      </w:r>
    </w:p>
    <w:p w:rsidR="0032322C" w:rsidRPr="0032322C" w:rsidRDefault="0032322C" w:rsidP="00D542E7"/>
    <w:p w:rsidR="00F51DAC" w:rsidRDefault="00F51DAC" w:rsidP="00A40962">
      <w:pPr>
        <w:pStyle w:val="TOC1"/>
        <w:rPr>
          <w:i/>
        </w:rPr>
        <w:sectPr w:rsidR="00F51DAC" w:rsidSect="004C04CB">
          <w:headerReference w:type="first" r:id="rId37"/>
          <w:footerReference w:type="first" r:id="rId38"/>
          <w:type w:val="oddPage"/>
          <w:pgSz w:w="11907" w:h="16840" w:code="9"/>
          <w:pgMar w:top="2466" w:right="2098" w:bottom="2466" w:left="2098" w:header="1899" w:footer="1899" w:gutter="0"/>
          <w:cols w:space="720"/>
          <w:titlePg/>
        </w:sectPr>
      </w:pPr>
      <w:bookmarkStart w:id="96" w:name="_Toc210646446"/>
      <w:bookmarkStart w:id="97" w:name="_Toc210698425"/>
    </w:p>
    <w:bookmarkEnd w:id="96"/>
    <w:bookmarkEnd w:id="97"/>
    <w:p w:rsidR="00F51DAC" w:rsidRPr="00A40962" w:rsidRDefault="00ED5898" w:rsidP="00F51DAC">
      <w:pPr>
        <w:pStyle w:val="Heading1"/>
        <w:rPr>
          <w:lang w:val="en-AU"/>
        </w:rPr>
      </w:pPr>
      <w:r>
        <w:rPr>
          <w:lang w:val="en-AU"/>
        </w:rPr>
        <w:lastRenderedPageBreak/>
        <w:t>Department of Employment</w:t>
      </w:r>
    </w:p>
    <w:p w:rsidR="00F51DAC" w:rsidRPr="00D27592" w:rsidRDefault="00F51DAC" w:rsidP="00F51DAC">
      <w:pPr>
        <w:pStyle w:val="TOC1"/>
      </w:pPr>
      <w:bookmarkStart w:id="98" w:name="_Toc23559338"/>
      <w:bookmarkStart w:id="99" w:name="_Toc23559372"/>
      <w:bookmarkStart w:id="100" w:name="_Toc23559663"/>
      <w:bookmarkStart w:id="101" w:name="_Toc23560126"/>
      <w:bookmarkStart w:id="102" w:name="_Toc23563421"/>
      <w:bookmarkStart w:id="103" w:name="_Toc77998675"/>
      <w:bookmarkStart w:id="104" w:name="_Toc436624136"/>
      <w:bookmarkStart w:id="105" w:name="_Toc436625437"/>
      <w:bookmarkStart w:id="106" w:name="_Toc449255757"/>
      <w:r w:rsidRPr="00004343">
        <w:t>Section 1</w:t>
      </w:r>
      <w:r>
        <w:t xml:space="preserve">: </w:t>
      </w:r>
      <w:r w:rsidR="00726A60">
        <w:t>Entity</w:t>
      </w:r>
      <w:r w:rsidRPr="00004343">
        <w:t xml:space="preserve"> </w:t>
      </w:r>
      <w:r w:rsidR="00DE2037">
        <w:t>o</w:t>
      </w:r>
      <w:r w:rsidR="00DE2037" w:rsidRPr="00004343">
        <w:t xml:space="preserve">verview and </w:t>
      </w:r>
      <w:r w:rsidR="00DE2037">
        <w:t>r</w:t>
      </w:r>
      <w:r w:rsidR="00DE2037" w:rsidRPr="00004343">
        <w:t>esource</w:t>
      </w:r>
      <w:r w:rsidR="00DE2037">
        <w:t>s</w:t>
      </w:r>
      <w:r w:rsidRPr="00D27592">
        <w:tab/>
      </w:r>
      <w:r w:rsidR="00830F17">
        <w:t>8</w:t>
      </w:r>
    </w:p>
    <w:p w:rsidR="00F51DAC" w:rsidRDefault="00F51DAC" w:rsidP="00F51DAC">
      <w:pPr>
        <w:pStyle w:val="TOC2"/>
      </w:pPr>
      <w:r>
        <w:t xml:space="preserve">1.1  </w:t>
      </w:r>
      <w:r w:rsidR="00960353" w:rsidRPr="00361120">
        <w:t>St</w:t>
      </w:r>
      <w:r w:rsidR="00960353">
        <w:t>rategic</w:t>
      </w:r>
      <w:r>
        <w:t xml:space="preserve"> </w:t>
      </w:r>
      <w:r w:rsidR="00DE2037">
        <w:t>direction statement</w:t>
      </w:r>
      <w:r w:rsidRPr="00361120">
        <w:tab/>
      </w:r>
      <w:r w:rsidR="00830F17">
        <w:t>8</w:t>
      </w:r>
    </w:p>
    <w:p w:rsidR="00F51DAC" w:rsidRPr="00361120" w:rsidRDefault="00F51DAC" w:rsidP="00F51DAC">
      <w:pPr>
        <w:pStyle w:val="TOC2"/>
      </w:pPr>
      <w:r>
        <w:t xml:space="preserve">1.2  </w:t>
      </w:r>
      <w:r w:rsidR="00830F17">
        <w:t>Resource</w:t>
      </w:r>
      <w:r w:rsidR="00DE2037">
        <w:t xml:space="preserve"> statement</w:t>
      </w:r>
      <w:r w:rsidRPr="00361120">
        <w:tab/>
      </w:r>
      <w:r w:rsidR="00830F17">
        <w:t>8</w:t>
      </w:r>
    </w:p>
    <w:p w:rsidR="00F51DAC" w:rsidRPr="00361120" w:rsidRDefault="00E15CF3" w:rsidP="00F51DAC">
      <w:pPr>
        <w:pStyle w:val="TOC2"/>
      </w:pPr>
      <w:r>
        <w:t>1.3  M</w:t>
      </w:r>
      <w:r w:rsidR="00755EB5">
        <w:t>easures</w:t>
      </w:r>
      <w:r w:rsidR="00F51DAC" w:rsidRPr="00361120">
        <w:tab/>
      </w:r>
      <w:r w:rsidR="005B2491">
        <w:t>12</w:t>
      </w:r>
    </w:p>
    <w:p w:rsidR="00F51DAC" w:rsidRPr="00361120" w:rsidRDefault="00E15CF3" w:rsidP="00F51DAC">
      <w:pPr>
        <w:pStyle w:val="TOC2"/>
      </w:pPr>
      <w:r>
        <w:t xml:space="preserve">1.4  Additional </w:t>
      </w:r>
      <w:r w:rsidR="00DE2037">
        <w:t xml:space="preserve">estimates </w:t>
      </w:r>
      <w:r w:rsidR="00F51DAC">
        <w:t xml:space="preserve">and </w:t>
      </w:r>
      <w:r w:rsidR="00DE2037">
        <w:t>variations</w:t>
      </w:r>
      <w:r w:rsidR="00F51DAC" w:rsidRPr="00361120">
        <w:tab/>
      </w:r>
      <w:r w:rsidR="005B2491">
        <w:t>14</w:t>
      </w:r>
    </w:p>
    <w:p w:rsidR="00F51DAC" w:rsidRDefault="00E15CF3" w:rsidP="00F51DAC">
      <w:pPr>
        <w:pStyle w:val="TOC2"/>
      </w:pPr>
      <w:r>
        <w:t xml:space="preserve">1.5  Breakdown of </w:t>
      </w:r>
      <w:r w:rsidR="00DE2037">
        <w:t xml:space="preserve">additional estimates </w:t>
      </w:r>
      <w:r w:rsidR="00F51DAC">
        <w:t xml:space="preserve">by </w:t>
      </w:r>
      <w:r w:rsidR="00DE2037">
        <w:t>appropriation bill</w:t>
      </w:r>
      <w:r w:rsidR="00F51DAC" w:rsidRPr="00361120">
        <w:tab/>
      </w:r>
      <w:r w:rsidR="005B2491">
        <w:t>16</w:t>
      </w:r>
    </w:p>
    <w:p w:rsidR="00F51DAC" w:rsidRPr="00D27592" w:rsidRDefault="00F51DAC" w:rsidP="00F51DAC">
      <w:pPr>
        <w:pStyle w:val="TOC1"/>
      </w:pPr>
      <w:r w:rsidRPr="00004343">
        <w:t xml:space="preserve">Section </w:t>
      </w:r>
      <w:r>
        <w:t xml:space="preserve">2: Revisions to </w:t>
      </w:r>
      <w:r w:rsidR="00DE2037">
        <w:t xml:space="preserve">outcomes </w:t>
      </w:r>
      <w:r>
        <w:t xml:space="preserve">and </w:t>
      </w:r>
      <w:r w:rsidR="00DE2037">
        <w:t>planned performance</w:t>
      </w:r>
      <w:r w:rsidRPr="00D27592">
        <w:tab/>
      </w:r>
      <w:r w:rsidR="005B2491">
        <w:t>18</w:t>
      </w:r>
    </w:p>
    <w:p w:rsidR="00F51DAC" w:rsidRDefault="00F51DAC" w:rsidP="00F51DAC">
      <w:pPr>
        <w:pStyle w:val="TOC2"/>
      </w:pPr>
      <w:r>
        <w:t xml:space="preserve">2.1  </w:t>
      </w:r>
      <w:r w:rsidR="00D72565">
        <w:t>Outcomes</w:t>
      </w:r>
      <w:r>
        <w:t xml:space="preserve"> and </w:t>
      </w:r>
      <w:r w:rsidR="00DE2037">
        <w:t>performance information</w:t>
      </w:r>
      <w:r w:rsidRPr="00361120">
        <w:tab/>
      </w:r>
      <w:r w:rsidR="005B2491">
        <w:t>18</w:t>
      </w:r>
    </w:p>
    <w:p w:rsidR="00F51DAC" w:rsidRPr="00B4256D" w:rsidRDefault="00F51DAC" w:rsidP="00F51DAC">
      <w:pPr>
        <w:pStyle w:val="TOC1"/>
      </w:pPr>
      <w:r w:rsidRPr="00B4256D">
        <w:t>Section 3</w:t>
      </w:r>
      <w:r>
        <w:t xml:space="preserve">: </w:t>
      </w:r>
      <w:r w:rsidRPr="00B4256D">
        <w:t xml:space="preserve">Explanatory </w:t>
      </w:r>
      <w:r w:rsidR="00DE2037">
        <w:t>t</w:t>
      </w:r>
      <w:r w:rsidR="00DE2037" w:rsidRPr="00B4256D">
        <w:t xml:space="preserve">ables </w:t>
      </w:r>
      <w:r w:rsidRPr="00B4256D">
        <w:t xml:space="preserve">and </w:t>
      </w:r>
      <w:r w:rsidR="00DE2037">
        <w:t>b</w:t>
      </w:r>
      <w:r w:rsidR="00DE2037" w:rsidRPr="00B4256D">
        <w:t xml:space="preserve">udgeted </w:t>
      </w:r>
      <w:r w:rsidR="00DE2037">
        <w:t>f</w:t>
      </w:r>
      <w:r w:rsidR="00DE2037" w:rsidRPr="00B4256D">
        <w:t xml:space="preserve">inancial </w:t>
      </w:r>
      <w:r w:rsidR="00DE2037">
        <w:t>s</w:t>
      </w:r>
      <w:r w:rsidR="00DE2037" w:rsidRPr="00B4256D">
        <w:t>tatements</w:t>
      </w:r>
      <w:r w:rsidRPr="00B4256D">
        <w:tab/>
      </w:r>
      <w:r w:rsidR="005B2491">
        <w:t>23</w:t>
      </w:r>
    </w:p>
    <w:p w:rsidR="00F51DAC" w:rsidRDefault="00F51DAC" w:rsidP="00F51DAC">
      <w:pPr>
        <w:pStyle w:val="TOC2"/>
      </w:pPr>
      <w:r>
        <w:t xml:space="preserve">3.1  Explanatory </w:t>
      </w:r>
      <w:r w:rsidR="00DE2037">
        <w:t>tables</w:t>
      </w:r>
      <w:r w:rsidRPr="00361120">
        <w:tab/>
      </w:r>
      <w:r w:rsidR="005B2491">
        <w:t>23</w:t>
      </w:r>
    </w:p>
    <w:p w:rsidR="00A40962" w:rsidRDefault="00F51DAC" w:rsidP="00A40962">
      <w:pPr>
        <w:pStyle w:val="TOC2"/>
      </w:pPr>
      <w:r>
        <w:t xml:space="preserve">3.2  Budgeted </w:t>
      </w:r>
      <w:r w:rsidR="00DE2037">
        <w:t>financial statements</w:t>
      </w:r>
      <w:r w:rsidRPr="00361120">
        <w:tab/>
      </w:r>
      <w:r w:rsidR="005B2491">
        <w:t>23</w:t>
      </w:r>
    </w:p>
    <w:p w:rsidR="00A40962" w:rsidRDefault="00A40962" w:rsidP="00A40962">
      <w:pPr>
        <w:rPr>
          <w:rFonts w:ascii="Arial" w:hAnsi="Arial"/>
        </w:rPr>
      </w:pPr>
      <w:r>
        <w:br w:type="page"/>
      </w:r>
    </w:p>
    <w:p w:rsidR="00A40962" w:rsidRPr="00A40962" w:rsidRDefault="00A40962" w:rsidP="00A40962">
      <w:pPr>
        <w:pStyle w:val="TOC2"/>
      </w:pPr>
    </w:p>
    <w:p w:rsidR="00F51DAC" w:rsidRPr="0033071D" w:rsidRDefault="00ED5898" w:rsidP="00F51DAC">
      <w:pPr>
        <w:pStyle w:val="Heading1"/>
        <w:rPr>
          <w:lang w:val="en-AU"/>
        </w:rPr>
      </w:pPr>
      <w:bookmarkStart w:id="107" w:name="OLE_LINK12"/>
      <w:bookmarkStart w:id="108" w:name="OLE_LINK13"/>
      <w:bookmarkEnd w:id="98"/>
      <w:bookmarkEnd w:id="99"/>
      <w:bookmarkEnd w:id="100"/>
      <w:bookmarkEnd w:id="101"/>
      <w:bookmarkEnd w:id="102"/>
      <w:bookmarkEnd w:id="103"/>
      <w:r>
        <w:rPr>
          <w:lang w:val="en-AU"/>
        </w:rPr>
        <w:t>Department of Employment</w:t>
      </w:r>
    </w:p>
    <w:p w:rsidR="0090206F" w:rsidRPr="0090206F" w:rsidRDefault="0090206F" w:rsidP="0090206F">
      <w:pPr>
        <w:pStyle w:val="Heading2"/>
      </w:pPr>
      <w:bookmarkStart w:id="109" w:name="_Toc490972399"/>
      <w:bookmarkStart w:id="110" w:name="_Toc491014616"/>
      <w:bookmarkStart w:id="111" w:name="_Toc491014758"/>
      <w:bookmarkStart w:id="112" w:name="_Toc491014938"/>
      <w:bookmarkStart w:id="113" w:name="_Toc491015085"/>
      <w:bookmarkStart w:id="114" w:name="_Toc491029232"/>
      <w:bookmarkStart w:id="115" w:name="_Toc491030321"/>
      <w:bookmarkStart w:id="116" w:name="_Toc491030781"/>
      <w:bookmarkStart w:id="117" w:name="_Toc491031344"/>
      <w:bookmarkStart w:id="118" w:name="_Toc491031931"/>
      <w:bookmarkStart w:id="119" w:name="_Toc491032101"/>
      <w:bookmarkStart w:id="120" w:name="_Toc491032212"/>
      <w:bookmarkStart w:id="121" w:name="_Toc491032319"/>
      <w:bookmarkStart w:id="122" w:name="_Toc491771706"/>
      <w:bookmarkStart w:id="123" w:name="_Toc491773281"/>
      <w:bookmarkStart w:id="124" w:name="_Toc23559340"/>
      <w:bookmarkStart w:id="125" w:name="_Toc23559374"/>
      <w:bookmarkStart w:id="126" w:name="_Toc23559665"/>
      <w:bookmarkStart w:id="127" w:name="_Toc23560128"/>
      <w:bookmarkStart w:id="128" w:name="_Toc23563423"/>
      <w:bookmarkStart w:id="129" w:name="_Toc77998677"/>
      <w:bookmarkStart w:id="130" w:name="_Toc79399716"/>
      <w:bookmarkStart w:id="131" w:name="_Toc112211956"/>
      <w:bookmarkStart w:id="132" w:name="_Toc112212050"/>
      <w:bookmarkStart w:id="133" w:name="_Toc112137868"/>
      <w:bookmarkStart w:id="134" w:name="_Toc112137890"/>
      <w:bookmarkStart w:id="135" w:name="_Toc210646448"/>
      <w:bookmarkStart w:id="136" w:name="_Toc210698427"/>
      <w:bookmarkStart w:id="137" w:name="_Toc210703208"/>
      <w:bookmarkStart w:id="138" w:name="_Toc436624138"/>
      <w:bookmarkStart w:id="139" w:name="_Toc436625439"/>
      <w:bookmarkStart w:id="140" w:name="_Toc449255759"/>
      <w:bookmarkStart w:id="141" w:name="_Toc490972400"/>
      <w:bookmarkStart w:id="142" w:name="_Toc491014617"/>
      <w:bookmarkStart w:id="143" w:name="_Toc491014759"/>
      <w:bookmarkStart w:id="144" w:name="_Toc491014939"/>
      <w:bookmarkStart w:id="145" w:name="_Toc491015086"/>
      <w:bookmarkStart w:id="146" w:name="_Toc491029233"/>
      <w:bookmarkStart w:id="147" w:name="_Toc491030322"/>
      <w:bookmarkStart w:id="148" w:name="_Toc491030782"/>
      <w:bookmarkStart w:id="149" w:name="_Toc491031345"/>
      <w:bookmarkStart w:id="150" w:name="_Toc491031932"/>
      <w:bookmarkStart w:id="151" w:name="_Toc491032102"/>
      <w:bookmarkStart w:id="152" w:name="_Toc491032213"/>
      <w:bookmarkStart w:id="153" w:name="_Toc491032320"/>
      <w:bookmarkStart w:id="154" w:name="_Toc491771707"/>
      <w:bookmarkStart w:id="155" w:name="_Toc491773282"/>
      <w:bookmarkStart w:id="156" w:name="_Toc23559341"/>
      <w:bookmarkStart w:id="157" w:name="_Toc23559375"/>
      <w:bookmarkStart w:id="158" w:name="_Toc23559666"/>
      <w:bookmarkStart w:id="159" w:name="_Toc23560129"/>
      <w:bookmarkStart w:id="160" w:name="_Toc23563424"/>
      <w:bookmarkStart w:id="161" w:name="_Toc77998678"/>
      <w:bookmarkStart w:id="162" w:name="_Toc79406107"/>
      <w:bookmarkStart w:id="163" w:name="_Toc79467809"/>
      <w:bookmarkStart w:id="164" w:name="_Toc112211957"/>
      <w:bookmarkStart w:id="165" w:name="_Toc112212051"/>
      <w:bookmarkStart w:id="166" w:name="_Toc112137869"/>
      <w:bookmarkStart w:id="167" w:name="_Toc112137891"/>
      <w:bookmarkEnd w:id="104"/>
      <w:bookmarkEnd w:id="105"/>
      <w:bookmarkEnd w:id="106"/>
      <w:r w:rsidRPr="0090206F">
        <w:t xml:space="preserve">Section 1: </w:t>
      </w:r>
      <w:r w:rsidR="00726A60">
        <w:t>Entity</w:t>
      </w:r>
      <w:r w:rsidRPr="0090206F">
        <w:t xml:space="preserve"> </w:t>
      </w:r>
      <w:r w:rsidR="002322E9">
        <w:t>o</w:t>
      </w:r>
      <w:r w:rsidR="002322E9" w:rsidRPr="0090206F">
        <w:t xml:space="preserve">verview and </w:t>
      </w:r>
      <w:r w:rsidR="002322E9">
        <w:t>r</w:t>
      </w:r>
      <w:r w:rsidR="002322E9" w:rsidRPr="0090206F">
        <w:t>esources</w:t>
      </w:r>
    </w:p>
    <w:p w:rsidR="00F51DAC" w:rsidRDefault="00F51DAC" w:rsidP="00B541AE">
      <w:pPr>
        <w:pStyle w:val="Heading3"/>
        <w:numPr>
          <w:ilvl w:val="1"/>
          <w:numId w:val="13"/>
        </w:numPr>
        <w:rPr>
          <w:lang w:val="en-AU"/>
        </w:rPr>
      </w:pPr>
      <w:bookmarkStart w:id="168" w:name="_Toc210703209"/>
      <w:bookmarkStart w:id="169" w:name="_Toc210646449"/>
      <w:bookmarkStart w:id="170" w:name="_Toc21069842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928FF">
        <w:t xml:space="preserve">Strategic </w:t>
      </w:r>
      <w:r w:rsidR="002322E9" w:rsidRPr="004928FF">
        <w:t>direction</w:t>
      </w:r>
      <w:bookmarkEnd w:id="168"/>
      <w:bookmarkEnd w:id="169"/>
      <w:bookmarkEnd w:id="170"/>
      <w:r w:rsidR="002322E9">
        <w:rPr>
          <w:lang w:val="en-AU"/>
        </w:rPr>
        <w:t xml:space="preserve"> statement</w:t>
      </w:r>
    </w:p>
    <w:p w:rsidR="00B541AE" w:rsidRDefault="00B541AE" w:rsidP="0033071D">
      <w:pPr>
        <w:jc w:val="left"/>
      </w:pPr>
      <w:r>
        <w:t>The Department of Employment was created on 18 September 2013. The role of the department is to provide policy advice and support, and implement programmes to deliver the Australian Government’s agenda to create more jobs, increase productivity and improve workplaces and safety through pursuing its two outcomes:</w:t>
      </w:r>
    </w:p>
    <w:p w:rsidR="00B541AE" w:rsidRDefault="00B541AE" w:rsidP="0033071D">
      <w:pPr>
        <w:pStyle w:val="ListParagraph"/>
        <w:numPr>
          <w:ilvl w:val="0"/>
          <w:numId w:val="14"/>
        </w:numPr>
        <w:jc w:val="left"/>
      </w:pPr>
      <w:r>
        <w:t xml:space="preserve">Foster a productive and competitive labour market through employment policies and programmes that assist job seekers into work, meet employer needs and increase Australia’s workforce participation. </w:t>
      </w:r>
    </w:p>
    <w:p w:rsidR="00B541AE" w:rsidRDefault="00B541AE" w:rsidP="0033071D">
      <w:pPr>
        <w:pStyle w:val="ListParagraph"/>
        <w:numPr>
          <w:ilvl w:val="0"/>
          <w:numId w:val="14"/>
        </w:numPr>
        <w:jc w:val="left"/>
      </w:pPr>
      <w:r>
        <w:t xml:space="preserve">Facilitate </w:t>
      </w:r>
      <w:r w:rsidR="0033071D">
        <w:t>jobs growth through policies that promote fair, productive and safe workplaces.</w:t>
      </w:r>
    </w:p>
    <w:p w:rsidR="0033071D" w:rsidRPr="00B541AE" w:rsidRDefault="0033071D" w:rsidP="0033071D">
      <w:pPr>
        <w:jc w:val="left"/>
      </w:pPr>
      <w:r>
        <w:t xml:space="preserve">A full outline of the Department of Employment’s strategic direction can be found in the 2015–16 Portfolio Budget Statements. </w:t>
      </w:r>
    </w:p>
    <w:p w:rsidR="00F51DAC" w:rsidRPr="004928FF" w:rsidRDefault="00F51DAC" w:rsidP="0033071D">
      <w:pPr>
        <w:pStyle w:val="Heading3"/>
      </w:pPr>
      <w:bookmarkStart w:id="171" w:name="_Toc210703210"/>
      <w:bookmarkStart w:id="172" w:name="_Toc436624139"/>
      <w:bookmarkStart w:id="173" w:name="_Toc436625440"/>
      <w:bookmarkStart w:id="174" w:name="_Toc449255760"/>
      <w:bookmarkEnd w:id="107"/>
      <w:bookmarkEnd w:id="108"/>
      <w:r>
        <w:t>1.2</w:t>
      </w:r>
      <w:bookmarkEnd w:id="171"/>
      <w:r>
        <w:tab/>
      </w:r>
      <w:bookmarkStart w:id="175" w:name="_Toc490972403"/>
      <w:bookmarkStart w:id="176" w:name="_Toc491014620"/>
      <w:bookmarkStart w:id="177" w:name="_Toc491014762"/>
      <w:bookmarkStart w:id="178" w:name="_Toc491014942"/>
      <w:bookmarkStart w:id="179" w:name="_Toc491015089"/>
      <w:bookmarkStart w:id="180" w:name="_Toc491032105"/>
      <w:bookmarkEnd w:id="172"/>
      <w:bookmarkEnd w:id="173"/>
      <w:bookmarkEnd w:id="174"/>
      <w:r w:rsidR="002322E9">
        <w:t>resource statement</w:t>
      </w:r>
    </w:p>
    <w:p w:rsidR="00F51DAC" w:rsidRPr="00557CCF" w:rsidRDefault="00F51DAC" w:rsidP="0033071D">
      <w:pPr>
        <w:jc w:val="left"/>
      </w:pPr>
      <w:r>
        <w:t xml:space="preserve">The Resource Statement details the resourcing for </w:t>
      </w:r>
      <w:r w:rsidR="008F16DB">
        <w:t>the Department of Employment</w:t>
      </w:r>
      <w:r>
        <w:t xml:space="preserve"> at Additional Estimates</w:t>
      </w:r>
      <w:r w:rsidR="00E15CF3">
        <w:t xml:space="preserve">. </w:t>
      </w:r>
      <w:r>
        <w:t xml:space="preserve">Table 1.1 outlines the total resourcing available from all sources for the </w:t>
      </w:r>
      <w:r w:rsidR="00A1234B">
        <w:t>201</w:t>
      </w:r>
      <w:r w:rsidR="00B94BE6">
        <w:t>5</w:t>
      </w:r>
      <w:r w:rsidR="00ED5898">
        <w:t>–</w:t>
      </w:r>
      <w:r w:rsidR="00A1234B">
        <w:t>1</w:t>
      </w:r>
      <w:r w:rsidR="00B94BE6">
        <w:t>6</w:t>
      </w:r>
      <w:r>
        <w:t xml:space="preserve"> Budget year, including variations through </w:t>
      </w:r>
      <w:r w:rsidRPr="00B94BE6">
        <w:t>Appropriation Bill</w:t>
      </w:r>
      <w:r w:rsidR="00A4644A">
        <w:t>s</w:t>
      </w:r>
      <w:r w:rsidRPr="00B94BE6">
        <w:t xml:space="preserve"> No.</w:t>
      </w:r>
      <w:r w:rsidR="00B7550E" w:rsidRPr="00B94BE6">
        <w:t xml:space="preserve"> </w:t>
      </w:r>
      <w:r w:rsidRPr="00B94BE6">
        <w:t xml:space="preserve">3 </w:t>
      </w:r>
      <w:r w:rsidR="001A1C55" w:rsidRPr="00B94BE6">
        <w:t>and</w:t>
      </w:r>
      <w:r w:rsidR="00B7550E" w:rsidRPr="00B94BE6">
        <w:t xml:space="preserve"> </w:t>
      </w:r>
      <w:r w:rsidRPr="00B94BE6">
        <w:t>No</w:t>
      </w:r>
      <w:r w:rsidR="00ED5898" w:rsidRPr="00B94BE6">
        <w:t>.</w:t>
      </w:r>
      <w:r w:rsidR="00ED5898">
        <w:t> </w:t>
      </w:r>
      <w:r w:rsidRPr="00B94BE6">
        <w:t>4</w:t>
      </w:r>
      <w:r w:rsidRPr="00B94BE6">
        <w:rPr>
          <w:i/>
        </w:rPr>
        <w:t>,</w:t>
      </w:r>
      <w:r>
        <w:t xml:space="preserve"> </w:t>
      </w:r>
      <w:r w:rsidR="00272B20">
        <w:t>S</w:t>
      </w:r>
      <w:r>
        <w:t xml:space="preserve">pecial </w:t>
      </w:r>
      <w:r w:rsidR="00272B20">
        <w:t>A</w:t>
      </w:r>
      <w:r>
        <w:t xml:space="preserve">ppropriations and </w:t>
      </w:r>
      <w:r w:rsidR="00272B20">
        <w:t>S</w:t>
      </w:r>
      <w:r>
        <w:t xml:space="preserve">pecial </w:t>
      </w:r>
      <w:r w:rsidR="00272B20">
        <w:t>A</w:t>
      </w:r>
      <w:r>
        <w:t xml:space="preserve">ccounts. </w:t>
      </w:r>
    </w:p>
    <w:p w:rsidR="00DC46F5" w:rsidRDefault="00F51DAC" w:rsidP="00FA4915">
      <w:pPr>
        <w:pStyle w:val="TableHeading"/>
        <w:rPr>
          <w:lang w:val="en-AU"/>
        </w:rPr>
      </w:pPr>
      <w:r>
        <w:br w:type="page"/>
      </w:r>
      <w:bookmarkStart w:id="181" w:name="OLE_LINK9"/>
      <w:r w:rsidRPr="00564C0F">
        <w:lastRenderedPageBreak/>
        <w:t>Table 1.1:</w:t>
      </w:r>
      <w:r w:rsidR="008F16DB">
        <w:rPr>
          <w:lang w:val="en-AU"/>
        </w:rPr>
        <w:t xml:space="preserve"> Department of Employment</w:t>
      </w:r>
      <w:r w:rsidRPr="00564C0F">
        <w:t xml:space="preserve"> </w:t>
      </w:r>
      <w:r w:rsidR="0039259E" w:rsidRPr="00564C0F">
        <w:t>resource statement</w:t>
      </w:r>
      <w:r w:rsidR="00E15CF3" w:rsidRPr="00564C0F">
        <w:t>—</w:t>
      </w:r>
      <w:r w:rsidRPr="00564C0F">
        <w:t xml:space="preserve">Additional </w:t>
      </w:r>
      <w:r w:rsidR="00B7550E" w:rsidRPr="00564C0F">
        <w:t>E</w:t>
      </w:r>
      <w:r w:rsidRPr="00564C0F">
        <w:t xml:space="preserve">stimates for </w:t>
      </w:r>
      <w:r w:rsidR="003962BF" w:rsidRPr="00564C0F">
        <w:t>201</w:t>
      </w:r>
      <w:r w:rsidR="00B94BE6" w:rsidRPr="00564C0F">
        <w:rPr>
          <w:lang w:val="en-AU"/>
        </w:rPr>
        <w:t>5</w:t>
      </w:r>
      <w:r w:rsidR="008F16DB">
        <w:rPr>
          <w:lang w:val="en-AU"/>
        </w:rPr>
        <w:t>–</w:t>
      </w:r>
      <w:r w:rsidR="00B50972" w:rsidRPr="00564C0F">
        <w:t>1</w:t>
      </w:r>
      <w:r w:rsidR="00B94BE6" w:rsidRPr="00564C0F">
        <w:rPr>
          <w:lang w:val="en-AU"/>
        </w:rPr>
        <w:t>6</w:t>
      </w:r>
      <w:r w:rsidRPr="00564C0F">
        <w:t xml:space="preserve"> as at Additional Estimates </w:t>
      </w:r>
      <w:r w:rsidR="00195563" w:rsidRPr="00564C0F">
        <w:t>February</w:t>
      </w:r>
      <w:r w:rsidRPr="00564C0F">
        <w:t xml:space="preserve"> </w:t>
      </w:r>
      <w:bookmarkEnd w:id="181"/>
      <w:r w:rsidR="00B50972" w:rsidRPr="00564C0F">
        <w:t>201</w:t>
      </w:r>
      <w:r w:rsidR="009D4599" w:rsidRPr="00564C0F">
        <w:rPr>
          <w:lang w:val="en-AU"/>
        </w:rPr>
        <w:t>6</w:t>
      </w:r>
      <w:r w:rsidR="00FA4915" w:rsidRPr="00564C0F">
        <w:t xml:space="preserve"> </w:t>
      </w:r>
    </w:p>
    <w:p w:rsidR="00FC7A62" w:rsidRDefault="00FC7A62" w:rsidP="00FC7A62">
      <w:pPr>
        <w:pStyle w:val="TableGraphic"/>
      </w:pPr>
    </w:p>
    <w:tbl>
      <w:tblPr>
        <w:tblW w:w="7707" w:type="dxa"/>
        <w:tblInd w:w="93" w:type="dxa"/>
        <w:tblLook w:val="04A0" w:firstRow="1" w:lastRow="0" w:firstColumn="1" w:lastColumn="0" w:noHBand="0" w:noVBand="1"/>
      </w:tblPr>
      <w:tblGrid>
        <w:gridCol w:w="3458"/>
        <w:gridCol w:w="1117"/>
        <w:gridCol w:w="1044"/>
        <w:gridCol w:w="1044"/>
        <w:gridCol w:w="1044"/>
      </w:tblGrid>
      <w:tr w:rsidR="00FC7A62" w:rsidRPr="00FC7A62" w:rsidTr="001F3C45">
        <w:trPr>
          <w:trHeight w:val="1207"/>
          <w:tblHeader/>
        </w:trPr>
        <w:tc>
          <w:tcPr>
            <w:tcW w:w="3458" w:type="dxa"/>
            <w:tcBorders>
              <w:top w:val="single" w:sz="4" w:space="0" w:color="auto"/>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sz w:val="15"/>
                <w:szCs w:val="15"/>
              </w:rPr>
            </w:pPr>
            <w:r w:rsidRPr="00FC7A62">
              <w:rPr>
                <w:rFonts w:ascii="Arial" w:hAnsi="Arial" w:cs="Arial"/>
                <w:sz w:val="15"/>
                <w:szCs w:val="15"/>
              </w:rPr>
              <w:t> </w:t>
            </w:r>
          </w:p>
        </w:tc>
        <w:tc>
          <w:tcPr>
            <w:tcW w:w="1117"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Actual available appropriation 2014–15</w:t>
            </w:r>
            <w:r w:rsidRPr="00FC7A62">
              <w:rPr>
                <w:rFonts w:ascii="Arial" w:hAnsi="Arial" w:cs="Arial"/>
                <w:i/>
                <w:iCs/>
                <w:sz w:val="15"/>
                <w:szCs w:val="15"/>
              </w:rPr>
              <w:br/>
              <w:t>$'000</w:t>
            </w:r>
          </w:p>
        </w:tc>
        <w:tc>
          <w:tcPr>
            <w:tcW w:w="1044"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Estimate as at Budget</w:t>
            </w:r>
            <w:r w:rsidRPr="00FC7A62">
              <w:rPr>
                <w:rFonts w:ascii="Arial" w:hAnsi="Arial" w:cs="Arial"/>
                <w:sz w:val="15"/>
                <w:szCs w:val="15"/>
              </w:rPr>
              <w:br/>
              <w:t>2015–16</w:t>
            </w:r>
            <w:r w:rsidRPr="00FC7A62">
              <w:rPr>
                <w:rFonts w:ascii="Arial" w:hAnsi="Arial" w:cs="Arial"/>
                <w:sz w:val="15"/>
                <w:szCs w:val="15"/>
              </w:rPr>
              <w:br/>
              <w:t>$'000</w:t>
            </w:r>
          </w:p>
        </w:tc>
        <w:tc>
          <w:tcPr>
            <w:tcW w:w="1044"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Proposed Additional Estimate</w:t>
            </w:r>
            <w:r w:rsidRPr="00FC7A62">
              <w:rPr>
                <w:rFonts w:ascii="Arial" w:hAnsi="Arial" w:cs="Arial"/>
                <w:sz w:val="15"/>
                <w:szCs w:val="15"/>
              </w:rPr>
              <w:br/>
              <w:t>2015–16</w:t>
            </w:r>
            <w:r w:rsidRPr="00FC7A62">
              <w:rPr>
                <w:rFonts w:ascii="Arial" w:hAnsi="Arial" w:cs="Arial"/>
                <w:sz w:val="15"/>
                <w:szCs w:val="15"/>
              </w:rPr>
              <w:br/>
              <w:t>$'000</w:t>
            </w:r>
          </w:p>
        </w:tc>
        <w:tc>
          <w:tcPr>
            <w:tcW w:w="1044" w:type="dxa"/>
            <w:tcBorders>
              <w:top w:val="single" w:sz="4" w:space="0" w:color="auto"/>
              <w:left w:val="nil"/>
              <w:bottom w:val="single" w:sz="4" w:space="0" w:color="000000"/>
              <w:right w:val="nil"/>
            </w:tcBorders>
            <w:shd w:val="clear" w:color="000000" w:fill="E6E6E6"/>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Total estimate at Additional Estimates</w:t>
            </w:r>
            <w:r w:rsidRPr="00FC7A62">
              <w:rPr>
                <w:rFonts w:ascii="Arial" w:hAnsi="Arial" w:cs="Arial"/>
                <w:sz w:val="15"/>
                <w:szCs w:val="15"/>
              </w:rPr>
              <w:br/>
              <w:t>2015–16</w:t>
            </w:r>
            <w:r w:rsidRPr="00FC7A62">
              <w:rPr>
                <w:rFonts w:ascii="Arial" w:hAnsi="Arial" w:cs="Arial"/>
                <w:sz w:val="15"/>
                <w:szCs w:val="15"/>
              </w:rPr>
              <w:br/>
              <w:t>$'000</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Ordinary annual services</w:t>
            </w:r>
            <w:r>
              <w:rPr>
                <w:rFonts w:ascii="Arial" w:hAnsi="Arial" w:cs="Arial"/>
                <w:b/>
                <w:bCs/>
                <w:sz w:val="15"/>
                <w:szCs w:val="15"/>
              </w:rPr>
              <w:t xml:space="preserve"> </w:t>
            </w:r>
            <w:r w:rsidRPr="00FC7A62">
              <w:rPr>
                <w:rFonts w:ascii="Arial" w:hAnsi="Arial" w:cs="Arial"/>
                <w:b/>
                <w:bCs/>
                <w:sz w:val="15"/>
                <w:szCs w:val="15"/>
              </w:rPr>
              <w:t>(a)</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Departmental appropriation</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Prior year departmental appropriation</w:t>
            </w:r>
            <w:r>
              <w:rPr>
                <w:rFonts w:ascii="Arial" w:hAnsi="Arial" w:cs="Arial"/>
                <w:sz w:val="15"/>
                <w:szCs w:val="15"/>
              </w:rPr>
              <w:t xml:space="preserve"> </w:t>
            </w:r>
            <w:r w:rsidRPr="00FC7A62">
              <w:rPr>
                <w:rFonts w:ascii="Arial" w:hAnsi="Arial" w:cs="Arial"/>
                <w:sz w:val="15"/>
                <w:szCs w:val="15"/>
              </w:rPr>
              <w:t>(b)</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70,749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66,426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49,102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115,528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Departmental appropriation</w:t>
            </w:r>
            <w:r>
              <w:rPr>
                <w:rFonts w:ascii="Arial" w:hAnsi="Arial" w:cs="Arial"/>
                <w:sz w:val="15"/>
                <w:szCs w:val="15"/>
              </w:rPr>
              <w:t xml:space="preserve"> </w:t>
            </w:r>
            <w:r w:rsidRPr="00FC7A62">
              <w:rPr>
                <w:rFonts w:ascii="Arial" w:hAnsi="Arial" w:cs="Arial"/>
                <w:sz w:val="15"/>
                <w:szCs w:val="15"/>
              </w:rPr>
              <w:t>(c)</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327,013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312,944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(5,261)</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307,683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proofErr w:type="spellStart"/>
            <w:r w:rsidRPr="00FC7A62">
              <w:rPr>
                <w:rFonts w:ascii="Arial" w:hAnsi="Arial" w:cs="Arial"/>
                <w:sz w:val="15"/>
                <w:szCs w:val="15"/>
              </w:rPr>
              <w:t>s74</w:t>
            </w:r>
            <w:proofErr w:type="spellEnd"/>
            <w:r w:rsidRPr="00FC7A62">
              <w:rPr>
                <w:rFonts w:ascii="Arial" w:hAnsi="Arial" w:cs="Arial"/>
                <w:sz w:val="15"/>
                <w:szCs w:val="15"/>
              </w:rPr>
              <w:t xml:space="preserve"> Retained Revenue Receipts</w:t>
            </w:r>
            <w:r>
              <w:rPr>
                <w:rFonts w:ascii="Arial" w:hAnsi="Arial" w:cs="Arial"/>
                <w:sz w:val="15"/>
                <w:szCs w:val="15"/>
              </w:rPr>
              <w:t xml:space="preserve"> </w:t>
            </w:r>
            <w:r w:rsidRPr="00FC7A62">
              <w:rPr>
                <w:rFonts w:ascii="Arial" w:hAnsi="Arial" w:cs="Arial"/>
                <w:sz w:val="15"/>
                <w:szCs w:val="15"/>
              </w:rPr>
              <w:t>(d)</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26,057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17,713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1,891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19,604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w:t>
            </w:r>
          </w:p>
        </w:tc>
        <w:tc>
          <w:tcPr>
            <w:tcW w:w="1117"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423,819 </w:t>
            </w:r>
          </w:p>
        </w:tc>
        <w:tc>
          <w:tcPr>
            <w:tcW w:w="1044"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397,083 </w:t>
            </w:r>
          </w:p>
        </w:tc>
        <w:tc>
          <w:tcPr>
            <w:tcW w:w="1044"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45,732 </w:t>
            </w:r>
          </w:p>
        </w:tc>
        <w:tc>
          <w:tcPr>
            <w:tcW w:w="1044" w:type="dxa"/>
            <w:tcBorders>
              <w:top w:val="single" w:sz="4" w:space="0" w:color="auto"/>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442,815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Administered expenses</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Outcome 1</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1,524,317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1,523,012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(307)</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1,522,705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Outcome 2</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28,235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21,035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296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21,331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Payments to corporate entities(e)</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7,563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7,727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7,727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w:t>
            </w:r>
          </w:p>
        </w:tc>
        <w:tc>
          <w:tcPr>
            <w:tcW w:w="1117"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1,560,115 </w:t>
            </w:r>
          </w:p>
        </w:tc>
        <w:tc>
          <w:tcPr>
            <w:tcW w:w="1044"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1,551,774 </w:t>
            </w:r>
          </w:p>
        </w:tc>
        <w:tc>
          <w:tcPr>
            <w:tcW w:w="1044"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(11)</w:t>
            </w:r>
          </w:p>
        </w:tc>
        <w:tc>
          <w:tcPr>
            <w:tcW w:w="1044" w:type="dxa"/>
            <w:tcBorders>
              <w:top w:val="single" w:sz="4" w:space="0" w:color="auto"/>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1,551,763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ordinary annual services [A]</w:t>
            </w:r>
          </w:p>
        </w:tc>
        <w:tc>
          <w:tcPr>
            <w:tcW w:w="1117"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1,983,934 </w:t>
            </w:r>
          </w:p>
        </w:tc>
        <w:tc>
          <w:tcPr>
            <w:tcW w:w="1044"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1,948,857 </w:t>
            </w:r>
          </w:p>
        </w:tc>
        <w:tc>
          <w:tcPr>
            <w:tcW w:w="1044"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45,721 </w:t>
            </w:r>
          </w:p>
        </w:tc>
        <w:tc>
          <w:tcPr>
            <w:tcW w:w="1044" w:type="dxa"/>
            <w:tcBorders>
              <w:top w:val="nil"/>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1,994,578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Other services(f)</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Departmental non-operating</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Prior year appropriations(b)</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2,127 </w:t>
            </w:r>
          </w:p>
        </w:tc>
        <w:tc>
          <w:tcPr>
            <w:tcW w:w="1044" w:type="dxa"/>
            <w:tcBorders>
              <w:top w:val="nil"/>
              <w:left w:val="nil"/>
              <w:bottom w:val="nil"/>
              <w:right w:val="nil"/>
            </w:tcBorders>
            <w:shd w:val="clear" w:color="auto" w:fill="auto"/>
            <w:noWrap/>
            <w:hideMark/>
          </w:tcPr>
          <w:p w:rsidR="00FC7A62" w:rsidRPr="000E70F0" w:rsidRDefault="00FC7A62" w:rsidP="00FC7A62">
            <w:pPr>
              <w:spacing w:after="0" w:line="240" w:lineRule="auto"/>
              <w:jc w:val="right"/>
              <w:rPr>
                <w:rFonts w:ascii="Arial" w:hAnsi="Arial" w:cs="Arial"/>
                <w:bCs/>
                <w:sz w:val="15"/>
                <w:szCs w:val="15"/>
              </w:rPr>
            </w:pPr>
            <w:r w:rsidRPr="000E70F0">
              <w:rPr>
                <w:rFonts w:ascii="Arial" w:hAnsi="Arial" w:cs="Arial"/>
                <w:bCs/>
                <w:sz w:val="15"/>
                <w:szCs w:val="15"/>
              </w:rPr>
              <w:t xml:space="preserve">- </w:t>
            </w:r>
          </w:p>
        </w:tc>
        <w:tc>
          <w:tcPr>
            <w:tcW w:w="1044" w:type="dxa"/>
            <w:tcBorders>
              <w:top w:val="nil"/>
              <w:left w:val="nil"/>
              <w:bottom w:val="nil"/>
              <w:right w:val="nil"/>
            </w:tcBorders>
            <w:shd w:val="clear" w:color="auto" w:fill="auto"/>
            <w:noWrap/>
            <w:hideMark/>
          </w:tcPr>
          <w:p w:rsidR="00FC7A62" w:rsidRPr="000E70F0" w:rsidRDefault="00FC7A62" w:rsidP="00FC7A62">
            <w:pPr>
              <w:spacing w:after="0" w:line="240" w:lineRule="auto"/>
              <w:jc w:val="right"/>
              <w:rPr>
                <w:rFonts w:ascii="Arial" w:hAnsi="Arial" w:cs="Arial"/>
                <w:bCs/>
                <w:sz w:val="15"/>
                <w:szCs w:val="15"/>
              </w:rPr>
            </w:pPr>
            <w:r w:rsidRPr="000E70F0">
              <w:rPr>
                <w:rFonts w:ascii="Arial" w:hAnsi="Arial" w:cs="Arial"/>
                <w:bCs/>
                <w:sz w:val="15"/>
                <w:szCs w:val="15"/>
              </w:rPr>
              <w:t xml:space="preserve">-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ind w:firstLineChars="100" w:firstLine="150"/>
              <w:jc w:val="left"/>
              <w:rPr>
                <w:rFonts w:ascii="Arial" w:hAnsi="Arial" w:cs="Arial"/>
                <w:sz w:val="15"/>
                <w:szCs w:val="15"/>
              </w:rPr>
            </w:pPr>
            <w:r w:rsidRPr="00FC7A62">
              <w:rPr>
                <w:rFonts w:ascii="Arial" w:hAnsi="Arial" w:cs="Arial"/>
                <w:sz w:val="15"/>
                <w:szCs w:val="15"/>
              </w:rPr>
              <w:t>Equity injections</w:t>
            </w:r>
          </w:p>
        </w:tc>
        <w:tc>
          <w:tcPr>
            <w:tcW w:w="1117"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23,987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9,333 </w:t>
            </w:r>
          </w:p>
        </w:tc>
        <w:tc>
          <w:tcPr>
            <w:tcW w:w="1044"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6,075 </w:t>
            </w:r>
          </w:p>
        </w:tc>
        <w:tc>
          <w:tcPr>
            <w:tcW w:w="1044"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15,408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w:t>
            </w:r>
          </w:p>
        </w:tc>
        <w:tc>
          <w:tcPr>
            <w:tcW w:w="1117" w:type="dxa"/>
            <w:tcBorders>
              <w:top w:val="single" w:sz="4" w:space="0" w:color="auto"/>
              <w:left w:val="nil"/>
              <w:bottom w:val="single" w:sz="4" w:space="0" w:color="000000"/>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26,114 </w:t>
            </w:r>
          </w:p>
        </w:tc>
        <w:tc>
          <w:tcPr>
            <w:tcW w:w="1044" w:type="dxa"/>
            <w:tcBorders>
              <w:top w:val="single" w:sz="4" w:space="0" w:color="auto"/>
              <w:left w:val="nil"/>
              <w:bottom w:val="single" w:sz="4" w:space="0" w:color="000000"/>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9,333 </w:t>
            </w:r>
          </w:p>
        </w:tc>
        <w:tc>
          <w:tcPr>
            <w:tcW w:w="1044" w:type="dxa"/>
            <w:tcBorders>
              <w:top w:val="single" w:sz="4" w:space="0" w:color="auto"/>
              <w:left w:val="nil"/>
              <w:bottom w:val="single" w:sz="4" w:space="0" w:color="000000"/>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6,075 </w:t>
            </w:r>
          </w:p>
        </w:tc>
        <w:tc>
          <w:tcPr>
            <w:tcW w:w="1044" w:type="dxa"/>
            <w:tcBorders>
              <w:top w:val="single" w:sz="4" w:space="0" w:color="auto"/>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15,408 </w:t>
            </w:r>
          </w:p>
        </w:tc>
      </w:tr>
      <w:tr w:rsidR="00FC7A62" w:rsidRPr="00FC7A62" w:rsidTr="00FC7A62">
        <w:trPr>
          <w:trHeight w:val="229"/>
        </w:trPr>
        <w:tc>
          <w:tcPr>
            <w:tcW w:w="3458"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other services [B]</w:t>
            </w:r>
          </w:p>
        </w:tc>
        <w:tc>
          <w:tcPr>
            <w:tcW w:w="1117"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26,114 </w:t>
            </w:r>
          </w:p>
        </w:tc>
        <w:tc>
          <w:tcPr>
            <w:tcW w:w="1044"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9,333 </w:t>
            </w:r>
          </w:p>
        </w:tc>
        <w:tc>
          <w:tcPr>
            <w:tcW w:w="1044"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6,075 </w:t>
            </w:r>
          </w:p>
        </w:tc>
        <w:tc>
          <w:tcPr>
            <w:tcW w:w="1044" w:type="dxa"/>
            <w:tcBorders>
              <w:top w:val="nil"/>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15,408 </w:t>
            </w:r>
          </w:p>
        </w:tc>
      </w:tr>
      <w:tr w:rsidR="00FC7A62" w:rsidRPr="00FC7A62" w:rsidTr="005A62FC">
        <w:trPr>
          <w:trHeight w:val="217"/>
        </w:trPr>
        <w:tc>
          <w:tcPr>
            <w:tcW w:w="3458" w:type="dxa"/>
            <w:tcBorders>
              <w:top w:val="nil"/>
              <w:left w:val="nil"/>
              <w:bottom w:val="single" w:sz="4" w:space="0" w:color="auto"/>
              <w:right w:val="nil"/>
            </w:tcBorders>
            <w:shd w:val="clear" w:color="auto" w:fill="auto"/>
            <w:vAlign w:val="center"/>
            <w:hideMark/>
          </w:tcPr>
          <w:p w:rsidR="00FC7A62" w:rsidRPr="00FC7A62" w:rsidRDefault="00FC7A62" w:rsidP="005A62FC">
            <w:pPr>
              <w:spacing w:after="0" w:line="240" w:lineRule="auto"/>
              <w:jc w:val="left"/>
              <w:rPr>
                <w:rFonts w:ascii="Arial" w:hAnsi="Arial" w:cs="Arial"/>
                <w:b/>
                <w:bCs/>
                <w:sz w:val="15"/>
                <w:szCs w:val="15"/>
              </w:rPr>
            </w:pPr>
            <w:r w:rsidRPr="00FC7A62">
              <w:rPr>
                <w:rFonts w:ascii="Arial" w:hAnsi="Arial" w:cs="Arial"/>
                <w:b/>
                <w:bCs/>
                <w:sz w:val="15"/>
                <w:szCs w:val="15"/>
              </w:rPr>
              <w:t>Total available annual appropriations</w:t>
            </w:r>
          </w:p>
        </w:tc>
        <w:tc>
          <w:tcPr>
            <w:tcW w:w="1117" w:type="dxa"/>
            <w:tcBorders>
              <w:top w:val="nil"/>
              <w:left w:val="nil"/>
              <w:bottom w:val="single" w:sz="4" w:space="0" w:color="auto"/>
              <w:right w:val="nil"/>
            </w:tcBorders>
            <w:shd w:val="clear" w:color="auto" w:fill="auto"/>
            <w:noWrap/>
            <w:vAlign w:val="center"/>
            <w:hideMark/>
          </w:tcPr>
          <w:p w:rsidR="00FC7A62" w:rsidRPr="00D542E7" w:rsidRDefault="00FC7A62" w:rsidP="005A62FC">
            <w:pPr>
              <w:spacing w:after="0" w:line="240" w:lineRule="auto"/>
              <w:jc w:val="right"/>
              <w:rPr>
                <w:rFonts w:ascii="Arial" w:hAnsi="Arial" w:cs="Arial"/>
                <w:b/>
                <w:i/>
                <w:iCs/>
                <w:sz w:val="15"/>
                <w:szCs w:val="15"/>
              </w:rPr>
            </w:pPr>
            <w:r w:rsidRPr="00D542E7">
              <w:rPr>
                <w:rFonts w:ascii="Arial" w:hAnsi="Arial" w:cs="Arial"/>
                <w:b/>
                <w:i/>
                <w:iCs/>
                <w:sz w:val="15"/>
                <w:szCs w:val="15"/>
              </w:rPr>
              <w:t xml:space="preserve">2,010,048 </w:t>
            </w:r>
          </w:p>
        </w:tc>
        <w:tc>
          <w:tcPr>
            <w:tcW w:w="1044" w:type="dxa"/>
            <w:tcBorders>
              <w:top w:val="nil"/>
              <w:left w:val="nil"/>
              <w:bottom w:val="single" w:sz="4" w:space="0" w:color="auto"/>
              <w:right w:val="nil"/>
            </w:tcBorders>
            <w:shd w:val="clear" w:color="auto" w:fill="auto"/>
            <w:noWrap/>
            <w:vAlign w:val="center"/>
            <w:hideMark/>
          </w:tcPr>
          <w:p w:rsidR="00FC7A62" w:rsidRPr="00D542E7" w:rsidRDefault="00FC7A62" w:rsidP="005A62FC">
            <w:pPr>
              <w:spacing w:after="0" w:line="240" w:lineRule="auto"/>
              <w:jc w:val="right"/>
              <w:rPr>
                <w:rFonts w:ascii="Arial" w:hAnsi="Arial" w:cs="Arial"/>
                <w:b/>
                <w:sz w:val="15"/>
                <w:szCs w:val="15"/>
              </w:rPr>
            </w:pPr>
            <w:r w:rsidRPr="00D542E7">
              <w:rPr>
                <w:rFonts w:ascii="Arial" w:hAnsi="Arial" w:cs="Arial"/>
                <w:b/>
                <w:sz w:val="15"/>
                <w:szCs w:val="15"/>
              </w:rPr>
              <w:t xml:space="preserve">1,958,190 </w:t>
            </w:r>
          </w:p>
        </w:tc>
        <w:tc>
          <w:tcPr>
            <w:tcW w:w="1044" w:type="dxa"/>
            <w:tcBorders>
              <w:top w:val="nil"/>
              <w:left w:val="nil"/>
              <w:bottom w:val="single" w:sz="4" w:space="0" w:color="auto"/>
              <w:right w:val="nil"/>
            </w:tcBorders>
            <w:shd w:val="clear" w:color="auto" w:fill="auto"/>
            <w:noWrap/>
            <w:vAlign w:val="center"/>
            <w:hideMark/>
          </w:tcPr>
          <w:p w:rsidR="00FC7A62" w:rsidRPr="00D542E7" w:rsidRDefault="00FC7A62" w:rsidP="005A62FC">
            <w:pPr>
              <w:spacing w:after="0" w:line="240" w:lineRule="auto"/>
              <w:jc w:val="right"/>
              <w:rPr>
                <w:rFonts w:ascii="Arial" w:hAnsi="Arial" w:cs="Arial"/>
                <w:b/>
                <w:sz w:val="15"/>
                <w:szCs w:val="15"/>
              </w:rPr>
            </w:pPr>
            <w:r w:rsidRPr="00D542E7">
              <w:rPr>
                <w:rFonts w:ascii="Arial" w:hAnsi="Arial" w:cs="Arial"/>
                <w:b/>
                <w:sz w:val="15"/>
                <w:szCs w:val="15"/>
              </w:rPr>
              <w:t xml:space="preserve">51,796 </w:t>
            </w:r>
          </w:p>
        </w:tc>
        <w:tc>
          <w:tcPr>
            <w:tcW w:w="1044" w:type="dxa"/>
            <w:tcBorders>
              <w:top w:val="nil"/>
              <w:left w:val="nil"/>
              <w:bottom w:val="single" w:sz="4" w:space="0" w:color="auto"/>
              <w:right w:val="nil"/>
            </w:tcBorders>
            <w:shd w:val="clear" w:color="000000" w:fill="E6E6E6"/>
            <w:noWrap/>
            <w:vAlign w:val="center"/>
            <w:hideMark/>
          </w:tcPr>
          <w:p w:rsidR="00FC7A62" w:rsidRPr="00D542E7" w:rsidRDefault="00FC7A62" w:rsidP="005A62FC">
            <w:pPr>
              <w:spacing w:after="0" w:line="240" w:lineRule="auto"/>
              <w:jc w:val="right"/>
              <w:rPr>
                <w:rFonts w:ascii="Arial" w:hAnsi="Arial" w:cs="Arial"/>
                <w:b/>
                <w:sz w:val="15"/>
                <w:szCs w:val="15"/>
              </w:rPr>
            </w:pPr>
            <w:r w:rsidRPr="00D542E7">
              <w:rPr>
                <w:rFonts w:ascii="Arial" w:hAnsi="Arial" w:cs="Arial"/>
                <w:b/>
                <w:sz w:val="15"/>
                <w:szCs w:val="15"/>
              </w:rPr>
              <w:t xml:space="preserve">2,009,986 </w:t>
            </w:r>
          </w:p>
        </w:tc>
      </w:tr>
    </w:tbl>
    <w:p w:rsidR="00FC7A62" w:rsidRPr="00FC7A62" w:rsidRDefault="00FC7A62" w:rsidP="00FC7A62"/>
    <w:p w:rsidR="0073762B" w:rsidRDefault="0073762B" w:rsidP="00BD3FDE">
      <w:pPr>
        <w:pStyle w:val="TableGraphic"/>
      </w:pPr>
    </w:p>
    <w:p w:rsidR="00F51DAC" w:rsidRPr="00564C0F" w:rsidRDefault="00F51DAC" w:rsidP="00F51DAC">
      <w:pPr>
        <w:pStyle w:val="TableHeading"/>
      </w:pPr>
      <w:r>
        <w:br w:type="page"/>
      </w:r>
      <w:bookmarkStart w:id="182" w:name="OLE_LINK10"/>
      <w:bookmarkStart w:id="183" w:name="OLE_LINK11"/>
      <w:r w:rsidRPr="00564C0F">
        <w:lastRenderedPageBreak/>
        <w:t xml:space="preserve">Table 1.1: </w:t>
      </w:r>
      <w:r w:rsidR="008F16DB">
        <w:rPr>
          <w:lang w:val="en-AU"/>
        </w:rPr>
        <w:t>Department of Employment</w:t>
      </w:r>
      <w:r w:rsidRPr="00564C0F">
        <w:t xml:space="preserve"> </w:t>
      </w:r>
      <w:r w:rsidR="0033071D" w:rsidRPr="00564C0F">
        <w:t>resource</w:t>
      </w:r>
      <w:r w:rsidRPr="00564C0F">
        <w:t xml:space="preserve"> </w:t>
      </w:r>
      <w:r w:rsidR="0033071D" w:rsidRPr="00564C0F">
        <w:t>statement</w:t>
      </w:r>
      <w:r w:rsidR="00E15CF3" w:rsidRPr="00564C0F">
        <w:t>—</w:t>
      </w:r>
      <w:r w:rsidRPr="00564C0F">
        <w:t xml:space="preserve">Additional </w:t>
      </w:r>
      <w:r w:rsidR="00B7550E" w:rsidRPr="00564C0F">
        <w:t>E</w:t>
      </w:r>
      <w:r w:rsidRPr="00564C0F">
        <w:t xml:space="preserve">stimates for </w:t>
      </w:r>
      <w:r w:rsidR="00A1234B" w:rsidRPr="00564C0F">
        <w:t>201</w:t>
      </w:r>
      <w:r w:rsidR="003962BF" w:rsidRPr="00564C0F">
        <w:rPr>
          <w:lang w:val="en-AU"/>
        </w:rPr>
        <w:t>5</w:t>
      </w:r>
      <w:r w:rsidR="008F16DB">
        <w:rPr>
          <w:lang w:val="en-AU"/>
        </w:rPr>
        <w:t>–</w:t>
      </w:r>
      <w:r w:rsidR="00A1234B" w:rsidRPr="00564C0F">
        <w:t>1</w:t>
      </w:r>
      <w:r w:rsidR="003962BF" w:rsidRPr="00564C0F">
        <w:rPr>
          <w:lang w:val="en-AU"/>
        </w:rPr>
        <w:t>6</w:t>
      </w:r>
      <w:r w:rsidRPr="00564C0F">
        <w:t xml:space="preserve"> as at Additional Estimates </w:t>
      </w:r>
      <w:r w:rsidR="00195563" w:rsidRPr="00564C0F">
        <w:t>February</w:t>
      </w:r>
      <w:r w:rsidRPr="00564C0F">
        <w:t xml:space="preserve"> </w:t>
      </w:r>
      <w:r w:rsidR="001A1C55" w:rsidRPr="00564C0F">
        <w:t>201</w:t>
      </w:r>
      <w:r w:rsidR="009D4599" w:rsidRPr="00564C0F">
        <w:rPr>
          <w:lang w:val="en-AU"/>
        </w:rPr>
        <w:t>6</w:t>
      </w:r>
      <w:r w:rsidR="000C0433" w:rsidRPr="00564C0F">
        <w:t xml:space="preserve"> </w:t>
      </w:r>
      <w:r w:rsidRPr="00564C0F">
        <w:t>(continued)</w:t>
      </w:r>
    </w:p>
    <w:tbl>
      <w:tblPr>
        <w:tblW w:w="7718" w:type="dxa"/>
        <w:tblInd w:w="93" w:type="dxa"/>
        <w:tblLook w:val="04A0" w:firstRow="1" w:lastRow="0" w:firstColumn="1" w:lastColumn="0" w:noHBand="0" w:noVBand="1"/>
      </w:tblPr>
      <w:tblGrid>
        <w:gridCol w:w="3464"/>
        <w:gridCol w:w="1119"/>
        <w:gridCol w:w="1045"/>
        <w:gridCol w:w="1045"/>
        <w:gridCol w:w="1045"/>
      </w:tblGrid>
      <w:tr w:rsidR="00FC7A62" w:rsidRPr="00FC7A62" w:rsidTr="001F3C45">
        <w:trPr>
          <w:trHeight w:val="1084"/>
          <w:tblHeader/>
        </w:trPr>
        <w:tc>
          <w:tcPr>
            <w:tcW w:w="3464" w:type="dxa"/>
            <w:tcBorders>
              <w:top w:val="single" w:sz="4" w:space="0" w:color="auto"/>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sz w:val="15"/>
                <w:szCs w:val="15"/>
              </w:rPr>
            </w:pPr>
            <w:r w:rsidRPr="00FC7A62">
              <w:rPr>
                <w:rFonts w:ascii="Arial" w:hAnsi="Arial" w:cs="Arial"/>
                <w:sz w:val="15"/>
                <w:szCs w:val="15"/>
              </w:rPr>
              <w:t> </w:t>
            </w:r>
          </w:p>
        </w:tc>
        <w:tc>
          <w:tcPr>
            <w:tcW w:w="1119"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Actu</w:t>
            </w:r>
            <w:r>
              <w:rPr>
                <w:rFonts w:ascii="Arial" w:hAnsi="Arial" w:cs="Arial"/>
                <w:i/>
                <w:iCs/>
                <w:sz w:val="15"/>
                <w:szCs w:val="15"/>
              </w:rPr>
              <w:t>al available appropriation 2014–</w:t>
            </w:r>
            <w:r w:rsidRPr="00FC7A62">
              <w:rPr>
                <w:rFonts w:ascii="Arial" w:hAnsi="Arial" w:cs="Arial"/>
                <w:i/>
                <w:iCs/>
                <w:sz w:val="15"/>
                <w:szCs w:val="15"/>
              </w:rPr>
              <w:t>15</w:t>
            </w:r>
            <w:r w:rsidRPr="00FC7A62">
              <w:rPr>
                <w:rFonts w:ascii="Arial" w:hAnsi="Arial" w:cs="Arial"/>
                <w:i/>
                <w:iCs/>
                <w:sz w:val="15"/>
                <w:szCs w:val="15"/>
              </w:rPr>
              <w:br/>
              <w:t>$'000</w:t>
            </w:r>
          </w:p>
        </w:tc>
        <w:tc>
          <w:tcPr>
            <w:tcW w:w="1045"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sz w:val="15"/>
                <w:szCs w:val="15"/>
              </w:rPr>
            </w:pPr>
            <w:r>
              <w:rPr>
                <w:rFonts w:ascii="Arial" w:hAnsi="Arial" w:cs="Arial"/>
                <w:sz w:val="15"/>
                <w:szCs w:val="15"/>
              </w:rPr>
              <w:t>Estimate as at Budget</w:t>
            </w:r>
            <w:r>
              <w:rPr>
                <w:rFonts w:ascii="Arial" w:hAnsi="Arial" w:cs="Arial"/>
                <w:sz w:val="15"/>
                <w:szCs w:val="15"/>
              </w:rPr>
              <w:br/>
              <w:t>2015–</w:t>
            </w:r>
            <w:r w:rsidRPr="00FC7A62">
              <w:rPr>
                <w:rFonts w:ascii="Arial" w:hAnsi="Arial" w:cs="Arial"/>
                <w:sz w:val="15"/>
                <w:szCs w:val="15"/>
              </w:rPr>
              <w:t>16</w:t>
            </w:r>
            <w:r w:rsidRPr="00FC7A62">
              <w:rPr>
                <w:rFonts w:ascii="Arial" w:hAnsi="Arial" w:cs="Arial"/>
                <w:sz w:val="15"/>
                <w:szCs w:val="15"/>
              </w:rPr>
              <w:br/>
              <w:t>$'000</w:t>
            </w:r>
          </w:p>
        </w:tc>
        <w:tc>
          <w:tcPr>
            <w:tcW w:w="1045" w:type="dxa"/>
            <w:tcBorders>
              <w:top w:val="single" w:sz="4" w:space="0" w:color="auto"/>
              <w:left w:val="nil"/>
              <w:bottom w:val="single" w:sz="4" w:space="0" w:color="000000"/>
              <w:right w:val="nil"/>
            </w:tcBorders>
            <w:shd w:val="clear" w:color="auto" w:fill="auto"/>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Pr</w:t>
            </w:r>
            <w:r>
              <w:rPr>
                <w:rFonts w:ascii="Arial" w:hAnsi="Arial" w:cs="Arial"/>
                <w:sz w:val="15"/>
                <w:szCs w:val="15"/>
              </w:rPr>
              <w:t>oposed Additional Estimate</w:t>
            </w:r>
            <w:r>
              <w:rPr>
                <w:rFonts w:ascii="Arial" w:hAnsi="Arial" w:cs="Arial"/>
                <w:sz w:val="15"/>
                <w:szCs w:val="15"/>
              </w:rPr>
              <w:br/>
              <w:t>2015–</w:t>
            </w:r>
            <w:r w:rsidRPr="00FC7A62">
              <w:rPr>
                <w:rFonts w:ascii="Arial" w:hAnsi="Arial" w:cs="Arial"/>
                <w:sz w:val="15"/>
                <w:szCs w:val="15"/>
              </w:rPr>
              <w:t>16</w:t>
            </w:r>
            <w:r w:rsidRPr="00FC7A62">
              <w:rPr>
                <w:rFonts w:ascii="Arial" w:hAnsi="Arial" w:cs="Arial"/>
                <w:sz w:val="15"/>
                <w:szCs w:val="15"/>
              </w:rPr>
              <w:br/>
              <w:t>$'000</w:t>
            </w:r>
          </w:p>
        </w:tc>
        <w:tc>
          <w:tcPr>
            <w:tcW w:w="1045" w:type="dxa"/>
            <w:tcBorders>
              <w:top w:val="single" w:sz="4" w:space="0" w:color="auto"/>
              <w:left w:val="nil"/>
              <w:bottom w:val="single" w:sz="4" w:space="0" w:color="000000"/>
              <w:right w:val="nil"/>
            </w:tcBorders>
            <w:shd w:val="clear" w:color="000000" w:fill="E6E6E6"/>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Total estimate at Additional Estimates</w:t>
            </w:r>
            <w:r w:rsidRPr="00FC7A62">
              <w:rPr>
                <w:rFonts w:ascii="Arial" w:hAnsi="Arial" w:cs="Arial"/>
                <w:sz w:val="15"/>
                <w:szCs w:val="15"/>
              </w:rPr>
              <w:br/>
              <w:t>2015</w:t>
            </w:r>
            <w:r>
              <w:rPr>
                <w:rFonts w:ascii="Arial" w:hAnsi="Arial" w:cs="Arial"/>
                <w:sz w:val="15"/>
                <w:szCs w:val="15"/>
              </w:rPr>
              <w:t>–</w:t>
            </w:r>
            <w:r w:rsidRPr="00FC7A62">
              <w:rPr>
                <w:rFonts w:ascii="Arial" w:hAnsi="Arial" w:cs="Arial"/>
                <w:sz w:val="15"/>
                <w:szCs w:val="15"/>
              </w:rPr>
              <w:t>16</w:t>
            </w:r>
            <w:r w:rsidRPr="00FC7A62">
              <w:rPr>
                <w:rFonts w:ascii="Arial" w:hAnsi="Arial" w:cs="Arial"/>
                <w:sz w:val="15"/>
                <w:szCs w:val="15"/>
              </w:rPr>
              <w:br/>
              <w:t>$'000</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Special appropriations</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Special appropriations limited by criteria/entitlement</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337149">
            <w:pPr>
              <w:spacing w:after="0" w:line="240" w:lineRule="auto"/>
              <w:ind w:left="191"/>
              <w:jc w:val="left"/>
              <w:rPr>
                <w:rFonts w:ascii="Arial" w:hAnsi="Arial" w:cs="Arial"/>
                <w:i/>
                <w:iCs/>
                <w:sz w:val="15"/>
                <w:szCs w:val="15"/>
              </w:rPr>
            </w:pPr>
            <w:r w:rsidRPr="00FC7A62">
              <w:rPr>
                <w:rFonts w:ascii="Arial" w:hAnsi="Arial" w:cs="Arial"/>
                <w:i/>
                <w:iCs/>
                <w:sz w:val="15"/>
                <w:szCs w:val="15"/>
              </w:rPr>
              <w:t>Public Governance, Performance and Accountability Act 2013—</w:t>
            </w:r>
            <w:proofErr w:type="spellStart"/>
            <w:r w:rsidRPr="00FC7A62">
              <w:rPr>
                <w:rFonts w:ascii="Arial" w:hAnsi="Arial" w:cs="Arial"/>
                <w:i/>
                <w:iCs/>
                <w:sz w:val="15"/>
                <w:szCs w:val="15"/>
              </w:rPr>
              <w:t>s77</w:t>
            </w:r>
            <w:proofErr w:type="spellEnd"/>
            <w:r w:rsidRPr="00FC7A62">
              <w:rPr>
                <w:rFonts w:ascii="Arial" w:hAnsi="Arial" w:cs="Arial"/>
                <w:i/>
                <w:iCs/>
                <w:sz w:val="15"/>
                <w:szCs w:val="15"/>
              </w:rPr>
              <w:t>(g)</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44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30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30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337149">
            <w:pPr>
              <w:spacing w:after="0" w:line="240" w:lineRule="auto"/>
              <w:ind w:left="191"/>
              <w:jc w:val="left"/>
              <w:rPr>
                <w:rFonts w:ascii="Arial" w:hAnsi="Arial" w:cs="Arial"/>
                <w:i/>
                <w:iCs/>
                <w:sz w:val="15"/>
                <w:szCs w:val="15"/>
              </w:rPr>
            </w:pPr>
            <w:r w:rsidRPr="00FC7A62">
              <w:rPr>
                <w:rFonts w:ascii="Arial" w:hAnsi="Arial" w:cs="Arial"/>
                <w:i/>
                <w:iCs/>
                <w:sz w:val="15"/>
                <w:szCs w:val="15"/>
              </w:rPr>
              <w:t>Coal Mining Industry (Long Service Leave Funding) Act 1992</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158,607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174,618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(20,000)</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154,618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337149">
            <w:pPr>
              <w:spacing w:after="0" w:line="240" w:lineRule="auto"/>
              <w:ind w:left="191"/>
              <w:jc w:val="left"/>
              <w:rPr>
                <w:rFonts w:ascii="Arial" w:hAnsi="Arial" w:cs="Arial"/>
                <w:i/>
                <w:iCs/>
                <w:sz w:val="15"/>
                <w:szCs w:val="15"/>
              </w:rPr>
            </w:pPr>
            <w:r w:rsidRPr="00FC7A62">
              <w:rPr>
                <w:rFonts w:ascii="Arial" w:hAnsi="Arial" w:cs="Arial"/>
                <w:i/>
                <w:iCs/>
                <w:sz w:val="15"/>
                <w:szCs w:val="15"/>
              </w:rPr>
              <w:t>Safety, Rehabilitation and Compensation Act 1988</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39,503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36,515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(1,353)</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35,162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337149">
            <w:pPr>
              <w:spacing w:after="0" w:line="240" w:lineRule="auto"/>
              <w:ind w:left="191"/>
              <w:jc w:val="left"/>
              <w:rPr>
                <w:rFonts w:ascii="Arial" w:hAnsi="Arial" w:cs="Arial"/>
                <w:i/>
                <w:iCs/>
                <w:sz w:val="15"/>
                <w:szCs w:val="15"/>
              </w:rPr>
            </w:pPr>
            <w:r w:rsidRPr="00FC7A62">
              <w:rPr>
                <w:rFonts w:ascii="Arial" w:hAnsi="Arial" w:cs="Arial"/>
                <w:i/>
                <w:iCs/>
                <w:sz w:val="15"/>
                <w:szCs w:val="15"/>
              </w:rPr>
              <w:t>Asbestos-related Claims (Management of Commonwealth Liabilities) Act 2005</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26,356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33,211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(4,576)</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28,635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337149">
            <w:pPr>
              <w:spacing w:after="0" w:line="240" w:lineRule="auto"/>
              <w:ind w:firstLineChars="127" w:firstLine="190"/>
              <w:jc w:val="left"/>
              <w:rPr>
                <w:rFonts w:ascii="Arial" w:hAnsi="Arial" w:cs="Arial"/>
                <w:i/>
                <w:iCs/>
                <w:sz w:val="15"/>
                <w:szCs w:val="15"/>
              </w:rPr>
            </w:pPr>
            <w:r w:rsidRPr="00FC7A62">
              <w:rPr>
                <w:rFonts w:ascii="Arial" w:hAnsi="Arial" w:cs="Arial"/>
                <w:i/>
                <w:iCs/>
                <w:sz w:val="15"/>
                <w:szCs w:val="15"/>
              </w:rPr>
              <w:t>Fair Entitlements Guarantee Act 2012</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307,890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198,768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10,376 </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209,144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special appropriations [C]</w:t>
            </w:r>
          </w:p>
        </w:tc>
        <w:tc>
          <w:tcPr>
            <w:tcW w:w="1119"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532,400 </w:t>
            </w:r>
          </w:p>
        </w:tc>
        <w:tc>
          <w:tcPr>
            <w:tcW w:w="1045"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443,142 </w:t>
            </w:r>
          </w:p>
        </w:tc>
        <w:tc>
          <w:tcPr>
            <w:tcW w:w="1045" w:type="dxa"/>
            <w:tcBorders>
              <w:top w:val="single" w:sz="4" w:space="0" w:color="auto"/>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(15,553)</w:t>
            </w:r>
          </w:p>
        </w:tc>
        <w:tc>
          <w:tcPr>
            <w:tcW w:w="1045" w:type="dxa"/>
            <w:tcBorders>
              <w:top w:val="single" w:sz="4" w:space="0" w:color="auto"/>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427,589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appropriations excluding Special Accounts</w:t>
            </w:r>
          </w:p>
        </w:tc>
        <w:tc>
          <w:tcPr>
            <w:tcW w:w="1119"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2,542,448 </w:t>
            </w:r>
          </w:p>
        </w:tc>
        <w:tc>
          <w:tcPr>
            <w:tcW w:w="1045"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2,401,332 </w:t>
            </w:r>
          </w:p>
        </w:tc>
        <w:tc>
          <w:tcPr>
            <w:tcW w:w="1045" w:type="dxa"/>
            <w:tcBorders>
              <w:top w:val="nil"/>
              <w:left w:val="nil"/>
              <w:bottom w:val="single" w:sz="4" w:space="0" w:color="auto"/>
              <w:right w:val="nil"/>
            </w:tcBorders>
            <w:shd w:val="clear" w:color="auto" w:fill="auto"/>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36,243 </w:t>
            </w:r>
          </w:p>
        </w:tc>
        <w:tc>
          <w:tcPr>
            <w:tcW w:w="1045" w:type="dxa"/>
            <w:tcBorders>
              <w:top w:val="nil"/>
              <w:left w:val="nil"/>
              <w:bottom w:val="single" w:sz="4" w:space="0" w:color="auto"/>
              <w:right w:val="nil"/>
            </w:tcBorders>
            <w:shd w:val="clear" w:color="000000" w:fill="E6E6E6"/>
            <w:noWrap/>
            <w:hideMark/>
          </w:tcPr>
          <w:p w:rsidR="00FC7A62" w:rsidRPr="00FC7A62" w:rsidRDefault="00FC7A62" w:rsidP="00FC7A62">
            <w:pPr>
              <w:spacing w:after="0" w:line="240" w:lineRule="auto"/>
              <w:jc w:val="right"/>
              <w:rPr>
                <w:rFonts w:ascii="Arial" w:hAnsi="Arial" w:cs="Arial"/>
                <w:b/>
                <w:bCs/>
                <w:sz w:val="15"/>
                <w:szCs w:val="15"/>
              </w:rPr>
            </w:pPr>
            <w:r w:rsidRPr="00FC7A62">
              <w:rPr>
                <w:rFonts w:ascii="Arial" w:hAnsi="Arial" w:cs="Arial"/>
                <w:b/>
                <w:bCs/>
                <w:sz w:val="15"/>
                <w:szCs w:val="15"/>
              </w:rPr>
              <w:t xml:space="preserve">2,437,575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Special Accounts</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337149">
            <w:pPr>
              <w:spacing w:after="0" w:line="240" w:lineRule="auto"/>
              <w:ind w:firstLineChars="127" w:firstLine="190"/>
              <w:jc w:val="left"/>
              <w:rPr>
                <w:rFonts w:ascii="Arial" w:hAnsi="Arial" w:cs="Arial"/>
                <w:sz w:val="15"/>
                <w:szCs w:val="15"/>
              </w:rPr>
            </w:pPr>
            <w:r w:rsidRPr="00FC7A62">
              <w:rPr>
                <w:rFonts w:ascii="Arial" w:hAnsi="Arial" w:cs="Arial"/>
                <w:sz w:val="15"/>
                <w:szCs w:val="15"/>
              </w:rPr>
              <w:t>Opening balance(h)</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 xml:space="preserve">- </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c>
          <w:tcPr>
            <w:tcW w:w="1045" w:type="dxa"/>
            <w:tcBorders>
              <w:top w:val="nil"/>
              <w:left w:val="nil"/>
              <w:bottom w:val="nil"/>
              <w:right w:val="nil"/>
            </w:tcBorders>
            <w:shd w:val="clear" w:color="auto" w:fill="auto"/>
            <w:noWrap/>
            <w:hideMark/>
          </w:tcPr>
          <w:p w:rsidR="00FC7A62" w:rsidRPr="000E70F0" w:rsidRDefault="00FC7A62" w:rsidP="00FC7A62">
            <w:pPr>
              <w:spacing w:after="0" w:line="240" w:lineRule="auto"/>
              <w:jc w:val="right"/>
              <w:rPr>
                <w:rFonts w:ascii="Arial" w:hAnsi="Arial" w:cs="Arial"/>
                <w:bCs/>
                <w:sz w:val="15"/>
                <w:szCs w:val="15"/>
              </w:rPr>
            </w:pPr>
            <w:r w:rsidRPr="000E70F0">
              <w:rPr>
                <w:rFonts w:ascii="Arial" w:hAnsi="Arial" w:cs="Arial"/>
                <w:bCs/>
                <w:sz w:val="15"/>
                <w:szCs w:val="15"/>
              </w:rPr>
              <w:t xml:space="preserve">- </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Special Account [D]</w:t>
            </w:r>
          </w:p>
        </w:tc>
        <w:tc>
          <w:tcPr>
            <w:tcW w:w="1119" w:type="dxa"/>
            <w:tcBorders>
              <w:top w:val="single" w:sz="4" w:space="0" w:color="auto"/>
              <w:left w:val="nil"/>
              <w:bottom w:val="single" w:sz="4" w:space="0" w:color="auto"/>
              <w:right w:val="nil"/>
            </w:tcBorders>
            <w:shd w:val="clear" w:color="auto" w:fill="auto"/>
            <w:noWrap/>
            <w:hideMark/>
          </w:tcPr>
          <w:p w:rsidR="00FC7A62" w:rsidRPr="000E70F0" w:rsidRDefault="00FC7A62" w:rsidP="00FC7A62">
            <w:pPr>
              <w:spacing w:after="0" w:line="240" w:lineRule="auto"/>
              <w:jc w:val="right"/>
              <w:rPr>
                <w:rFonts w:ascii="Arial" w:hAnsi="Arial" w:cs="Arial"/>
                <w:b/>
                <w:bCs/>
                <w:i/>
                <w:iCs/>
                <w:sz w:val="15"/>
                <w:szCs w:val="15"/>
              </w:rPr>
            </w:pPr>
            <w:r w:rsidRPr="000E70F0">
              <w:rPr>
                <w:rFonts w:ascii="Arial" w:hAnsi="Arial" w:cs="Arial"/>
                <w:b/>
                <w:bCs/>
                <w:i/>
                <w:iCs/>
                <w:sz w:val="15"/>
                <w:szCs w:val="15"/>
              </w:rPr>
              <w:t xml:space="preserve">- </w:t>
            </w:r>
          </w:p>
        </w:tc>
        <w:tc>
          <w:tcPr>
            <w:tcW w:w="1045" w:type="dxa"/>
            <w:tcBorders>
              <w:top w:val="single" w:sz="4" w:space="0" w:color="auto"/>
              <w:left w:val="nil"/>
              <w:bottom w:val="single" w:sz="4" w:space="0" w:color="auto"/>
              <w:right w:val="nil"/>
            </w:tcBorders>
            <w:shd w:val="clear" w:color="auto" w:fill="auto"/>
            <w:noWrap/>
            <w:hideMark/>
          </w:tcPr>
          <w:p w:rsidR="00FC7A62" w:rsidRPr="000E70F0" w:rsidRDefault="00FC7A62" w:rsidP="00FC7A62">
            <w:pPr>
              <w:spacing w:after="0" w:line="240" w:lineRule="auto"/>
              <w:jc w:val="right"/>
              <w:rPr>
                <w:rFonts w:ascii="Arial" w:hAnsi="Arial" w:cs="Arial"/>
                <w:b/>
                <w:bCs/>
                <w:sz w:val="15"/>
                <w:szCs w:val="15"/>
              </w:rPr>
            </w:pPr>
            <w:r w:rsidRPr="000E70F0">
              <w:rPr>
                <w:rFonts w:ascii="Arial" w:hAnsi="Arial" w:cs="Arial"/>
                <w:b/>
                <w:bCs/>
                <w:sz w:val="15"/>
                <w:szCs w:val="15"/>
              </w:rPr>
              <w:t xml:space="preserve">- </w:t>
            </w:r>
          </w:p>
        </w:tc>
        <w:tc>
          <w:tcPr>
            <w:tcW w:w="1045" w:type="dxa"/>
            <w:tcBorders>
              <w:top w:val="single" w:sz="4" w:space="0" w:color="auto"/>
              <w:left w:val="nil"/>
              <w:bottom w:val="single" w:sz="4" w:space="0" w:color="auto"/>
              <w:right w:val="nil"/>
            </w:tcBorders>
            <w:shd w:val="clear" w:color="auto" w:fill="auto"/>
            <w:noWrap/>
            <w:hideMark/>
          </w:tcPr>
          <w:p w:rsidR="00FC7A62" w:rsidRPr="000E70F0" w:rsidRDefault="00FC7A62" w:rsidP="00FC7A62">
            <w:pPr>
              <w:spacing w:after="0" w:line="240" w:lineRule="auto"/>
              <w:jc w:val="right"/>
              <w:rPr>
                <w:rFonts w:ascii="Arial" w:hAnsi="Arial" w:cs="Arial"/>
                <w:b/>
                <w:bCs/>
                <w:sz w:val="15"/>
                <w:szCs w:val="15"/>
              </w:rPr>
            </w:pPr>
            <w:r w:rsidRPr="000E70F0">
              <w:rPr>
                <w:rFonts w:ascii="Arial" w:hAnsi="Arial" w:cs="Arial"/>
                <w:b/>
                <w:bCs/>
                <w:sz w:val="15"/>
                <w:szCs w:val="15"/>
              </w:rPr>
              <w:t xml:space="preserve">- </w:t>
            </w:r>
          </w:p>
        </w:tc>
        <w:tc>
          <w:tcPr>
            <w:tcW w:w="1045" w:type="dxa"/>
            <w:tcBorders>
              <w:top w:val="single" w:sz="4" w:space="0" w:color="auto"/>
              <w:left w:val="nil"/>
              <w:bottom w:val="single" w:sz="4" w:space="0" w:color="auto"/>
              <w:right w:val="nil"/>
            </w:tcBorders>
            <w:shd w:val="clear" w:color="000000" w:fill="E6E6E6"/>
            <w:noWrap/>
            <w:hideMark/>
          </w:tcPr>
          <w:p w:rsidR="00FC7A62" w:rsidRPr="000E70F0" w:rsidRDefault="00FC7A62" w:rsidP="00FC7A62">
            <w:pPr>
              <w:spacing w:after="0" w:line="240" w:lineRule="auto"/>
              <w:jc w:val="right"/>
              <w:rPr>
                <w:rFonts w:ascii="Arial" w:hAnsi="Arial" w:cs="Arial"/>
                <w:b/>
                <w:bCs/>
                <w:sz w:val="15"/>
                <w:szCs w:val="15"/>
              </w:rPr>
            </w:pPr>
            <w:r w:rsidRPr="000E70F0">
              <w:rPr>
                <w:rFonts w:ascii="Arial" w:hAnsi="Arial" w:cs="Arial"/>
                <w:b/>
                <w:bCs/>
                <w:sz w:val="15"/>
                <w:szCs w:val="15"/>
              </w:rPr>
              <w:t xml:space="preserve">- </w:t>
            </w:r>
          </w:p>
        </w:tc>
      </w:tr>
      <w:tr w:rsidR="00FC7A62" w:rsidRPr="00FC7A62" w:rsidTr="00FC7A62">
        <w:trPr>
          <w:trHeight w:val="222"/>
        </w:trPr>
        <w:tc>
          <w:tcPr>
            <w:tcW w:w="3464" w:type="dxa"/>
            <w:tcBorders>
              <w:top w:val="nil"/>
              <w:left w:val="nil"/>
              <w:bottom w:val="nil"/>
              <w:right w:val="nil"/>
            </w:tcBorders>
            <w:shd w:val="clear" w:color="auto" w:fill="auto"/>
            <w:noWrap/>
            <w:hideMark/>
          </w:tcPr>
          <w:p w:rsidR="00FC7A62" w:rsidRPr="00FC7A62" w:rsidRDefault="00FC7A62" w:rsidP="00FC7A62">
            <w:pPr>
              <w:spacing w:after="0" w:line="240" w:lineRule="auto"/>
              <w:jc w:val="left"/>
              <w:rPr>
                <w:rFonts w:ascii="Arial" w:hAnsi="Arial" w:cs="Arial"/>
                <w:b/>
                <w:bCs/>
                <w:sz w:val="15"/>
                <w:szCs w:val="15"/>
              </w:rPr>
            </w:pPr>
            <w:r w:rsidRPr="00FC7A62">
              <w:rPr>
                <w:rFonts w:ascii="Arial" w:hAnsi="Arial" w:cs="Arial"/>
                <w:b/>
                <w:bCs/>
                <w:sz w:val="15"/>
                <w:szCs w:val="15"/>
              </w:rPr>
              <w:t>Total resourcing [</w:t>
            </w:r>
            <w:proofErr w:type="spellStart"/>
            <w:r w:rsidRPr="00FC7A62">
              <w:rPr>
                <w:rFonts w:ascii="Arial" w:hAnsi="Arial" w:cs="Arial"/>
                <w:b/>
                <w:bCs/>
                <w:sz w:val="15"/>
                <w:szCs w:val="15"/>
              </w:rPr>
              <w:t>A+B+C+D</w:t>
            </w:r>
            <w:proofErr w:type="spellEnd"/>
            <w:r w:rsidRPr="00FC7A62">
              <w:rPr>
                <w:rFonts w:ascii="Arial" w:hAnsi="Arial" w:cs="Arial"/>
                <w:b/>
                <w:bCs/>
                <w:sz w:val="15"/>
                <w:szCs w:val="15"/>
              </w:rPr>
              <w:t>]</w:t>
            </w:r>
          </w:p>
        </w:tc>
        <w:tc>
          <w:tcPr>
            <w:tcW w:w="1119" w:type="dxa"/>
            <w:tcBorders>
              <w:top w:val="nil"/>
              <w:left w:val="nil"/>
              <w:bottom w:val="single" w:sz="4" w:space="0" w:color="auto"/>
              <w:right w:val="nil"/>
            </w:tcBorders>
            <w:shd w:val="clear" w:color="auto" w:fill="auto"/>
            <w:noWrap/>
            <w:hideMark/>
          </w:tcPr>
          <w:p w:rsidR="00FC7A62" w:rsidRPr="00D542E7" w:rsidRDefault="00FC7A62" w:rsidP="00FC7A62">
            <w:pPr>
              <w:spacing w:after="0" w:line="240" w:lineRule="auto"/>
              <w:jc w:val="right"/>
              <w:rPr>
                <w:rFonts w:ascii="Arial" w:hAnsi="Arial" w:cs="Arial"/>
                <w:b/>
                <w:i/>
                <w:iCs/>
                <w:sz w:val="15"/>
                <w:szCs w:val="15"/>
              </w:rPr>
            </w:pPr>
            <w:r w:rsidRPr="00D542E7">
              <w:rPr>
                <w:rFonts w:ascii="Arial" w:hAnsi="Arial" w:cs="Arial"/>
                <w:b/>
                <w:i/>
                <w:iCs/>
                <w:sz w:val="15"/>
                <w:szCs w:val="15"/>
              </w:rPr>
              <w:t xml:space="preserve">2,542,448 </w:t>
            </w:r>
          </w:p>
        </w:tc>
        <w:tc>
          <w:tcPr>
            <w:tcW w:w="1045" w:type="dxa"/>
            <w:tcBorders>
              <w:top w:val="nil"/>
              <w:left w:val="nil"/>
              <w:bottom w:val="single" w:sz="4" w:space="0" w:color="auto"/>
              <w:right w:val="nil"/>
            </w:tcBorders>
            <w:shd w:val="clear" w:color="auto" w:fill="auto"/>
            <w:noWrap/>
            <w:hideMark/>
          </w:tcPr>
          <w:p w:rsidR="00FC7A62" w:rsidRPr="00D542E7" w:rsidRDefault="00FC7A62" w:rsidP="00FC7A62">
            <w:pPr>
              <w:spacing w:after="0" w:line="240" w:lineRule="auto"/>
              <w:jc w:val="right"/>
              <w:rPr>
                <w:rFonts w:ascii="Arial" w:hAnsi="Arial" w:cs="Arial"/>
                <w:b/>
                <w:sz w:val="15"/>
                <w:szCs w:val="15"/>
              </w:rPr>
            </w:pPr>
            <w:r w:rsidRPr="00D542E7">
              <w:rPr>
                <w:rFonts w:ascii="Arial" w:hAnsi="Arial" w:cs="Arial"/>
                <w:b/>
                <w:sz w:val="15"/>
                <w:szCs w:val="15"/>
              </w:rPr>
              <w:t xml:space="preserve">2,401,332 </w:t>
            </w:r>
          </w:p>
        </w:tc>
        <w:tc>
          <w:tcPr>
            <w:tcW w:w="1045" w:type="dxa"/>
            <w:tcBorders>
              <w:top w:val="nil"/>
              <w:left w:val="nil"/>
              <w:bottom w:val="single" w:sz="4" w:space="0" w:color="auto"/>
              <w:right w:val="nil"/>
            </w:tcBorders>
            <w:shd w:val="clear" w:color="auto" w:fill="auto"/>
            <w:noWrap/>
            <w:hideMark/>
          </w:tcPr>
          <w:p w:rsidR="00FC7A62" w:rsidRPr="00D542E7" w:rsidRDefault="00FC7A62" w:rsidP="00FC7A62">
            <w:pPr>
              <w:spacing w:after="0" w:line="240" w:lineRule="auto"/>
              <w:jc w:val="right"/>
              <w:rPr>
                <w:rFonts w:ascii="Arial" w:hAnsi="Arial" w:cs="Arial"/>
                <w:b/>
                <w:sz w:val="15"/>
                <w:szCs w:val="15"/>
              </w:rPr>
            </w:pPr>
            <w:r w:rsidRPr="00D542E7">
              <w:rPr>
                <w:rFonts w:ascii="Arial" w:hAnsi="Arial" w:cs="Arial"/>
                <w:b/>
                <w:sz w:val="15"/>
                <w:szCs w:val="15"/>
              </w:rPr>
              <w:t xml:space="preserve">36,243 </w:t>
            </w:r>
          </w:p>
        </w:tc>
        <w:tc>
          <w:tcPr>
            <w:tcW w:w="1045" w:type="dxa"/>
            <w:tcBorders>
              <w:top w:val="nil"/>
              <w:left w:val="nil"/>
              <w:bottom w:val="single" w:sz="4" w:space="0" w:color="auto"/>
              <w:right w:val="nil"/>
            </w:tcBorders>
            <w:shd w:val="clear" w:color="000000" w:fill="E6E6E6"/>
            <w:noWrap/>
            <w:hideMark/>
          </w:tcPr>
          <w:p w:rsidR="00FC7A62" w:rsidRPr="00D542E7" w:rsidRDefault="00FC7A62" w:rsidP="00FC7A62">
            <w:pPr>
              <w:spacing w:after="0" w:line="240" w:lineRule="auto"/>
              <w:jc w:val="right"/>
              <w:rPr>
                <w:rFonts w:ascii="Arial" w:hAnsi="Arial" w:cs="Arial"/>
                <w:b/>
                <w:sz w:val="15"/>
                <w:szCs w:val="15"/>
              </w:rPr>
            </w:pPr>
            <w:r w:rsidRPr="00D542E7">
              <w:rPr>
                <w:rFonts w:ascii="Arial" w:hAnsi="Arial" w:cs="Arial"/>
                <w:b/>
                <w:sz w:val="15"/>
                <w:szCs w:val="15"/>
              </w:rPr>
              <w:t xml:space="preserve">2,437,575 </w:t>
            </w:r>
          </w:p>
        </w:tc>
      </w:tr>
      <w:tr w:rsidR="00FC7A62" w:rsidRPr="00FC7A62" w:rsidTr="00FC7A62">
        <w:trPr>
          <w:trHeight w:val="391"/>
        </w:trPr>
        <w:tc>
          <w:tcPr>
            <w:tcW w:w="3464" w:type="dxa"/>
            <w:tcBorders>
              <w:top w:val="nil"/>
              <w:left w:val="nil"/>
              <w:bottom w:val="nil"/>
              <w:right w:val="nil"/>
            </w:tcBorders>
            <w:shd w:val="clear" w:color="auto" w:fill="auto"/>
            <w:hideMark/>
          </w:tcPr>
          <w:p w:rsidR="00FC7A62" w:rsidRPr="00FC7A62" w:rsidRDefault="00FC7A62" w:rsidP="00337149">
            <w:pPr>
              <w:spacing w:after="0" w:line="240" w:lineRule="auto"/>
              <w:ind w:left="191"/>
              <w:jc w:val="left"/>
              <w:rPr>
                <w:rFonts w:ascii="Arial" w:hAnsi="Arial" w:cs="Arial"/>
                <w:sz w:val="15"/>
                <w:szCs w:val="15"/>
              </w:rPr>
            </w:pPr>
            <w:r w:rsidRPr="00FC7A62">
              <w:rPr>
                <w:rFonts w:ascii="Arial" w:hAnsi="Arial" w:cs="Arial"/>
                <w:sz w:val="15"/>
                <w:szCs w:val="15"/>
              </w:rPr>
              <w:t>Less payments to corporate entities through annual or special appropriations</w:t>
            </w:r>
          </w:p>
        </w:tc>
        <w:tc>
          <w:tcPr>
            <w:tcW w:w="1119"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i/>
                <w:iCs/>
                <w:sz w:val="15"/>
                <w:szCs w:val="15"/>
              </w:rPr>
            </w:pPr>
            <w:r w:rsidRPr="00FC7A62">
              <w:rPr>
                <w:rFonts w:ascii="Arial" w:hAnsi="Arial" w:cs="Arial"/>
                <w:i/>
                <w:iCs/>
                <w:sz w:val="15"/>
                <w:szCs w:val="15"/>
              </w:rPr>
              <w:t>(7,563)</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(7,727)</w:t>
            </w:r>
          </w:p>
        </w:tc>
        <w:tc>
          <w:tcPr>
            <w:tcW w:w="1045" w:type="dxa"/>
            <w:tcBorders>
              <w:top w:val="nil"/>
              <w:left w:val="nil"/>
              <w:bottom w:val="nil"/>
              <w:right w:val="nil"/>
            </w:tcBorders>
            <w:shd w:val="clear" w:color="auto" w:fill="auto"/>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 xml:space="preserve">- </w:t>
            </w:r>
          </w:p>
        </w:tc>
        <w:tc>
          <w:tcPr>
            <w:tcW w:w="1045" w:type="dxa"/>
            <w:tcBorders>
              <w:top w:val="nil"/>
              <w:left w:val="nil"/>
              <w:bottom w:val="nil"/>
              <w:right w:val="nil"/>
            </w:tcBorders>
            <w:shd w:val="clear" w:color="000000" w:fill="E6E6E6"/>
            <w:noWrap/>
            <w:hideMark/>
          </w:tcPr>
          <w:p w:rsidR="00FC7A62" w:rsidRPr="00FC7A62" w:rsidRDefault="00FC7A62" w:rsidP="00FC7A62">
            <w:pPr>
              <w:spacing w:after="0" w:line="240" w:lineRule="auto"/>
              <w:jc w:val="right"/>
              <w:rPr>
                <w:rFonts w:ascii="Arial" w:hAnsi="Arial" w:cs="Arial"/>
                <w:sz w:val="15"/>
                <w:szCs w:val="15"/>
              </w:rPr>
            </w:pPr>
            <w:r w:rsidRPr="00FC7A62">
              <w:rPr>
                <w:rFonts w:ascii="Arial" w:hAnsi="Arial" w:cs="Arial"/>
                <w:sz w:val="15"/>
                <w:szCs w:val="15"/>
              </w:rPr>
              <w:t>(7,727)</w:t>
            </w:r>
          </w:p>
        </w:tc>
      </w:tr>
      <w:tr w:rsidR="00FC7A62" w:rsidRPr="00FC7A62" w:rsidTr="005A62FC">
        <w:trPr>
          <w:trHeight w:val="213"/>
        </w:trPr>
        <w:tc>
          <w:tcPr>
            <w:tcW w:w="3464" w:type="dxa"/>
            <w:tcBorders>
              <w:top w:val="nil"/>
              <w:left w:val="nil"/>
              <w:bottom w:val="single" w:sz="4" w:space="0" w:color="auto"/>
              <w:right w:val="nil"/>
            </w:tcBorders>
            <w:shd w:val="clear" w:color="auto" w:fill="auto"/>
            <w:vAlign w:val="bottom"/>
            <w:hideMark/>
          </w:tcPr>
          <w:p w:rsidR="00FC7A62" w:rsidRPr="00FC7A62" w:rsidRDefault="00FC7A62" w:rsidP="005A62FC">
            <w:pPr>
              <w:spacing w:after="0" w:line="240" w:lineRule="auto"/>
              <w:jc w:val="left"/>
              <w:rPr>
                <w:rFonts w:ascii="Arial" w:hAnsi="Arial" w:cs="Arial"/>
                <w:b/>
                <w:bCs/>
                <w:sz w:val="15"/>
                <w:szCs w:val="15"/>
              </w:rPr>
            </w:pPr>
            <w:r w:rsidRPr="00FC7A62">
              <w:rPr>
                <w:rFonts w:ascii="Arial" w:hAnsi="Arial" w:cs="Arial"/>
                <w:b/>
                <w:bCs/>
                <w:sz w:val="15"/>
                <w:szCs w:val="15"/>
              </w:rPr>
              <w:t>Total net resourcing for Department of Employment</w:t>
            </w:r>
          </w:p>
        </w:tc>
        <w:tc>
          <w:tcPr>
            <w:tcW w:w="1119" w:type="dxa"/>
            <w:tcBorders>
              <w:top w:val="single" w:sz="4" w:space="0" w:color="auto"/>
              <w:left w:val="nil"/>
              <w:bottom w:val="single" w:sz="4" w:space="0" w:color="auto"/>
              <w:right w:val="nil"/>
            </w:tcBorders>
            <w:shd w:val="clear" w:color="auto" w:fill="auto"/>
            <w:noWrap/>
            <w:vAlign w:val="bottom"/>
            <w:hideMark/>
          </w:tcPr>
          <w:p w:rsidR="00FC7A62" w:rsidRPr="00FC7A62" w:rsidRDefault="00FC7A62" w:rsidP="005A62FC">
            <w:pPr>
              <w:spacing w:after="0" w:line="240" w:lineRule="auto"/>
              <w:jc w:val="right"/>
              <w:rPr>
                <w:rFonts w:ascii="Arial" w:hAnsi="Arial" w:cs="Arial"/>
                <w:b/>
                <w:bCs/>
                <w:i/>
                <w:iCs/>
                <w:sz w:val="15"/>
                <w:szCs w:val="15"/>
              </w:rPr>
            </w:pPr>
            <w:r w:rsidRPr="00FC7A62">
              <w:rPr>
                <w:rFonts w:ascii="Arial" w:hAnsi="Arial" w:cs="Arial"/>
                <w:b/>
                <w:bCs/>
                <w:i/>
                <w:iCs/>
                <w:sz w:val="15"/>
                <w:szCs w:val="15"/>
              </w:rPr>
              <w:t xml:space="preserve">2,534,885 </w:t>
            </w:r>
          </w:p>
        </w:tc>
        <w:tc>
          <w:tcPr>
            <w:tcW w:w="1045" w:type="dxa"/>
            <w:tcBorders>
              <w:top w:val="single" w:sz="4" w:space="0" w:color="auto"/>
              <w:left w:val="nil"/>
              <w:bottom w:val="single" w:sz="4" w:space="0" w:color="auto"/>
              <w:right w:val="nil"/>
            </w:tcBorders>
            <w:shd w:val="clear" w:color="auto" w:fill="auto"/>
            <w:noWrap/>
            <w:vAlign w:val="bottom"/>
            <w:hideMark/>
          </w:tcPr>
          <w:p w:rsidR="00FC7A62" w:rsidRPr="00FC7A62" w:rsidRDefault="00FC7A62" w:rsidP="005A62FC">
            <w:pPr>
              <w:spacing w:after="0" w:line="240" w:lineRule="auto"/>
              <w:jc w:val="right"/>
              <w:rPr>
                <w:rFonts w:ascii="Arial" w:hAnsi="Arial" w:cs="Arial"/>
                <w:b/>
                <w:bCs/>
                <w:sz w:val="15"/>
                <w:szCs w:val="15"/>
              </w:rPr>
            </w:pPr>
            <w:r w:rsidRPr="00FC7A62">
              <w:rPr>
                <w:rFonts w:ascii="Arial" w:hAnsi="Arial" w:cs="Arial"/>
                <w:b/>
                <w:bCs/>
                <w:sz w:val="15"/>
                <w:szCs w:val="15"/>
              </w:rPr>
              <w:t xml:space="preserve">2,393,605 </w:t>
            </w:r>
          </w:p>
        </w:tc>
        <w:tc>
          <w:tcPr>
            <w:tcW w:w="1045" w:type="dxa"/>
            <w:tcBorders>
              <w:top w:val="single" w:sz="4" w:space="0" w:color="auto"/>
              <w:left w:val="nil"/>
              <w:bottom w:val="single" w:sz="4" w:space="0" w:color="auto"/>
              <w:right w:val="nil"/>
            </w:tcBorders>
            <w:shd w:val="clear" w:color="auto" w:fill="auto"/>
            <w:noWrap/>
            <w:vAlign w:val="bottom"/>
            <w:hideMark/>
          </w:tcPr>
          <w:p w:rsidR="00FC7A62" w:rsidRPr="00FC7A62" w:rsidRDefault="00FC7A62" w:rsidP="005A62FC">
            <w:pPr>
              <w:spacing w:after="0" w:line="240" w:lineRule="auto"/>
              <w:jc w:val="right"/>
              <w:rPr>
                <w:rFonts w:ascii="Arial" w:hAnsi="Arial" w:cs="Arial"/>
                <w:b/>
                <w:bCs/>
                <w:sz w:val="15"/>
                <w:szCs w:val="15"/>
              </w:rPr>
            </w:pPr>
            <w:r w:rsidRPr="00FC7A62">
              <w:rPr>
                <w:rFonts w:ascii="Arial" w:hAnsi="Arial" w:cs="Arial"/>
                <w:b/>
                <w:bCs/>
                <w:sz w:val="15"/>
                <w:szCs w:val="15"/>
              </w:rPr>
              <w:t xml:space="preserve">36,243 </w:t>
            </w:r>
          </w:p>
        </w:tc>
        <w:tc>
          <w:tcPr>
            <w:tcW w:w="1045" w:type="dxa"/>
            <w:tcBorders>
              <w:top w:val="single" w:sz="4" w:space="0" w:color="auto"/>
              <w:left w:val="nil"/>
              <w:bottom w:val="single" w:sz="4" w:space="0" w:color="auto"/>
              <w:right w:val="nil"/>
            </w:tcBorders>
            <w:shd w:val="clear" w:color="000000" w:fill="E6E6E6"/>
            <w:noWrap/>
            <w:vAlign w:val="bottom"/>
            <w:hideMark/>
          </w:tcPr>
          <w:p w:rsidR="00FC7A62" w:rsidRPr="00FC7A62" w:rsidRDefault="00FC7A62" w:rsidP="005A62FC">
            <w:pPr>
              <w:spacing w:after="0" w:line="240" w:lineRule="auto"/>
              <w:jc w:val="right"/>
              <w:rPr>
                <w:rFonts w:ascii="Arial" w:hAnsi="Arial" w:cs="Arial"/>
                <w:b/>
                <w:bCs/>
                <w:sz w:val="15"/>
                <w:szCs w:val="15"/>
              </w:rPr>
            </w:pPr>
            <w:r w:rsidRPr="00FC7A62">
              <w:rPr>
                <w:rFonts w:ascii="Arial" w:hAnsi="Arial" w:cs="Arial"/>
                <w:b/>
                <w:bCs/>
                <w:sz w:val="15"/>
                <w:szCs w:val="15"/>
              </w:rPr>
              <w:t xml:space="preserve">2,429,848 </w:t>
            </w:r>
          </w:p>
        </w:tc>
      </w:tr>
    </w:tbl>
    <w:p w:rsidR="0073762B" w:rsidRPr="001779AF" w:rsidRDefault="0073762B" w:rsidP="00BD3FDE">
      <w:pPr>
        <w:pStyle w:val="TableGraphic"/>
      </w:pPr>
    </w:p>
    <w:p w:rsidR="0073762B" w:rsidRPr="00FC7A62" w:rsidRDefault="00643B7D" w:rsidP="00643B7D">
      <w:pPr>
        <w:pStyle w:val="ChartandTableFootnoteAlpha"/>
        <w:spacing w:line="240" w:lineRule="auto"/>
        <w:rPr>
          <w:i/>
        </w:rPr>
      </w:pPr>
      <w:r w:rsidRPr="00FC7A62">
        <w:t xml:space="preserve">(a) </w:t>
      </w:r>
      <w:r w:rsidRPr="00FC7A62">
        <w:tab/>
      </w:r>
      <w:r w:rsidR="00B7550E" w:rsidRPr="00FC7A62">
        <w:rPr>
          <w:i/>
        </w:rPr>
        <w:t>Appropriation Act (No. 1) 201</w:t>
      </w:r>
      <w:r w:rsidR="000E33CD" w:rsidRPr="00FC7A62">
        <w:rPr>
          <w:i/>
        </w:rPr>
        <w:t>5</w:t>
      </w:r>
      <w:r w:rsidR="00830F17" w:rsidRPr="00FC7A62">
        <w:rPr>
          <w:i/>
        </w:rPr>
        <w:t>–</w:t>
      </w:r>
      <w:r w:rsidR="00B7550E" w:rsidRPr="00FC7A62">
        <w:rPr>
          <w:i/>
        </w:rPr>
        <w:t>1</w:t>
      </w:r>
      <w:r w:rsidR="000E33CD" w:rsidRPr="00FC7A62">
        <w:rPr>
          <w:i/>
        </w:rPr>
        <w:t>6</w:t>
      </w:r>
      <w:r w:rsidR="00B7550E" w:rsidRPr="00FC7A62">
        <w:t xml:space="preserve"> </w:t>
      </w:r>
      <w:r w:rsidR="001A1C55" w:rsidRPr="00FC7A62">
        <w:t>and</w:t>
      </w:r>
      <w:r w:rsidR="00B7550E" w:rsidRPr="00FC7A62">
        <w:t xml:space="preserve"> Appropriation Bill (No. 3) 201</w:t>
      </w:r>
      <w:r w:rsidR="000E33CD" w:rsidRPr="00FC7A62">
        <w:t>5</w:t>
      </w:r>
      <w:r w:rsidR="00830F17" w:rsidRPr="00FC7A62">
        <w:t>–</w:t>
      </w:r>
      <w:r w:rsidR="00B7550E" w:rsidRPr="00FC7A62">
        <w:t>1</w:t>
      </w:r>
      <w:r w:rsidR="000E33CD" w:rsidRPr="00FC7A62">
        <w:t>6</w:t>
      </w:r>
      <w:r w:rsidR="009335FC" w:rsidRPr="00FC7A62">
        <w:rPr>
          <w:i/>
        </w:rPr>
        <w:t>.</w:t>
      </w:r>
    </w:p>
    <w:p w:rsidR="00F51DAC" w:rsidRPr="00FC7A62" w:rsidRDefault="00643B7D" w:rsidP="00643B7D">
      <w:pPr>
        <w:pStyle w:val="ChartandTableFootnoteAlpha"/>
        <w:spacing w:line="240" w:lineRule="auto"/>
      </w:pPr>
      <w:r w:rsidRPr="00FC7A62">
        <w:t xml:space="preserve">(b) </w:t>
      </w:r>
      <w:r w:rsidRPr="00FC7A62">
        <w:tab/>
      </w:r>
      <w:r w:rsidR="00F51DAC" w:rsidRPr="00FC7A62">
        <w:t>Estimated adjusted balance carried from previous year for annual appropriations</w:t>
      </w:r>
      <w:r w:rsidR="00F02340">
        <w:t>.</w:t>
      </w:r>
    </w:p>
    <w:p w:rsidR="0073762B" w:rsidRPr="0033071D" w:rsidRDefault="00643B7D" w:rsidP="00643B7D">
      <w:pPr>
        <w:pStyle w:val="ChartandTableFootnoteAlpha"/>
        <w:spacing w:line="240" w:lineRule="auto"/>
        <w:rPr>
          <w:highlight w:val="yellow"/>
        </w:rPr>
      </w:pPr>
      <w:r w:rsidRPr="00FC7A62">
        <w:t xml:space="preserve">(c) </w:t>
      </w:r>
      <w:r w:rsidRPr="00FC7A62">
        <w:tab/>
      </w:r>
      <w:r w:rsidR="00F51DAC" w:rsidRPr="00FC7A62">
        <w:t>Includes an amount of $</w:t>
      </w:r>
      <w:proofErr w:type="spellStart"/>
      <w:r w:rsidR="00FC7A62" w:rsidRPr="00FC7A62">
        <w:t>27.4</w:t>
      </w:r>
      <w:r w:rsidR="00F51DAC" w:rsidRPr="00FC7A62">
        <w:t>m</w:t>
      </w:r>
      <w:proofErr w:type="spellEnd"/>
      <w:r w:rsidR="00F51DAC" w:rsidRPr="00FC7A62">
        <w:t xml:space="preserve"> in </w:t>
      </w:r>
      <w:r w:rsidR="00B50972" w:rsidRPr="00FC7A62">
        <w:t>201</w:t>
      </w:r>
      <w:r w:rsidR="000E33CD" w:rsidRPr="00FC7A62">
        <w:t>5</w:t>
      </w:r>
      <w:r w:rsidR="00830F17" w:rsidRPr="00FC7A62">
        <w:t>–</w:t>
      </w:r>
      <w:r w:rsidR="00B50972" w:rsidRPr="00FC7A62">
        <w:t>1</w:t>
      </w:r>
      <w:r w:rsidR="000E33CD" w:rsidRPr="00FC7A62">
        <w:t>6</w:t>
      </w:r>
      <w:r w:rsidR="00F51DAC" w:rsidRPr="00FC7A62">
        <w:t xml:space="preserve"> for the Departmental Capital Budget (refer to table 3.2.5 for</w:t>
      </w:r>
      <w:r w:rsidR="00272B20" w:rsidRPr="00FC7A62">
        <w:t xml:space="preserve"> </w:t>
      </w:r>
      <w:r w:rsidR="00F51DAC" w:rsidRPr="00FC7A62">
        <w:t>further details). For accounting purposes this amount has been designated as 'contributions by owners'</w:t>
      </w:r>
      <w:r w:rsidR="00B7550E" w:rsidRPr="00FC7A62">
        <w:t xml:space="preserve">. </w:t>
      </w:r>
    </w:p>
    <w:p w:rsidR="00F51DAC" w:rsidRPr="00FC7A62" w:rsidRDefault="00643B7D" w:rsidP="00643B7D">
      <w:pPr>
        <w:pStyle w:val="ChartandTableFootnoteAlpha"/>
        <w:spacing w:line="240" w:lineRule="auto"/>
      </w:pPr>
      <w:r w:rsidRPr="00FC7A62">
        <w:t xml:space="preserve">(d) </w:t>
      </w:r>
      <w:r w:rsidRPr="00FC7A62">
        <w:tab/>
      </w:r>
      <w:r w:rsidR="00B50972" w:rsidRPr="00FC7A62">
        <w:t xml:space="preserve">Estimated retained revenue receipts under section 74 of the </w:t>
      </w:r>
      <w:r w:rsidR="00B50972" w:rsidRPr="00FC7A62">
        <w:rPr>
          <w:i/>
        </w:rPr>
        <w:t>Public Governance, Performance and Accountability</w:t>
      </w:r>
      <w:r w:rsidR="00C24F1D" w:rsidRPr="00FC7A62">
        <w:rPr>
          <w:i/>
        </w:rPr>
        <w:t xml:space="preserve"> (PGPA)</w:t>
      </w:r>
      <w:r w:rsidR="00B50972" w:rsidRPr="00FC7A62">
        <w:rPr>
          <w:i/>
        </w:rPr>
        <w:t xml:space="preserve"> Act 2013</w:t>
      </w:r>
      <w:r w:rsidR="00B50972" w:rsidRPr="00FC7A62">
        <w:t xml:space="preserve">. </w:t>
      </w:r>
    </w:p>
    <w:p w:rsidR="00C24F1D" w:rsidRPr="00FC7A62" w:rsidRDefault="000E70F0" w:rsidP="00643B7D">
      <w:pPr>
        <w:pStyle w:val="ChartandTableFootnoteAlpha"/>
        <w:spacing w:line="240" w:lineRule="auto"/>
      </w:pPr>
      <w:r>
        <w:t>(e)</w:t>
      </w:r>
      <w:r w:rsidR="00643B7D" w:rsidRPr="00FC7A62">
        <w:t xml:space="preserve"> </w:t>
      </w:r>
      <w:r w:rsidR="00643B7D" w:rsidRPr="00FC7A62">
        <w:tab/>
      </w:r>
      <w:r w:rsidR="00C24F1D" w:rsidRPr="00FC7A62">
        <w:t xml:space="preserve">‘Corporate Entities’ are Corporate Commonwealth Entities and Commonwealth Companies as defined under the </w:t>
      </w:r>
      <w:r w:rsidR="00C24F1D" w:rsidRPr="00FC7A62">
        <w:rPr>
          <w:i/>
        </w:rPr>
        <w:t>PGPA Act 2013</w:t>
      </w:r>
      <w:r w:rsidR="00C24F1D" w:rsidRPr="00FC7A62">
        <w:t>.</w:t>
      </w:r>
    </w:p>
    <w:p w:rsidR="006E4CE9" w:rsidRPr="000E70F0" w:rsidRDefault="000E70F0" w:rsidP="00643B7D">
      <w:pPr>
        <w:pStyle w:val="ChartandTableFootnoteAlpha"/>
        <w:spacing w:line="240" w:lineRule="auto"/>
      </w:pPr>
      <w:r w:rsidRPr="000E70F0">
        <w:t>(f</w:t>
      </w:r>
      <w:r w:rsidR="00643B7D" w:rsidRPr="000E70F0">
        <w:t xml:space="preserve">) </w:t>
      </w:r>
      <w:r w:rsidR="00643B7D" w:rsidRPr="000E70F0">
        <w:tab/>
      </w:r>
      <w:r w:rsidR="003962BF" w:rsidRPr="000E70F0">
        <w:rPr>
          <w:i/>
        </w:rPr>
        <w:t>Appropriation Act (No. 2) 2015</w:t>
      </w:r>
      <w:r w:rsidR="00830F17" w:rsidRPr="000E70F0">
        <w:rPr>
          <w:i/>
        </w:rPr>
        <w:t>–</w:t>
      </w:r>
      <w:r w:rsidR="003962BF" w:rsidRPr="000E70F0">
        <w:rPr>
          <w:i/>
        </w:rPr>
        <w:t>16</w:t>
      </w:r>
      <w:r w:rsidR="006E4CE9" w:rsidRPr="000E70F0">
        <w:t xml:space="preserve"> </w:t>
      </w:r>
      <w:r w:rsidR="001A1C55" w:rsidRPr="000E70F0">
        <w:t>and</w:t>
      </w:r>
      <w:r w:rsidR="0052227C" w:rsidRPr="000E70F0">
        <w:t xml:space="preserve"> </w:t>
      </w:r>
      <w:r w:rsidR="003962BF" w:rsidRPr="000E70F0">
        <w:t>Appropriation Bill (No. 4) 2015</w:t>
      </w:r>
      <w:r w:rsidR="00830F17" w:rsidRPr="000E70F0">
        <w:t>–</w:t>
      </w:r>
      <w:r w:rsidR="006E4CE9" w:rsidRPr="000E70F0">
        <w:t>1</w:t>
      </w:r>
      <w:r w:rsidR="003962BF" w:rsidRPr="000E70F0">
        <w:t>6</w:t>
      </w:r>
      <w:r w:rsidR="00C24F1D" w:rsidRPr="000E70F0">
        <w:t>.</w:t>
      </w:r>
    </w:p>
    <w:p w:rsidR="00C24F1D" w:rsidRPr="000E70F0" w:rsidRDefault="000E70F0" w:rsidP="00643B7D">
      <w:pPr>
        <w:pStyle w:val="ChartandTableFootnoteAlpha"/>
        <w:spacing w:line="240" w:lineRule="auto"/>
      </w:pPr>
      <w:r w:rsidRPr="000E70F0">
        <w:t>(g</w:t>
      </w:r>
      <w:r w:rsidR="00643B7D" w:rsidRPr="000E70F0">
        <w:t xml:space="preserve">) </w:t>
      </w:r>
      <w:r w:rsidR="00643B7D" w:rsidRPr="000E70F0">
        <w:tab/>
      </w:r>
      <w:r w:rsidR="00C24F1D" w:rsidRPr="000E70F0">
        <w:t xml:space="preserve">Repayments not provided for under other appropriations. </w:t>
      </w:r>
      <w:r w:rsidRPr="000E70F0">
        <w:t xml:space="preserve">Amounts received on or before 30 June 2014 were repaid under section 28 of the </w:t>
      </w:r>
      <w:r w:rsidRPr="000E70F0">
        <w:rPr>
          <w:i/>
        </w:rPr>
        <w:t>Financial Management and Accountability Act 1997</w:t>
      </w:r>
      <w:r w:rsidRPr="000E70F0">
        <w:t>.</w:t>
      </w:r>
    </w:p>
    <w:p w:rsidR="0073762B" w:rsidRPr="000E70F0" w:rsidRDefault="000E70F0" w:rsidP="00643B7D">
      <w:pPr>
        <w:pStyle w:val="ChartandTableFootnoteAlpha"/>
        <w:spacing w:line="240" w:lineRule="auto"/>
      </w:pPr>
      <w:r>
        <w:t>(</w:t>
      </w:r>
      <w:proofErr w:type="gramStart"/>
      <w:r>
        <w:t>h</w:t>
      </w:r>
      <w:proofErr w:type="gramEnd"/>
      <w:r w:rsidR="00643B7D" w:rsidRPr="000E70F0">
        <w:t xml:space="preserve">) </w:t>
      </w:r>
      <w:r w:rsidR="00643B7D" w:rsidRPr="000E70F0">
        <w:tab/>
      </w:r>
      <w:r w:rsidR="004F14E4" w:rsidRPr="000E70F0">
        <w:t>Estimated opening balance for special accounts (less ‘</w:t>
      </w:r>
      <w:r w:rsidR="00643B7D" w:rsidRPr="000E70F0">
        <w:t>s</w:t>
      </w:r>
      <w:r w:rsidR="004F14E4" w:rsidRPr="000E70F0">
        <w:t xml:space="preserve">pecial </w:t>
      </w:r>
      <w:r w:rsidR="00643B7D" w:rsidRPr="000E70F0">
        <w:t>public m</w:t>
      </w:r>
      <w:r w:rsidR="004F14E4" w:rsidRPr="000E70F0">
        <w:t xml:space="preserve">oney’ held in </w:t>
      </w:r>
      <w:r w:rsidR="006E4CE9" w:rsidRPr="000E70F0">
        <w:t xml:space="preserve">a </w:t>
      </w:r>
      <w:r w:rsidR="006E4CE9" w:rsidRPr="000E70F0">
        <w:rPr>
          <w:i/>
        </w:rPr>
        <w:t>Services for Other Entities and Trust Moneys Special Accounts (</w:t>
      </w:r>
      <w:proofErr w:type="spellStart"/>
      <w:r w:rsidR="006E4CE9" w:rsidRPr="000E70F0">
        <w:rPr>
          <w:i/>
        </w:rPr>
        <w:t>SOETM</w:t>
      </w:r>
      <w:proofErr w:type="spellEnd"/>
      <w:r w:rsidR="006E4CE9" w:rsidRPr="000E70F0">
        <w:rPr>
          <w:i/>
        </w:rPr>
        <w:t>)</w:t>
      </w:r>
      <w:r w:rsidRPr="000E70F0">
        <w:t>).</w:t>
      </w:r>
    </w:p>
    <w:p w:rsidR="004F14E4" w:rsidRPr="0033071D" w:rsidRDefault="004F14E4" w:rsidP="00F51DAC">
      <w:pPr>
        <w:pStyle w:val="ChartandTableFootnote"/>
        <w:rPr>
          <w:highlight w:val="yellow"/>
        </w:rPr>
      </w:pPr>
    </w:p>
    <w:p w:rsidR="000E70F0" w:rsidRDefault="00F51DAC" w:rsidP="00F51DAC">
      <w:pPr>
        <w:pStyle w:val="ChartandTableFootnote"/>
      </w:pPr>
      <w:r w:rsidRPr="000E70F0">
        <w:t xml:space="preserve">Reader note: All figures are GST </w:t>
      </w:r>
      <w:r w:rsidR="00960353" w:rsidRPr="000E70F0">
        <w:t xml:space="preserve">exclusive. </w:t>
      </w:r>
      <w:r w:rsidR="006C4D86" w:rsidRPr="000E70F0">
        <w:t>These figures may not match figures in the cash flow statement.</w:t>
      </w:r>
    </w:p>
    <w:p w:rsidR="000E70F0" w:rsidRDefault="000E70F0">
      <w:pPr>
        <w:spacing w:after="0" w:line="240" w:lineRule="auto"/>
        <w:jc w:val="left"/>
        <w:rPr>
          <w:rFonts w:ascii="Arial" w:hAnsi="Arial"/>
          <w:sz w:val="16"/>
        </w:rPr>
      </w:pPr>
      <w:r>
        <w:br w:type="page"/>
      </w:r>
    </w:p>
    <w:p w:rsidR="00F51DAC" w:rsidRDefault="00F51DAC" w:rsidP="00F51DAC">
      <w:pPr>
        <w:pStyle w:val="TableHeading"/>
      </w:pPr>
      <w:r>
        <w:lastRenderedPageBreak/>
        <w:t xml:space="preserve">Table 1.1: </w:t>
      </w:r>
      <w:r w:rsidR="008F16DB">
        <w:rPr>
          <w:lang w:val="en-AU"/>
        </w:rPr>
        <w:t>Department of Employment</w:t>
      </w:r>
      <w:r>
        <w:t xml:space="preserve"> </w:t>
      </w:r>
      <w:r w:rsidR="00643B7D">
        <w:t>resource statement</w:t>
      </w:r>
      <w:r w:rsidR="00E15CF3">
        <w:t>—</w:t>
      </w:r>
      <w:r>
        <w:t xml:space="preserve">Additional </w:t>
      </w:r>
      <w:r w:rsidR="00755EB5">
        <w:t>E</w:t>
      </w:r>
      <w:r>
        <w:t xml:space="preserve">stimates </w:t>
      </w:r>
      <w:r w:rsidR="00755EB5">
        <w:t>f</w:t>
      </w:r>
      <w:r>
        <w:t xml:space="preserve">or </w:t>
      </w:r>
      <w:r w:rsidR="00A1234B">
        <w:t>201</w:t>
      </w:r>
      <w:r w:rsidR="000E33CD">
        <w:rPr>
          <w:lang w:val="en-AU"/>
        </w:rPr>
        <w:t>5</w:t>
      </w:r>
      <w:r w:rsidR="008F16DB">
        <w:rPr>
          <w:lang w:val="en-AU"/>
        </w:rPr>
        <w:t>–</w:t>
      </w:r>
      <w:r w:rsidR="00A1234B">
        <w:t>1</w:t>
      </w:r>
      <w:r w:rsidR="000E33CD">
        <w:rPr>
          <w:lang w:val="en-AU"/>
        </w:rPr>
        <w:t>6</w:t>
      </w:r>
      <w:r w:rsidRPr="00E13E65">
        <w:t xml:space="preserve"> as at Additional Estimates </w:t>
      </w:r>
      <w:r w:rsidR="001A1C55" w:rsidRPr="003962BF">
        <w:t>February 201</w:t>
      </w:r>
      <w:r w:rsidR="009D4599" w:rsidRPr="003962BF">
        <w:rPr>
          <w:lang w:val="en-AU"/>
        </w:rPr>
        <w:t>6</w:t>
      </w:r>
      <w:r w:rsidR="000C0433" w:rsidRPr="003962BF">
        <w:t xml:space="preserve"> </w:t>
      </w:r>
      <w:r w:rsidRPr="003962BF">
        <w:t>(continued)</w:t>
      </w:r>
    </w:p>
    <w:p w:rsidR="00F51DAC" w:rsidRDefault="00F51DAC" w:rsidP="00F51DAC">
      <w:pPr>
        <w:pStyle w:val="TableHeading"/>
        <w:rPr>
          <w:lang w:val="en-AU"/>
        </w:rPr>
      </w:pPr>
      <w:r w:rsidRPr="001A1469">
        <w:t xml:space="preserve">Third </w:t>
      </w:r>
      <w:r w:rsidR="00643B7D" w:rsidRPr="001A1469">
        <w:t xml:space="preserve">party </w:t>
      </w:r>
      <w:r w:rsidR="00643B7D">
        <w:t>payments</w:t>
      </w:r>
      <w:r w:rsidR="00643B7D" w:rsidRPr="001A1469">
        <w:t xml:space="preserve"> </w:t>
      </w:r>
      <w:r w:rsidR="00755EB5">
        <w:t>f</w:t>
      </w:r>
      <w:r w:rsidRPr="001A1469">
        <w:t xml:space="preserve">rom and on </w:t>
      </w:r>
      <w:r w:rsidR="001D491D" w:rsidRPr="001A1469">
        <w:t>behalf</w:t>
      </w:r>
      <w:r w:rsidRPr="001A1469">
        <w:t xml:space="preserve"> of </w:t>
      </w:r>
      <w:r w:rsidR="001D491D">
        <w:t>o</w:t>
      </w:r>
      <w:r w:rsidRPr="001A1469">
        <w:t xml:space="preserve">ther </w:t>
      </w:r>
      <w:r w:rsidR="00726A60">
        <w:t>entities</w:t>
      </w:r>
    </w:p>
    <w:tbl>
      <w:tblPr>
        <w:tblW w:w="7852" w:type="dxa"/>
        <w:tblInd w:w="93" w:type="dxa"/>
        <w:tblLook w:val="04A0" w:firstRow="1" w:lastRow="0" w:firstColumn="1" w:lastColumn="0" w:noHBand="0" w:noVBand="1"/>
      </w:tblPr>
      <w:tblGrid>
        <w:gridCol w:w="3529"/>
        <w:gridCol w:w="1128"/>
        <w:gridCol w:w="1065"/>
        <w:gridCol w:w="1065"/>
        <w:gridCol w:w="1065"/>
      </w:tblGrid>
      <w:tr w:rsidR="003F68EC" w:rsidRPr="003F68EC" w:rsidTr="001F3C45">
        <w:trPr>
          <w:trHeight w:val="861"/>
          <w:tblHeader/>
        </w:trPr>
        <w:tc>
          <w:tcPr>
            <w:tcW w:w="3529" w:type="dxa"/>
            <w:tcBorders>
              <w:top w:val="single" w:sz="4" w:space="0" w:color="auto"/>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128" w:type="dxa"/>
            <w:tcBorders>
              <w:top w:val="single" w:sz="4" w:space="0" w:color="auto"/>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 </w:t>
            </w:r>
          </w:p>
        </w:tc>
        <w:tc>
          <w:tcPr>
            <w:tcW w:w="1065" w:type="dxa"/>
            <w:tcBorders>
              <w:top w:val="single" w:sz="4" w:space="0" w:color="auto"/>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065" w:type="dxa"/>
            <w:tcBorders>
              <w:top w:val="single" w:sz="4" w:space="0" w:color="auto"/>
              <w:left w:val="nil"/>
              <w:bottom w:val="single" w:sz="4" w:space="0" w:color="auto"/>
              <w:right w:val="nil"/>
            </w:tcBorders>
            <w:shd w:val="clear" w:color="000000" w:fill="E6E6E6"/>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Estimate at Budget</w:t>
            </w:r>
            <w:r w:rsidRPr="003F68EC">
              <w:rPr>
                <w:rFonts w:ascii="Arial" w:hAnsi="Arial" w:cs="Arial"/>
                <w:sz w:val="15"/>
                <w:szCs w:val="15"/>
              </w:rPr>
              <w:br/>
              <w:t>2015</w:t>
            </w:r>
            <w:r>
              <w:rPr>
                <w:rFonts w:ascii="Arial" w:hAnsi="Arial" w:cs="Arial"/>
                <w:sz w:val="15"/>
                <w:szCs w:val="15"/>
              </w:rPr>
              <w:t>–</w:t>
            </w:r>
            <w:r w:rsidRPr="003F68EC">
              <w:rPr>
                <w:rFonts w:ascii="Arial" w:hAnsi="Arial" w:cs="Arial"/>
                <w:sz w:val="15"/>
                <w:szCs w:val="15"/>
              </w:rPr>
              <w:t>16</w:t>
            </w:r>
            <w:r w:rsidRPr="003F68EC">
              <w:rPr>
                <w:rFonts w:ascii="Arial" w:hAnsi="Arial" w:cs="Arial"/>
                <w:sz w:val="15"/>
                <w:szCs w:val="15"/>
              </w:rPr>
              <w:br/>
              <w:t>$'000</w:t>
            </w:r>
          </w:p>
        </w:tc>
        <w:tc>
          <w:tcPr>
            <w:tcW w:w="1065" w:type="dxa"/>
            <w:tcBorders>
              <w:top w:val="single" w:sz="4" w:space="0" w:color="auto"/>
              <w:left w:val="nil"/>
              <w:bottom w:val="single" w:sz="4" w:space="0" w:color="auto"/>
              <w:right w:val="nil"/>
            </w:tcBorders>
            <w:shd w:val="clear" w:color="auto" w:fill="auto"/>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Estima</w:t>
            </w:r>
            <w:r>
              <w:rPr>
                <w:rFonts w:ascii="Arial" w:hAnsi="Arial" w:cs="Arial"/>
                <w:sz w:val="15"/>
                <w:szCs w:val="15"/>
              </w:rPr>
              <w:t>te at Additional Estimates</w:t>
            </w:r>
            <w:r>
              <w:rPr>
                <w:rFonts w:ascii="Arial" w:hAnsi="Arial" w:cs="Arial"/>
                <w:sz w:val="15"/>
                <w:szCs w:val="15"/>
              </w:rPr>
              <w:br/>
              <w:t>2015–</w:t>
            </w:r>
            <w:r w:rsidRPr="003F68EC">
              <w:rPr>
                <w:rFonts w:ascii="Arial" w:hAnsi="Arial" w:cs="Arial"/>
                <w:sz w:val="15"/>
                <w:szCs w:val="15"/>
              </w:rPr>
              <w:t>16</w:t>
            </w:r>
            <w:r w:rsidRPr="003F68EC">
              <w:rPr>
                <w:rFonts w:ascii="Arial" w:hAnsi="Arial" w:cs="Arial"/>
                <w:sz w:val="15"/>
                <w:szCs w:val="15"/>
              </w:rPr>
              <w:br/>
              <w:t>$'000</w:t>
            </w:r>
          </w:p>
        </w:tc>
      </w:tr>
      <w:tr w:rsidR="003F68EC" w:rsidRPr="003F68EC" w:rsidTr="003F68EC">
        <w:trPr>
          <w:trHeight w:val="237"/>
        </w:trPr>
        <w:tc>
          <w:tcPr>
            <w:tcW w:w="4656" w:type="dxa"/>
            <w:gridSpan w:val="2"/>
            <w:tcBorders>
              <w:top w:val="nil"/>
              <w:left w:val="nil"/>
              <w:bottom w:val="nil"/>
              <w:right w:val="nil"/>
            </w:tcBorders>
            <w:shd w:val="clear" w:color="000000" w:fill="FFFFFF"/>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Receipts received from other entities for the provision of services</w:t>
            </w:r>
          </w:p>
        </w:tc>
        <w:tc>
          <w:tcPr>
            <w:tcW w:w="1065" w:type="dxa"/>
            <w:tcBorders>
              <w:top w:val="nil"/>
              <w:left w:val="nil"/>
              <w:bottom w:val="nil"/>
              <w:right w:val="nil"/>
            </w:tcBorders>
            <w:shd w:val="clear" w:color="000000" w:fill="FFFFFF"/>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065" w:type="dxa"/>
            <w:tcBorders>
              <w:top w:val="nil"/>
              <w:left w:val="nil"/>
              <w:bottom w:val="nil"/>
              <w:right w:val="nil"/>
            </w:tcBorders>
            <w:shd w:val="clear" w:color="000000" w:fill="E6E6E6"/>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p>
        </w:tc>
      </w:tr>
      <w:tr w:rsidR="003F68EC" w:rsidRPr="003F68EC" w:rsidTr="003F68EC">
        <w:trPr>
          <w:trHeight w:val="237"/>
        </w:trPr>
        <w:tc>
          <w:tcPr>
            <w:tcW w:w="5722" w:type="dxa"/>
            <w:gridSpan w:val="3"/>
            <w:tcBorders>
              <w:top w:val="nil"/>
              <w:left w:val="nil"/>
              <w:bottom w:val="nil"/>
              <w:right w:val="nil"/>
            </w:tcBorders>
            <w:shd w:val="clear" w:color="auto" w:fill="auto"/>
            <w:noWrap/>
            <w:hideMark/>
          </w:tcPr>
          <w:p w:rsidR="003F68EC" w:rsidRPr="003F68EC" w:rsidRDefault="003F68EC" w:rsidP="005A62FC">
            <w:pPr>
              <w:spacing w:after="0" w:line="240" w:lineRule="auto"/>
              <w:ind w:firstLine="191"/>
              <w:jc w:val="left"/>
              <w:rPr>
                <w:rFonts w:ascii="Arial" w:hAnsi="Arial" w:cs="Arial"/>
                <w:sz w:val="15"/>
                <w:szCs w:val="15"/>
              </w:rPr>
            </w:pPr>
            <w:r w:rsidRPr="003F68EC">
              <w:rPr>
                <w:rFonts w:ascii="Arial" w:hAnsi="Arial" w:cs="Arial"/>
                <w:sz w:val="15"/>
                <w:szCs w:val="15"/>
              </w:rPr>
              <w:t xml:space="preserve">(disclosed above in </w:t>
            </w:r>
            <w:proofErr w:type="spellStart"/>
            <w:r w:rsidRPr="003F68EC">
              <w:rPr>
                <w:rFonts w:ascii="Arial" w:hAnsi="Arial" w:cs="Arial"/>
                <w:sz w:val="15"/>
                <w:szCs w:val="15"/>
              </w:rPr>
              <w:t>s74</w:t>
            </w:r>
            <w:proofErr w:type="spellEnd"/>
            <w:r w:rsidRPr="003F68EC">
              <w:rPr>
                <w:rFonts w:ascii="Arial" w:hAnsi="Arial" w:cs="Arial"/>
                <w:sz w:val="15"/>
                <w:szCs w:val="15"/>
              </w:rPr>
              <w:t xml:space="preserve"> Retained Revenue Receipts section above)</w:t>
            </w:r>
          </w:p>
        </w:tc>
        <w:tc>
          <w:tcPr>
            <w:tcW w:w="1065" w:type="dxa"/>
            <w:tcBorders>
              <w:top w:val="nil"/>
              <w:left w:val="nil"/>
              <w:bottom w:val="nil"/>
              <w:right w:val="nil"/>
            </w:tcBorders>
            <w:shd w:val="clear" w:color="000000" w:fill="E6E6E6"/>
            <w:noWrap/>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 xml:space="preserve">17,713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 xml:space="preserve">19,604 </w:t>
            </w:r>
          </w:p>
        </w:tc>
      </w:tr>
      <w:tr w:rsidR="003F68EC" w:rsidRPr="003F68EC" w:rsidTr="003F68EC">
        <w:trPr>
          <w:trHeight w:val="237"/>
        </w:trPr>
        <w:tc>
          <w:tcPr>
            <w:tcW w:w="5722" w:type="dxa"/>
            <w:gridSpan w:val="3"/>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Payments made by other entities on behalf of the Department of Employment</w:t>
            </w:r>
          </w:p>
        </w:tc>
        <w:tc>
          <w:tcPr>
            <w:tcW w:w="1065" w:type="dxa"/>
            <w:tcBorders>
              <w:top w:val="nil"/>
              <w:left w:val="nil"/>
              <w:bottom w:val="nil"/>
              <w:right w:val="nil"/>
            </w:tcBorders>
            <w:shd w:val="clear" w:color="000000" w:fill="E6E6E6"/>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p>
        </w:tc>
      </w:tr>
      <w:tr w:rsidR="003F68EC" w:rsidRPr="003F68EC" w:rsidTr="003F68EC">
        <w:trPr>
          <w:trHeight w:val="237"/>
        </w:trPr>
        <w:tc>
          <w:tcPr>
            <w:tcW w:w="3529" w:type="dxa"/>
            <w:tcBorders>
              <w:top w:val="nil"/>
              <w:left w:val="nil"/>
              <w:bottom w:val="nil"/>
              <w:right w:val="nil"/>
            </w:tcBorders>
            <w:shd w:val="clear" w:color="auto" w:fill="auto"/>
            <w:noWrap/>
            <w:hideMark/>
          </w:tcPr>
          <w:p w:rsidR="003F68EC" w:rsidRPr="003F68EC" w:rsidRDefault="003F68EC" w:rsidP="005A62FC">
            <w:pPr>
              <w:spacing w:after="0" w:line="240" w:lineRule="auto"/>
              <w:ind w:firstLine="191"/>
              <w:jc w:val="left"/>
              <w:rPr>
                <w:rFonts w:ascii="Arial" w:hAnsi="Arial" w:cs="Arial"/>
                <w:sz w:val="15"/>
                <w:szCs w:val="15"/>
              </w:rPr>
            </w:pPr>
            <w:r w:rsidRPr="003F68EC">
              <w:rPr>
                <w:rFonts w:ascii="Arial" w:hAnsi="Arial" w:cs="Arial"/>
                <w:sz w:val="15"/>
                <w:szCs w:val="15"/>
              </w:rPr>
              <w:t>(disclosed above)</w:t>
            </w:r>
          </w:p>
        </w:tc>
        <w:tc>
          <w:tcPr>
            <w:tcW w:w="1128" w:type="dxa"/>
            <w:tcBorders>
              <w:top w:val="nil"/>
              <w:left w:val="nil"/>
              <w:bottom w:val="nil"/>
              <w:right w:val="nil"/>
            </w:tcBorders>
            <w:shd w:val="clear" w:color="auto" w:fill="auto"/>
            <w:hideMark/>
          </w:tcPr>
          <w:p w:rsidR="003F68EC" w:rsidRPr="003F68EC" w:rsidRDefault="003F68EC" w:rsidP="003F68EC">
            <w:pPr>
              <w:spacing w:after="0" w:line="240" w:lineRule="auto"/>
              <w:jc w:val="right"/>
              <w:rPr>
                <w:rFonts w:ascii="Arial" w:hAnsi="Arial" w:cs="Arial"/>
                <w:bCs/>
                <w:sz w:val="15"/>
                <w:szCs w:val="15"/>
              </w:rPr>
            </w:pP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p>
        </w:tc>
        <w:tc>
          <w:tcPr>
            <w:tcW w:w="1065" w:type="dxa"/>
            <w:tcBorders>
              <w:top w:val="nil"/>
              <w:left w:val="nil"/>
              <w:bottom w:val="nil"/>
              <w:right w:val="nil"/>
            </w:tcBorders>
            <w:shd w:val="clear" w:color="000000" w:fill="E6E6E6"/>
            <w:noWrap/>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 xml:space="preserve">32,885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sz w:val="15"/>
                <w:szCs w:val="15"/>
              </w:rPr>
            </w:pPr>
            <w:r w:rsidRPr="003F68EC">
              <w:rPr>
                <w:rFonts w:ascii="Arial" w:hAnsi="Arial" w:cs="Arial"/>
                <w:sz w:val="15"/>
                <w:szCs w:val="15"/>
              </w:rPr>
              <w:t xml:space="preserve">34,219 </w:t>
            </w:r>
          </w:p>
        </w:tc>
      </w:tr>
      <w:tr w:rsidR="003F68EC" w:rsidRPr="003F68EC" w:rsidTr="003F68EC">
        <w:trPr>
          <w:trHeight w:val="237"/>
        </w:trPr>
        <w:tc>
          <w:tcPr>
            <w:tcW w:w="4656"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xml:space="preserve">Payments made to corporate entities within the Portfolio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p>
        </w:tc>
        <w:tc>
          <w:tcPr>
            <w:tcW w:w="1065" w:type="dxa"/>
            <w:tcBorders>
              <w:top w:val="nil"/>
              <w:left w:val="nil"/>
              <w:bottom w:val="nil"/>
              <w:right w:val="nil"/>
            </w:tcBorders>
            <w:shd w:val="clear" w:color="000000" w:fill="E6E6E6"/>
            <w:noWrap/>
            <w:hideMark/>
          </w:tcPr>
          <w:p w:rsidR="003F68EC" w:rsidRPr="003F68EC" w:rsidRDefault="003F68EC" w:rsidP="003F68EC">
            <w:pPr>
              <w:spacing w:after="0" w:line="240" w:lineRule="auto"/>
              <w:jc w:val="left"/>
              <w:rPr>
                <w:rFonts w:ascii="Arial" w:hAnsi="Arial" w:cs="Arial"/>
                <w:sz w:val="15"/>
                <w:szCs w:val="15"/>
              </w:rPr>
            </w:pPr>
            <w:r w:rsidRPr="003F68EC">
              <w:rPr>
                <w:rFonts w:ascii="Arial" w:hAnsi="Arial" w:cs="Arial"/>
                <w:sz w:val="15"/>
                <w:szCs w:val="15"/>
              </w:rPr>
              <w:t> </w:t>
            </w:r>
          </w:p>
        </w:tc>
        <w:tc>
          <w:tcPr>
            <w:tcW w:w="1065"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sz w:val="15"/>
                <w:szCs w:val="15"/>
              </w:rPr>
            </w:pPr>
          </w:p>
        </w:tc>
      </w:tr>
      <w:tr w:rsidR="003F68EC" w:rsidRPr="003F68EC" w:rsidTr="005A62FC">
        <w:trPr>
          <w:trHeight w:val="70"/>
        </w:trPr>
        <w:tc>
          <w:tcPr>
            <w:tcW w:w="3529" w:type="dxa"/>
            <w:tcBorders>
              <w:top w:val="nil"/>
              <w:left w:val="nil"/>
              <w:bottom w:val="single" w:sz="4" w:space="0" w:color="auto"/>
              <w:right w:val="nil"/>
            </w:tcBorders>
            <w:shd w:val="clear" w:color="auto" w:fill="auto"/>
            <w:noWrap/>
            <w:vAlign w:val="center"/>
            <w:hideMark/>
          </w:tcPr>
          <w:p w:rsidR="003F68EC" w:rsidRPr="003F68EC" w:rsidRDefault="003F68EC" w:rsidP="005A62FC">
            <w:pPr>
              <w:spacing w:after="0" w:line="240" w:lineRule="auto"/>
              <w:ind w:firstLine="191"/>
              <w:jc w:val="left"/>
              <w:rPr>
                <w:rFonts w:ascii="Arial" w:hAnsi="Arial" w:cs="Arial"/>
                <w:sz w:val="15"/>
                <w:szCs w:val="15"/>
              </w:rPr>
            </w:pPr>
            <w:proofErr w:type="spellStart"/>
            <w:r w:rsidRPr="003F68EC">
              <w:rPr>
                <w:rFonts w:ascii="Arial" w:hAnsi="Arial" w:cs="Arial"/>
                <w:sz w:val="15"/>
                <w:szCs w:val="15"/>
              </w:rPr>
              <w:t>Comcare</w:t>
            </w:r>
            <w:proofErr w:type="spellEnd"/>
          </w:p>
        </w:tc>
        <w:tc>
          <w:tcPr>
            <w:tcW w:w="2193" w:type="dxa"/>
            <w:gridSpan w:val="2"/>
            <w:tcBorders>
              <w:top w:val="nil"/>
              <w:left w:val="nil"/>
              <w:bottom w:val="single" w:sz="4" w:space="0" w:color="auto"/>
              <w:right w:val="nil"/>
            </w:tcBorders>
            <w:shd w:val="clear" w:color="auto" w:fill="auto"/>
            <w:noWrap/>
            <w:vAlign w:val="center"/>
            <w:hideMark/>
          </w:tcPr>
          <w:p w:rsidR="003F68EC" w:rsidRPr="003F68EC" w:rsidRDefault="002A7B73" w:rsidP="005A62FC">
            <w:pPr>
              <w:spacing w:after="0" w:line="240" w:lineRule="auto"/>
              <w:jc w:val="left"/>
              <w:rPr>
                <w:rFonts w:ascii="Arial" w:hAnsi="Arial" w:cs="Arial"/>
                <w:sz w:val="15"/>
                <w:szCs w:val="15"/>
              </w:rPr>
            </w:pPr>
            <w:r>
              <w:rPr>
                <w:rFonts w:ascii="Arial" w:hAnsi="Arial" w:cs="Arial"/>
                <w:sz w:val="15"/>
                <w:szCs w:val="15"/>
              </w:rPr>
              <w:t>(</w:t>
            </w:r>
            <w:r w:rsidR="003F68EC" w:rsidRPr="003F68EC">
              <w:rPr>
                <w:rFonts w:ascii="Arial" w:hAnsi="Arial" w:cs="Arial"/>
                <w:sz w:val="15"/>
                <w:szCs w:val="15"/>
              </w:rPr>
              <w:t>Annual Appropriation Bill 1</w:t>
            </w:r>
            <w:r>
              <w:rPr>
                <w:rFonts w:ascii="Arial" w:hAnsi="Arial" w:cs="Arial"/>
                <w:sz w:val="15"/>
                <w:szCs w:val="15"/>
              </w:rPr>
              <w:t>)</w:t>
            </w:r>
          </w:p>
        </w:tc>
        <w:tc>
          <w:tcPr>
            <w:tcW w:w="1065" w:type="dxa"/>
            <w:tcBorders>
              <w:top w:val="nil"/>
              <w:left w:val="nil"/>
              <w:bottom w:val="single" w:sz="4" w:space="0" w:color="auto"/>
              <w:right w:val="nil"/>
            </w:tcBorders>
            <w:shd w:val="clear" w:color="000000" w:fill="E6E6E6"/>
            <w:noWrap/>
            <w:vAlign w:val="center"/>
            <w:hideMark/>
          </w:tcPr>
          <w:p w:rsidR="003F68EC" w:rsidRPr="003F68EC" w:rsidRDefault="003F68EC" w:rsidP="005A62FC">
            <w:pPr>
              <w:spacing w:after="0" w:line="240" w:lineRule="auto"/>
              <w:jc w:val="right"/>
              <w:rPr>
                <w:rFonts w:ascii="Arial" w:hAnsi="Arial" w:cs="Arial"/>
                <w:sz w:val="15"/>
                <w:szCs w:val="15"/>
              </w:rPr>
            </w:pPr>
            <w:r w:rsidRPr="003F68EC">
              <w:rPr>
                <w:rFonts w:ascii="Arial" w:hAnsi="Arial" w:cs="Arial"/>
                <w:sz w:val="15"/>
                <w:szCs w:val="15"/>
              </w:rPr>
              <w:t>(7,727)</w:t>
            </w:r>
          </w:p>
        </w:tc>
        <w:tc>
          <w:tcPr>
            <w:tcW w:w="1065" w:type="dxa"/>
            <w:tcBorders>
              <w:top w:val="nil"/>
              <w:left w:val="nil"/>
              <w:bottom w:val="single" w:sz="4" w:space="0" w:color="auto"/>
              <w:right w:val="nil"/>
            </w:tcBorders>
            <w:shd w:val="clear" w:color="auto" w:fill="auto"/>
            <w:noWrap/>
            <w:vAlign w:val="center"/>
            <w:hideMark/>
          </w:tcPr>
          <w:p w:rsidR="003F68EC" w:rsidRPr="003F68EC" w:rsidRDefault="003F68EC" w:rsidP="005A62FC">
            <w:pPr>
              <w:spacing w:after="0" w:line="240" w:lineRule="auto"/>
              <w:jc w:val="right"/>
              <w:rPr>
                <w:rFonts w:ascii="Arial" w:hAnsi="Arial" w:cs="Arial"/>
                <w:sz w:val="15"/>
                <w:szCs w:val="15"/>
              </w:rPr>
            </w:pPr>
            <w:r w:rsidRPr="003F68EC">
              <w:rPr>
                <w:rFonts w:ascii="Arial" w:hAnsi="Arial" w:cs="Arial"/>
                <w:sz w:val="15"/>
                <w:szCs w:val="15"/>
              </w:rPr>
              <w:t>(7,727)</w:t>
            </w:r>
          </w:p>
        </w:tc>
      </w:tr>
    </w:tbl>
    <w:p w:rsidR="00F51DAC" w:rsidRPr="00643B7D" w:rsidRDefault="00F51DAC" w:rsidP="00F51DAC">
      <w:pPr>
        <w:pStyle w:val="Heading3"/>
        <w:rPr>
          <w:lang w:val="en-AU"/>
        </w:rPr>
      </w:pPr>
      <w:r w:rsidRPr="006D6BD2">
        <w:br w:type="page"/>
      </w:r>
      <w:bookmarkStart w:id="184" w:name="OLE_LINK14"/>
      <w:bookmarkStart w:id="185" w:name="OLE_LINK15"/>
      <w:bookmarkEnd w:id="182"/>
      <w:bookmarkEnd w:id="183"/>
      <w:r w:rsidR="00E15CF3">
        <w:lastRenderedPageBreak/>
        <w:t>1.3</w:t>
      </w:r>
      <w:r w:rsidR="00E15CF3">
        <w:tab/>
      </w:r>
      <w:r w:rsidR="00643B7D">
        <w:t>Measures</w:t>
      </w:r>
    </w:p>
    <w:p w:rsidR="00F51DAC" w:rsidRPr="00486E77" w:rsidRDefault="00F51DAC" w:rsidP="004B25FE">
      <w:pPr>
        <w:jc w:val="left"/>
      </w:pPr>
      <w:r>
        <w:t xml:space="preserve">Table 1.2 summarises new </w:t>
      </w:r>
      <w:r w:rsidR="0033071D">
        <w:t>g</w:t>
      </w:r>
      <w:r>
        <w:t xml:space="preserve">overnment measures taken since the </w:t>
      </w:r>
      <w:r w:rsidR="001F766E">
        <w:t>201</w:t>
      </w:r>
      <w:r w:rsidR="000E33CD">
        <w:t>5</w:t>
      </w:r>
      <w:r w:rsidR="006C3071">
        <w:t>–</w:t>
      </w:r>
      <w:r w:rsidR="00A1234B">
        <w:t>1</w:t>
      </w:r>
      <w:r w:rsidR="000E33CD">
        <w:t>6</w:t>
      </w:r>
      <w:r>
        <w:t xml:space="preserve"> Budget</w:t>
      </w:r>
      <w:r w:rsidR="00E15CF3">
        <w:t xml:space="preserve">. </w:t>
      </w:r>
      <w:r>
        <w:t xml:space="preserve">The table is split into revenue, expense and capital measures, with the affected </w:t>
      </w:r>
      <w:r w:rsidR="009D4B20">
        <w:t xml:space="preserve">programme </w:t>
      </w:r>
      <w:r w:rsidRPr="00486E77">
        <w:t>identified.</w:t>
      </w:r>
    </w:p>
    <w:p w:rsidR="00F51DAC" w:rsidRDefault="00F51DAC" w:rsidP="00F51DAC">
      <w:pPr>
        <w:pStyle w:val="TableHeading"/>
        <w:rPr>
          <w:lang w:val="en-AU"/>
        </w:rPr>
      </w:pPr>
      <w:r w:rsidRPr="00486E77">
        <w:t xml:space="preserve">Table 1.2: </w:t>
      </w:r>
      <w:r w:rsidR="0033071D">
        <w:rPr>
          <w:lang w:val="en-AU"/>
        </w:rPr>
        <w:t>Department of Employment</w:t>
      </w:r>
      <w:r w:rsidRPr="00486E77">
        <w:t xml:space="preserve"> </w:t>
      </w:r>
      <w:r w:rsidR="001F766E">
        <w:t>201</w:t>
      </w:r>
      <w:r w:rsidR="000E33CD">
        <w:rPr>
          <w:lang w:val="en-AU"/>
        </w:rPr>
        <w:t>5</w:t>
      </w:r>
      <w:r w:rsidR="006C3071">
        <w:rPr>
          <w:lang w:val="en-AU"/>
        </w:rPr>
        <w:t>–</w:t>
      </w:r>
      <w:r w:rsidR="00A1234B">
        <w:t>1</w:t>
      </w:r>
      <w:r w:rsidR="000E33CD">
        <w:rPr>
          <w:lang w:val="en-AU"/>
        </w:rPr>
        <w:t>6</w:t>
      </w:r>
      <w:r w:rsidRPr="00486E77">
        <w:t xml:space="preserve"> </w:t>
      </w:r>
      <w:r w:rsidR="00643B7D" w:rsidRPr="00486E77">
        <w:t xml:space="preserve">measures </w:t>
      </w:r>
      <w:r w:rsidRPr="00486E77">
        <w:t>since Budget</w:t>
      </w:r>
    </w:p>
    <w:tbl>
      <w:tblPr>
        <w:tblW w:w="7768" w:type="dxa"/>
        <w:tblInd w:w="93" w:type="dxa"/>
        <w:tblLook w:val="04A0" w:firstRow="1" w:lastRow="0" w:firstColumn="1" w:lastColumn="0" w:noHBand="0" w:noVBand="1"/>
      </w:tblPr>
      <w:tblGrid>
        <w:gridCol w:w="2989"/>
        <w:gridCol w:w="1099"/>
        <w:gridCol w:w="920"/>
        <w:gridCol w:w="920"/>
        <w:gridCol w:w="920"/>
        <w:gridCol w:w="920"/>
      </w:tblGrid>
      <w:tr w:rsidR="00F51A3E" w:rsidRPr="00F51A3E" w:rsidTr="001F3C45">
        <w:trPr>
          <w:trHeight w:val="365"/>
          <w:tblHeader/>
        </w:trPr>
        <w:tc>
          <w:tcPr>
            <w:tcW w:w="2989" w:type="dxa"/>
            <w:tcBorders>
              <w:top w:val="single" w:sz="4" w:space="0" w:color="auto"/>
              <w:left w:val="nil"/>
              <w:bottom w:val="nil"/>
              <w:right w:val="nil"/>
            </w:tcBorders>
            <w:shd w:val="clear" w:color="auto" w:fill="auto"/>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 </w:t>
            </w:r>
          </w:p>
        </w:tc>
        <w:tc>
          <w:tcPr>
            <w:tcW w:w="1099" w:type="dxa"/>
            <w:tcBorders>
              <w:top w:val="single" w:sz="4" w:space="0" w:color="auto"/>
              <w:left w:val="nil"/>
              <w:bottom w:val="single" w:sz="4" w:space="0" w:color="auto"/>
              <w:right w:val="nil"/>
            </w:tcBorders>
            <w:shd w:val="clear" w:color="auto" w:fill="auto"/>
            <w:noWrap/>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Programme</w:t>
            </w:r>
          </w:p>
        </w:tc>
        <w:tc>
          <w:tcPr>
            <w:tcW w:w="920" w:type="dxa"/>
            <w:tcBorders>
              <w:top w:val="single" w:sz="4" w:space="0" w:color="auto"/>
              <w:left w:val="nil"/>
              <w:bottom w:val="single" w:sz="4" w:space="0" w:color="auto"/>
              <w:right w:val="nil"/>
            </w:tcBorders>
            <w:shd w:val="clear" w:color="000000" w:fill="E6E6E6"/>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2015–</w:t>
            </w:r>
            <w:r w:rsidRPr="00F51A3E">
              <w:rPr>
                <w:rFonts w:ascii="Arial" w:hAnsi="Arial" w:cs="Arial"/>
                <w:sz w:val="16"/>
                <w:szCs w:val="16"/>
              </w:rPr>
              <w:t>16</w:t>
            </w:r>
            <w:r w:rsidRPr="00F51A3E">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FFFFFF"/>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2016–</w:t>
            </w:r>
            <w:r w:rsidRPr="00F51A3E">
              <w:rPr>
                <w:rFonts w:ascii="Arial" w:hAnsi="Arial" w:cs="Arial"/>
                <w:sz w:val="16"/>
                <w:szCs w:val="16"/>
              </w:rPr>
              <w:t>17</w:t>
            </w:r>
            <w:r w:rsidRPr="00F51A3E">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E6E6E6"/>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2017–</w:t>
            </w:r>
            <w:r w:rsidRPr="00F51A3E">
              <w:rPr>
                <w:rFonts w:ascii="Arial" w:hAnsi="Arial" w:cs="Arial"/>
                <w:sz w:val="16"/>
                <w:szCs w:val="16"/>
              </w:rPr>
              <w:t>18</w:t>
            </w:r>
            <w:r w:rsidRPr="00F51A3E">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FFFFFF"/>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2018–</w:t>
            </w:r>
            <w:r w:rsidRPr="00F51A3E">
              <w:rPr>
                <w:rFonts w:ascii="Arial" w:hAnsi="Arial" w:cs="Arial"/>
                <w:sz w:val="16"/>
                <w:szCs w:val="16"/>
              </w:rPr>
              <w:t>19</w:t>
            </w:r>
            <w:r w:rsidRPr="00F51A3E">
              <w:rPr>
                <w:rFonts w:ascii="Arial" w:hAnsi="Arial" w:cs="Arial"/>
                <w:sz w:val="16"/>
                <w:szCs w:val="16"/>
              </w:rPr>
              <w:br/>
              <w:t>$'000</w:t>
            </w:r>
          </w:p>
        </w:tc>
      </w:tr>
      <w:tr w:rsidR="00F51A3E" w:rsidRPr="00F51A3E" w:rsidTr="00C44913">
        <w:trPr>
          <w:trHeight w:val="268"/>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jc w:val="left"/>
              <w:rPr>
                <w:rFonts w:ascii="Arial" w:hAnsi="Arial" w:cs="Arial"/>
                <w:b/>
                <w:bCs/>
                <w:sz w:val="16"/>
                <w:szCs w:val="16"/>
              </w:rPr>
            </w:pPr>
            <w:r w:rsidRPr="00F51A3E">
              <w:rPr>
                <w:rFonts w:ascii="Arial" w:hAnsi="Arial" w:cs="Arial"/>
                <w:b/>
                <w:bCs/>
                <w:sz w:val="16"/>
                <w:szCs w:val="16"/>
              </w:rPr>
              <w:t xml:space="preserve">Expense measures </w:t>
            </w:r>
          </w:p>
        </w:tc>
        <w:tc>
          <w:tcPr>
            <w:tcW w:w="109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 </w:t>
            </w:r>
          </w:p>
        </w:tc>
      </w:tr>
      <w:tr w:rsidR="00F51A3E" w:rsidRPr="00F51A3E" w:rsidTr="004A4685">
        <w:trPr>
          <w:trHeight w:val="442"/>
        </w:trPr>
        <w:tc>
          <w:tcPr>
            <w:tcW w:w="2989" w:type="dxa"/>
            <w:tcBorders>
              <w:top w:val="nil"/>
              <w:left w:val="nil"/>
              <w:bottom w:val="nil"/>
              <w:right w:val="nil"/>
            </w:tcBorders>
            <w:shd w:val="clear" w:color="auto" w:fill="auto"/>
            <w:vAlign w:val="bottom"/>
            <w:hideMark/>
          </w:tcPr>
          <w:p w:rsidR="00F51A3E" w:rsidRPr="00F51A3E" w:rsidRDefault="00F51A3E" w:rsidP="00F51A3E">
            <w:pPr>
              <w:spacing w:after="0" w:line="240" w:lineRule="auto"/>
              <w:jc w:val="left"/>
              <w:rPr>
                <w:rFonts w:ascii="Arial" w:hAnsi="Arial" w:cs="Arial"/>
                <w:sz w:val="16"/>
                <w:szCs w:val="16"/>
              </w:rPr>
            </w:pPr>
            <w:r>
              <w:rPr>
                <w:rFonts w:ascii="Arial" w:hAnsi="Arial" w:cs="Arial"/>
                <w:sz w:val="16"/>
                <w:szCs w:val="16"/>
              </w:rPr>
              <w:t>Public Sector Savings—</w:t>
            </w:r>
            <w:r w:rsidRPr="00F51A3E">
              <w:rPr>
                <w:rFonts w:ascii="Arial" w:hAnsi="Arial" w:cs="Arial"/>
                <w:sz w:val="16"/>
                <w:szCs w:val="16"/>
              </w:rPr>
              <w:t>Enterprise Resource Planning Systems(a)</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All</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142"/>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w:t>
            </w:r>
            <w:r w:rsidRPr="00F51A3E">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w:t>
            </w:r>
            <w:r w:rsidRPr="00F51A3E">
              <w:rPr>
                <w:rFonts w:ascii="Arial" w:hAnsi="Arial" w:cs="Arial"/>
                <w:sz w:val="16"/>
                <w:szCs w:val="16"/>
              </w:rPr>
              <w:t xml:space="preserve"> </w:t>
            </w:r>
          </w:p>
        </w:tc>
      </w:tr>
      <w:tr w:rsidR="00F51A3E" w:rsidRPr="00F51A3E" w:rsidTr="004A4685">
        <w:trPr>
          <w:trHeight w:val="205"/>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w:t>
            </w:r>
            <w:r w:rsidRPr="00F51A3E">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(224)</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(276)</w:t>
            </w:r>
          </w:p>
        </w:tc>
      </w:tr>
      <w:tr w:rsidR="00F51A3E" w:rsidRPr="00F51A3E" w:rsidTr="004A4685">
        <w:trPr>
          <w:trHeight w:val="285"/>
        </w:trPr>
        <w:tc>
          <w:tcPr>
            <w:tcW w:w="2989" w:type="dxa"/>
            <w:tcBorders>
              <w:top w:val="nil"/>
              <w:left w:val="nil"/>
              <w:bottom w:val="nil"/>
              <w:right w:val="nil"/>
            </w:tcBorders>
            <w:shd w:val="clear" w:color="auto" w:fill="auto"/>
            <w:noWrap/>
            <w:vAlign w:val="center"/>
            <w:hideMark/>
          </w:tcPr>
          <w:p w:rsidR="00F51A3E" w:rsidRPr="00F51A3E" w:rsidRDefault="00F51A3E" w:rsidP="00F51A3E">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(224)</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(276)</w:t>
            </w:r>
          </w:p>
        </w:tc>
      </w:tr>
      <w:tr w:rsidR="00F51A3E" w:rsidRPr="00F51A3E" w:rsidTr="004A4685">
        <w:trPr>
          <w:trHeight w:val="574"/>
        </w:trPr>
        <w:tc>
          <w:tcPr>
            <w:tcW w:w="2989" w:type="dxa"/>
            <w:tcBorders>
              <w:top w:val="nil"/>
              <w:left w:val="nil"/>
              <w:bottom w:val="nil"/>
              <w:right w:val="nil"/>
            </w:tcBorders>
            <w:shd w:val="clear" w:color="auto" w:fill="auto"/>
            <w:vAlign w:val="center"/>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Public Sector Superannuation Accumulation Plan Administration Fees(b)</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All</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147"/>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r>
      <w:tr w:rsidR="00F51A3E" w:rsidRPr="00F51A3E" w:rsidTr="004A4685">
        <w:trPr>
          <w:trHeight w:val="119"/>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(195)</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(195)</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(195)</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(195)</w:t>
            </w:r>
          </w:p>
        </w:tc>
      </w:tr>
      <w:tr w:rsidR="00F51A3E" w:rsidRPr="00F51A3E" w:rsidTr="004A4685">
        <w:trPr>
          <w:trHeight w:val="225"/>
        </w:trPr>
        <w:tc>
          <w:tcPr>
            <w:tcW w:w="2989" w:type="dxa"/>
            <w:tcBorders>
              <w:top w:val="nil"/>
              <w:left w:val="nil"/>
              <w:bottom w:val="nil"/>
              <w:right w:val="nil"/>
            </w:tcBorders>
            <w:shd w:val="clear" w:color="auto" w:fill="auto"/>
            <w:noWrap/>
            <w:vAlign w:val="center"/>
            <w:hideMark/>
          </w:tcPr>
          <w:p w:rsidR="00F51A3E" w:rsidRPr="00F51A3E" w:rsidRDefault="00F51A3E" w:rsidP="00F51A3E">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(195)</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(195)</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(195)</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(195)</w:t>
            </w:r>
          </w:p>
        </w:tc>
      </w:tr>
      <w:tr w:rsidR="00F51A3E" w:rsidRPr="00F51A3E" w:rsidTr="004A4685">
        <w:trPr>
          <w:trHeight w:val="288"/>
        </w:trPr>
        <w:tc>
          <w:tcPr>
            <w:tcW w:w="2989" w:type="dxa"/>
            <w:tcBorders>
              <w:top w:val="nil"/>
              <w:left w:val="nil"/>
              <w:bottom w:val="nil"/>
              <w:right w:val="nil"/>
            </w:tcBorders>
            <w:shd w:val="clear" w:color="auto" w:fill="auto"/>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Addressing Welfare Reliance in Remote Communities(c)</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206"/>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135"/>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83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173"/>
        </w:trPr>
        <w:tc>
          <w:tcPr>
            <w:tcW w:w="2989" w:type="dxa"/>
            <w:tcBorders>
              <w:top w:val="nil"/>
              <w:left w:val="nil"/>
              <w:bottom w:val="nil"/>
              <w:right w:val="nil"/>
            </w:tcBorders>
            <w:shd w:val="clear" w:color="auto" w:fill="auto"/>
            <w:noWrap/>
            <w:vAlign w:val="center"/>
            <w:hideMark/>
          </w:tcPr>
          <w:p w:rsidR="00F51A3E" w:rsidRPr="00F51A3E" w:rsidRDefault="00F51A3E" w:rsidP="00F51A3E">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83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F51A3E">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r>
      <w:tr w:rsidR="00F51A3E" w:rsidRPr="00F51A3E" w:rsidTr="004A4685">
        <w:trPr>
          <w:trHeight w:val="304"/>
        </w:trPr>
        <w:tc>
          <w:tcPr>
            <w:tcW w:w="2989" w:type="dxa"/>
            <w:tcBorders>
              <w:top w:val="nil"/>
              <w:left w:val="nil"/>
              <w:bottom w:val="nil"/>
              <w:right w:val="nil"/>
            </w:tcBorders>
            <w:shd w:val="clear" w:color="auto" w:fill="auto"/>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G</w:t>
            </w:r>
            <w:r w:rsidR="001079C4">
              <w:rPr>
                <w:rFonts w:ascii="Arial" w:hAnsi="Arial" w:cs="Arial"/>
                <w:sz w:val="16"/>
                <w:szCs w:val="16"/>
              </w:rPr>
              <w:t>eelong Employment Facilitator—</w:t>
            </w:r>
            <w:r w:rsidRPr="00F51A3E">
              <w:rPr>
                <w:rFonts w:ascii="Arial" w:hAnsi="Arial" w:cs="Arial"/>
                <w:sz w:val="16"/>
                <w:szCs w:val="16"/>
              </w:rPr>
              <w:t>extension</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207"/>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w:t>
            </w:r>
            <w:r w:rsidR="00F51A3E"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137"/>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w:t>
            </w:r>
            <w:r w:rsidR="00F51A3E"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216"/>
        </w:trPr>
        <w:tc>
          <w:tcPr>
            <w:tcW w:w="2989" w:type="dxa"/>
            <w:tcBorders>
              <w:top w:val="nil"/>
              <w:left w:val="nil"/>
              <w:bottom w:val="nil"/>
              <w:right w:val="nil"/>
            </w:tcBorders>
            <w:shd w:val="clear" w:color="auto" w:fill="auto"/>
            <w:noWrap/>
            <w:vAlign w:val="center"/>
            <w:hideMark/>
          </w:tcPr>
          <w:p w:rsidR="00F51A3E" w:rsidRPr="00F51A3E" w:rsidRDefault="00F51A3E" w:rsidP="001079C4">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r>
      <w:tr w:rsidR="00F51A3E" w:rsidRPr="00F51A3E" w:rsidTr="004A4685">
        <w:trPr>
          <w:trHeight w:val="306"/>
        </w:trPr>
        <w:tc>
          <w:tcPr>
            <w:tcW w:w="2989" w:type="dxa"/>
            <w:tcBorders>
              <w:top w:val="nil"/>
              <w:left w:val="nil"/>
              <w:bottom w:val="nil"/>
              <w:right w:val="nil"/>
            </w:tcBorders>
            <w:shd w:val="clear" w:color="auto" w:fill="auto"/>
            <w:vAlign w:val="bottom"/>
            <w:hideMark/>
          </w:tcPr>
          <w:p w:rsidR="00F51A3E" w:rsidRPr="00F51A3E" w:rsidRDefault="001079C4" w:rsidP="00F51A3E">
            <w:pPr>
              <w:spacing w:after="0" w:line="240" w:lineRule="auto"/>
              <w:jc w:val="left"/>
              <w:rPr>
                <w:rFonts w:ascii="Arial" w:hAnsi="Arial" w:cs="Arial"/>
                <w:sz w:val="16"/>
                <w:szCs w:val="16"/>
              </w:rPr>
            </w:pPr>
            <w:r>
              <w:rPr>
                <w:rFonts w:ascii="Arial" w:hAnsi="Arial" w:cs="Arial"/>
                <w:sz w:val="16"/>
                <w:szCs w:val="16"/>
              </w:rPr>
              <w:t>Job Seeker Services—</w:t>
            </w:r>
            <w:r w:rsidR="00F51A3E" w:rsidRPr="00F51A3E">
              <w:rPr>
                <w:rFonts w:ascii="Arial" w:hAnsi="Arial" w:cs="Arial"/>
                <w:sz w:val="16"/>
                <w:szCs w:val="16"/>
              </w:rPr>
              <w:t>streamlining arrangements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209"/>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w:t>
            </w:r>
            <w:r w:rsidR="00F51A3E"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(27,913)</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(45,864)</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(52,646)</w:t>
            </w:r>
          </w:p>
        </w:tc>
      </w:tr>
      <w:tr w:rsidR="00F51A3E" w:rsidRPr="00F51A3E" w:rsidTr="004A4685">
        <w:trPr>
          <w:trHeight w:val="154"/>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w:t>
            </w:r>
            <w:r w:rsidR="00F51A3E"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238"/>
        </w:trPr>
        <w:tc>
          <w:tcPr>
            <w:tcW w:w="2989" w:type="dxa"/>
            <w:tcBorders>
              <w:top w:val="nil"/>
              <w:left w:val="nil"/>
              <w:bottom w:val="nil"/>
              <w:right w:val="nil"/>
            </w:tcBorders>
            <w:shd w:val="clear" w:color="auto" w:fill="auto"/>
            <w:noWrap/>
            <w:vAlign w:val="center"/>
            <w:hideMark/>
          </w:tcPr>
          <w:p w:rsidR="00F51A3E" w:rsidRPr="00F51A3E" w:rsidRDefault="00F51A3E" w:rsidP="001079C4">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(27,913)</w:t>
            </w: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(45,864)</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(52,646)</w:t>
            </w:r>
          </w:p>
        </w:tc>
      </w:tr>
      <w:tr w:rsidR="00F51A3E" w:rsidRPr="00F51A3E" w:rsidTr="004A4685">
        <w:trPr>
          <w:trHeight w:val="294"/>
        </w:trPr>
        <w:tc>
          <w:tcPr>
            <w:tcW w:w="2989" w:type="dxa"/>
            <w:tcBorders>
              <w:top w:val="nil"/>
              <w:left w:val="nil"/>
              <w:bottom w:val="nil"/>
              <w:right w:val="nil"/>
            </w:tcBorders>
            <w:shd w:val="clear" w:color="auto" w:fill="auto"/>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Ma</w:t>
            </w:r>
            <w:r w:rsidR="001079C4">
              <w:rPr>
                <w:rFonts w:ascii="Arial" w:hAnsi="Arial" w:cs="Arial"/>
                <w:sz w:val="16"/>
                <w:szCs w:val="16"/>
              </w:rPr>
              <w:t>ture Age Employment Programme—</w:t>
            </w:r>
            <w:r w:rsidRPr="00F51A3E">
              <w:rPr>
                <w:rFonts w:ascii="Arial" w:hAnsi="Arial" w:cs="Arial"/>
                <w:sz w:val="16"/>
                <w:szCs w:val="16"/>
              </w:rPr>
              <w:t>cessation</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212"/>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(3,335)</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(3,388)</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(3,442)</w:t>
            </w:r>
          </w:p>
        </w:tc>
      </w:tr>
      <w:tr w:rsidR="00F51A3E" w:rsidRPr="00F51A3E" w:rsidTr="004A4685">
        <w:trPr>
          <w:trHeight w:val="141"/>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w:t>
            </w:r>
            <w:r w:rsidR="00F51A3E"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(283)</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(285)</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(287)</w:t>
            </w:r>
          </w:p>
        </w:tc>
      </w:tr>
      <w:tr w:rsidR="00F51A3E" w:rsidRPr="00F51A3E" w:rsidTr="004A4685">
        <w:trPr>
          <w:trHeight w:val="253"/>
        </w:trPr>
        <w:tc>
          <w:tcPr>
            <w:tcW w:w="2989" w:type="dxa"/>
            <w:tcBorders>
              <w:top w:val="nil"/>
              <w:left w:val="nil"/>
              <w:bottom w:val="nil"/>
              <w:right w:val="nil"/>
            </w:tcBorders>
            <w:shd w:val="clear" w:color="auto" w:fill="auto"/>
            <w:noWrap/>
            <w:vAlign w:val="center"/>
            <w:hideMark/>
          </w:tcPr>
          <w:p w:rsidR="00F51A3E" w:rsidRPr="00F51A3E" w:rsidRDefault="00F51A3E" w:rsidP="001079C4">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(3,618)</w:t>
            </w:r>
          </w:p>
        </w:tc>
        <w:tc>
          <w:tcPr>
            <w:tcW w:w="920" w:type="dxa"/>
            <w:tcBorders>
              <w:top w:val="nil"/>
              <w:left w:val="nil"/>
              <w:bottom w:val="nil"/>
              <w:right w:val="nil"/>
            </w:tcBorders>
            <w:shd w:val="clear" w:color="000000" w:fill="E6E6E6"/>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(3,673)</w:t>
            </w:r>
          </w:p>
        </w:tc>
        <w:tc>
          <w:tcPr>
            <w:tcW w:w="920" w:type="dxa"/>
            <w:tcBorders>
              <w:top w:val="nil"/>
              <w:left w:val="nil"/>
              <w:bottom w:val="nil"/>
              <w:right w:val="nil"/>
            </w:tcBorders>
            <w:shd w:val="clear" w:color="000000" w:fill="FFFFFF"/>
            <w:noWrap/>
            <w:vAlign w:val="center"/>
            <w:hideMark/>
          </w:tcPr>
          <w:p w:rsidR="00F51A3E" w:rsidRPr="00F51A3E" w:rsidRDefault="00F51A3E" w:rsidP="001079C4">
            <w:pPr>
              <w:spacing w:after="0" w:line="240" w:lineRule="auto"/>
              <w:jc w:val="right"/>
              <w:rPr>
                <w:rFonts w:ascii="Arial" w:hAnsi="Arial" w:cs="Arial"/>
                <w:b/>
                <w:bCs/>
                <w:sz w:val="16"/>
                <w:szCs w:val="16"/>
              </w:rPr>
            </w:pPr>
            <w:r w:rsidRPr="00F51A3E">
              <w:rPr>
                <w:rFonts w:ascii="Arial" w:hAnsi="Arial" w:cs="Arial"/>
                <w:b/>
                <w:bCs/>
                <w:sz w:val="16"/>
                <w:szCs w:val="16"/>
              </w:rPr>
              <w:t>(3,729)</w:t>
            </w:r>
          </w:p>
        </w:tc>
      </w:tr>
      <w:tr w:rsidR="00F51A3E" w:rsidRPr="00F51A3E" w:rsidTr="004A4685">
        <w:trPr>
          <w:trHeight w:val="296"/>
        </w:trPr>
        <w:tc>
          <w:tcPr>
            <w:tcW w:w="2989" w:type="dxa"/>
            <w:tcBorders>
              <w:top w:val="nil"/>
              <w:left w:val="nil"/>
              <w:bottom w:val="nil"/>
              <w:right w:val="nil"/>
            </w:tcBorders>
            <w:shd w:val="clear" w:color="auto" w:fill="auto"/>
            <w:vAlign w:val="bottom"/>
            <w:hideMark/>
          </w:tcPr>
          <w:p w:rsidR="00F51A3E" w:rsidRPr="00F51A3E" w:rsidRDefault="001079C4" w:rsidP="00F51A3E">
            <w:pPr>
              <w:spacing w:after="0" w:line="240" w:lineRule="auto"/>
              <w:jc w:val="left"/>
              <w:rPr>
                <w:rFonts w:ascii="Arial" w:hAnsi="Arial" w:cs="Arial"/>
                <w:sz w:val="16"/>
                <w:szCs w:val="16"/>
              </w:rPr>
            </w:pPr>
            <w:r>
              <w:rPr>
                <w:rFonts w:ascii="Arial" w:hAnsi="Arial" w:cs="Arial"/>
                <w:sz w:val="16"/>
                <w:szCs w:val="16"/>
              </w:rPr>
              <w:t>Our North, Our Future—</w:t>
            </w:r>
            <w:r w:rsidR="00F51A3E" w:rsidRPr="00F51A3E">
              <w:rPr>
                <w:rFonts w:ascii="Arial" w:hAnsi="Arial" w:cs="Arial"/>
                <w:sz w:val="16"/>
                <w:szCs w:val="16"/>
              </w:rPr>
              <w:t>workforce for growth(d)</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190"/>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147"/>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1079C4"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253"/>
        </w:trPr>
        <w:tc>
          <w:tcPr>
            <w:tcW w:w="2989" w:type="dxa"/>
            <w:tcBorders>
              <w:top w:val="nil"/>
              <w:left w:val="nil"/>
              <w:bottom w:val="nil"/>
              <w:right w:val="nil"/>
            </w:tcBorders>
            <w:shd w:val="clear" w:color="auto" w:fill="auto"/>
            <w:noWrap/>
            <w:vAlign w:val="center"/>
            <w:hideMark/>
          </w:tcPr>
          <w:p w:rsidR="00F51A3E" w:rsidRPr="00F51A3E" w:rsidRDefault="00F51A3E" w:rsidP="00596DD9">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F51A3E" w:rsidP="00596DD9">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596DD9">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center"/>
            <w:hideMark/>
          </w:tcPr>
          <w:p w:rsidR="00F51A3E" w:rsidRPr="00F51A3E" w:rsidRDefault="00F51A3E" w:rsidP="00596DD9">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center"/>
            <w:hideMark/>
          </w:tcPr>
          <w:p w:rsidR="00F51A3E" w:rsidRPr="00F51A3E" w:rsidRDefault="00F51A3E" w:rsidP="00596DD9">
            <w:pPr>
              <w:spacing w:after="0" w:line="240" w:lineRule="auto"/>
              <w:jc w:val="right"/>
              <w:rPr>
                <w:rFonts w:ascii="Arial" w:hAnsi="Arial" w:cs="Arial"/>
                <w:b/>
                <w:bCs/>
                <w:sz w:val="16"/>
                <w:szCs w:val="16"/>
              </w:rPr>
            </w:pPr>
            <w:r w:rsidRPr="00F51A3E">
              <w:rPr>
                <w:rFonts w:ascii="Arial" w:hAnsi="Arial" w:cs="Arial"/>
                <w:b/>
                <w:bCs/>
                <w:sz w:val="16"/>
                <w:szCs w:val="16"/>
              </w:rPr>
              <w:t xml:space="preserve">- </w:t>
            </w:r>
          </w:p>
        </w:tc>
      </w:tr>
      <w:tr w:rsidR="00F51A3E" w:rsidRPr="00F51A3E" w:rsidTr="004A4685">
        <w:trPr>
          <w:trHeight w:val="155"/>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jc w:val="left"/>
              <w:rPr>
                <w:rFonts w:ascii="Arial" w:hAnsi="Arial" w:cs="Arial"/>
                <w:sz w:val="16"/>
                <w:szCs w:val="16"/>
              </w:rPr>
            </w:pPr>
            <w:r w:rsidRPr="00F51A3E">
              <w:rPr>
                <w:rFonts w:ascii="Arial" w:hAnsi="Arial" w:cs="Arial"/>
                <w:sz w:val="16"/>
                <w:szCs w:val="16"/>
              </w:rPr>
              <w:t>Syrian and Iraqi Humanitarian Crisis(d)</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r w:rsidRPr="00F51A3E">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F51A3E" w:rsidRPr="00F51A3E" w:rsidRDefault="00F51A3E" w:rsidP="00F51A3E">
            <w:pPr>
              <w:spacing w:after="0" w:line="240" w:lineRule="auto"/>
              <w:jc w:val="center"/>
              <w:rPr>
                <w:rFonts w:ascii="Arial" w:hAnsi="Arial" w:cs="Arial"/>
                <w:sz w:val="16"/>
                <w:szCs w:val="16"/>
              </w:rPr>
            </w:pPr>
            <w:r w:rsidRPr="00F51A3E">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F51A3E" w:rsidRPr="00F51A3E" w:rsidRDefault="00F51A3E" w:rsidP="00F51A3E">
            <w:pPr>
              <w:spacing w:after="0" w:line="240" w:lineRule="auto"/>
              <w:jc w:val="right"/>
              <w:rPr>
                <w:rFonts w:ascii="Arial" w:hAnsi="Arial" w:cs="Arial"/>
                <w:sz w:val="16"/>
                <w:szCs w:val="16"/>
              </w:rPr>
            </w:pPr>
            <w:r w:rsidRPr="00F51A3E">
              <w:rPr>
                <w:rFonts w:ascii="Arial" w:hAnsi="Arial" w:cs="Arial"/>
                <w:sz w:val="16"/>
                <w:szCs w:val="16"/>
              </w:rPr>
              <w:t> </w:t>
            </w:r>
          </w:p>
        </w:tc>
      </w:tr>
      <w:tr w:rsidR="00F51A3E" w:rsidRPr="00F51A3E" w:rsidTr="004A4685">
        <w:trPr>
          <w:trHeight w:val="112"/>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Administered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650</w:t>
            </w:r>
          </w:p>
        </w:tc>
        <w:tc>
          <w:tcPr>
            <w:tcW w:w="920" w:type="dxa"/>
            <w:tcBorders>
              <w:top w:val="nil"/>
              <w:left w:val="nil"/>
              <w:bottom w:val="nil"/>
              <w:right w:val="nil"/>
            </w:tcBorders>
            <w:shd w:val="clear" w:color="000000" w:fill="FFFFFF"/>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1,920</w:t>
            </w:r>
          </w:p>
        </w:tc>
        <w:tc>
          <w:tcPr>
            <w:tcW w:w="920" w:type="dxa"/>
            <w:tcBorders>
              <w:top w:val="nil"/>
              <w:left w:val="nil"/>
              <w:bottom w:val="nil"/>
              <w:right w:val="nil"/>
            </w:tcBorders>
            <w:shd w:val="clear" w:color="000000" w:fill="E6E6E6"/>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1,280</w:t>
            </w:r>
          </w:p>
        </w:tc>
        <w:tc>
          <w:tcPr>
            <w:tcW w:w="920" w:type="dxa"/>
            <w:tcBorders>
              <w:top w:val="nil"/>
              <w:left w:val="nil"/>
              <w:bottom w:val="nil"/>
              <w:right w:val="nil"/>
            </w:tcBorders>
            <w:shd w:val="clear" w:color="000000" w:fill="FFFFFF"/>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651</w:t>
            </w:r>
          </w:p>
        </w:tc>
      </w:tr>
      <w:tr w:rsidR="00F51A3E" w:rsidRPr="00F51A3E" w:rsidTr="004A4685">
        <w:trPr>
          <w:trHeight w:val="131"/>
        </w:trPr>
        <w:tc>
          <w:tcPr>
            <w:tcW w:w="2989" w:type="dxa"/>
            <w:tcBorders>
              <w:top w:val="nil"/>
              <w:left w:val="nil"/>
              <w:bottom w:val="nil"/>
              <w:right w:val="nil"/>
            </w:tcBorders>
            <w:shd w:val="clear" w:color="auto" w:fill="auto"/>
            <w:noWrap/>
            <w:vAlign w:val="bottom"/>
            <w:hideMark/>
          </w:tcPr>
          <w:p w:rsidR="00F51A3E" w:rsidRPr="00F51A3E" w:rsidRDefault="00F51A3E" w:rsidP="00F51A3E">
            <w:pPr>
              <w:spacing w:after="0" w:line="240" w:lineRule="auto"/>
              <w:ind w:firstLineChars="100" w:firstLine="160"/>
              <w:jc w:val="left"/>
              <w:rPr>
                <w:rFonts w:ascii="Arial" w:hAnsi="Arial" w:cs="Arial"/>
                <w:sz w:val="16"/>
                <w:szCs w:val="16"/>
              </w:rPr>
            </w:pPr>
            <w:r w:rsidRPr="00F51A3E">
              <w:rPr>
                <w:rFonts w:ascii="Arial" w:hAnsi="Arial" w:cs="Arial"/>
                <w:sz w:val="16"/>
                <w:szCs w:val="16"/>
              </w:rPr>
              <w:t>Departmental expenses</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F51A3E" w:rsidRPr="00F51A3E" w:rsidRDefault="00596DD9" w:rsidP="00596DD9">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F51A3E" w:rsidRPr="00F51A3E" w:rsidRDefault="00596DD9" w:rsidP="00F51A3E">
            <w:pPr>
              <w:spacing w:after="0" w:line="240" w:lineRule="auto"/>
              <w:jc w:val="right"/>
              <w:rPr>
                <w:rFonts w:ascii="Arial" w:hAnsi="Arial" w:cs="Arial"/>
                <w:sz w:val="16"/>
                <w:szCs w:val="16"/>
              </w:rPr>
            </w:pPr>
            <w:r>
              <w:rPr>
                <w:rFonts w:ascii="Arial" w:hAnsi="Arial" w:cs="Arial"/>
                <w:sz w:val="16"/>
                <w:szCs w:val="16"/>
              </w:rPr>
              <w:t xml:space="preserve">- </w:t>
            </w:r>
          </w:p>
        </w:tc>
      </w:tr>
      <w:tr w:rsidR="00F51A3E" w:rsidRPr="00F51A3E" w:rsidTr="004A4685">
        <w:trPr>
          <w:trHeight w:val="269"/>
        </w:trPr>
        <w:tc>
          <w:tcPr>
            <w:tcW w:w="2989" w:type="dxa"/>
            <w:tcBorders>
              <w:top w:val="nil"/>
              <w:left w:val="nil"/>
              <w:bottom w:val="nil"/>
              <w:right w:val="nil"/>
            </w:tcBorders>
            <w:shd w:val="clear" w:color="auto" w:fill="auto"/>
            <w:noWrap/>
            <w:vAlign w:val="center"/>
            <w:hideMark/>
          </w:tcPr>
          <w:p w:rsidR="00F51A3E" w:rsidRPr="00F51A3E" w:rsidRDefault="00F51A3E" w:rsidP="00596DD9">
            <w:pPr>
              <w:spacing w:after="0" w:line="240" w:lineRule="auto"/>
              <w:jc w:val="left"/>
              <w:rPr>
                <w:rFonts w:ascii="Arial" w:hAnsi="Arial" w:cs="Arial"/>
                <w:b/>
                <w:bCs/>
                <w:sz w:val="16"/>
                <w:szCs w:val="16"/>
              </w:rPr>
            </w:pPr>
            <w:r w:rsidRPr="00F51A3E">
              <w:rPr>
                <w:rFonts w:ascii="Arial" w:hAnsi="Arial" w:cs="Arial"/>
                <w:b/>
                <w:bCs/>
                <w:sz w:val="16"/>
                <w:szCs w:val="16"/>
              </w:rPr>
              <w:t xml:space="preserve">Total </w:t>
            </w:r>
          </w:p>
        </w:tc>
        <w:tc>
          <w:tcPr>
            <w:tcW w:w="1099" w:type="dxa"/>
            <w:tcBorders>
              <w:top w:val="nil"/>
              <w:left w:val="nil"/>
              <w:bottom w:val="nil"/>
              <w:right w:val="nil"/>
            </w:tcBorders>
            <w:shd w:val="clear" w:color="auto" w:fill="auto"/>
            <w:noWrap/>
            <w:hideMark/>
          </w:tcPr>
          <w:p w:rsidR="00F51A3E" w:rsidRPr="00F51A3E" w:rsidRDefault="00F51A3E" w:rsidP="004A468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F51A3E" w:rsidRPr="00F51A3E" w:rsidRDefault="00596DD9" w:rsidP="00596DD9">
            <w:pPr>
              <w:spacing w:after="0" w:line="240" w:lineRule="auto"/>
              <w:jc w:val="right"/>
              <w:rPr>
                <w:rFonts w:ascii="Arial" w:hAnsi="Arial" w:cs="Arial"/>
                <w:b/>
                <w:bCs/>
                <w:sz w:val="16"/>
                <w:szCs w:val="16"/>
              </w:rPr>
            </w:pPr>
            <w:r>
              <w:rPr>
                <w:rFonts w:ascii="Arial" w:hAnsi="Arial" w:cs="Arial"/>
                <w:b/>
                <w:bCs/>
                <w:sz w:val="16"/>
                <w:szCs w:val="16"/>
              </w:rPr>
              <w:t>650</w:t>
            </w:r>
          </w:p>
        </w:tc>
        <w:tc>
          <w:tcPr>
            <w:tcW w:w="920" w:type="dxa"/>
            <w:tcBorders>
              <w:top w:val="nil"/>
              <w:left w:val="nil"/>
              <w:bottom w:val="nil"/>
              <w:right w:val="nil"/>
            </w:tcBorders>
            <w:shd w:val="clear" w:color="000000" w:fill="FFFFFF"/>
            <w:noWrap/>
            <w:vAlign w:val="center"/>
            <w:hideMark/>
          </w:tcPr>
          <w:p w:rsidR="00F51A3E" w:rsidRPr="00F51A3E" w:rsidRDefault="00596DD9" w:rsidP="00596DD9">
            <w:pPr>
              <w:spacing w:after="0" w:line="240" w:lineRule="auto"/>
              <w:jc w:val="right"/>
              <w:rPr>
                <w:rFonts w:ascii="Arial" w:hAnsi="Arial" w:cs="Arial"/>
                <w:b/>
                <w:bCs/>
                <w:sz w:val="16"/>
                <w:szCs w:val="16"/>
              </w:rPr>
            </w:pPr>
            <w:r>
              <w:rPr>
                <w:rFonts w:ascii="Arial" w:hAnsi="Arial" w:cs="Arial"/>
                <w:b/>
                <w:bCs/>
                <w:sz w:val="16"/>
                <w:szCs w:val="16"/>
              </w:rPr>
              <w:t>1,920</w:t>
            </w:r>
          </w:p>
        </w:tc>
        <w:tc>
          <w:tcPr>
            <w:tcW w:w="920" w:type="dxa"/>
            <w:tcBorders>
              <w:top w:val="nil"/>
              <w:left w:val="nil"/>
              <w:bottom w:val="nil"/>
              <w:right w:val="nil"/>
            </w:tcBorders>
            <w:shd w:val="clear" w:color="000000" w:fill="E6E6E6"/>
            <w:noWrap/>
            <w:vAlign w:val="center"/>
            <w:hideMark/>
          </w:tcPr>
          <w:p w:rsidR="00F51A3E" w:rsidRPr="00F51A3E" w:rsidRDefault="00596DD9" w:rsidP="00596DD9">
            <w:pPr>
              <w:spacing w:after="0" w:line="240" w:lineRule="auto"/>
              <w:jc w:val="right"/>
              <w:rPr>
                <w:rFonts w:ascii="Arial" w:hAnsi="Arial" w:cs="Arial"/>
                <w:b/>
                <w:bCs/>
                <w:sz w:val="16"/>
                <w:szCs w:val="16"/>
              </w:rPr>
            </w:pPr>
            <w:r>
              <w:rPr>
                <w:rFonts w:ascii="Arial" w:hAnsi="Arial" w:cs="Arial"/>
                <w:b/>
                <w:bCs/>
                <w:sz w:val="16"/>
                <w:szCs w:val="16"/>
              </w:rPr>
              <w:t>1,280</w:t>
            </w:r>
          </w:p>
        </w:tc>
        <w:tc>
          <w:tcPr>
            <w:tcW w:w="920" w:type="dxa"/>
            <w:tcBorders>
              <w:top w:val="nil"/>
              <w:left w:val="nil"/>
              <w:bottom w:val="nil"/>
              <w:right w:val="nil"/>
            </w:tcBorders>
            <w:shd w:val="clear" w:color="000000" w:fill="FFFFFF"/>
            <w:noWrap/>
            <w:vAlign w:val="center"/>
            <w:hideMark/>
          </w:tcPr>
          <w:p w:rsidR="00F51A3E" w:rsidRPr="00F51A3E" w:rsidRDefault="00596DD9" w:rsidP="00596DD9">
            <w:pPr>
              <w:spacing w:after="0" w:line="240" w:lineRule="auto"/>
              <w:jc w:val="right"/>
              <w:rPr>
                <w:rFonts w:ascii="Arial" w:hAnsi="Arial" w:cs="Arial"/>
                <w:b/>
                <w:bCs/>
                <w:sz w:val="16"/>
                <w:szCs w:val="16"/>
              </w:rPr>
            </w:pPr>
            <w:r>
              <w:rPr>
                <w:rFonts w:ascii="Arial" w:hAnsi="Arial" w:cs="Arial"/>
                <w:b/>
                <w:bCs/>
                <w:sz w:val="16"/>
                <w:szCs w:val="16"/>
              </w:rPr>
              <w:t>651</w:t>
            </w:r>
          </w:p>
        </w:tc>
      </w:tr>
      <w:tr w:rsidR="00596DD9" w:rsidRPr="00596DD9" w:rsidTr="004A4685">
        <w:trPr>
          <w:trHeight w:val="298"/>
        </w:trPr>
        <w:tc>
          <w:tcPr>
            <w:tcW w:w="2989" w:type="dxa"/>
            <w:tcBorders>
              <w:top w:val="nil"/>
              <w:left w:val="nil"/>
              <w:bottom w:val="nil"/>
              <w:right w:val="nil"/>
            </w:tcBorders>
            <w:shd w:val="clear" w:color="auto" w:fill="auto"/>
            <w:noWrap/>
            <w:vAlign w:val="bottom"/>
            <w:hideMark/>
          </w:tcPr>
          <w:p w:rsidR="00596DD9" w:rsidRPr="00596DD9" w:rsidRDefault="00596DD9" w:rsidP="00596DD9">
            <w:pPr>
              <w:spacing w:after="0" w:line="240" w:lineRule="auto"/>
              <w:jc w:val="left"/>
              <w:rPr>
                <w:rFonts w:ascii="Arial" w:hAnsi="Arial" w:cs="Arial"/>
                <w:bCs/>
                <w:sz w:val="16"/>
                <w:szCs w:val="16"/>
              </w:rPr>
            </w:pPr>
            <w:r>
              <w:rPr>
                <w:rFonts w:ascii="Arial" w:hAnsi="Arial" w:cs="Arial"/>
                <w:bCs/>
                <w:sz w:val="16"/>
                <w:szCs w:val="16"/>
              </w:rPr>
              <w:t>Transition to Work Programme—</w:t>
            </w:r>
            <w:r w:rsidRPr="00596DD9">
              <w:rPr>
                <w:rFonts w:ascii="Arial" w:hAnsi="Arial" w:cs="Arial"/>
                <w:bCs/>
                <w:sz w:val="16"/>
                <w:szCs w:val="16"/>
              </w:rPr>
              <w:t>additional funding</w:t>
            </w:r>
          </w:p>
        </w:tc>
        <w:tc>
          <w:tcPr>
            <w:tcW w:w="1099" w:type="dxa"/>
            <w:tcBorders>
              <w:top w:val="nil"/>
              <w:left w:val="nil"/>
              <w:bottom w:val="nil"/>
              <w:right w:val="nil"/>
            </w:tcBorders>
            <w:shd w:val="clear" w:color="auto" w:fill="auto"/>
            <w:noWrap/>
            <w:hideMark/>
          </w:tcPr>
          <w:p w:rsidR="00596DD9" w:rsidRPr="00596DD9" w:rsidRDefault="00596DD9" w:rsidP="004A4685">
            <w:pPr>
              <w:spacing w:after="0" w:line="240" w:lineRule="auto"/>
              <w:jc w:val="center"/>
              <w:rPr>
                <w:rFonts w:ascii="Arial" w:hAnsi="Arial" w:cs="Arial"/>
                <w:bCs/>
                <w:sz w:val="16"/>
                <w:szCs w:val="16"/>
              </w:rPr>
            </w:pPr>
            <w:r w:rsidRPr="00596DD9">
              <w:rPr>
                <w:rFonts w:ascii="Arial" w:hAnsi="Arial" w:cs="Arial"/>
                <w:bCs/>
                <w:sz w:val="16"/>
                <w:szCs w:val="16"/>
              </w:rPr>
              <w:t>1.1</w:t>
            </w:r>
          </w:p>
        </w:tc>
        <w:tc>
          <w:tcPr>
            <w:tcW w:w="920" w:type="dxa"/>
            <w:tcBorders>
              <w:top w:val="nil"/>
              <w:left w:val="nil"/>
              <w:bottom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sidRPr="00596DD9">
              <w:rPr>
                <w:rFonts w:ascii="Arial" w:hAnsi="Arial" w:cs="Arial"/>
                <w:bCs/>
                <w:sz w:val="16"/>
                <w:szCs w:val="16"/>
              </w:rPr>
              <w:t> </w:t>
            </w:r>
          </w:p>
        </w:tc>
        <w:tc>
          <w:tcPr>
            <w:tcW w:w="920" w:type="dxa"/>
            <w:tcBorders>
              <w:top w:val="nil"/>
              <w:left w:val="nil"/>
              <w:bottom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sidRPr="00596DD9">
              <w:rPr>
                <w:rFonts w:ascii="Arial" w:hAnsi="Arial" w:cs="Arial"/>
                <w:bCs/>
                <w:sz w:val="16"/>
                <w:szCs w:val="16"/>
              </w:rPr>
              <w:t> </w:t>
            </w:r>
          </w:p>
        </w:tc>
        <w:tc>
          <w:tcPr>
            <w:tcW w:w="920" w:type="dxa"/>
            <w:tcBorders>
              <w:top w:val="nil"/>
              <w:left w:val="nil"/>
              <w:bottom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sidRPr="00596DD9">
              <w:rPr>
                <w:rFonts w:ascii="Arial" w:hAnsi="Arial" w:cs="Arial"/>
                <w:bCs/>
                <w:sz w:val="16"/>
                <w:szCs w:val="16"/>
              </w:rPr>
              <w:t> </w:t>
            </w:r>
          </w:p>
        </w:tc>
        <w:tc>
          <w:tcPr>
            <w:tcW w:w="920" w:type="dxa"/>
            <w:tcBorders>
              <w:top w:val="nil"/>
              <w:left w:val="nil"/>
              <w:bottom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sidRPr="00596DD9">
              <w:rPr>
                <w:rFonts w:ascii="Arial" w:hAnsi="Arial" w:cs="Arial"/>
                <w:bCs/>
                <w:sz w:val="16"/>
                <w:szCs w:val="16"/>
              </w:rPr>
              <w:t> </w:t>
            </w:r>
          </w:p>
        </w:tc>
      </w:tr>
      <w:tr w:rsidR="00596DD9" w:rsidRPr="00596DD9" w:rsidTr="004A4685">
        <w:trPr>
          <w:trHeight w:val="202"/>
        </w:trPr>
        <w:tc>
          <w:tcPr>
            <w:tcW w:w="2989" w:type="dxa"/>
            <w:tcBorders>
              <w:top w:val="nil"/>
              <w:left w:val="nil"/>
              <w:bottom w:val="nil"/>
              <w:right w:val="nil"/>
            </w:tcBorders>
            <w:shd w:val="clear" w:color="auto" w:fill="auto"/>
            <w:noWrap/>
            <w:vAlign w:val="bottom"/>
            <w:hideMark/>
          </w:tcPr>
          <w:p w:rsidR="00596DD9" w:rsidRPr="00596DD9" w:rsidRDefault="00596DD9" w:rsidP="00596DD9">
            <w:pPr>
              <w:spacing w:after="0" w:line="240" w:lineRule="auto"/>
              <w:ind w:firstLine="191"/>
              <w:jc w:val="left"/>
              <w:rPr>
                <w:rFonts w:ascii="Arial" w:hAnsi="Arial" w:cs="Arial"/>
                <w:bCs/>
                <w:sz w:val="16"/>
                <w:szCs w:val="16"/>
              </w:rPr>
            </w:pPr>
            <w:r w:rsidRPr="00596DD9">
              <w:rPr>
                <w:rFonts w:ascii="Arial" w:hAnsi="Arial" w:cs="Arial"/>
                <w:bCs/>
                <w:sz w:val="16"/>
                <w:szCs w:val="16"/>
              </w:rPr>
              <w:t>Administered expenses</w:t>
            </w:r>
          </w:p>
        </w:tc>
        <w:tc>
          <w:tcPr>
            <w:tcW w:w="1099" w:type="dxa"/>
            <w:tcBorders>
              <w:top w:val="nil"/>
              <w:left w:val="nil"/>
              <w:bottom w:val="nil"/>
              <w:right w:val="nil"/>
            </w:tcBorders>
            <w:shd w:val="clear" w:color="auto" w:fill="auto"/>
            <w:noWrap/>
            <w:hideMark/>
          </w:tcPr>
          <w:p w:rsidR="00596DD9" w:rsidRPr="00596DD9" w:rsidRDefault="00596DD9" w:rsidP="004A4685">
            <w:pPr>
              <w:spacing w:after="0" w:line="240" w:lineRule="auto"/>
              <w:jc w:val="center"/>
              <w:rPr>
                <w:rFonts w:ascii="Arial" w:hAnsi="Arial" w:cs="Arial"/>
                <w:bCs/>
                <w:sz w:val="16"/>
                <w:szCs w:val="16"/>
              </w:rPr>
            </w:pPr>
          </w:p>
        </w:tc>
        <w:tc>
          <w:tcPr>
            <w:tcW w:w="920" w:type="dxa"/>
            <w:tcBorders>
              <w:top w:val="nil"/>
              <w:left w:val="nil"/>
              <w:bottom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sidRPr="00596DD9">
              <w:rPr>
                <w:rFonts w:ascii="Arial" w:hAnsi="Arial" w:cs="Arial"/>
                <w:bCs/>
                <w:sz w:val="16"/>
                <w:szCs w:val="16"/>
              </w:rPr>
              <w:t xml:space="preserve">- </w:t>
            </w:r>
          </w:p>
        </w:tc>
        <w:tc>
          <w:tcPr>
            <w:tcW w:w="920" w:type="dxa"/>
            <w:tcBorders>
              <w:top w:val="nil"/>
              <w:left w:val="nil"/>
              <w:bottom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 xml:space="preserve">- </w:t>
            </w:r>
          </w:p>
        </w:tc>
        <w:tc>
          <w:tcPr>
            <w:tcW w:w="920" w:type="dxa"/>
            <w:tcBorders>
              <w:top w:val="nil"/>
              <w:left w:val="nil"/>
              <w:bottom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 xml:space="preserve">- </w:t>
            </w:r>
          </w:p>
        </w:tc>
        <w:tc>
          <w:tcPr>
            <w:tcW w:w="920" w:type="dxa"/>
            <w:tcBorders>
              <w:top w:val="nil"/>
              <w:left w:val="nil"/>
              <w:bottom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 xml:space="preserve">- </w:t>
            </w:r>
          </w:p>
        </w:tc>
      </w:tr>
      <w:tr w:rsidR="00596DD9" w:rsidRPr="00596DD9" w:rsidTr="004A4685">
        <w:trPr>
          <w:trHeight w:val="145"/>
        </w:trPr>
        <w:tc>
          <w:tcPr>
            <w:tcW w:w="2989" w:type="dxa"/>
            <w:tcBorders>
              <w:top w:val="nil"/>
              <w:left w:val="nil"/>
              <w:right w:val="nil"/>
            </w:tcBorders>
            <w:shd w:val="clear" w:color="auto" w:fill="auto"/>
            <w:noWrap/>
            <w:vAlign w:val="bottom"/>
            <w:hideMark/>
          </w:tcPr>
          <w:p w:rsidR="00596DD9" w:rsidRPr="00596DD9" w:rsidRDefault="00596DD9" w:rsidP="00596DD9">
            <w:pPr>
              <w:spacing w:after="0" w:line="240" w:lineRule="auto"/>
              <w:ind w:firstLine="191"/>
              <w:jc w:val="left"/>
              <w:rPr>
                <w:rFonts w:ascii="Arial" w:hAnsi="Arial" w:cs="Arial"/>
                <w:bCs/>
                <w:sz w:val="16"/>
                <w:szCs w:val="16"/>
              </w:rPr>
            </w:pPr>
            <w:r w:rsidRPr="00596DD9">
              <w:rPr>
                <w:rFonts w:ascii="Arial" w:hAnsi="Arial" w:cs="Arial"/>
                <w:bCs/>
                <w:sz w:val="16"/>
                <w:szCs w:val="16"/>
              </w:rPr>
              <w:t>Departmental expenses</w:t>
            </w:r>
          </w:p>
        </w:tc>
        <w:tc>
          <w:tcPr>
            <w:tcW w:w="1099" w:type="dxa"/>
            <w:tcBorders>
              <w:top w:val="nil"/>
              <w:left w:val="nil"/>
              <w:right w:val="nil"/>
            </w:tcBorders>
            <w:shd w:val="clear" w:color="auto" w:fill="auto"/>
            <w:noWrap/>
            <w:hideMark/>
          </w:tcPr>
          <w:p w:rsidR="00596DD9" w:rsidRPr="00596DD9" w:rsidRDefault="00596DD9" w:rsidP="004A4685">
            <w:pPr>
              <w:spacing w:after="0" w:line="240" w:lineRule="auto"/>
              <w:jc w:val="center"/>
              <w:rPr>
                <w:rFonts w:ascii="Arial" w:hAnsi="Arial" w:cs="Arial"/>
                <w:bCs/>
                <w:sz w:val="16"/>
                <w:szCs w:val="16"/>
              </w:rPr>
            </w:pPr>
          </w:p>
        </w:tc>
        <w:tc>
          <w:tcPr>
            <w:tcW w:w="920" w:type="dxa"/>
            <w:tcBorders>
              <w:top w:val="nil"/>
              <w:left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w:t>
            </w:r>
            <w:r w:rsidRPr="00596DD9">
              <w:rPr>
                <w:rFonts w:ascii="Arial" w:hAnsi="Arial" w:cs="Arial"/>
                <w:bCs/>
                <w:sz w:val="16"/>
                <w:szCs w:val="16"/>
              </w:rPr>
              <w:t xml:space="preserve"> </w:t>
            </w:r>
          </w:p>
        </w:tc>
        <w:tc>
          <w:tcPr>
            <w:tcW w:w="920" w:type="dxa"/>
            <w:tcBorders>
              <w:top w:val="nil"/>
              <w:left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 xml:space="preserve">- </w:t>
            </w:r>
          </w:p>
        </w:tc>
        <w:tc>
          <w:tcPr>
            <w:tcW w:w="920" w:type="dxa"/>
            <w:tcBorders>
              <w:top w:val="nil"/>
              <w:left w:val="nil"/>
              <w:right w:val="nil"/>
            </w:tcBorders>
            <w:shd w:val="clear" w:color="000000" w:fill="E6E6E6"/>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 xml:space="preserve">- </w:t>
            </w:r>
          </w:p>
        </w:tc>
        <w:tc>
          <w:tcPr>
            <w:tcW w:w="920" w:type="dxa"/>
            <w:tcBorders>
              <w:top w:val="nil"/>
              <w:left w:val="nil"/>
              <w:right w:val="nil"/>
            </w:tcBorders>
            <w:shd w:val="clear" w:color="000000" w:fill="FFFFFF"/>
            <w:noWrap/>
            <w:vAlign w:val="bottom"/>
            <w:hideMark/>
          </w:tcPr>
          <w:p w:rsidR="00596DD9" w:rsidRPr="00596DD9" w:rsidRDefault="00596DD9" w:rsidP="00596DD9">
            <w:pPr>
              <w:spacing w:after="0" w:line="240" w:lineRule="auto"/>
              <w:jc w:val="right"/>
              <w:rPr>
                <w:rFonts w:ascii="Arial" w:hAnsi="Arial" w:cs="Arial"/>
                <w:bCs/>
                <w:sz w:val="16"/>
                <w:szCs w:val="16"/>
              </w:rPr>
            </w:pPr>
            <w:r>
              <w:rPr>
                <w:rFonts w:ascii="Arial" w:hAnsi="Arial" w:cs="Arial"/>
                <w:bCs/>
                <w:sz w:val="16"/>
                <w:szCs w:val="16"/>
              </w:rPr>
              <w:t>-</w:t>
            </w:r>
          </w:p>
        </w:tc>
      </w:tr>
      <w:tr w:rsidR="00596DD9" w:rsidRPr="00596DD9" w:rsidTr="004A4685">
        <w:trPr>
          <w:trHeight w:val="250"/>
        </w:trPr>
        <w:tc>
          <w:tcPr>
            <w:tcW w:w="2989" w:type="dxa"/>
            <w:tcBorders>
              <w:top w:val="nil"/>
              <w:left w:val="nil"/>
              <w:bottom w:val="single" w:sz="4" w:space="0" w:color="auto"/>
              <w:right w:val="nil"/>
            </w:tcBorders>
            <w:shd w:val="clear" w:color="auto" w:fill="auto"/>
            <w:noWrap/>
            <w:vAlign w:val="center"/>
            <w:hideMark/>
          </w:tcPr>
          <w:p w:rsidR="00596DD9" w:rsidRPr="00596DD9" w:rsidRDefault="00596DD9" w:rsidP="00C44913">
            <w:pPr>
              <w:spacing w:after="0" w:line="240" w:lineRule="auto"/>
              <w:jc w:val="left"/>
              <w:rPr>
                <w:rFonts w:ascii="Arial" w:hAnsi="Arial" w:cs="Arial"/>
                <w:b/>
                <w:bCs/>
                <w:sz w:val="16"/>
                <w:szCs w:val="16"/>
              </w:rPr>
            </w:pPr>
            <w:r w:rsidRPr="00596DD9">
              <w:rPr>
                <w:rFonts w:ascii="Arial" w:hAnsi="Arial" w:cs="Arial"/>
                <w:b/>
                <w:bCs/>
                <w:sz w:val="16"/>
                <w:szCs w:val="16"/>
              </w:rPr>
              <w:t xml:space="preserve">Total </w:t>
            </w:r>
          </w:p>
        </w:tc>
        <w:tc>
          <w:tcPr>
            <w:tcW w:w="1099" w:type="dxa"/>
            <w:tcBorders>
              <w:top w:val="nil"/>
              <w:left w:val="nil"/>
              <w:bottom w:val="single" w:sz="4" w:space="0" w:color="auto"/>
              <w:right w:val="nil"/>
            </w:tcBorders>
            <w:shd w:val="clear" w:color="auto" w:fill="auto"/>
            <w:noWrap/>
            <w:hideMark/>
          </w:tcPr>
          <w:p w:rsidR="00596DD9" w:rsidRPr="00596DD9" w:rsidRDefault="00596DD9" w:rsidP="004A4685">
            <w:pPr>
              <w:spacing w:after="0" w:line="240" w:lineRule="auto"/>
              <w:jc w:val="center"/>
              <w:rPr>
                <w:rFonts w:ascii="Arial" w:hAnsi="Arial" w:cs="Arial"/>
                <w:b/>
                <w:bCs/>
                <w:sz w:val="16"/>
                <w:szCs w:val="16"/>
              </w:rPr>
            </w:pPr>
          </w:p>
        </w:tc>
        <w:tc>
          <w:tcPr>
            <w:tcW w:w="920" w:type="dxa"/>
            <w:tcBorders>
              <w:top w:val="nil"/>
              <w:left w:val="nil"/>
              <w:bottom w:val="single" w:sz="4" w:space="0" w:color="auto"/>
              <w:right w:val="nil"/>
            </w:tcBorders>
            <w:shd w:val="clear" w:color="000000" w:fill="E6E6E6"/>
            <w:noWrap/>
            <w:vAlign w:val="center"/>
            <w:hideMark/>
          </w:tcPr>
          <w:p w:rsidR="00596DD9" w:rsidRPr="00596DD9" w:rsidRDefault="00596DD9" w:rsidP="00C44913">
            <w:pPr>
              <w:spacing w:after="0" w:line="240" w:lineRule="auto"/>
              <w:jc w:val="right"/>
              <w:rPr>
                <w:rFonts w:ascii="Arial" w:hAnsi="Arial" w:cs="Arial"/>
                <w:b/>
                <w:bCs/>
                <w:sz w:val="16"/>
                <w:szCs w:val="16"/>
              </w:rPr>
            </w:pPr>
            <w:r w:rsidRPr="00596DD9">
              <w:rPr>
                <w:rFonts w:ascii="Arial" w:hAnsi="Arial" w:cs="Arial"/>
                <w:b/>
                <w:bCs/>
                <w:sz w:val="16"/>
                <w:szCs w:val="16"/>
              </w:rPr>
              <w:t xml:space="preserve">- </w:t>
            </w:r>
          </w:p>
        </w:tc>
        <w:tc>
          <w:tcPr>
            <w:tcW w:w="920" w:type="dxa"/>
            <w:tcBorders>
              <w:top w:val="nil"/>
              <w:left w:val="nil"/>
              <w:bottom w:val="single" w:sz="4" w:space="0" w:color="auto"/>
              <w:right w:val="nil"/>
            </w:tcBorders>
            <w:shd w:val="clear" w:color="000000" w:fill="FFFFFF"/>
            <w:noWrap/>
            <w:vAlign w:val="center"/>
            <w:hideMark/>
          </w:tcPr>
          <w:p w:rsidR="00596DD9" w:rsidRPr="00596DD9" w:rsidRDefault="00596DD9" w:rsidP="00C44913">
            <w:pPr>
              <w:spacing w:after="0" w:line="240" w:lineRule="auto"/>
              <w:jc w:val="right"/>
              <w:rPr>
                <w:rFonts w:ascii="Arial" w:hAnsi="Arial" w:cs="Arial"/>
                <w:b/>
                <w:bCs/>
                <w:sz w:val="16"/>
                <w:szCs w:val="16"/>
              </w:rPr>
            </w:pPr>
            <w:r w:rsidRPr="00596DD9">
              <w:rPr>
                <w:rFonts w:ascii="Arial" w:hAnsi="Arial" w:cs="Arial"/>
                <w:b/>
                <w:bCs/>
                <w:sz w:val="16"/>
                <w:szCs w:val="16"/>
              </w:rPr>
              <w:t xml:space="preserve">- </w:t>
            </w:r>
          </w:p>
        </w:tc>
        <w:tc>
          <w:tcPr>
            <w:tcW w:w="920" w:type="dxa"/>
            <w:tcBorders>
              <w:top w:val="nil"/>
              <w:left w:val="nil"/>
              <w:bottom w:val="single" w:sz="4" w:space="0" w:color="auto"/>
              <w:right w:val="nil"/>
            </w:tcBorders>
            <w:shd w:val="clear" w:color="000000" w:fill="E6E6E6"/>
            <w:noWrap/>
            <w:vAlign w:val="center"/>
            <w:hideMark/>
          </w:tcPr>
          <w:p w:rsidR="00596DD9" w:rsidRPr="00596DD9" w:rsidRDefault="00596DD9" w:rsidP="00C44913">
            <w:pPr>
              <w:spacing w:after="0" w:line="240" w:lineRule="auto"/>
              <w:jc w:val="right"/>
              <w:rPr>
                <w:rFonts w:ascii="Arial" w:hAnsi="Arial" w:cs="Arial"/>
                <w:b/>
                <w:bCs/>
                <w:sz w:val="16"/>
                <w:szCs w:val="16"/>
              </w:rPr>
            </w:pPr>
            <w:r w:rsidRPr="00596DD9">
              <w:rPr>
                <w:rFonts w:ascii="Arial" w:hAnsi="Arial" w:cs="Arial"/>
                <w:b/>
                <w:bCs/>
                <w:sz w:val="16"/>
                <w:szCs w:val="16"/>
              </w:rPr>
              <w:t xml:space="preserve">- </w:t>
            </w:r>
          </w:p>
        </w:tc>
        <w:tc>
          <w:tcPr>
            <w:tcW w:w="920" w:type="dxa"/>
            <w:tcBorders>
              <w:top w:val="nil"/>
              <w:left w:val="nil"/>
              <w:bottom w:val="single" w:sz="4" w:space="0" w:color="auto"/>
              <w:right w:val="nil"/>
            </w:tcBorders>
            <w:shd w:val="clear" w:color="000000" w:fill="FFFFFF"/>
            <w:noWrap/>
            <w:vAlign w:val="center"/>
            <w:hideMark/>
          </w:tcPr>
          <w:p w:rsidR="00596DD9" w:rsidRPr="00596DD9" w:rsidRDefault="00596DD9" w:rsidP="00C44913">
            <w:pPr>
              <w:spacing w:after="0" w:line="240" w:lineRule="auto"/>
              <w:jc w:val="right"/>
              <w:rPr>
                <w:rFonts w:ascii="Arial" w:hAnsi="Arial" w:cs="Arial"/>
                <w:b/>
                <w:bCs/>
                <w:sz w:val="16"/>
                <w:szCs w:val="16"/>
              </w:rPr>
            </w:pPr>
            <w:r w:rsidRPr="00596DD9">
              <w:rPr>
                <w:rFonts w:ascii="Arial" w:hAnsi="Arial" w:cs="Arial"/>
                <w:b/>
                <w:bCs/>
                <w:sz w:val="16"/>
                <w:szCs w:val="16"/>
              </w:rPr>
              <w:t xml:space="preserve">- </w:t>
            </w:r>
          </w:p>
        </w:tc>
      </w:tr>
    </w:tbl>
    <w:p w:rsidR="00C44913" w:rsidRPr="00987E68" w:rsidRDefault="00C44913" w:rsidP="004D7F3A">
      <w:pPr>
        <w:pStyle w:val="TableHeading"/>
        <w:spacing w:before="240"/>
        <w:ind w:right="56"/>
        <w:rPr>
          <w:rFonts w:ascii="Arial Bold" w:hAnsi="Arial Bold"/>
          <w:spacing w:val="-3"/>
          <w:lang w:val="en-AU"/>
        </w:rPr>
      </w:pPr>
      <w:r w:rsidRPr="00987E68">
        <w:rPr>
          <w:rFonts w:ascii="Arial Bold" w:hAnsi="Arial Bold"/>
          <w:spacing w:val="-3"/>
        </w:rPr>
        <w:lastRenderedPageBreak/>
        <w:t xml:space="preserve">Table 1.2: </w:t>
      </w:r>
      <w:r w:rsidRPr="00987E68">
        <w:rPr>
          <w:rFonts w:ascii="Arial Bold" w:hAnsi="Arial Bold"/>
          <w:spacing w:val="-3"/>
          <w:lang w:val="en-AU"/>
        </w:rPr>
        <w:t>Department of Employment</w:t>
      </w:r>
      <w:r w:rsidRPr="00987E68">
        <w:rPr>
          <w:rFonts w:ascii="Arial Bold" w:hAnsi="Arial Bold"/>
          <w:spacing w:val="-3"/>
        </w:rPr>
        <w:t xml:space="preserve"> 201</w:t>
      </w:r>
      <w:r w:rsidRPr="00987E68">
        <w:rPr>
          <w:rFonts w:ascii="Arial Bold" w:hAnsi="Arial Bold"/>
          <w:spacing w:val="-3"/>
          <w:lang w:val="en-AU"/>
        </w:rPr>
        <w:t>5–</w:t>
      </w:r>
      <w:r w:rsidRPr="00987E68">
        <w:rPr>
          <w:rFonts w:ascii="Arial Bold" w:hAnsi="Arial Bold"/>
          <w:spacing w:val="-3"/>
        </w:rPr>
        <w:t>1</w:t>
      </w:r>
      <w:r w:rsidRPr="00987E68">
        <w:rPr>
          <w:rFonts w:ascii="Arial Bold" w:hAnsi="Arial Bold"/>
          <w:spacing w:val="-3"/>
          <w:lang w:val="en-AU"/>
        </w:rPr>
        <w:t>6</w:t>
      </w:r>
      <w:r w:rsidRPr="00987E68">
        <w:rPr>
          <w:rFonts w:ascii="Arial Bold" w:hAnsi="Arial Bold"/>
          <w:spacing w:val="-3"/>
        </w:rPr>
        <w:t xml:space="preserve"> measures since Budget</w:t>
      </w:r>
      <w:r w:rsidRPr="00987E68">
        <w:rPr>
          <w:rFonts w:ascii="Arial Bold" w:hAnsi="Arial Bold"/>
          <w:spacing w:val="-3"/>
          <w:lang w:val="en-AU"/>
        </w:rPr>
        <w:t xml:space="preserve"> (continued)</w:t>
      </w:r>
    </w:p>
    <w:tbl>
      <w:tblPr>
        <w:tblW w:w="7773" w:type="dxa"/>
        <w:tblInd w:w="93" w:type="dxa"/>
        <w:tblLook w:val="04A0" w:firstRow="1" w:lastRow="0" w:firstColumn="1" w:lastColumn="0" w:noHBand="0" w:noVBand="1"/>
      </w:tblPr>
      <w:tblGrid>
        <w:gridCol w:w="2992"/>
        <w:gridCol w:w="1101"/>
        <w:gridCol w:w="920"/>
        <w:gridCol w:w="920"/>
        <w:gridCol w:w="920"/>
        <w:gridCol w:w="920"/>
      </w:tblGrid>
      <w:tr w:rsidR="00C44913" w:rsidRPr="00C44913" w:rsidTr="001F3C45">
        <w:trPr>
          <w:trHeight w:val="360"/>
          <w:tblHeader/>
        </w:trPr>
        <w:tc>
          <w:tcPr>
            <w:tcW w:w="2992" w:type="dxa"/>
            <w:tcBorders>
              <w:top w:val="single" w:sz="4" w:space="0" w:color="auto"/>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1101" w:type="dxa"/>
            <w:tcBorders>
              <w:top w:val="single" w:sz="4" w:space="0" w:color="auto"/>
              <w:left w:val="nil"/>
              <w:bottom w:val="single" w:sz="4" w:space="0" w:color="auto"/>
              <w:right w:val="nil"/>
            </w:tcBorders>
            <w:shd w:val="clear" w:color="auto" w:fill="auto"/>
            <w:noWrap/>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Programme</w:t>
            </w:r>
          </w:p>
        </w:tc>
        <w:tc>
          <w:tcPr>
            <w:tcW w:w="920" w:type="dxa"/>
            <w:tcBorders>
              <w:top w:val="single" w:sz="4" w:space="0" w:color="auto"/>
              <w:left w:val="nil"/>
              <w:bottom w:val="single" w:sz="4" w:space="0" w:color="auto"/>
              <w:right w:val="nil"/>
            </w:tcBorders>
            <w:shd w:val="clear" w:color="000000" w:fill="E6E6E6"/>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2015–</w:t>
            </w:r>
            <w:r w:rsidR="00C44913" w:rsidRPr="00C44913">
              <w:rPr>
                <w:rFonts w:ascii="Arial" w:hAnsi="Arial" w:cs="Arial"/>
                <w:sz w:val="16"/>
                <w:szCs w:val="16"/>
              </w:rPr>
              <w:t>16</w:t>
            </w:r>
            <w:r w:rsidR="00C44913" w:rsidRPr="00C44913">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FFFFFF"/>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2016–</w:t>
            </w:r>
            <w:r w:rsidR="00C44913" w:rsidRPr="00C44913">
              <w:rPr>
                <w:rFonts w:ascii="Arial" w:hAnsi="Arial" w:cs="Arial"/>
                <w:sz w:val="16"/>
                <w:szCs w:val="16"/>
              </w:rPr>
              <w:t>17</w:t>
            </w:r>
            <w:r w:rsidR="00C44913" w:rsidRPr="00C44913">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E6E6E6"/>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2017–</w:t>
            </w:r>
            <w:r w:rsidR="00C44913" w:rsidRPr="00C44913">
              <w:rPr>
                <w:rFonts w:ascii="Arial" w:hAnsi="Arial" w:cs="Arial"/>
                <w:sz w:val="16"/>
                <w:szCs w:val="16"/>
              </w:rPr>
              <w:t>18</w:t>
            </w:r>
            <w:r w:rsidR="00C44913" w:rsidRPr="00C44913">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FFFFFF"/>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2018–</w:t>
            </w:r>
            <w:r w:rsidR="00C44913" w:rsidRPr="00C44913">
              <w:rPr>
                <w:rFonts w:ascii="Arial" w:hAnsi="Arial" w:cs="Arial"/>
                <w:sz w:val="16"/>
                <w:szCs w:val="16"/>
              </w:rPr>
              <w:t>19</w:t>
            </w:r>
            <w:r w:rsidR="00C44913" w:rsidRPr="00C44913">
              <w:rPr>
                <w:rFonts w:ascii="Arial" w:hAnsi="Arial" w:cs="Arial"/>
                <w:sz w:val="16"/>
                <w:szCs w:val="16"/>
              </w:rPr>
              <w:br/>
              <w:t>$'000</w:t>
            </w:r>
          </w:p>
        </w:tc>
      </w:tr>
      <w:tr w:rsidR="00C44913" w:rsidRPr="00C44913" w:rsidTr="004A4685">
        <w:trPr>
          <w:trHeight w:val="266"/>
        </w:trPr>
        <w:tc>
          <w:tcPr>
            <w:tcW w:w="2992" w:type="dxa"/>
            <w:tcBorders>
              <w:top w:val="nil"/>
              <w:left w:val="nil"/>
              <w:bottom w:val="nil"/>
              <w:right w:val="nil"/>
            </w:tcBorders>
            <w:shd w:val="clear" w:color="auto" w:fill="auto"/>
            <w:vAlign w:val="bottom"/>
            <w:hideMark/>
          </w:tcPr>
          <w:p w:rsidR="00C44913" w:rsidRPr="00C44913" w:rsidRDefault="00504C19" w:rsidP="00C44913">
            <w:pPr>
              <w:spacing w:after="0" w:line="240" w:lineRule="auto"/>
              <w:jc w:val="left"/>
              <w:rPr>
                <w:rFonts w:ascii="Arial" w:hAnsi="Arial" w:cs="Arial"/>
                <w:sz w:val="16"/>
                <w:szCs w:val="16"/>
              </w:rPr>
            </w:pPr>
            <w:r>
              <w:rPr>
                <w:rFonts w:ascii="Arial" w:hAnsi="Arial" w:cs="Arial"/>
                <w:sz w:val="16"/>
                <w:szCs w:val="16"/>
              </w:rPr>
              <w:t>Fair Entitlements Guarantee—indexation pause—</w:t>
            </w:r>
            <w:r w:rsidR="00C44913" w:rsidRPr="00C44913">
              <w:rPr>
                <w:rFonts w:ascii="Arial" w:hAnsi="Arial" w:cs="Arial"/>
                <w:sz w:val="16"/>
                <w:szCs w:val="16"/>
              </w:rPr>
              <w:t>continuation</w:t>
            </w:r>
          </w:p>
        </w:tc>
        <w:tc>
          <w:tcPr>
            <w:tcW w:w="1101" w:type="dxa"/>
            <w:tcBorders>
              <w:top w:val="nil"/>
              <w:left w:val="nil"/>
              <w:bottom w:val="nil"/>
              <w:right w:val="nil"/>
            </w:tcBorders>
            <w:shd w:val="clear" w:color="auto" w:fill="auto"/>
            <w:noWrap/>
            <w:hideMark/>
          </w:tcPr>
          <w:p w:rsidR="00C44913" w:rsidRPr="00C44913" w:rsidRDefault="00C44913" w:rsidP="004A4685">
            <w:pPr>
              <w:spacing w:after="0" w:line="240" w:lineRule="auto"/>
              <w:jc w:val="center"/>
              <w:rPr>
                <w:rFonts w:ascii="Arial" w:hAnsi="Arial" w:cs="Arial"/>
                <w:sz w:val="16"/>
                <w:szCs w:val="16"/>
              </w:rPr>
            </w:pPr>
            <w:r w:rsidRPr="00C44913">
              <w:rPr>
                <w:rFonts w:ascii="Arial" w:hAnsi="Arial" w:cs="Arial"/>
                <w:sz w:val="16"/>
                <w:szCs w:val="16"/>
              </w:rPr>
              <w:t>2.1</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w:t>
            </w:r>
          </w:p>
        </w:tc>
      </w:tr>
      <w:tr w:rsidR="00C44913" w:rsidRPr="00C44913" w:rsidTr="00504C19">
        <w:trPr>
          <w:trHeight w:val="182"/>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Administered expenses</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(1,734)</w:t>
            </w:r>
          </w:p>
        </w:tc>
      </w:tr>
      <w:tr w:rsidR="00C44913" w:rsidRPr="00C44913" w:rsidTr="00504C19">
        <w:trPr>
          <w:trHeight w:val="129"/>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Departmental expenses</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 xml:space="preserve">Total </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(1,734)</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Total expense measures</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w:t>
            </w:r>
          </w:p>
        </w:tc>
      </w:tr>
      <w:tr w:rsidR="00C44913" w:rsidRPr="00C44913" w:rsidTr="00504C19">
        <w:trPr>
          <w:trHeight w:val="209"/>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Administered</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650 </w:t>
            </w:r>
          </w:p>
        </w:tc>
        <w:tc>
          <w:tcPr>
            <w:tcW w:w="920"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(29,328)</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(47,972)</w:t>
            </w:r>
          </w:p>
        </w:tc>
        <w:tc>
          <w:tcPr>
            <w:tcW w:w="920"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(57,171)</w:t>
            </w:r>
          </w:p>
        </w:tc>
      </w:tr>
      <w:tr w:rsidR="00C44913" w:rsidRPr="00C44913" w:rsidTr="00504C19">
        <w:trPr>
          <w:trHeight w:val="140"/>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Departmental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(112)</w:t>
            </w:r>
          </w:p>
        </w:tc>
        <w:tc>
          <w:tcPr>
            <w:tcW w:w="920"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(478)</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(704)</w:t>
            </w:r>
          </w:p>
        </w:tc>
        <w:tc>
          <w:tcPr>
            <w:tcW w:w="920"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(758)</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Total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538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(29,806)</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(48,676)</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(57,929)</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 xml:space="preserve">Capital measures </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w:t>
            </w:r>
          </w:p>
        </w:tc>
      </w:tr>
      <w:tr w:rsidR="00C44913" w:rsidRPr="00C44913" w:rsidTr="004A4685">
        <w:trPr>
          <w:trHeight w:val="448"/>
        </w:trPr>
        <w:tc>
          <w:tcPr>
            <w:tcW w:w="2992" w:type="dxa"/>
            <w:tcBorders>
              <w:top w:val="nil"/>
              <w:left w:val="nil"/>
              <w:bottom w:val="nil"/>
              <w:right w:val="nil"/>
            </w:tcBorders>
            <w:shd w:val="clear" w:color="auto" w:fill="auto"/>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Addressing Welfare Reliance in Remote Communities(c)</w:t>
            </w:r>
          </w:p>
        </w:tc>
        <w:tc>
          <w:tcPr>
            <w:tcW w:w="1101" w:type="dxa"/>
            <w:tcBorders>
              <w:top w:val="nil"/>
              <w:left w:val="nil"/>
              <w:bottom w:val="nil"/>
              <w:right w:val="nil"/>
            </w:tcBorders>
            <w:shd w:val="clear" w:color="auto" w:fill="auto"/>
            <w:noWrap/>
            <w:hideMark/>
          </w:tcPr>
          <w:p w:rsidR="00C44913" w:rsidRPr="00C44913" w:rsidRDefault="00C44913" w:rsidP="004A4685">
            <w:pPr>
              <w:spacing w:after="0" w:line="240" w:lineRule="auto"/>
              <w:jc w:val="center"/>
              <w:rPr>
                <w:rFonts w:ascii="Arial" w:hAnsi="Arial" w:cs="Arial"/>
                <w:sz w:val="16"/>
                <w:szCs w:val="16"/>
              </w:rPr>
            </w:pPr>
            <w:r w:rsidRPr="00C44913">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center"/>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w:t>
            </w:r>
          </w:p>
        </w:tc>
      </w:tr>
      <w:tr w:rsidR="00C44913" w:rsidRPr="00C44913" w:rsidTr="00504C19">
        <w:trPr>
          <w:trHeight w:val="141"/>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Administered capital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w:t>
            </w:r>
            <w:r w:rsidR="00C44913" w:rsidRPr="00C44913">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w:t>
            </w:r>
          </w:p>
        </w:tc>
      </w:tr>
      <w:tr w:rsidR="00C44913" w:rsidRPr="00C44913" w:rsidTr="00504C19">
        <w:trPr>
          <w:trHeight w:val="101"/>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Departmental capital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426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Total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426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C44913" w:rsidRPr="00C44913" w:rsidTr="00C44913">
        <w:trPr>
          <w:trHeight w:val="224"/>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Total capital measures</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left"/>
              <w:rPr>
                <w:rFonts w:ascii="Arial" w:hAnsi="Arial" w:cs="Arial"/>
                <w:sz w:val="16"/>
                <w:szCs w:val="16"/>
              </w:rPr>
            </w:pPr>
            <w:r w:rsidRPr="00C44913">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w:t>
            </w:r>
          </w:p>
        </w:tc>
      </w:tr>
      <w:tr w:rsidR="00C44913" w:rsidRPr="00C44913" w:rsidTr="00504C19">
        <w:trPr>
          <w:trHeight w:val="182"/>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Administered</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w:t>
            </w:r>
            <w:r w:rsidR="00C44913" w:rsidRPr="00C44913">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r>
      <w:tr w:rsidR="00C44913" w:rsidRPr="00C44913" w:rsidTr="00504C19">
        <w:trPr>
          <w:trHeight w:val="142"/>
        </w:trPr>
        <w:tc>
          <w:tcPr>
            <w:tcW w:w="2992"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ind w:firstLineChars="100" w:firstLine="160"/>
              <w:jc w:val="left"/>
              <w:rPr>
                <w:rFonts w:ascii="Arial" w:hAnsi="Arial" w:cs="Arial"/>
                <w:sz w:val="16"/>
                <w:szCs w:val="16"/>
              </w:rPr>
            </w:pPr>
            <w:r w:rsidRPr="00C44913">
              <w:rPr>
                <w:rFonts w:ascii="Arial" w:hAnsi="Arial" w:cs="Arial"/>
                <w:sz w:val="16"/>
                <w:szCs w:val="16"/>
              </w:rPr>
              <w:t>Departmental</w:t>
            </w:r>
          </w:p>
        </w:tc>
        <w:tc>
          <w:tcPr>
            <w:tcW w:w="1101" w:type="dxa"/>
            <w:tcBorders>
              <w:top w:val="nil"/>
              <w:left w:val="nil"/>
              <w:bottom w:val="nil"/>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sz w:val="16"/>
                <w:szCs w:val="16"/>
              </w:rPr>
            </w:pPr>
            <w:r w:rsidRPr="00C44913">
              <w:rPr>
                <w:rFonts w:ascii="Arial" w:hAnsi="Arial" w:cs="Arial"/>
                <w:sz w:val="16"/>
                <w:szCs w:val="16"/>
              </w:rPr>
              <w:t xml:space="preserve">426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sz w:val="16"/>
                <w:szCs w:val="16"/>
              </w:rPr>
            </w:pPr>
            <w:r>
              <w:rPr>
                <w:rFonts w:ascii="Arial" w:hAnsi="Arial" w:cs="Arial"/>
                <w:sz w:val="16"/>
                <w:szCs w:val="16"/>
              </w:rPr>
              <w:t xml:space="preserve">- </w:t>
            </w:r>
          </w:p>
        </w:tc>
      </w:tr>
      <w:tr w:rsidR="00C44913" w:rsidRPr="00C44913" w:rsidTr="00C44913">
        <w:trPr>
          <w:trHeight w:val="224"/>
        </w:trPr>
        <w:tc>
          <w:tcPr>
            <w:tcW w:w="2992" w:type="dxa"/>
            <w:tcBorders>
              <w:top w:val="nil"/>
              <w:left w:val="nil"/>
              <w:bottom w:val="single" w:sz="4" w:space="0" w:color="auto"/>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Total</w:t>
            </w:r>
          </w:p>
        </w:tc>
        <w:tc>
          <w:tcPr>
            <w:tcW w:w="1101" w:type="dxa"/>
            <w:tcBorders>
              <w:top w:val="nil"/>
              <w:left w:val="nil"/>
              <w:bottom w:val="single" w:sz="4" w:space="0" w:color="auto"/>
              <w:right w:val="nil"/>
            </w:tcBorders>
            <w:shd w:val="clear" w:color="auto" w:fill="auto"/>
            <w:noWrap/>
            <w:vAlign w:val="bottom"/>
            <w:hideMark/>
          </w:tcPr>
          <w:p w:rsidR="00C44913" w:rsidRPr="00C44913" w:rsidRDefault="00C44913" w:rsidP="00C44913">
            <w:pPr>
              <w:spacing w:after="0" w:line="240" w:lineRule="auto"/>
              <w:jc w:val="left"/>
              <w:rPr>
                <w:rFonts w:ascii="Arial" w:hAnsi="Arial" w:cs="Arial"/>
                <w:b/>
                <w:bCs/>
                <w:sz w:val="16"/>
                <w:szCs w:val="16"/>
              </w:rPr>
            </w:pPr>
            <w:r w:rsidRPr="00C44913">
              <w:rPr>
                <w:rFonts w:ascii="Arial" w:hAnsi="Arial" w:cs="Arial"/>
                <w:b/>
                <w:bCs/>
                <w:sz w:val="16"/>
                <w:szCs w:val="16"/>
              </w:rPr>
              <w:t> </w:t>
            </w:r>
          </w:p>
        </w:tc>
        <w:tc>
          <w:tcPr>
            <w:tcW w:w="920" w:type="dxa"/>
            <w:tcBorders>
              <w:top w:val="nil"/>
              <w:left w:val="nil"/>
              <w:bottom w:val="single" w:sz="4" w:space="0" w:color="auto"/>
              <w:right w:val="nil"/>
            </w:tcBorders>
            <w:shd w:val="clear" w:color="000000" w:fill="E6E6E6"/>
            <w:noWrap/>
            <w:vAlign w:val="bottom"/>
            <w:hideMark/>
          </w:tcPr>
          <w:p w:rsidR="00C44913" w:rsidRPr="00C44913" w:rsidRDefault="00C44913" w:rsidP="00C44913">
            <w:pPr>
              <w:spacing w:after="0" w:line="240" w:lineRule="auto"/>
              <w:jc w:val="right"/>
              <w:rPr>
                <w:rFonts w:ascii="Arial" w:hAnsi="Arial" w:cs="Arial"/>
                <w:b/>
                <w:bCs/>
                <w:sz w:val="16"/>
                <w:szCs w:val="16"/>
              </w:rPr>
            </w:pPr>
            <w:r w:rsidRPr="00C44913">
              <w:rPr>
                <w:rFonts w:ascii="Arial" w:hAnsi="Arial" w:cs="Arial"/>
                <w:b/>
                <w:bCs/>
                <w:sz w:val="16"/>
                <w:szCs w:val="16"/>
              </w:rPr>
              <w:t xml:space="preserve">426 </w:t>
            </w:r>
          </w:p>
        </w:tc>
        <w:tc>
          <w:tcPr>
            <w:tcW w:w="920" w:type="dxa"/>
            <w:tcBorders>
              <w:top w:val="nil"/>
              <w:left w:val="nil"/>
              <w:bottom w:val="single" w:sz="4" w:space="0" w:color="auto"/>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20" w:type="dxa"/>
            <w:tcBorders>
              <w:top w:val="nil"/>
              <w:left w:val="nil"/>
              <w:bottom w:val="single" w:sz="4" w:space="0" w:color="auto"/>
              <w:right w:val="nil"/>
            </w:tcBorders>
            <w:shd w:val="clear" w:color="000000" w:fill="E6E6E6"/>
            <w:noWrap/>
            <w:vAlign w:val="bottom"/>
            <w:hideMark/>
          </w:tcPr>
          <w:p w:rsidR="00C44913" w:rsidRPr="00C44913" w:rsidRDefault="00504C19" w:rsidP="00C44913">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20" w:type="dxa"/>
            <w:tcBorders>
              <w:top w:val="nil"/>
              <w:left w:val="nil"/>
              <w:bottom w:val="single" w:sz="4" w:space="0" w:color="auto"/>
              <w:right w:val="nil"/>
            </w:tcBorders>
            <w:shd w:val="clear" w:color="000000" w:fill="FFFFFF"/>
            <w:noWrap/>
            <w:vAlign w:val="bottom"/>
            <w:hideMark/>
          </w:tcPr>
          <w:p w:rsidR="00C44913" w:rsidRPr="00C44913" w:rsidRDefault="00504C19" w:rsidP="00C44913">
            <w:pPr>
              <w:spacing w:after="0" w:line="240" w:lineRule="auto"/>
              <w:jc w:val="right"/>
              <w:rPr>
                <w:rFonts w:ascii="Arial" w:hAnsi="Arial" w:cs="Arial"/>
                <w:b/>
                <w:bCs/>
                <w:sz w:val="16"/>
                <w:szCs w:val="16"/>
              </w:rPr>
            </w:pPr>
            <w:r>
              <w:rPr>
                <w:rFonts w:ascii="Arial" w:hAnsi="Arial" w:cs="Arial"/>
                <w:b/>
                <w:bCs/>
                <w:sz w:val="16"/>
                <w:szCs w:val="16"/>
              </w:rPr>
              <w:t xml:space="preserve">- </w:t>
            </w:r>
          </w:p>
        </w:tc>
      </w:tr>
    </w:tbl>
    <w:p w:rsidR="0073762B" w:rsidRPr="005B2491" w:rsidRDefault="0073762B" w:rsidP="00BD3FDE">
      <w:pPr>
        <w:pStyle w:val="ChartandTableFootnoteAlpha"/>
        <w:spacing w:line="240" w:lineRule="auto"/>
        <w:jc w:val="left"/>
      </w:pPr>
    </w:p>
    <w:p w:rsidR="00504C19" w:rsidRDefault="00643B7D" w:rsidP="00643B7D">
      <w:pPr>
        <w:pStyle w:val="ChartandTableFootnoteAlpha"/>
        <w:spacing w:line="240" w:lineRule="auto"/>
      </w:pPr>
      <w:r>
        <w:t xml:space="preserve">(a) </w:t>
      </w:r>
      <w:r>
        <w:tab/>
      </w:r>
      <w:r w:rsidR="00504C19">
        <w:t>This measure was first published in the 2015–16 Budget.</w:t>
      </w:r>
    </w:p>
    <w:p w:rsidR="00504C19" w:rsidRDefault="00504C19" w:rsidP="00643B7D">
      <w:pPr>
        <w:pStyle w:val="ChartandTableFootnoteAlpha"/>
        <w:spacing w:line="240" w:lineRule="auto"/>
      </w:pPr>
      <w:r>
        <w:t xml:space="preserve">(b) </w:t>
      </w:r>
      <w:r>
        <w:tab/>
        <w:t>This measure was first published in the 2014–15 Mid-Year Economic and Fiscal Outlook.</w:t>
      </w:r>
    </w:p>
    <w:p w:rsidR="00504C19" w:rsidRPr="00504C19" w:rsidRDefault="00504C19" w:rsidP="00504C19">
      <w:pPr>
        <w:pStyle w:val="ChartandTableFootnoteAlpha"/>
        <w:spacing w:line="240" w:lineRule="auto"/>
        <w:jc w:val="left"/>
      </w:pPr>
      <w:r>
        <w:t xml:space="preserve">(c) </w:t>
      </w:r>
      <w:r>
        <w:tab/>
        <w:t xml:space="preserve">The lead entity for this measure is the Department of the Prime Minister and Cabinet. The full measure description and package details appear in </w:t>
      </w:r>
      <w:proofErr w:type="spellStart"/>
      <w:r>
        <w:t>MYEFO</w:t>
      </w:r>
      <w:proofErr w:type="spellEnd"/>
      <w:r>
        <w:t xml:space="preserve"> under the Prime Minister and Cabinet portfolio</w:t>
      </w:r>
      <w:r w:rsidR="00F02340">
        <w:t>.</w:t>
      </w:r>
    </w:p>
    <w:p w:rsidR="005B2491" w:rsidRDefault="00504C19" w:rsidP="005B2491">
      <w:pPr>
        <w:pStyle w:val="ChartandTableFootnoteAlpha"/>
        <w:spacing w:line="240" w:lineRule="auto"/>
        <w:jc w:val="left"/>
        <w:rPr>
          <w:b/>
        </w:rPr>
      </w:pPr>
      <w:r>
        <w:t>(d</w:t>
      </w:r>
      <w:r w:rsidR="00643B7D">
        <w:t xml:space="preserve">) </w:t>
      </w:r>
      <w:r w:rsidR="00643B7D">
        <w:tab/>
      </w:r>
      <w:r w:rsidR="00F51DAC">
        <w:t xml:space="preserve">The lead </w:t>
      </w:r>
      <w:r w:rsidR="00726A60">
        <w:t>entity</w:t>
      </w:r>
      <w:r>
        <w:t xml:space="preserve"> for this measure</w:t>
      </w:r>
      <w:r w:rsidR="00F51DAC">
        <w:t xml:space="preserve"> is </w:t>
      </w:r>
      <w:r>
        <w:t>the Department of Immigration and Border Protection</w:t>
      </w:r>
      <w:r w:rsidR="00F51DAC">
        <w:t xml:space="preserve">. The full measure description and package details appear in </w:t>
      </w:r>
      <w:proofErr w:type="spellStart"/>
      <w:r w:rsidR="00954B7B">
        <w:t>MYEFO</w:t>
      </w:r>
      <w:proofErr w:type="spellEnd"/>
      <w:r w:rsidR="00F51DAC">
        <w:t xml:space="preserve"> under the </w:t>
      </w:r>
      <w:r>
        <w:t>Immigration a</w:t>
      </w:r>
      <w:r w:rsidR="005B2491">
        <w:t>nd Border Protection portfolio.</w:t>
      </w:r>
      <w:r w:rsidR="005B2491" w:rsidRPr="005B2491">
        <w:rPr>
          <w:b/>
        </w:rPr>
        <w:t xml:space="preserve"> </w:t>
      </w:r>
    </w:p>
    <w:p w:rsidR="005B2491" w:rsidRDefault="005B2491" w:rsidP="005B2491">
      <w:pPr>
        <w:pStyle w:val="ChartandTableFootnoteAlpha"/>
        <w:spacing w:line="240" w:lineRule="auto"/>
        <w:jc w:val="left"/>
        <w:rPr>
          <w:b/>
        </w:rPr>
      </w:pPr>
    </w:p>
    <w:p w:rsidR="005B2491" w:rsidRPr="005B2491" w:rsidRDefault="005B2491" w:rsidP="005B2491">
      <w:pPr>
        <w:pStyle w:val="ChartandTableFootnoteAlpha"/>
        <w:spacing w:line="240" w:lineRule="auto"/>
        <w:jc w:val="left"/>
      </w:pPr>
      <w:proofErr w:type="gramStart"/>
      <w:r w:rsidRPr="005B2491">
        <w:t>Prepared on a Government Financial Statistics (fiscal) basis</w:t>
      </w:r>
      <w:r>
        <w:t>.</w:t>
      </w:r>
      <w:proofErr w:type="gramEnd"/>
    </w:p>
    <w:p w:rsidR="00F51DAC" w:rsidRPr="00597122" w:rsidRDefault="00F51DAC" w:rsidP="00F51DAC">
      <w:pPr>
        <w:pStyle w:val="Heading3"/>
      </w:pPr>
      <w:r>
        <w:br w:type="page"/>
      </w:r>
      <w:r w:rsidR="000B5844">
        <w:lastRenderedPageBreak/>
        <w:t>1.4</w:t>
      </w:r>
      <w:r w:rsidR="000B5844">
        <w:tab/>
        <w:t xml:space="preserve">Additional </w:t>
      </w:r>
      <w:r w:rsidR="000D06B5">
        <w:t xml:space="preserve">estimates </w:t>
      </w:r>
      <w:r w:rsidR="000B5844">
        <w:t>and v</w:t>
      </w:r>
      <w:r w:rsidRPr="00597122">
        <w:t>ariations</w:t>
      </w:r>
    </w:p>
    <w:p w:rsidR="00F51DAC" w:rsidRPr="001A75A9" w:rsidRDefault="00F51DAC" w:rsidP="004B25FE">
      <w:pPr>
        <w:jc w:val="left"/>
      </w:pPr>
      <w:r>
        <w:t xml:space="preserve">The following tables detail the changes to the resourcing for </w:t>
      </w:r>
      <w:r w:rsidR="004B25FE">
        <w:t>the Department of Employment</w:t>
      </w:r>
      <w:r>
        <w:t xml:space="preserve"> at Additional Estimates, by outcome</w:t>
      </w:r>
      <w:r w:rsidR="00E15CF3">
        <w:t xml:space="preserve">. </w:t>
      </w:r>
      <w:r>
        <w:t xml:space="preserve">Table 1.3 details the Additional Estimates and variations resulting from new measures since the </w:t>
      </w:r>
      <w:r w:rsidR="00A1234B">
        <w:t>201</w:t>
      </w:r>
      <w:r w:rsidR="000E33CD">
        <w:t>5</w:t>
      </w:r>
      <w:r w:rsidR="004B25FE">
        <w:t>–</w:t>
      </w:r>
      <w:r w:rsidR="00A1234B">
        <w:t>1</w:t>
      </w:r>
      <w:r w:rsidR="000E33CD">
        <w:t>6</w:t>
      </w:r>
      <w:r>
        <w:t xml:space="preserve"> Budget in </w:t>
      </w:r>
      <w:r w:rsidRPr="000E33CD">
        <w:t>Appropriation Bills No.</w:t>
      </w:r>
      <w:r w:rsidR="00BF696F" w:rsidRPr="000E33CD">
        <w:t xml:space="preserve"> </w:t>
      </w:r>
      <w:r w:rsidRPr="000E33CD">
        <w:t xml:space="preserve">3 </w:t>
      </w:r>
      <w:r w:rsidR="001A1C55" w:rsidRPr="000E33CD">
        <w:t>and</w:t>
      </w:r>
      <w:r w:rsidR="00A4644A">
        <w:t xml:space="preserve"> No.</w:t>
      </w:r>
      <w:r w:rsidR="0095283F" w:rsidRPr="000E33CD">
        <w:t> </w:t>
      </w:r>
      <w:r w:rsidRPr="000E33CD">
        <w:t>4</w:t>
      </w:r>
      <w:r w:rsidR="00E15CF3">
        <w:t xml:space="preserve">. </w:t>
      </w:r>
      <w:r>
        <w:t>Table 1.4 details Additional Estimates or variations through other factors, such parameter adjustments.</w:t>
      </w:r>
    </w:p>
    <w:p w:rsidR="00F51DAC" w:rsidRDefault="00F51DAC" w:rsidP="004B25FE">
      <w:pPr>
        <w:pStyle w:val="TableHeading"/>
        <w:rPr>
          <w:lang w:val="en-AU"/>
        </w:rPr>
      </w:pPr>
      <w:r w:rsidRPr="001A75A9">
        <w:t>Table 1.</w:t>
      </w:r>
      <w:r>
        <w:t xml:space="preserve">3: </w:t>
      </w:r>
      <w:r w:rsidRPr="001A75A9">
        <w:t xml:space="preserve">Additional </w:t>
      </w:r>
      <w:r w:rsidR="00447FEF">
        <w:t>e</w:t>
      </w:r>
      <w:r w:rsidR="00447FEF" w:rsidRPr="001A75A9">
        <w:t xml:space="preserve">stimates </w:t>
      </w:r>
      <w:r w:rsidRPr="001A75A9">
        <w:t xml:space="preserve">and </w:t>
      </w:r>
      <w:r w:rsidR="00447FEF">
        <w:t>v</w:t>
      </w:r>
      <w:r w:rsidR="00447FEF" w:rsidRPr="001A75A9">
        <w:t xml:space="preserve">ariations </w:t>
      </w:r>
      <w:r w:rsidRPr="001A75A9">
        <w:t xml:space="preserve">to </w:t>
      </w:r>
      <w:r w:rsidR="004B25FE">
        <w:rPr>
          <w:lang w:val="en-AU"/>
        </w:rPr>
        <w:t>Outcomes</w:t>
      </w:r>
      <w:r w:rsidR="00447FEF" w:rsidRPr="001A75A9">
        <w:t xml:space="preserve"> </w:t>
      </w:r>
      <w:r w:rsidRPr="001A75A9">
        <w:t xml:space="preserve">from </w:t>
      </w:r>
      <w:r w:rsidR="00447FEF">
        <w:t>m</w:t>
      </w:r>
      <w:r w:rsidR="00447FEF" w:rsidRPr="001A75A9">
        <w:t xml:space="preserve">easures </w:t>
      </w:r>
      <w:r w:rsidRPr="001A75A9">
        <w:t xml:space="preserve">since </w:t>
      </w:r>
      <w:r w:rsidR="00A1234B">
        <w:t>201</w:t>
      </w:r>
      <w:r w:rsidR="000E33CD">
        <w:rPr>
          <w:lang w:val="en-AU"/>
        </w:rPr>
        <w:t>5</w:t>
      </w:r>
      <w:r w:rsidR="004B25FE">
        <w:rPr>
          <w:lang w:val="en-AU"/>
        </w:rPr>
        <w:t>–</w:t>
      </w:r>
      <w:r w:rsidR="00A1234B">
        <w:t>1</w:t>
      </w:r>
      <w:r w:rsidR="000E33CD">
        <w:rPr>
          <w:lang w:val="en-AU"/>
        </w:rPr>
        <w:t>6</w:t>
      </w:r>
      <w:r w:rsidRPr="001A75A9">
        <w:t xml:space="preserve"> Budget</w:t>
      </w:r>
    </w:p>
    <w:tbl>
      <w:tblPr>
        <w:tblW w:w="7772" w:type="dxa"/>
        <w:tblInd w:w="93" w:type="dxa"/>
        <w:tblLook w:val="04A0" w:firstRow="1" w:lastRow="0" w:firstColumn="1" w:lastColumn="0" w:noHBand="0" w:noVBand="1"/>
      </w:tblPr>
      <w:tblGrid>
        <w:gridCol w:w="2925"/>
        <w:gridCol w:w="1115"/>
        <w:gridCol w:w="933"/>
        <w:gridCol w:w="933"/>
        <w:gridCol w:w="933"/>
        <w:gridCol w:w="933"/>
      </w:tblGrid>
      <w:tr w:rsidR="00DE4051" w:rsidRPr="00DE4051" w:rsidTr="001F3C45">
        <w:trPr>
          <w:trHeight w:val="321"/>
          <w:tblHeader/>
        </w:trPr>
        <w:tc>
          <w:tcPr>
            <w:tcW w:w="2925" w:type="dxa"/>
            <w:tcBorders>
              <w:top w:val="single" w:sz="4" w:space="0" w:color="auto"/>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 </w:t>
            </w:r>
          </w:p>
        </w:tc>
        <w:tc>
          <w:tcPr>
            <w:tcW w:w="1115" w:type="dxa"/>
            <w:tcBorders>
              <w:top w:val="single" w:sz="4" w:space="0" w:color="auto"/>
              <w:left w:val="nil"/>
              <w:bottom w:val="single" w:sz="4" w:space="0" w:color="auto"/>
              <w:right w:val="nil"/>
            </w:tcBorders>
            <w:shd w:val="clear" w:color="auto" w:fill="auto"/>
            <w:hideMark/>
          </w:tcPr>
          <w:p w:rsidR="00DE4051" w:rsidRPr="00DE4051" w:rsidRDefault="00DE4051" w:rsidP="00DE4051">
            <w:pPr>
              <w:spacing w:after="0" w:line="240" w:lineRule="auto"/>
              <w:jc w:val="center"/>
              <w:rPr>
                <w:rFonts w:ascii="Arial" w:hAnsi="Arial" w:cs="Arial"/>
                <w:color w:val="000000"/>
                <w:sz w:val="16"/>
                <w:szCs w:val="16"/>
              </w:rPr>
            </w:pPr>
            <w:r w:rsidRPr="00DE4051">
              <w:rPr>
                <w:rFonts w:ascii="Arial" w:hAnsi="Arial" w:cs="Arial"/>
                <w:color w:val="000000"/>
                <w:sz w:val="16"/>
                <w:szCs w:val="16"/>
              </w:rPr>
              <w:t>Programme impacted</w:t>
            </w:r>
          </w:p>
        </w:tc>
        <w:tc>
          <w:tcPr>
            <w:tcW w:w="933" w:type="dxa"/>
            <w:tcBorders>
              <w:top w:val="single" w:sz="4" w:space="0" w:color="auto"/>
              <w:left w:val="nil"/>
              <w:bottom w:val="single" w:sz="4" w:space="0" w:color="000000"/>
              <w:right w:val="nil"/>
            </w:tcBorders>
            <w:shd w:val="clear" w:color="auto" w:fill="auto"/>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2015</w:t>
            </w:r>
            <w:r>
              <w:rPr>
                <w:rFonts w:ascii="Arial" w:hAnsi="Arial" w:cs="Arial"/>
                <w:color w:val="000000"/>
                <w:sz w:val="16"/>
                <w:szCs w:val="16"/>
              </w:rPr>
              <w:t>–</w:t>
            </w:r>
            <w:r w:rsidRPr="00DE4051">
              <w:rPr>
                <w:rFonts w:ascii="Arial" w:hAnsi="Arial" w:cs="Arial"/>
                <w:color w:val="000000"/>
                <w:sz w:val="16"/>
                <w:szCs w:val="16"/>
              </w:rPr>
              <w:t>16</w:t>
            </w:r>
            <w:r w:rsidRPr="00DE4051">
              <w:rPr>
                <w:rFonts w:ascii="Arial" w:hAnsi="Arial" w:cs="Arial"/>
                <w:color w:val="000000"/>
                <w:sz w:val="16"/>
                <w:szCs w:val="16"/>
              </w:rPr>
              <w:br/>
              <w:t>$'000</w:t>
            </w:r>
          </w:p>
        </w:tc>
        <w:tc>
          <w:tcPr>
            <w:tcW w:w="933" w:type="dxa"/>
            <w:tcBorders>
              <w:top w:val="single" w:sz="4" w:space="0" w:color="auto"/>
              <w:left w:val="nil"/>
              <w:bottom w:val="single" w:sz="4" w:space="0" w:color="000000"/>
              <w:right w:val="nil"/>
            </w:tcBorders>
            <w:shd w:val="clear" w:color="auto" w:fill="auto"/>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2016</w:t>
            </w:r>
            <w:r>
              <w:rPr>
                <w:rFonts w:ascii="Arial" w:hAnsi="Arial" w:cs="Arial"/>
                <w:color w:val="000000"/>
                <w:sz w:val="16"/>
                <w:szCs w:val="16"/>
              </w:rPr>
              <w:t>–</w:t>
            </w:r>
            <w:r w:rsidRPr="00DE4051">
              <w:rPr>
                <w:rFonts w:ascii="Arial" w:hAnsi="Arial" w:cs="Arial"/>
                <w:color w:val="000000"/>
                <w:sz w:val="16"/>
                <w:szCs w:val="16"/>
              </w:rPr>
              <w:t>17</w:t>
            </w:r>
            <w:r w:rsidRPr="00DE4051">
              <w:rPr>
                <w:rFonts w:ascii="Arial" w:hAnsi="Arial" w:cs="Arial"/>
                <w:color w:val="000000"/>
                <w:sz w:val="16"/>
                <w:szCs w:val="16"/>
              </w:rPr>
              <w:br/>
              <w:t>$'000</w:t>
            </w:r>
          </w:p>
        </w:tc>
        <w:tc>
          <w:tcPr>
            <w:tcW w:w="933" w:type="dxa"/>
            <w:tcBorders>
              <w:top w:val="single" w:sz="4" w:space="0" w:color="auto"/>
              <w:left w:val="nil"/>
              <w:bottom w:val="single" w:sz="4" w:space="0" w:color="000000"/>
              <w:right w:val="nil"/>
            </w:tcBorders>
            <w:shd w:val="clear" w:color="auto" w:fill="auto"/>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2017</w:t>
            </w:r>
            <w:r>
              <w:rPr>
                <w:rFonts w:ascii="Arial" w:hAnsi="Arial" w:cs="Arial"/>
                <w:color w:val="000000"/>
                <w:sz w:val="16"/>
                <w:szCs w:val="16"/>
              </w:rPr>
              <w:t>–</w:t>
            </w:r>
            <w:r w:rsidRPr="00DE4051">
              <w:rPr>
                <w:rFonts w:ascii="Arial" w:hAnsi="Arial" w:cs="Arial"/>
                <w:color w:val="000000"/>
                <w:sz w:val="16"/>
                <w:szCs w:val="16"/>
              </w:rPr>
              <w:t>18</w:t>
            </w:r>
            <w:r w:rsidRPr="00DE4051">
              <w:rPr>
                <w:rFonts w:ascii="Arial" w:hAnsi="Arial" w:cs="Arial"/>
                <w:color w:val="000000"/>
                <w:sz w:val="16"/>
                <w:szCs w:val="16"/>
              </w:rPr>
              <w:br/>
              <w:t>$'000</w:t>
            </w:r>
          </w:p>
        </w:tc>
        <w:tc>
          <w:tcPr>
            <w:tcW w:w="933" w:type="dxa"/>
            <w:tcBorders>
              <w:top w:val="single" w:sz="4" w:space="0" w:color="auto"/>
              <w:left w:val="nil"/>
              <w:bottom w:val="single" w:sz="4" w:space="0" w:color="000000"/>
              <w:right w:val="nil"/>
            </w:tcBorders>
            <w:shd w:val="clear" w:color="auto" w:fill="auto"/>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2018</w:t>
            </w:r>
            <w:r>
              <w:rPr>
                <w:rFonts w:ascii="Arial" w:hAnsi="Arial" w:cs="Arial"/>
                <w:color w:val="000000"/>
                <w:sz w:val="16"/>
                <w:szCs w:val="16"/>
              </w:rPr>
              <w:t>–</w:t>
            </w:r>
            <w:r w:rsidRPr="00DE4051">
              <w:rPr>
                <w:rFonts w:ascii="Arial" w:hAnsi="Arial" w:cs="Arial"/>
                <w:color w:val="000000"/>
                <w:sz w:val="16"/>
                <w:szCs w:val="16"/>
              </w:rPr>
              <w:t>19</w:t>
            </w:r>
            <w:r w:rsidRPr="00DE4051">
              <w:rPr>
                <w:rFonts w:ascii="Arial" w:hAnsi="Arial" w:cs="Arial"/>
                <w:color w:val="000000"/>
                <w:sz w:val="16"/>
                <w:szCs w:val="16"/>
              </w:rPr>
              <w:br/>
              <w:t>$'000</w:t>
            </w:r>
          </w:p>
        </w:tc>
      </w:tr>
      <w:tr w:rsidR="00DE4051" w:rsidRPr="00DE4051" w:rsidTr="00DE4051">
        <w:trPr>
          <w:trHeight w:val="229"/>
        </w:trPr>
        <w:tc>
          <w:tcPr>
            <w:tcW w:w="292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b/>
                <w:bCs/>
                <w:color w:val="000000"/>
                <w:sz w:val="16"/>
                <w:szCs w:val="16"/>
              </w:rPr>
            </w:pPr>
            <w:r w:rsidRPr="00DE4051">
              <w:rPr>
                <w:rFonts w:ascii="Arial" w:hAnsi="Arial" w:cs="Arial"/>
                <w:b/>
                <w:bCs/>
                <w:color w:val="000000"/>
                <w:sz w:val="16"/>
                <w:szCs w:val="16"/>
              </w:rPr>
              <w:t>All Outcomes</w:t>
            </w:r>
          </w:p>
        </w:tc>
        <w:tc>
          <w:tcPr>
            <w:tcW w:w="111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b/>
                <w:bCs/>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DE4051">
        <w:trPr>
          <w:trHeight w:val="229"/>
        </w:trPr>
        <w:tc>
          <w:tcPr>
            <w:tcW w:w="4040" w:type="dxa"/>
            <w:gridSpan w:val="2"/>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Decrease in estimates (departmental)</w:t>
            </w: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373"/>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hanging="1"/>
              <w:jc w:val="left"/>
              <w:rPr>
                <w:rFonts w:ascii="Arial" w:hAnsi="Arial" w:cs="Arial"/>
                <w:color w:val="000000"/>
                <w:sz w:val="16"/>
                <w:szCs w:val="16"/>
              </w:rPr>
            </w:pPr>
            <w:r>
              <w:rPr>
                <w:rFonts w:ascii="Arial" w:hAnsi="Arial" w:cs="Arial"/>
                <w:color w:val="000000"/>
                <w:sz w:val="16"/>
                <w:szCs w:val="16"/>
              </w:rPr>
              <w:t>Public Sector Savings—</w:t>
            </w:r>
            <w:r w:rsidRPr="00DE4051">
              <w:rPr>
                <w:rFonts w:ascii="Arial" w:hAnsi="Arial" w:cs="Arial"/>
                <w:color w:val="000000"/>
                <w:sz w:val="16"/>
                <w:szCs w:val="16"/>
              </w:rPr>
              <w:t>Enterprise Resource Planning Systems</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All</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(224)</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(276)</w:t>
            </w:r>
          </w:p>
        </w:tc>
      </w:tr>
      <w:tr w:rsidR="00DE4051" w:rsidRPr="00DE4051" w:rsidTr="004A4685">
        <w:trPr>
          <w:trHeight w:val="565"/>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jc w:val="left"/>
              <w:rPr>
                <w:rFonts w:ascii="Arial" w:hAnsi="Arial" w:cs="Arial"/>
                <w:color w:val="000000"/>
                <w:sz w:val="16"/>
                <w:szCs w:val="16"/>
              </w:rPr>
            </w:pPr>
            <w:r w:rsidRPr="00DE4051">
              <w:rPr>
                <w:rFonts w:ascii="Arial" w:hAnsi="Arial" w:cs="Arial"/>
                <w:color w:val="000000"/>
                <w:sz w:val="16"/>
                <w:szCs w:val="16"/>
              </w:rPr>
              <w:t>Public Sector Superannuation Accumulation Plan Administration Fees</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All</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(195)</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(195)</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(195)</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(195)</w:t>
            </w:r>
          </w:p>
        </w:tc>
      </w:tr>
      <w:tr w:rsidR="00DE4051" w:rsidRPr="00DE4051" w:rsidTr="00DE4051">
        <w:trPr>
          <w:trHeight w:val="277"/>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hanging="191"/>
              <w:jc w:val="left"/>
              <w:rPr>
                <w:rFonts w:ascii="Arial" w:hAnsi="Arial" w:cs="Arial"/>
                <w:b/>
                <w:bCs/>
                <w:color w:val="000000"/>
                <w:sz w:val="16"/>
                <w:szCs w:val="16"/>
              </w:rPr>
            </w:pPr>
            <w:r w:rsidRPr="00DE4051">
              <w:rPr>
                <w:rFonts w:ascii="Arial" w:hAnsi="Arial" w:cs="Arial"/>
                <w:b/>
                <w:bCs/>
                <w:color w:val="000000"/>
                <w:sz w:val="16"/>
                <w:szCs w:val="16"/>
              </w:rPr>
              <w:t>Net impact on estimates for All Outcome (departmental)</w:t>
            </w:r>
          </w:p>
        </w:tc>
        <w:tc>
          <w:tcPr>
            <w:tcW w:w="111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(195)</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(195)</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(419)</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(471)</w:t>
            </w:r>
          </w:p>
        </w:tc>
      </w:tr>
      <w:tr w:rsidR="00DE4051" w:rsidRPr="00DE4051" w:rsidTr="00DE4051">
        <w:trPr>
          <w:trHeight w:val="229"/>
        </w:trPr>
        <w:tc>
          <w:tcPr>
            <w:tcW w:w="2925"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b/>
                <w:bCs/>
                <w:color w:val="000000"/>
                <w:sz w:val="16"/>
                <w:szCs w:val="16"/>
              </w:rPr>
            </w:pPr>
            <w:r w:rsidRPr="00DE4051">
              <w:rPr>
                <w:rFonts w:ascii="Arial" w:hAnsi="Arial" w:cs="Arial"/>
                <w:b/>
                <w:bCs/>
                <w:color w:val="000000"/>
                <w:sz w:val="16"/>
                <w:szCs w:val="16"/>
              </w:rPr>
              <w:t>Outcome 1</w:t>
            </w:r>
          </w:p>
        </w:tc>
        <w:tc>
          <w:tcPr>
            <w:tcW w:w="1115"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b/>
                <w:bCs/>
                <w:color w:val="000000"/>
                <w:sz w:val="16"/>
                <w:szCs w:val="16"/>
              </w:rPr>
            </w:pP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left"/>
              <w:rPr>
                <w:rFonts w:ascii="Arial" w:hAnsi="Arial" w:cs="Arial"/>
                <w:color w:val="000000"/>
                <w:sz w:val="16"/>
                <w:szCs w:val="16"/>
              </w:rPr>
            </w:pPr>
          </w:p>
        </w:tc>
      </w:tr>
      <w:tr w:rsidR="00DE4051" w:rsidRPr="00DE4051" w:rsidTr="00DE4051">
        <w:trPr>
          <w:trHeight w:val="229"/>
        </w:trPr>
        <w:tc>
          <w:tcPr>
            <w:tcW w:w="4040" w:type="dxa"/>
            <w:gridSpan w:val="2"/>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Increase in estimates (administered)</w:t>
            </w: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299"/>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jc w:val="left"/>
              <w:rPr>
                <w:rFonts w:ascii="Arial" w:hAnsi="Arial" w:cs="Arial"/>
                <w:color w:val="000000"/>
                <w:sz w:val="16"/>
                <w:szCs w:val="16"/>
              </w:rPr>
            </w:pPr>
            <w:r w:rsidRPr="00DE4051">
              <w:rPr>
                <w:rFonts w:ascii="Arial" w:hAnsi="Arial" w:cs="Arial"/>
                <w:color w:val="000000"/>
                <w:sz w:val="16"/>
                <w:szCs w:val="16"/>
              </w:rPr>
              <w:t>Syrian and Iraqi Humanitarian Crisis</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1.1</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650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1,920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1,280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651 </w:t>
            </w:r>
          </w:p>
        </w:tc>
      </w:tr>
      <w:tr w:rsidR="00DE4051" w:rsidRPr="00DE4051" w:rsidTr="00DE4051">
        <w:trPr>
          <w:trHeight w:val="229"/>
        </w:trPr>
        <w:tc>
          <w:tcPr>
            <w:tcW w:w="4040" w:type="dxa"/>
            <w:gridSpan w:val="2"/>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Decrease in estimates (administered)</w:t>
            </w: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407"/>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hanging="1"/>
              <w:jc w:val="left"/>
              <w:rPr>
                <w:rFonts w:ascii="Arial" w:hAnsi="Arial" w:cs="Arial"/>
                <w:color w:val="000000"/>
                <w:sz w:val="16"/>
                <w:szCs w:val="16"/>
              </w:rPr>
            </w:pPr>
            <w:r>
              <w:rPr>
                <w:rFonts w:ascii="Arial" w:hAnsi="Arial" w:cs="Arial"/>
                <w:color w:val="000000"/>
                <w:sz w:val="16"/>
                <w:szCs w:val="16"/>
              </w:rPr>
              <w:t>Job Seeker Services—</w:t>
            </w:r>
            <w:r w:rsidRPr="00DE4051">
              <w:rPr>
                <w:rFonts w:ascii="Arial" w:hAnsi="Arial" w:cs="Arial"/>
                <w:color w:val="000000"/>
                <w:sz w:val="16"/>
                <w:szCs w:val="16"/>
              </w:rPr>
              <w:t>streamlining arrangements</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1.1</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(27,913)</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(45,864)</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(52,646)</w:t>
            </w:r>
          </w:p>
        </w:tc>
      </w:tr>
      <w:tr w:rsidR="00DE4051" w:rsidRPr="00DE4051" w:rsidTr="004A4685">
        <w:trPr>
          <w:trHeight w:val="285"/>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jc w:val="left"/>
              <w:rPr>
                <w:rFonts w:ascii="Arial" w:hAnsi="Arial" w:cs="Arial"/>
                <w:color w:val="000000"/>
                <w:sz w:val="16"/>
                <w:szCs w:val="16"/>
              </w:rPr>
            </w:pPr>
            <w:r w:rsidRPr="00DE4051">
              <w:rPr>
                <w:rFonts w:ascii="Arial" w:hAnsi="Arial" w:cs="Arial"/>
                <w:color w:val="000000"/>
                <w:sz w:val="16"/>
                <w:szCs w:val="16"/>
              </w:rPr>
              <w:t xml:space="preserve">Mature </w:t>
            </w:r>
            <w:r>
              <w:rPr>
                <w:rFonts w:ascii="Arial" w:hAnsi="Arial" w:cs="Arial"/>
                <w:color w:val="000000"/>
                <w:sz w:val="16"/>
                <w:szCs w:val="16"/>
              </w:rPr>
              <w:t>Age Employment Programme—</w:t>
            </w:r>
            <w:r w:rsidRPr="00DE4051">
              <w:rPr>
                <w:rFonts w:ascii="Arial" w:hAnsi="Arial" w:cs="Arial"/>
                <w:color w:val="000000"/>
                <w:sz w:val="16"/>
                <w:szCs w:val="16"/>
              </w:rPr>
              <w:t>cessation</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1.1</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(3,335)</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(3,388)</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(3,442)</w:t>
            </w:r>
          </w:p>
        </w:tc>
      </w:tr>
      <w:tr w:rsidR="00DE4051" w:rsidRPr="00DE4051" w:rsidTr="00DE4051">
        <w:trPr>
          <w:trHeight w:val="337"/>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hanging="191"/>
              <w:jc w:val="left"/>
              <w:rPr>
                <w:rFonts w:ascii="Arial" w:hAnsi="Arial" w:cs="Arial"/>
                <w:b/>
                <w:bCs/>
                <w:color w:val="000000"/>
                <w:sz w:val="16"/>
                <w:szCs w:val="16"/>
              </w:rPr>
            </w:pPr>
            <w:r w:rsidRPr="00DE4051">
              <w:rPr>
                <w:rFonts w:ascii="Arial" w:hAnsi="Arial" w:cs="Arial"/>
                <w:b/>
                <w:bCs/>
                <w:color w:val="000000"/>
                <w:sz w:val="16"/>
                <w:szCs w:val="16"/>
              </w:rPr>
              <w:t>Net impact on estimates for Outcome 1 (administered)</w:t>
            </w:r>
          </w:p>
        </w:tc>
        <w:tc>
          <w:tcPr>
            <w:tcW w:w="111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 xml:space="preserve">650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(29,328)</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(47,972)</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(55,437)</w:t>
            </w:r>
          </w:p>
        </w:tc>
      </w:tr>
      <w:tr w:rsidR="00DE4051" w:rsidRPr="00DE4051" w:rsidTr="00DE4051">
        <w:trPr>
          <w:trHeight w:val="229"/>
        </w:trPr>
        <w:tc>
          <w:tcPr>
            <w:tcW w:w="4040" w:type="dxa"/>
            <w:gridSpan w:val="2"/>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Increase in estimates (departmental)</w:t>
            </w: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426"/>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jc w:val="left"/>
              <w:rPr>
                <w:rFonts w:ascii="Arial" w:hAnsi="Arial" w:cs="Arial"/>
                <w:color w:val="000000"/>
                <w:sz w:val="16"/>
                <w:szCs w:val="16"/>
              </w:rPr>
            </w:pPr>
            <w:r w:rsidRPr="00DE4051">
              <w:rPr>
                <w:rFonts w:ascii="Arial" w:hAnsi="Arial" w:cs="Arial"/>
                <w:color w:val="000000"/>
                <w:sz w:val="16"/>
                <w:szCs w:val="16"/>
              </w:rPr>
              <w:t>Addressing Welfare Reliance in Remote Communities</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1.1</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83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DE4051">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r>
      <w:tr w:rsidR="00DE4051" w:rsidRPr="00DE4051" w:rsidTr="006A30D7">
        <w:trPr>
          <w:trHeight w:val="149"/>
        </w:trPr>
        <w:tc>
          <w:tcPr>
            <w:tcW w:w="4040" w:type="dxa"/>
            <w:gridSpan w:val="2"/>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Decrease in estimates (departmental)</w:t>
            </w: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337"/>
        </w:trPr>
        <w:tc>
          <w:tcPr>
            <w:tcW w:w="2925" w:type="dxa"/>
            <w:tcBorders>
              <w:top w:val="nil"/>
              <w:left w:val="nil"/>
              <w:bottom w:val="nil"/>
              <w:right w:val="nil"/>
            </w:tcBorders>
            <w:shd w:val="clear" w:color="auto" w:fill="auto"/>
            <w:hideMark/>
          </w:tcPr>
          <w:p w:rsidR="00DE4051" w:rsidRPr="00DE4051" w:rsidRDefault="00DE4051" w:rsidP="00DE4051">
            <w:pPr>
              <w:spacing w:after="0" w:line="240" w:lineRule="auto"/>
              <w:ind w:left="191" w:hanging="1"/>
              <w:jc w:val="left"/>
              <w:rPr>
                <w:rFonts w:ascii="Arial" w:hAnsi="Arial" w:cs="Arial"/>
                <w:color w:val="000000"/>
                <w:sz w:val="16"/>
                <w:szCs w:val="16"/>
              </w:rPr>
            </w:pPr>
            <w:r w:rsidRPr="00DE4051">
              <w:rPr>
                <w:rFonts w:ascii="Arial" w:hAnsi="Arial" w:cs="Arial"/>
                <w:color w:val="000000"/>
                <w:sz w:val="16"/>
                <w:szCs w:val="16"/>
              </w:rPr>
              <w:t>Ma</w:t>
            </w:r>
            <w:r>
              <w:rPr>
                <w:rFonts w:ascii="Arial" w:hAnsi="Arial" w:cs="Arial"/>
                <w:color w:val="000000"/>
                <w:sz w:val="16"/>
                <w:szCs w:val="16"/>
              </w:rPr>
              <w:t>ture Age Employment Programme—</w:t>
            </w:r>
            <w:r w:rsidRPr="00DE4051">
              <w:rPr>
                <w:rFonts w:ascii="Arial" w:hAnsi="Arial" w:cs="Arial"/>
                <w:color w:val="000000"/>
                <w:sz w:val="16"/>
                <w:szCs w:val="16"/>
              </w:rPr>
              <w:t>cessation</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1.1</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(283)</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(285)</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(287)</w:t>
            </w:r>
          </w:p>
        </w:tc>
      </w:tr>
      <w:tr w:rsidR="00DE4051" w:rsidRPr="00DE4051" w:rsidTr="006A30D7">
        <w:trPr>
          <w:trHeight w:val="289"/>
        </w:trPr>
        <w:tc>
          <w:tcPr>
            <w:tcW w:w="2925" w:type="dxa"/>
            <w:tcBorders>
              <w:top w:val="nil"/>
              <w:left w:val="nil"/>
              <w:bottom w:val="nil"/>
              <w:right w:val="nil"/>
            </w:tcBorders>
            <w:shd w:val="clear" w:color="auto" w:fill="auto"/>
            <w:hideMark/>
          </w:tcPr>
          <w:p w:rsidR="00DE4051" w:rsidRPr="00DE4051" w:rsidRDefault="00DE4051" w:rsidP="006A30D7">
            <w:pPr>
              <w:spacing w:after="0" w:line="240" w:lineRule="auto"/>
              <w:ind w:left="191" w:hanging="191"/>
              <w:jc w:val="left"/>
              <w:rPr>
                <w:rFonts w:ascii="Arial" w:hAnsi="Arial" w:cs="Arial"/>
                <w:b/>
                <w:bCs/>
                <w:color w:val="000000"/>
                <w:sz w:val="16"/>
                <w:szCs w:val="16"/>
              </w:rPr>
            </w:pPr>
            <w:r w:rsidRPr="00DE4051">
              <w:rPr>
                <w:rFonts w:ascii="Arial" w:hAnsi="Arial" w:cs="Arial"/>
                <w:b/>
                <w:bCs/>
                <w:color w:val="000000"/>
                <w:sz w:val="16"/>
                <w:szCs w:val="16"/>
              </w:rPr>
              <w:t>Net impact on estimates for Outcome 1 (departmental)</w:t>
            </w:r>
          </w:p>
        </w:tc>
        <w:tc>
          <w:tcPr>
            <w:tcW w:w="111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 xml:space="preserve">83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(283)</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(285)</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(287)</w:t>
            </w:r>
          </w:p>
        </w:tc>
      </w:tr>
      <w:tr w:rsidR="00DE4051" w:rsidRPr="00DE4051" w:rsidTr="006A30D7">
        <w:trPr>
          <w:trHeight w:val="229"/>
        </w:trPr>
        <w:tc>
          <w:tcPr>
            <w:tcW w:w="2925"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left"/>
              <w:rPr>
                <w:rFonts w:ascii="Arial" w:hAnsi="Arial" w:cs="Arial"/>
                <w:b/>
                <w:bCs/>
                <w:color w:val="000000"/>
                <w:sz w:val="16"/>
                <w:szCs w:val="16"/>
              </w:rPr>
            </w:pPr>
            <w:r w:rsidRPr="00DE4051">
              <w:rPr>
                <w:rFonts w:ascii="Arial" w:hAnsi="Arial" w:cs="Arial"/>
                <w:b/>
                <w:bCs/>
                <w:color w:val="000000"/>
                <w:sz w:val="16"/>
                <w:szCs w:val="16"/>
              </w:rPr>
              <w:t>Outcome 2</w:t>
            </w:r>
          </w:p>
        </w:tc>
        <w:tc>
          <w:tcPr>
            <w:tcW w:w="1115" w:type="dxa"/>
            <w:tcBorders>
              <w:top w:val="nil"/>
              <w:left w:val="nil"/>
              <w:bottom w:val="nil"/>
              <w:right w:val="nil"/>
            </w:tcBorders>
            <w:shd w:val="clear" w:color="auto" w:fill="auto"/>
            <w:noWrap/>
            <w:hideMark/>
          </w:tcPr>
          <w:p w:rsidR="00DE4051" w:rsidRPr="00DE4051" w:rsidRDefault="00DE4051" w:rsidP="00DE4051">
            <w:pPr>
              <w:spacing w:after="0" w:line="240" w:lineRule="auto"/>
              <w:jc w:val="left"/>
              <w:rPr>
                <w:rFonts w:ascii="Arial" w:hAnsi="Arial" w:cs="Arial"/>
                <w:b/>
                <w:bCs/>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DE4051">
        <w:trPr>
          <w:trHeight w:val="229"/>
        </w:trPr>
        <w:tc>
          <w:tcPr>
            <w:tcW w:w="4040" w:type="dxa"/>
            <w:gridSpan w:val="2"/>
            <w:tcBorders>
              <w:top w:val="nil"/>
              <w:left w:val="nil"/>
              <w:bottom w:val="nil"/>
              <w:right w:val="nil"/>
            </w:tcBorders>
            <w:shd w:val="clear" w:color="auto" w:fill="auto"/>
            <w:noWrap/>
            <w:hideMark/>
          </w:tcPr>
          <w:p w:rsidR="00DE4051" w:rsidRPr="00DE4051" w:rsidRDefault="00DE4051" w:rsidP="006A30D7">
            <w:pPr>
              <w:spacing w:after="0" w:line="240" w:lineRule="auto"/>
              <w:jc w:val="left"/>
              <w:rPr>
                <w:rFonts w:ascii="Arial" w:hAnsi="Arial" w:cs="Arial"/>
                <w:color w:val="000000"/>
                <w:sz w:val="16"/>
                <w:szCs w:val="16"/>
              </w:rPr>
            </w:pPr>
            <w:r w:rsidRPr="00DE4051">
              <w:rPr>
                <w:rFonts w:ascii="Arial" w:hAnsi="Arial" w:cs="Arial"/>
                <w:color w:val="000000"/>
                <w:sz w:val="16"/>
                <w:szCs w:val="16"/>
              </w:rPr>
              <w:t>Decrease in estimates (administered)</w:t>
            </w: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c>
          <w:tcPr>
            <w:tcW w:w="933" w:type="dxa"/>
            <w:tcBorders>
              <w:top w:val="nil"/>
              <w:left w:val="nil"/>
              <w:bottom w:val="nil"/>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color w:val="000000"/>
                <w:sz w:val="16"/>
                <w:szCs w:val="16"/>
              </w:rPr>
            </w:pPr>
          </w:p>
        </w:tc>
      </w:tr>
      <w:tr w:rsidR="00DE4051" w:rsidRPr="00DE4051" w:rsidTr="004A4685">
        <w:trPr>
          <w:trHeight w:val="312"/>
        </w:trPr>
        <w:tc>
          <w:tcPr>
            <w:tcW w:w="2925" w:type="dxa"/>
            <w:tcBorders>
              <w:top w:val="nil"/>
              <w:left w:val="nil"/>
              <w:bottom w:val="nil"/>
              <w:right w:val="nil"/>
            </w:tcBorders>
            <w:shd w:val="clear" w:color="auto" w:fill="auto"/>
            <w:hideMark/>
          </w:tcPr>
          <w:p w:rsidR="00DE4051" w:rsidRPr="00DE4051" w:rsidRDefault="006A30D7" w:rsidP="006A30D7">
            <w:pPr>
              <w:spacing w:after="0" w:line="240" w:lineRule="auto"/>
              <w:ind w:left="191"/>
              <w:jc w:val="left"/>
              <w:rPr>
                <w:rFonts w:ascii="Arial" w:hAnsi="Arial" w:cs="Arial"/>
                <w:color w:val="000000"/>
                <w:sz w:val="16"/>
                <w:szCs w:val="16"/>
              </w:rPr>
            </w:pPr>
            <w:r>
              <w:rPr>
                <w:rFonts w:ascii="Arial" w:hAnsi="Arial" w:cs="Arial"/>
                <w:color w:val="000000"/>
                <w:sz w:val="16"/>
                <w:szCs w:val="16"/>
              </w:rPr>
              <w:t>Fair Entitlements Guarantee—indexation pause—</w:t>
            </w:r>
            <w:r w:rsidR="00DE4051" w:rsidRPr="00DE4051">
              <w:rPr>
                <w:rFonts w:ascii="Arial" w:hAnsi="Arial" w:cs="Arial"/>
                <w:color w:val="000000"/>
                <w:sz w:val="16"/>
                <w:szCs w:val="16"/>
              </w:rPr>
              <w:t>continuation</w:t>
            </w:r>
          </w:p>
        </w:tc>
        <w:tc>
          <w:tcPr>
            <w:tcW w:w="1115" w:type="dxa"/>
            <w:tcBorders>
              <w:top w:val="nil"/>
              <w:left w:val="nil"/>
              <w:bottom w:val="nil"/>
              <w:right w:val="nil"/>
            </w:tcBorders>
            <w:shd w:val="clear" w:color="auto" w:fill="auto"/>
            <w:noWrap/>
            <w:hideMark/>
          </w:tcPr>
          <w:p w:rsidR="00DE4051" w:rsidRPr="00DE4051" w:rsidRDefault="00DE4051" w:rsidP="004A4685">
            <w:pPr>
              <w:spacing w:after="0" w:line="240" w:lineRule="auto"/>
              <w:jc w:val="center"/>
              <w:rPr>
                <w:rFonts w:ascii="Arial" w:hAnsi="Arial" w:cs="Arial"/>
                <w:color w:val="000000"/>
                <w:sz w:val="16"/>
                <w:szCs w:val="16"/>
              </w:rPr>
            </w:pPr>
            <w:r w:rsidRPr="00DE4051">
              <w:rPr>
                <w:rFonts w:ascii="Arial" w:hAnsi="Arial" w:cs="Arial"/>
                <w:color w:val="000000"/>
                <w:sz w:val="16"/>
                <w:szCs w:val="16"/>
              </w:rPr>
              <w:t>2.1</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 xml:space="preserve">- </w:t>
            </w:r>
          </w:p>
        </w:tc>
        <w:tc>
          <w:tcPr>
            <w:tcW w:w="933" w:type="dxa"/>
            <w:tcBorders>
              <w:top w:val="nil"/>
              <w:left w:val="nil"/>
              <w:bottom w:val="nil"/>
              <w:right w:val="nil"/>
            </w:tcBorders>
            <w:shd w:val="clear" w:color="auto" w:fill="auto"/>
            <w:noWrap/>
            <w:vAlign w:val="center"/>
            <w:hideMark/>
          </w:tcPr>
          <w:p w:rsidR="00DE4051" w:rsidRPr="00DE4051" w:rsidRDefault="00DE4051" w:rsidP="006A30D7">
            <w:pPr>
              <w:spacing w:after="0" w:line="240" w:lineRule="auto"/>
              <w:jc w:val="right"/>
              <w:rPr>
                <w:rFonts w:ascii="Arial" w:hAnsi="Arial" w:cs="Arial"/>
                <w:color w:val="000000"/>
                <w:sz w:val="16"/>
                <w:szCs w:val="16"/>
              </w:rPr>
            </w:pPr>
            <w:r w:rsidRPr="00DE4051">
              <w:rPr>
                <w:rFonts w:ascii="Arial" w:hAnsi="Arial" w:cs="Arial"/>
                <w:color w:val="000000"/>
                <w:sz w:val="16"/>
                <w:szCs w:val="16"/>
              </w:rPr>
              <w:t>(1,734)</w:t>
            </w:r>
          </w:p>
        </w:tc>
      </w:tr>
      <w:tr w:rsidR="00DE4051" w:rsidRPr="00DE4051" w:rsidTr="006A30D7">
        <w:trPr>
          <w:trHeight w:val="265"/>
        </w:trPr>
        <w:tc>
          <w:tcPr>
            <w:tcW w:w="2925" w:type="dxa"/>
            <w:tcBorders>
              <w:top w:val="nil"/>
              <w:left w:val="nil"/>
              <w:bottom w:val="single" w:sz="4" w:space="0" w:color="auto"/>
              <w:right w:val="nil"/>
            </w:tcBorders>
            <w:shd w:val="clear" w:color="auto" w:fill="auto"/>
            <w:hideMark/>
          </w:tcPr>
          <w:p w:rsidR="00DE4051" w:rsidRPr="00DE4051" w:rsidRDefault="00DE4051" w:rsidP="006A30D7">
            <w:pPr>
              <w:spacing w:after="0" w:line="240" w:lineRule="auto"/>
              <w:ind w:left="191" w:hanging="191"/>
              <w:jc w:val="left"/>
              <w:rPr>
                <w:rFonts w:ascii="Arial" w:hAnsi="Arial" w:cs="Arial"/>
                <w:b/>
                <w:bCs/>
                <w:color w:val="000000"/>
                <w:sz w:val="16"/>
                <w:szCs w:val="16"/>
              </w:rPr>
            </w:pPr>
            <w:r w:rsidRPr="00DE4051">
              <w:rPr>
                <w:rFonts w:ascii="Arial" w:hAnsi="Arial" w:cs="Arial"/>
                <w:b/>
                <w:bCs/>
                <w:color w:val="000000"/>
                <w:sz w:val="16"/>
                <w:szCs w:val="16"/>
              </w:rPr>
              <w:t>Net impact on estimates for Outcome 2 (administered)</w:t>
            </w:r>
          </w:p>
        </w:tc>
        <w:tc>
          <w:tcPr>
            <w:tcW w:w="1115" w:type="dxa"/>
            <w:tcBorders>
              <w:top w:val="nil"/>
              <w:left w:val="nil"/>
              <w:bottom w:val="single" w:sz="4" w:space="0" w:color="auto"/>
              <w:right w:val="nil"/>
            </w:tcBorders>
            <w:shd w:val="clear" w:color="auto" w:fill="auto"/>
            <w:noWrap/>
            <w:hideMark/>
          </w:tcPr>
          <w:p w:rsidR="00DE4051" w:rsidRPr="00DE4051" w:rsidRDefault="00DE4051" w:rsidP="00DE4051">
            <w:pPr>
              <w:spacing w:after="0" w:line="240" w:lineRule="auto"/>
              <w:jc w:val="left"/>
              <w:rPr>
                <w:rFonts w:ascii="Arial" w:hAnsi="Arial" w:cs="Arial"/>
                <w:color w:val="000000"/>
                <w:sz w:val="16"/>
                <w:szCs w:val="16"/>
              </w:rPr>
            </w:pPr>
            <w:r w:rsidRPr="00DE4051">
              <w:rPr>
                <w:rFonts w:ascii="Arial" w:hAnsi="Arial" w:cs="Arial"/>
                <w:color w:val="000000"/>
                <w:sz w:val="16"/>
                <w:szCs w:val="16"/>
              </w:rPr>
              <w:t>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 xml:space="preserve">-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 xml:space="preserve">-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 xml:space="preserve">- </w:t>
            </w:r>
          </w:p>
        </w:tc>
        <w:tc>
          <w:tcPr>
            <w:tcW w:w="933" w:type="dxa"/>
            <w:tcBorders>
              <w:top w:val="single" w:sz="4" w:space="0" w:color="auto"/>
              <w:left w:val="nil"/>
              <w:bottom w:val="single" w:sz="4" w:space="0" w:color="auto"/>
              <w:right w:val="nil"/>
            </w:tcBorders>
            <w:shd w:val="clear" w:color="auto" w:fill="auto"/>
            <w:noWrap/>
            <w:vAlign w:val="bottom"/>
            <w:hideMark/>
          </w:tcPr>
          <w:p w:rsidR="00DE4051" w:rsidRPr="00DE4051" w:rsidRDefault="00DE4051" w:rsidP="00DE4051">
            <w:pPr>
              <w:spacing w:after="0" w:line="240" w:lineRule="auto"/>
              <w:jc w:val="right"/>
              <w:rPr>
                <w:rFonts w:ascii="Arial" w:hAnsi="Arial" w:cs="Arial"/>
                <w:b/>
                <w:bCs/>
                <w:color w:val="000000"/>
                <w:sz w:val="16"/>
                <w:szCs w:val="16"/>
              </w:rPr>
            </w:pPr>
            <w:r w:rsidRPr="00DE4051">
              <w:rPr>
                <w:rFonts w:ascii="Arial" w:hAnsi="Arial" w:cs="Arial"/>
                <w:b/>
                <w:bCs/>
                <w:color w:val="000000"/>
                <w:sz w:val="16"/>
                <w:szCs w:val="16"/>
              </w:rPr>
              <w:t>(1,734)</w:t>
            </w:r>
          </w:p>
        </w:tc>
      </w:tr>
      <w:bookmarkEnd w:id="175"/>
      <w:bookmarkEnd w:id="176"/>
      <w:bookmarkEnd w:id="177"/>
      <w:bookmarkEnd w:id="178"/>
      <w:bookmarkEnd w:id="179"/>
      <w:bookmarkEnd w:id="180"/>
      <w:bookmarkEnd w:id="184"/>
      <w:bookmarkEnd w:id="185"/>
    </w:tbl>
    <w:p w:rsidR="001779AF" w:rsidRDefault="001779AF">
      <w:pPr>
        <w:spacing w:after="0" w:line="240" w:lineRule="auto"/>
        <w:jc w:val="left"/>
      </w:pPr>
      <w:r>
        <w:rPr>
          <w:b/>
        </w:rPr>
        <w:br w:type="page"/>
      </w:r>
    </w:p>
    <w:p w:rsidR="00F51DAC" w:rsidRDefault="00F51DAC" w:rsidP="00F51DAC">
      <w:pPr>
        <w:pStyle w:val="TableHeading"/>
      </w:pPr>
      <w:r w:rsidRPr="000B1F3F">
        <w:lastRenderedPageBreak/>
        <w:t xml:space="preserve">Table 1.4: Additional </w:t>
      </w:r>
      <w:r w:rsidR="000D06B5">
        <w:t>e</w:t>
      </w:r>
      <w:r w:rsidR="000D06B5" w:rsidRPr="000B1F3F">
        <w:t xml:space="preserve">stimates and </w:t>
      </w:r>
      <w:r w:rsidR="000D06B5">
        <w:t>v</w:t>
      </w:r>
      <w:r w:rsidR="000D06B5" w:rsidRPr="000B1F3F">
        <w:t xml:space="preserve">ariations to </w:t>
      </w:r>
      <w:r w:rsidR="004B25FE">
        <w:rPr>
          <w:lang w:val="en-AU"/>
        </w:rPr>
        <w:t>Outcomes</w:t>
      </w:r>
      <w:r w:rsidR="000D06B5" w:rsidRPr="000B1F3F">
        <w:t xml:space="preserve"> from </w:t>
      </w:r>
      <w:r w:rsidR="000D06B5">
        <w:t>o</w:t>
      </w:r>
      <w:r w:rsidR="000D06B5" w:rsidRPr="000B1F3F">
        <w:t xml:space="preserve">ther </w:t>
      </w:r>
      <w:r w:rsidR="000D06B5">
        <w:t>v</w:t>
      </w:r>
      <w:r w:rsidR="000D06B5" w:rsidRPr="000B1F3F">
        <w:t>ariations</w:t>
      </w:r>
    </w:p>
    <w:tbl>
      <w:tblPr>
        <w:tblW w:w="7735" w:type="dxa"/>
        <w:tblInd w:w="93" w:type="dxa"/>
        <w:tblLook w:val="04A0" w:firstRow="1" w:lastRow="0" w:firstColumn="1" w:lastColumn="0" w:noHBand="0" w:noVBand="1"/>
      </w:tblPr>
      <w:tblGrid>
        <w:gridCol w:w="2881"/>
        <w:gridCol w:w="1098"/>
        <w:gridCol w:w="939"/>
        <w:gridCol w:w="939"/>
        <w:gridCol w:w="939"/>
        <w:gridCol w:w="939"/>
      </w:tblGrid>
      <w:tr w:rsidR="003F68EC" w:rsidRPr="003F68EC" w:rsidTr="001F3C45">
        <w:trPr>
          <w:trHeight w:val="314"/>
          <w:tblHeader/>
        </w:trPr>
        <w:tc>
          <w:tcPr>
            <w:tcW w:w="2881" w:type="dxa"/>
            <w:tcBorders>
              <w:top w:val="single" w:sz="4" w:space="0" w:color="auto"/>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color w:val="000000"/>
                <w:sz w:val="16"/>
                <w:szCs w:val="16"/>
              </w:rPr>
            </w:pPr>
            <w:r w:rsidRPr="003F68EC">
              <w:rPr>
                <w:rFonts w:ascii="Arial" w:hAnsi="Arial" w:cs="Arial"/>
                <w:color w:val="000000"/>
                <w:sz w:val="16"/>
                <w:szCs w:val="16"/>
              </w:rPr>
              <w:t> </w:t>
            </w:r>
          </w:p>
        </w:tc>
        <w:tc>
          <w:tcPr>
            <w:tcW w:w="1098" w:type="dxa"/>
            <w:tcBorders>
              <w:top w:val="single" w:sz="4" w:space="0" w:color="auto"/>
              <w:left w:val="nil"/>
              <w:bottom w:val="single" w:sz="4" w:space="0" w:color="auto"/>
              <w:right w:val="nil"/>
            </w:tcBorders>
            <w:shd w:val="clear" w:color="auto" w:fill="auto"/>
            <w:hideMark/>
          </w:tcPr>
          <w:p w:rsidR="003F68EC" w:rsidRPr="003F68EC" w:rsidRDefault="003F68EC" w:rsidP="003F68EC">
            <w:pPr>
              <w:spacing w:after="0" w:line="240" w:lineRule="auto"/>
              <w:jc w:val="center"/>
              <w:rPr>
                <w:rFonts w:ascii="Arial" w:hAnsi="Arial" w:cs="Arial"/>
                <w:color w:val="000000"/>
                <w:sz w:val="16"/>
                <w:szCs w:val="16"/>
              </w:rPr>
            </w:pPr>
            <w:r w:rsidRPr="003F68EC">
              <w:rPr>
                <w:rFonts w:ascii="Arial" w:hAnsi="Arial" w:cs="Arial"/>
                <w:color w:val="000000"/>
                <w:sz w:val="16"/>
                <w:szCs w:val="16"/>
              </w:rPr>
              <w:t>Programme impacted</w:t>
            </w:r>
          </w:p>
        </w:tc>
        <w:tc>
          <w:tcPr>
            <w:tcW w:w="939" w:type="dxa"/>
            <w:tcBorders>
              <w:top w:val="single" w:sz="4" w:space="0" w:color="auto"/>
              <w:left w:val="nil"/>
              <w:bottom w:val="single" w:sz="4" w:space="0" w:color="000000"/>
              <w:right w:val="nil"/>
            </w:tcBorders>
            <w:shd w:val="clear" w:color="auto" w:fill="auto"/>
            <w:hideMark/>
          </w:tcPr>
          <w:p w:rsidR="003F68EC" w:rsidRPr="003F68EC" w:rsidRDefault="003F68EC" w:rsidP="003F68EC">
            <w:pPr>
              <w:spacing w:after="0" w:line="240" w:lineRule="auto"/>
              <w:jc w:val="right"/>
              <w:rPr>
                <w:rFonts w:ascii="Arial" w:hAnsi="Arial" w:cs="Arial"/>
                <w:color w:val="000000"/>
                <w:sz w:val="16"/>
                <w:szCs w:val="16"/>
              </w:rPr>
            </w:pPr>
            <w:r>
              <w:rPr>
                <w:rFonts w:ascii="Arial" w:hAnsi="Arial" w:cs="Arial"/>
                <w:color w:val="000000"/>
                <w:sz w:val="16"/>
                <w:szCs w:val="16"/>
              </w:rPr>
              <w:t>2015–</w:t>
            </w:r>
            <w:r w:rsidRPr="003F68EC">
              <w:rPr>
                <w:rFonts w:ascii="Arial" w:hAnsi="Arial" w:cs="Arial"/>
                <w:color w:val="000000"/>
                <w:sz w:val="16"/>
                <w:szCs w:val="16"/>
              </w:rPr>
              <w:t>16</w:t>
            </w:r>
            <w:r w:rsidRPr="003F68EC">
              <w:rPr>
                <w:rFonts w:ascii="Arial" w:hAnsi="Arial" w:cs="Arial"/>
                <w:color w:val="000000"/>
                <w:sz w:val="16"/>
                <w:szCs w:val="16"/>
              </w:rPr>
              <w:br/>
              <w:t>$'000</w:t>
            </w:r>
          </w:p>
        </w:tc>
        <w:tc>
          <w:tcPr>
            <w:tcW w:w="939" w:type="dxa"/>
            <w:tcBorders>
              <w:top w:val="single" w:sz="4" w:space="0" w:color="auto"/>
              <w:left w:val="nil"/>
              <w:bottom w:val="single" w:sz="4" w:space="0" w:color="000000"/>
              <w:right w:val="nil"/>
            </w:tcBorders>
            <w:shd w:val="clear" w:color="auto" w:fill="auto"/>
            <w:hideMark/>
          </w:tcPr>
          <w:p w:rsidR="003F68EC" w:rsidRPr="003F68EC" w:rsidRDefault="003F68EC" w:rsidP="003F68EC">
            <w:pPr>
              <w:spacing w:after="0" w:line="240" w:lineRule="auto"/>
              <w:jc w:val="right"/>
              <w:rPr>
                <w:rFonts w:ascii="Arial" w:hAnsi="Arial" w:cs="Arial"/>
                <w:color w:val="000000"/>
                <w:sz w:val="16"/>
                <w:szCs w:val="16"/>
              </w:rPr>
            </w:pPr>
            <w:r>
              <w:rPr>
                <w:rFonts w:ascii="Arial" w:hAnsi="Arial" w:cs="Arial"/>
                <w:color w:val="000000"/>
                <w:sz w:val="16"/>
                <w:szCs w:val="16"/>
              </w:rPr>
              <w:t>2016–</w:t>
            </w:r>
            <w:r w:rsidRPr="003F68EC">
              <w:rPr>
                <w:rFonts w:ascii="Arial" w:hAnsi="Arial" w:cs="Arial"/>
                <w:color w:val="000000"/>
                <w:sz w:val="16"/>
                <w:szCs w:val="16"/>
              </w:rPr>
              <w:t>17</w:t>
            </w:r>
            <w:r w:rsidRPr="003F68EC">
              <w:rPr>
                <w:rFonts w:ascii="Arial" w:hAnsi="Arial" w:cs="Arial"/>
                <w:color w:val="000000"/>
                <w:sz w:val="16"/>
                <w:szCs w:val="16"/>
              </w:rPr>
              <w:br/>
              <w:t>$'000</w:t>
            </w:r>
          </w:p>
        </w:tc>
        <w:tc>
          <w:tcPr>
            <w:tcW w:w="939" w:type="dxa"/>
            <w:tcBorders>
              <w:top w:val="single" w:sz="4" w:space="0" w:color="auto"/>
              <w:left w:val="nil"/>
              <w:bottom w:val="single" w:sz="4" w:space="0" w:color="000000"/>
              <w:right w:val="nil"/>
            </w:tcBorders>
            <w:shd w:val="clear" w:color="auto" w:fill="auto"/>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2017</w:t>
            </w:r>
            <w:r>
              <w:rPr>
                <w:rFonts w:ascii="Arial" w:hAnsi="Arial" w:cs="Arial"/>
                <w:color w:val="000000"/>
                <w:sz w:val="16"/>
                <w:szCs w:val="16"/>
              </w:rPr>
              <w:t>–</w:t>
            </w:r>
            <w:r w:rsidRPr="003F68EC">
              <w:rPr>
                <w:rFonts w:ascii="Arial" w:hAnsi="Arial" w:cs="Arial"/>
                <w:color w:val="000000"/>
                <w:sz w:val="16"/>
                <w:szCs w:val="16"/>
              </w:rPr>
              <w:t>18</w:t>
            </w:r>
            <w:r w:rsidRPr="003F68EC">
              <w:rPr>
                <w:rFonts w:ascii="Arial" w:hAnsi="Arial" w:cs="Arial"/>
                <w:color w:val="000000"/>
                <w:sz w:val="16"/>
                <w:szCs w:val="16"/>
              </w:rPr>
              <w:br/>
              <w:t>$'000</w:t>
            </w:r>
          </w:p>
        </w:tc>
        <w:tc>
          <w:tcPr>
            <w:tcW w:w="939" w:type="dxa"/>
            <w:tcBorders>
              <w:top w:val="single" w:sz="4" w:space="0" w:color="auto"/>
              <w:left w:val="nil"/>
              <w:bottom w:val="single" w:sz="4" w:space="0" w:color="000000"/>
              <w:right w:val="nil"/>
            </w:tcBorders>
            <w:shd w:val="clear" w:color="auto" w:fill="auto"/>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2018</w:t>
            </w:r>
            <w:r>
              <w:rPr>
                <w:rFonts w:ascii="Arial" w:hAnsi="Arial" w:cs="Arial"/>
                <w:color w:val="000000"/>
                <w:sz w:val="16"/>
                <w:szCs w:val="16"/>
              </w:rPr>
              <w:t>–</w:t>
            </w:r>
            <w:r w:rsidRPr="003F68EC">
              <w:rPr>
                <w:rFonts w:ascii="Arial" w:hAnsi="Arial" w:cs="Arial"/>
                <w:color w:val="000000"/>
                <w:sz w:val="16"/>
                <w:szCs w:val="16"/>
              </w:rPr>
              <w:t>19</w:t>
            </w:r>
            <w:r w:rsidRPr="003F68EC">
              <w:rPr>
                <w:rFonts w:ascii="Arial" w:hAnsi="Arial" w:cs="Arial"/>
                <w:color w:val="000000"/>
                <w:sz w:val="16"/>
                <w:szCs w:val="16"/>
              </w:rPr>
              <w:br/>
              <w:t>$'000</w:t>
            </w:r>
          </w:p>
        </w:tc>
      </w:tr>
      <w:tr w:rsidR="003F68EC" w:rsidRPr="003F68EC" w:rsidTr="00E47A5C">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Outcome 1</w:t>
            </w:r>
          </w:p>
        </w:tc>
        <w:tc>
          <w:tcPr>
            <w:tcW w:w="1098"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b/>
                <w:bCs/>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E47A5C">
        <w:trPr>
          <w:trHeight w:val="227"/>
        </w:trPr>
        <w:tc>
          <w:tcPr>
            <w:tcW w:w="3979"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Increase in estimates (administered)</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827369">
            <w:pPr>
              <w:spacing w:after="0" w:line="240" w:lineRule="auto"/>
              <w:ind w:firstLineChars="208" w:firstLine="333"/>
              <w:jc w:val="left"/>
              <w:rPr>
                <w:rFonts w:ascii="Arial" w:hAnsi="Arial" w:cs="Arial"/>
                <w:color w:val="000000"/>
                <w:sz w:val="16"/>
                <w:szCs w:val="16"/>
              </w:rPr>
            </w:pPr>
            <w:r w:rsidRPr="003F68EC">
              <w:rPr>
                <w:rFonts w:ascii="Arial" w:hAnsi="Arial" w:cs="Arial"/>
                <w:color w:val="000000"/>
                <w:sz w:val="16"/>
                <w:szCs w:val="16"/>
              </w:rPr>
              <w:t xml:space="preserve">Programme </w:t>
            </w:r>
            <w:r w:rsidR="00E47A5C">
              <w:rPr>
                <w:rFonts w:ascii="Arial" w:hAnsi="Arial" w:cs="Arial"/>
                <w:color w:val="000000"/>
                <w:sz w:val="16"/>
                <w:szCs w:val="16"/>
              </w:rPr>
              <w:t>specific p</w:t>
            </w:r>
            <w:r w:rsidRPr="003F68EC">
              <w:rPr>
                <w:rFonts w:ascii="Arial" w:hAnsi="Arial" w:cs="Arial"/>
                <w:color w:val="000000"/>
                <w:sz w:val="16"/>
                <w:szCs w:val="16"/>
              </w:rPr>
              <w:t>arameter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1,429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2,708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2,814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2,799 </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2A7B73" w:rsidP="00827369">
            <w:pPr>
              <w:spacing w:after="0" w:line="240" w:lineRule="auto"/>
              <w:ind w:firstLineChars="208" w:firstLine="333"/>
              <w:jc w:val="left"/>
              <w:rPr>
                <w:rFonts w:ascii="Arial" w:hAnsi="Arial" w:cs="Arial"/>
                <w:color w:val="000000"/>
                <w:sz w:val="16"/>
                <w:szCs w:val="16"/>
              </w:rPr>
            </w:pPr>
            <w:r>
              <w:rPr>
                <w:rFonts w:ascii="Arial" w:hAnsi="Arial" w:cs="Arial"/>
                <w:color w:val="000000"/>
                <w:sz w:val="16"/>
                <w:szCs w:val="16"/>
              </w:rPr>
              <w:t>Movement of f</w:t>
            </w:r>
            <w:r w:rsidR="003F68EC" w:rsidRPr="003F68EC">
              <w:rPr>
                <w:rFonts w:ascii="Arial" w:hAnsi="Arial" w:cs="Arial"/>
                <w:color w:val="000000"/>
                <w:sz w:val="16"/>
                <w:szCs w:val="16"/>
              </w:rPr>
              <w:t>unds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2,797 </w:t>
            </w:r>
          </w:p>
        </w:tc>
      </w:tr>
      <w:tr w:rsidR="00AD1935" w:rsidRPr="003F68EC" w:rsidTr="004A4685">
        <w:trPr>
          <w:trHeight w:val="227"/>
        </w:trPr>
        <w:tc>
          <w:tcPr>
            <w:tcW w:w="2881" w:type="dxa"/>
            <w:tcBorders>
              <w:top w:val="nil"/>
              <w:left w:val="nil"/>
              <w:bottom w:val="nil"/>
              <w:right w:val="nil"/>
            </w:tcBorders>
            <w:shd w:val="clear" w:color="auto" w:fill="auto"/>
            <w:noWrap/>
          </w:tcPr>
          <w:p w:rsidR="00AD1935" w:rsidRDefault="00AD1935" w:rsidP="00827369">
            <w:pPr>
              <w:spacing w:after="0" w:line="240" w:lineRule="auto"/>
              <w:ind w:firstLineChars="208" w:firstLine="333"/>
              <w:jc w:val="left"/>
              <w:rPr>
                <w:rFonts w:ascii="Arial" w:hAnsi="Arial" w:cs="Arial"/>
                <w:color w:val="000000"/>
                <w:sz w:val="16"/>
                <w:szCs w:val="16"/>
              </w:rPr>
            </w:pPr>
            <w:r>
              <w:rPr>
                <w:rFonts w:ascii="Arial" w:hAnsi="Arial" w:cs="Arial"/>
                <w:color w:val="000000"/>
                <w:sz w:val="16"/>
                <w:szCs w:val="16"/>
              </w:rPr>
              <w:t>Other</w:t>
            </w:r>
          </w:p>
        </w:tc>
        <w:tc>
          <w:tcPr>
            <w:tcW w:w="1098" w:type="dxa"/>
            <w:tcBorders>
              <w:top w:val="nil"/>
              <w:left w:val="nil"/>
              <w:bottom w:val="nil"/>
              <w:right w:val="nil"/>
            </w:tcBorders>
            <w:shd w:val="clear" w:color="auto" w:fill="auto"/>
            <w:noWrap/>
          </w:tcPr>
          <w:p w:rsidR="00AD1935" w:rsidRPr="003F68EC" w:rsidRDefault="00AD1935" w:rsidP="004A4685">
            <w:pPr>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39" w:type="dxa"/>
            <w:tcBorders>
              <w:top w:val="nil"/>
              <w:left w:val="nil"/>
              <w:bottom w:val="nil"/>
              <w:right w:val="nil"/>
            </w:tcBorders>
            <w:shd w:val="clear" w:color="auto" w:fill="auto"/>
            <w:noWrap/>
          </w:tcPr>
          <w:p w:rsidR="00AD1935" w:rsidRPr="003F68EC" w:rsidRDefault="00AD1935" w:rsidP="003F68E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shd w:val="clear" w:color="auto" w:fill="auto"/>
            <w:noWrap/>
          </w:tcPr>
          <w:p w:rsidR="00AD1935" w:rsidRPr="003F68EC" w:rsidRDefault="00AD1935" w:rsidP="003F68E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shd w:val="clear" w:color="auto" w:fill="auto"/>
            <w:noWrap/>
          </w:tcPr>
          <w:p w:rsidR="00AD1935" w:rsidRPr="003F68EC" w:rsidRDefault="00AD1935" w:rsidP="003F68E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shd w:val="clear" w:color="auto" w:fill="auto"/>
            <w:noWrap/>
          </w:tcPr>
          <w:p w:rsidR="00AD1935" w:rsidRPr="003F68EC" w:rsidRDefault="00AD1935" w:rsidP="003F68EC">
            <w:pPr>
              <w:spacing w:after="0" w:line="240" w:lineRule="auto"/>
              <w:jc w:val="right"/>
              <w:rPr>
                <w:rFonts w:ascii="Arial" w:hAnsi="Arial" w:cs="Arial"/>
                <w:color w:val="000000"/>
                <w:sz w:val="16"/>
                <w:szCs w:val="16"/>
              </w:rPr>
            </w:pPr>
            <w:r>
              <w:rPr>
                <w:rFonts w:ascii="Arial" w:hAnsi="Arial" w:cs="Arial"/>
                <w:color w:val="000000"/>
                <w:sz w:val="16"/>
                <w:szCs w:val="16"/>
              </w:rPr>
              <w:t>2,768</w:t>
            </w:r>
          </w:p>
        </w:tc>
      </w:tr>
      <w:tr w:rsidR="003F68EC" w:rsidRPr="003F68EC" w:rsidTr="00E47A5C">
        <w:trPr>
          <w:trHeight w:val="227"/>
        </w:trPr>
        <w:tc>
          <w:tcPr>
            <w:tcW w:w="3979"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Decrease in estimates (administered)</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2A7B73" w:rsidP="00827369">
            <w:pPr>
              <w:spacing w:after="0" w:line="240" w:lineRule="auto"/>
              <w:ind w:firstLineChars="208" w:firstLine="333"/>
              <w:jc w:val="left"/>
              <w:rPr>
                <w:rFonts w:ascii="Arial" w:hAnsi="Arial" w:cs="Arial"/>
                <w:color w:val="000000"/>
                <w:sz w:val="16"/>
                <w:szCs w:val="16"/>
              </w:rPr>
            </w:pPr>
            <w:r>
              <w:rPr>
                <w:rFonts w:ascii="Arial" w:hAnsi="Arial" w:cs="Arial"/>
                <w:color w:val="000000"/>
                <w:sz w:val="16"/>
                <w:szCs w:val="16"/>
              </w:rPr>
              <w:t>Parameter a</w:t>
            </w:r>
            <w:r w:rsidR="003F68EC" w:rsidRPr="003F68EC">
              <w:rPr>
                <w:rFonts w:ascii="Arial" w:hAnsi="Arial" w:cs="Arial"/>
                <w:color w:val="000000"/>
                <w:sz w:val="16"/>
                <w:szCs w:val="16"/>
              </w:rPr>
              <w:t>djustments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(3)</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(5)</w:t>
            </w:r>
          </w:p>
        </w:tc>
      </w:tr>
      <w:tr w:rsidR="003F68EC" w:rsidRPr="003F68EC" w:rsidTr="004A4685">
        <w:trPr>
          <w:trHeight w:val="455"/>
        </w:trPr>
        <w:tc>
          <w:tcPr>
            <w:tcW w:w="2881" w:type="dxa"/>
            <w:tcBorders>
              <w:top w:val="nil"/>
              <w:left w:val="nil"/>
              <w:bottom w:val="nil"/>
              <w:right w:val="nil"/>
            </w:tcBorders>
            <w:shd w:val="clear" w:color="auto" w:fill="auto"/>
            <w:hideMark/>
          </w:tcPr>
          <w:p w:rsidR="003F68EC" w:rsidRPr="003F68EC" w:rsidRDefault="003F68EC" w:rsidP="00D542E7">
            <w:pPr>
              <w:spacing w:after="0" w:line="240" w:lineRule="auto"/>
              <w:ind w:left="333"/>
              <w:jc w:val="left"/>
              <w:rPr>
                <w:rFonts w:ascii="Arial" w:hAnsi="Arial" w:cs="Arial"/>
                <w:color w:val="000000"/>
                <w:sz w:val="16"/>
                <w:szCs w:val="16"/>
              </w:rPr>
            </w:pPr>
            <w:r w:rsidRPr="003F68EC">
              <w:rPr>
                <w:rFonts w:ascii="Arial" w:hAnsi="Arial" w:cs="Arial"/>
                <w:color w:val="000000"/>
                <w:sz w:val="16"/>
                <w:szCs w:val="16"/>
              </w:rPr>
              <w:t xml:space="preserve">Changes in </w:t>
            </w:r>
            <w:r w:rsidR="00E47A5C">
              <w:rPr>
                <w:rFonts w:ascii="Arial" w:hAnsi="Arial" w:cs="Arial"/>
                <w:color w:val="000000"/>
                <w:sz w:val="16"/>
                <w:szCs w:val="16"/>
              </w:rPr>
              <w:t>n</w:t>
            </w:r>
            <w:r w:rsidRPr="003F68EC">
              <w:rPr>
                <w:rFonts w:ascii="Arial" w:hAnsi="Arial" w:cs="Arial"/>
                <w:color w:val="000000"/>
                <w:sz w:val="16"/>
                <w:szCs w:val="16"/>
              </w:rPr>
              <w:t>um</w:t>
            </w:r>
            <w:r w:rsidR="00E47A5C">
              <w:rPr>
                <w:rFonts w:ascii="Arial" w:hAnsi="Arial" w:cs="Arial"/>
                <w:color w:val="000000"/>
                <w:sz w:val="16"/>
                <w:szCs w:val="16"/>
              </w:rPr>
              <w:t>b</w:t>
            </w:r>
            <w:r w:rsidRPr="003F68EC">
              <w:rPr>
                <w:rFonts w:ascii="Arial" w:hAnsi="Arial" w:cs="Arial"/>
                <w:color w:val="000000"/>
                <w:sz w:val="16"/>
                <w:szCs w:val="16"/>
              </w:rPr>
              <w:t xml:space="preserve">er of </w:t>
            </w:r>
            <w:r w:rsidR="00E47A5C">
              <w:rPr>
                <w:rFonts w:ascii="Arial" w:hAnsi="Arial" w:cs="Arial"/>
                <w:color w:val="000000"/>
                <w:sz w:val="16"/>
                <w:szCs w:val="16"/>
              </w:rPr>
              <w:t>unemployment b</w:t>
            </w:r>
            <w:r w:rsidRPr="003F68EC">
              <w:rPr>
                <w:rFonts w:ascii="Arial" w:hAnsi="Arial" w:cs="Arial"/>
                <w:color w:val="000000"/>
                <w:sz w:val="16"/>
                <w:szCs w:val="16"/>
              </w:rPr>
              <w:t>eneficiaries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(80)</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(1,188)</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(1,902)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(1,327)</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(2,306)</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(492)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(143)</w:t>
            </w:r>
          </w:p>
        </w:tc>
        <w:tc>
          <w:tcPr>
            <w:tcW w:w="939" w:type="dxa"/>
            <w:tcBorders>
              <w:top w:val="nil"/>
              <w:left w:val="nil"/>
              <w:bottom w:val="nil"/>
              <w:right w:val="nil"/>
            </w:tcBorders>
            <w:shd w:val="clear" w:color="auto" w:fill="auto"/>
            <w:noWrap/>
            <w:hideMark/>
          </w:tcPr>
          <w:p w:rsidR="003F68EC" w:rsidRPr="003F68EC" w:rsidRDefault="00AD1935" w:rsidP="003F68EC">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003F68EC" w:rsidRPr="003F68EC">
              <w:rPr>
                <w:rFonts w:ascii="Arial" w:hAnsi="Arial" w:cs="Arial"/>
                <w:color w:val="000000"/>
                <w:sz w:val="16"/>
                <w:szCs w:val="16"/>
              </w:rPr>
              <w:t xml:space="preserve"> </w:t>
            </w:r>
          </w:p>
        </w:tc>
      </w:tr>
      <w:tr w:rsidR="003F68EC" w:rsidRPr="003F68EC" w:rsidTr="00AD1935">
        <w:trPr>
          <w:trHeight w:val="253"/>
        </w:trPr>
        <w:tc>
          <w:tcPr>
            <w:tcW w:w="2881" w:type="dxa"/>
            <w:tcBorders>
              <w:top w:val="nil"/>
              <w:left w:val="nil"/>
              <w:bottom w:val="nil"/>
              <w:right w:val="nil"/>
            </w:tcBorders>
            <w:shd w:val="clear" w:color="auto" w:fill="auto"/>
            <w:hideMark/>
          </w:tcPr>
          <w:p w:rsidR="003F68EC" w:rsidRPr="003F68EC" w:rsidRDefault="003F68EC" w:rsidP="003F68EC">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Net impact on estimates for Outcome 1 (administered)</w:t>
            </w:r>
          </w:p>
        </w:tc>
        <w:tc>
          <w:tcPr>
            <w:tcW w:w="1098" w:type="dxa"/>
            <w:tcBorders>
              <w:top w:val="nil"/>
              <w:left w:val="nil"/>
              <w:bottom w:val="nil"/>
              <w:right w:val="nil"/>
            </w:tcBorders>
            <w:shd w:val="clear" w:color="auto" w:fill="auto"/>
            <w:noWrap/>
            <w:vAlign w:val="center"/>
            <w:hideMark/>
          </w:tcPr>
          <w:p w:rsidR="003F68EC" w:rsidRPr="003F68EC" w:rsidRDefault="003F68EC" w:rsidP="003F68EC">
            <w:pPr>
              <w:spacing w:after="0" w:line="240" w:lineRule="auto"/>
              <w:jc w:val="center"/>
              <w:rPr>
                <w:rFonts w:ascii="Arial" w:hAnsi="Arial" w:cs="Arial"/>
                <w:color w:val="000000"/>
                <w:sz w:val="16"/>
                <w:szCs w:val="16"/>
              </w:rPr>
            </w:pP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(957)</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1,026 </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766 </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7,032 </w:t>
            </w:r>
          </w:p>
        </w:tc>
      </w:tr>
      <w:tr w:rsidR="003F68EC" w:rsidRPr="003F68EC" w:rsidTr="00AD1935">
        <w:trPr>
          <w:trHeight w:val="301"/>
        </w:trPr>
        <w:tc>
          <w:tcPr>
            <w:tcW w:w="3979" w:type="dxa"/>
            <w:gridSpan w:val="2"/>
            <w:tcBorders>
              <w:top w:val="nil"/>
              <w:left w:val="nil"/>
              <w:bottom w:val="nil"/>
              <w:right w:val="nil"/>
            </w:tcBorders>
            <w:shd w:val="clear" w:color="auto" w:fill="auto"/>
            <w:noWrap/>
            <w:vAlign w:val="center"/>
            <w:hideMark/>
          </w:tcPr>
          <w:p w:rsidR="003F68EC" w:rsidRPr="003F68EC" w:rsidRDefault="003F68EC" w:rsidP="00AD1935">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Increase in estimates (departmental)</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455"/>
        </w:trPr>
        <w:tc>
          <w:tcPr>
            <w:tcW w:w="2881" w:type="dxa"/>
            <w:tcBorders>
              <w:top w:val="nil"/>
              <w:left w:val="nil"/>
              <w:bottom w:val="nil"/>
              <w:right w:val="nil"/>
            </w:tcBorders>
            <w:shd w:val="clear" w:color="auto" w:fill="auto"/>
            <w:hideMark/>
          </w:tcPr>
          <w:p w:rsidR="003F68EC" w:rsidRPr="003F68EC" w:rsidRDefault="003F68EC" w:rsidP="00827369">
            <w:pPr>
              <w:spacing w:after="0" w:line="240" w:lineRule="auto"/>
              <w:ind w:leftChars="165" w:left="330"/>
              <w:jc w:val="left"/>
              <w:rPr>
                <w:rFonts w:ascii="Arial" w:hAnsi="Arial" w:cs="Arial"/>
                <w:color w:val="000000"/>
                <w:sz w:val="16"/>
                <w:szCs w:val="16"/>
              </w:rPr>
            </w:pPr>
            <w:proofErr w:type="spellStart"/>
            <w:r w:rsidRPr="003F68EC">
              <w:rPr>
                <w:rFonts w:ascii="Arial" w:hAnsi="Arial" w:cs="Arial"/>
                <w:color w:val="000000"/>
                <w:sz w:val="16"/>
                <w:szCs w:val="16"/>
              </w:rPr>
              <w:t xml:space="preserve">Self </w:t>
            </w:r>
            <w:r w:rsidR="00E47A5C">
              <w:rPr>
                <w:rFonts w:ascii="Arial" w:hAnsi="Arial" w:cs="Arial"/>
                <w:color w:val="000000"/>
                <w:sz w:val="16"/>
                <w:szCs w:val="16"/>
              </w:rPr>
              <w:t>balancing</w:t>
            </w:r>
            <w:proofErr w:type="spellEnd"/>
            <w:r w:rsidR="00E47A5C">
              <w:rPr>
                <w:rFonts w:ascii="Arial" w:hAnsi="Arial" w:cs="Arial"/>
                <w:color w:val="000000"/>
                <w:sz w:val="16"/>
                <w:szCs w:val="16"/>
              </w:rPr>
              <w:t xml:space="preserve"> transfers between same y</w:t>
            </w:r>
            <w:r w:rsidRPr="003F68EC">
              <w:rPr>
                <w:rFonts w:ascii="Arial" w:hAnsi="Arial" w:cs="Arial"/>
                <w:color w:val="000000"/>
                <w:sz w:val="16"/>
                <w:szCs w:val="16"/>
              </w:rPr>
              <w:t>ear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2,039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2,250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2,250 </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827369">
            <w:pPr>
              <w:spacing w:after="0" w:line="240" w:lineRule="auto"/>
              <w:ind w:firstLineChars="208" w:firstLine="333"/>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w:t>
            </w:r>
          </w:p>
        </w:tc>
        <w:tc>
          <w:tcPr>
            <w:tcW w:w="939" w:type="dxa"/>
            <w:tcBorders>
              <w:top w:val="nil"/>
              <w:left w:val="nil"/>
              <w:bottom w:val="nil"/>
              <w:right w:val="nil"/>
            </w:tcBorders>
            <w:shd w:val="clear" w:color="auto" w:fill="auto"/>
            <w:noWrap/>
            <w:hideMark/>
          </w:tcPr>
          <w:p w:rsidR="003F68EC" w:rsidRPr="003F68EC" w:rsidRDefault="00A942F5" w:rsidP="003F68EC">
            <w:pPr>
              <w:spacing w:after="0" w:line="240" w:lineRule="auto"/>
              <w:jc w:val="right"/>
              <w:rPr>
                <w:rFonts w:ascii="Arial" w:hAnsi="Arial" w:cs="Arial"/>
                <w:color w:val="000000"/>
                <w:sz w:val="16"/>
                <w:szCs w:val="16"/>
              </w:rPr>
            </w:pPr>
            <w:r>
              <w:rPr>
                <w:rFonts w:ascii="Arial" w:hAnsi="Arial" w:cs="Arial"/>
                <w:color w:val="000000"/>
                <w:sz w:val="16"/>
                <w:szCs w:val="16"/>
              </w:rPr>
              <w:t>2,672</w:t>
            </w:r>
            <w:r w:rsidR="003F68EC"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A942F5" w:rsidP="003F68EC">
            <w:pPr>
              <w:spacing w:after="0" w:line="240" w:lineRule="auto"/>
              <w:jc w:val="right"/>
              <w:rPr>
                <w:rFonts w:ascii="Arial" w:hAnsi="Arial" w:cs="Arial"/>
                <w:color w:val="000000"/>
                <w:sz w:val="16"/>
                <w:szCs w:val="16"/>
              </w:rPr>
            </w:pPr>
            <w:r>
              <w:rPr>
                <w:rFonts w:ascii="Arial" w:hAnsi="Arial" w:cs="Arial"/>
                <w:color w:val="000000"/>
                <w:sz w:val="16"/>
                <w:szCs w:val="16"/>
              </w:rPr>
              <w:t>2,672</w:t>
            </w:r>
            <w:r w:rsidR="003F68EC"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A942F5" w:rsidP="003F68EC">
            <w:pPr>
              <w:spacing w:after="0" w:line="240" w:lineRule="auto"/>
              <w:jc w:val="right"/>
              <w:rPr>
                <w:rFonts w:ascii="Arial" w:hAnsi="Arial" w:cs="Arial"/>
                <w:color w:val="000000"/>
                <w:sz w:val="16"/>
                <w:szCs w:val="16"/>
              </w:rPr>
            </w:pPr>
            <w:r>
              <w:rPr>
                <w:rFonts w:ascii="Arial" w:hAnsi="Arial" w:cs="Arial"/>
                <w:color w:val="000000"/>
                <w:sz w:val="16"/>
                <w:szCs w:val="16"/>
              </w:rPr>
              <w:t>2,672</w:t>
            </w:r>
            <w:r w:rsidR="003F68EC"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A942F5" w:rsidP="003F68EC">
            <w:pPr>
              <w:spacing w:after="0" w:line="240" w:lineRule="auto"/>
              <w:jc w:val="right"/>
              <w:rPr>
                <w:rFonts w:ascii="Arial" w:hAnsi="Arial" w:cs="Arial"/>
                <w:color w:val="000000"/>
                <w:sz w:val="16"/>
                <w:szCs w:val="16"/>
              </w:rPr>
            </w:pPr>
            <w:r>
              <w:rPr>
                <w:rFonts w:ascii="Arial" w:hAnsi="Arial" w:cs="Arial"/>
                <w:color w:val="000000"/>
                <w:sz w:val="16"/>
                <w:szCs w:val="16"/>
              </w:rPr>
              <w:t>2,672</w:t>
            </w:r>
            <w:r w:rsidR="003F68EC" w:rsidRPr="003F68EC">
              <w:rPr>
                <w:rFonts w:ascii="Arial" w:hAnsi="Arial" w:cs="Arial"/>
                <w:color w:val="000000"/>
                <w:sz w:val="16"/>
                <w:szCs w:val="16"/>
              </w:rPr>
              <w:t xml:space="preserve"> </w:t>
            </w:r>
          </w:p>
        </w:tc>
      </w:tr>
      <w:tr w:rsidR="003F68EC" w:rsidRPr="003F68EC" w:rsidTr="00E47A5C">
        <w:trPr>
          <w:trHeight w:val="227"/>
        </w:trPr>
        <w:tc>
          <w:tcPr>
            <w:tcW w:w="3979"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Decrease in estimates (departmental)</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2A7B73" w:rsidP="003F68EC">
            <w:pPr>
              <w:spacing w:after="0" w:line="240" w:lineRule="auto"/>
              <w:ind w:firstLineChars="200" w:firstLine="320"/>
              <w:jc w:val="left"/>
              <w:rPr>
                <w:rFonts w:ascii="Arial" w:hAnsi="Arial" w:cs="Arial"/>
                <w:color w:val="000000"/>
                <w:sz w:val="16"/>
                <w:szCs w:val="16"/>
              </w:rPr>
            </w:pPr>
            <w:r>
              <w:rPr>
                <w:rFonts w:ascii="Arial" w:hAnsi="Arial" w:cs="Arial"/>
                <w:color w:val="000000"/>
                <w:sz w:val="16"/>
                <w:szCs w:val="16"/>
              </w:rPr>
              <w:t>Parameter a</w:t>
            </w:r>
            <w:r w:rsidR="003F68EC" w:rsidRPr="003F68EC">
              <w:rPr>
                <w:rFonts w:ascii="Arial" w:hAnsi="Arial" w:cs="Arial"/>
                <w:color w:val="000000"/>
                <w:sz w:val="16"/>
                <w:szCs w:val="16"/>
              </w:rPr>
              <w:t>djustments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(236)</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(472)</w:t>
            </w:r>
          </w:p>
        </w:tc>
      </w:tr>
      <w:tr w:rsidR="003F68EC" w:rsidRPr="003F68EC" w:rsidTr="004A4685">
        <w:trPr>
          <w:trHeight w:val="455"/>
        </w:trPr>
        <w:tc>
          <w:tcPr>
            <w:tcW w:w="2881" w:type="dxa"/>
            <w:tcBorders>
              <w:top w:val="nil"/>
              <w:left w:val="nil"/>
              <w:bottom w:val="nil"/>
              <w:right w:val="nil"/>
            </w:tcBorders>
            <w:shd w:val="clear" w:color="auto" w:fill="auto"/>
            <w:hideMark/>
          </w:tcPr>
          <w:p w:rsidR="003F68EC" w:rsidRPr="003F68EC" w:rsidRDefault="003F68EC" w:rsidP="00827369">
            <w:pPr>
              <w:spacing w:after="0" w:line="240" w:lineRule="auto"/>
              <w:ind w:left="333"/>
              <w:jc w:val="left"/>
              <w:rPr>
                <w:rFonts w:ascii="Arial" w:hAnsi="Arial" w:cs="Arial"/>
                <w:color w:val="000000"/>
                <w:sz w:val="16"/>
                <w:szCs w:val="16"/>
              </w:rPr>
            </w:pPr>
            <w:proofErr w:type="spellStart"/>
            <w:r w:rsidRPr="003F68EC">
              <w:rPr>
                <w:rFonts w:ascii="Arial" w:hAnsi="Arial" w:cs="Arial"/>
                <w:color w:val="000000"/>
                <w:sz w:val="16"/>
                <w:szCs w:val="16"/>
              </w:rPr>
              <w:t xml:space="preserve">Self </w:t>
            </w:r>
            <w:r w:rsidR="00E47A5C">
              <w:rPr>
                <w:rFonts w:ascii="Arial" w:hAnsi="Arial" w:cs="Arial"/>
                <w:color w:val="000000"/>
                <w:sz w:val="16"/>
                <w:szCs w:val="16"/>
              </w:rPr>
              <w:t>b</w:t>
            </w:r>
            <w:r w:rsidRPr="003F68EC">
              <w:rPr>
                <w:rFonts w:ascii="Arial" w:hAnsi="Arial" w:cs="Arial"/>
                <w:color w:val="000000"/>
                <w:sz w:val="16"/>
                <w:szCs w:val="16"/>
              </w:rPr>
              <w:t>alancing</w:t>
            </w:r>
            <w:proofErr w:type="spellEnd"/>
            <w:r w:rsidRPr="003F68EC">
              <w:rPr>
                <w:rFonts w:ascii="Arial" w:hAnsi="Arial" w:cs="Arial"/>
                <w:color w:val="000000"/>
                <w:sz w:val="16"/>
                <w:szCs w:val="16"/>
              </w:rPr>
              <w:t xml:space="preserve"> </w:t>
            </w:r>
            <w:r w:rsidR="00E47A5C">
              <w:rPr>
                <w:rFonts w:ascii="Arial" w:hAnsi="Arial" w:cs="Arial"/>
                <w:color w:val="000000"/>
                <w:sz w:val="16"/>
                <w:szCs w:val="16"/>
              </w:rPr>
              <w:t>t</w:t>
            </w:r>
            <w:r w:rsidRPr="003F68EC">
              <w:rPr>
                <w:rFonts w:ascii="Arial" w:hAnsi="Arial" w:cs="Arial"/>
                <w:color w:val="000000"/>
                <w:sz w:val="16"/>
                <w:szCs w:val="16"/>
              </w:rPr>
              <w:t xml:space="preserve">ransfers </w:t>
            </w:r>
            <w:r w:rsidR="00E47A5C">
              <w:rPr>
                <w:rFonts w:ascii="Arial" w:hAnsi="Arial" w:cs="Arial"/>
                <w:color w:val="000000"/>
                <w:sz w:val="16"/>
                <w:szCs w:val="16"/>
              </w:rPr>
              <w:t>between s</w:t>
            </w:r>
            <w:r w:rsidRPr="003F68EC">
              <w:rPr>
                <w:rFonts w:ascii="Arial" w:hAnsi="Arial" w:cs="Arial"/>
                <w:color w:val="000000"/>
                <w:sz w:val="16"/>
                <w:szCs w:val="16"/>
              </w:rPr>
              <w:t xml:space="preserve">ame </w:t>
            </w:r>
            <w:r w:rsidR="00E47A5C">
              <w:rPr>
                <w:rFonts w:ascii="Arial" w:hAnsi="Arial" w:cs="Arial"/>
                <w:color w:val="000000"/>
                <w:sz w:val="16"/>
                <w:szCs w:val="16"/>
              </w:rPr>
              <w:t>y</w:t>
            </w:r>
            <w:r w:rsidRPr="003F68EC">
              <w:rPr>
                <w:rFonts w:ascii="Arial" w:hAnsi="Arial" w:cs="Arial"/>
                <w:color w:val="000000"/>
                <w:sz w:val="16"/>
                <w:szCs w:val="16"/>
              </w:rPr>
              <w:t>ear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(5,649)</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1</w:t>
            </w:r>
          </w:p>
        </w:tc>
        <w:tc>
          <w:tcPr>
            <w:tcW w:w="939" w:type="dxa"/>
            <w:tcBorders>
              <w:top w:val="nil"/>
              <w:left w:val="nil"/>
              <w:bottom w:val="nil"/>
              <w:right w:val="nil"/>
            </w:tcBorders>
            <w:shd w:val="clear" w:color="auto" w:fill="auto"/>
            <w:noWrap/>
            <w:hideMark/>
          </w:tcPr>
          <w:p w:rsidR="003F68EC" w:rsidRPr="003F68EC" w:rsidRDefault="003F68EC" w:rsidP="00A942F5">
            <w:pPr>
              <w:spacing w:after="0" w:line="240" w:lineRule="auto"/>
              <w:jc w:val="right"/>
              <w:rPr>
                <w:rFonts w:ascii="Arial" w:hAnsi="Arial" w:cs="Arial"/>
                <w:color w:val="000000"/>
                <w:sz w:val="16"/>
                <w:szCs w:val="16"/>
              </w:rPr>
            </w:pPr>
            <w:r w:rsidRPr="003F68EC">
              <w:rPr>
                <w:rFonts w:ascii="Arial" w:hAnsi="Arial" w:cs="Arial"/>
                <w:color w:val="000000"/>
                <w:sz w:val="16"/>
                <w:szCs w:val="16"/>
              </w:rPr>
              <w:t>(</w:t>
            </w:r>
            <w:r w:rsidR="00A942F5">
              <w:rPr>
                <w:rFonts w:ascii="Arial" w:hAnsi="Arial" w:cs="Arial"/>
                <w:color w:val="000000"/>
                <w:sz w:val="16"/>
                <w:szCs w:val="16"/>
              </w:rPr>
              <w:t>6,172</w:t>
            </w:r>
            <w:r w:rsidRPr="003F68EC">
              <w:rPr>
                <w:rFonts w:ascii="Arial" w:hAnsi="Arial" w:cs="Arial"/>
                <w:color w:val="000000"/>
                <w:sz w:val="16"/>
                <w:szCs w:val="16"/>
              </w:rPr>
              <w:t>)</w:t>
            </w:r>
          </w:p>
        </w:tc>
        <w:tc>
          <w:tcPr>
            <w:tcW w:w="939" w:type="dxa"/>
            <w:tcBorders>
              <w:top w:val="nil"/>
              <w:left w:val="nil"/>
              <w:bottom w:val="nil"/>
              <w:right w:val="nil"/>
            </w:tcBorders>
            <w:shd w:val="clear" w:color="auto" w:fill="auto"/>
            <w:noWrap/>
            <w:hideMark/>
          </w:tcPr>
          <w:p w:rsidR="003F68EC" w:rsidRPr="003F68EC" w:rsidRDefault="003F68EC" w:rsidP="00A942F5">
            <w:pPr>
              <w:spacing w:after="0" w:line="240" w:lineRule="auto"/>
              <w:jc w:val="right"/>
              <w:rPr>
                <w:rFonts w:ascii="Arial" w:hAnsi="Arial" w:cs="Arial"/>
                <w:color w:val="000000"/>
                <w:sz w:val="16"/>
                <w:szCs w:val="16"/>
              </w:rPr>
            </w:pPr>
            <w:r w:rsidRPr="003F68EC">
              <w:rPr>
                <w:rFonts w:ascii="Arial" w:hAnsi="Arial" w:cs="Arial"/>
                <w:color w:val="000000"/>
                <w:sz w:val="16"/>
                <w:szCs w:val="16"/>
              </w:rPr>
              <w:t>(</w:t>
            </w:r>
            <w:r w:rsidR="00A942F5">
              <w:rPr>
                <w:rFonts w:ascii="Arial" w:hAnsi="Arial" w:cs="Arial"/>
                <w:color w:val="000000"/>
                <w:sz w:val="16"/>
                <w:szCs w:val="16"/>
              </w:rPr>
              <w:t>3,770</w:t>
            </w:r>
            <w:r w:rsidRPr="003F68EC">
              <w:rPr>
                <w:rFonts w:ascii="Arial" w:hAnsi="Arial" w:cs="Arial"/>
                <w:color w:val="000000"/>
                <w:sz w:val="16"/>
                <w:szCs w:val="16"/>
              </w:rPr>
              <w:t>)</w:t>
            </w:r>
          </w:p>
        </w:tc>
        <w:tc>
          <w:tcPr>
            <w:tcW w:w="939" w:type="dxa"/>
            <w:tcBorders>
              <w:top w:val="nil"/>
              <w:left w:val="nil"/>
              <w:bottom w:val="nil"/>
              <w:right w:val="nil"/>
            </w:tcBorders>
            <w:shd w:val="clear" w:color="auto" w:fill="auto"/>
            <w:noWrap/>
            <w:hideMark/>
          </w:tcPr>
          <w:p w:rsidR="003F68EC" w:rsidRPr="003F68EC" w:rsidRDefault="003F68EC" w:rsidP="00A942F5">
            <w:pPr>
              <w:spacing w:after="0" w:line="240" w:lineRule="auto"/>
              <w:jc w:val="right"/>
              <w:rPr>
                <w:rFonts w:ascii="Arial" w:hAnsi="Arial" w:cs="Arial"/>
                <w:color w:val="000000"/>
                <w:sz w:val="16"/>
                <w:szCs w:val="16"/>
              </w:rPr>
            </w:pPr>
            <w:r w:rsidRPr="003F68EC">
              <w:rPr>
                <w:rFonts w:ascii="Arial" w:hAnsi="Arial" w:cs="Arial"/>
                <w:color w:val="000000"/>
                <w:sz w:val="16"/>
                <w:szCs w:val="16"/>
              </w:rPr>
              <w:t>(</w:t>
            </w:r>
            <w:r w:rsidR="00A942F5">
              <w:rPr>
                <w:rFonts w:ascii="Arial" w:hAnsi="Arial" w:cs="Arial"/>
                <w:color w:val="000000"/>
                <w:sz w:val="16"/>
                <w:szCs w:val="16"/>
              </w:rPr>
              <w:t>2,572</w:t>
            </w:r>
            <w:r w:rsidRPr="003F68EC">
              <w:rPr>
                <w:rFonts w:ascii="Arial" w:hAnsi="Arial" w:cs="Arial"/>
                <w:color w:val="000000"/>
                <w:sz w:val="16"/>
                <w:szCs w:val="16"/>
              </w:rPr>
              <w:t>)</w:t>
            </w:r>
          </w:p>
        </w:tc>
        <w:tc>
          <w:tcPr>
            <w:tcW w:w="939" w:type="dxa"/>
            <w:tcBorders>
              <w:top w:val="nil"/>
              <w:left w:val="nil"/>
              <w:bottom w:val="nil"/>
              <w:right w:val="nil"/>
            </w:tcBorders>
            <w:shd w:val="clear" w:color="auto" w:fill="auto"/>
            <w:noWrap/>
            <w:hideMark/>
          </w:tcPr>
          <w:p w:rsidR="003F68EC" w:rsidRPr="003F68EC" w:rsidRDefault="003F68EC" w:rsidP="00A942F5">
            <w:pPr>
              <w:spacing w:after="0" w:line="240" w:lineRule="auto"/>
              <w:jc w:val="right"/>
              <w:rPr>
                <w:rFonts w:ascii="Arial" w:hAnsi="Arial" w:cs="Arial"/>
                <w:color w:val="000000"/>
                <w:sz w:val="16"/>
                <w:szCs w:val="16"/>
              </w:rPr>
            </w:pPr>
            <w:r w:rsidRPr="003F68EC">
              <w:rPr>
                <w:rFonts w:ascii="Arial" w:hAnsi="Arial" w:cs="Arial"/>
                <w:color w:val="000000"/>
                <w:sz w:val="16"/>
                <w:szCs w:val="16"/>
              </w:rPr>
              <w:t>(</w:t>
            </w:r>
            <w:r w:rsidR="00A942F5">
              <w:rPr>
                <w:rFonts w:ascii="Arial" w:hAnsi="Arial" w:cs="Arial"/>
                <w:color w:val="000000"/>
                <w:sz w:val="16"/>
                <w:szCs w:val="16"/>
              </w:rPr>
              <w:t>1,777</w:t>
            </w:r>
            <w:r w:rsidRPr="003F68EC">
              <w:rPr>
                <w:rFonts w:ascii="Arial" w:hAnsi="Arial" w:cs="Arial"/>
                <w:color w:val="000000"/>
                <w:sz w:val="16"/>
                <w:szCs w:val="16"/>
              </w:rPr>
              <w:t>)</w:t>
            </w:r>
          </w:p>
        </w:tc>
      </w:tr>
      <w:tr w:rsidR="003F68EC" w:rsidRPr="003F68EC" w:rsidTr="00AD1935">
        <w:trPr>
          <w:trHeight w:val="373"/>
        </w:trPr>
        <w:tc>
          <w:tcPr>
            <w:tcW w:w="2881" w:type="dxa"/>
            <w:tcBorders>
              <w:top w:val="nil"/>
              <w:left w:val="nil"/>
              <w:bottom w:val="nil"/>
              <w:right w:val="nil"/>
            </w:tcBorders>
            <w:shd w:val="clear" w:color="auto" w:fill="auto"/>
            <w:hideMark/>
          </w:tcPr>
          <w:p w:rsidR="003F68EC" w:rsidRPr="003F68EC" w:rsidRDefault="003F68EC" w:rsidP="003F68EC">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Net impact on estimates for Outcome 1 (departmental)</w:t>
            </w:r>
          </w:p>
        </w:tc>
        <w:tc>
          <w:tcPr>
            <w:tcW w:w="1098" w:type="dxa"/>
            <w:tcBorders>
              <w:top w:val="nil"/>
              <w:left w:val="nil"/>
              <w:bottom w:val="nil"/>
              <w:right w:val="nil"/>
            </w:tcBorders>
            <w:shd w:val="clear" w:color="auto" w:fill="auto"/>
            <w:noWrap/>
            <w:vAlign w:val="center"/>
            <w:hideMark/>
          </w:tcPr>
          <w:p w:rsidR="003F68EC" w:rsidRPr="003F68EC" w:rsidRDefault="003F68EC" w:rsidP="003F68EC">
            <w:pPr>
              <w:spacing w:after="0" w:line="240" w:lineRule="auto"/>
              <w:jc w:val="center"/>
              <w:rPr>
                <w:rFonts w:ascii="Arial" w:hAnsi="Arial" w:cs="Arial"/>
                <w:color w:val="000000"/>
                <w:sz w:val="16"/>
                <w:szCs w:val="16"/>
              </w:rPr>
            </w:pP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(9,149)</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941 </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2,114 </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 xml:space="preserve">2,673 </w:t>
            </w:r>
          </w:p>
        </w:tc>
      </w:tr>
      <w:tr w:rsidR="003F68EC" w:rsidRPr="003F68EC" w:rsidTr="00E47A5C">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Outcome 2</w:t>
            </w:r>
          </w:p>
        </w:tc>
        <w:tc>
          <w:tcPr>
            <w:tcW w:w="1098" w:type="dxa"/>
            <w:tcBorders>
              <w:top w:val="nil"/>
              <w:left w:val="nil"/>
              <w:bottom w:val="nil"/>
              <w:right w:val="nil"/>
            </w:tcBorders>
            <w:shd w:val="clear" w:color="auto" w:fill="auto"/>
            <w:noWrap/>
            <w:vAlign w:val="center"/>
            <w:hideMark/>
          </w:tcPr>
          <w:p w:rsidR="003F68EC" w:rsidRPr="003F68EC" w:rsidRDefault="003F68EC" w:rsidP="003F68EC">
            <w:pPr>
              <w:spacing w:after="0" w:line="240" w:lineRule="auto"/>
              <w:jc w:val="center"/>
              <w:rPr>
                <w:rFonts w:ascii="Arial" w:hAnsi="Arial" w:cs="Arial"/>
                <w:b/>
                <w:bCs/>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E47A5C">
        <w:trPr>
          <w:trHeight w:val="227"/>
        </w:trPr>
        <w:tc>
          <w:tcPr>
            <w:tcW w:w="3979"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Increase in estimates (administered)</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2A7B73">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 xml:space="preserve">Related </w:t>
            </w:r>
            <w:r w:rsidR="002A7B73">
              <w:rPr>
                <w:rFonts w:ascii="Arial" w:hAnsi="Arial" w:cs="Arial"/>
                <w:color w:val="000000"/>
                <w:sz w:val="16"/>
                <w:szCs w:val="16"/>
              </w:rPr>
              <w:t>e</w:t>
            </w:r>
            <w:r w:rsidRPr="003F68EC">
              <w:rPr>
                <w:rFonts w:ascii="Arial" w:hAnsi="Arial" w:cs="Arial"/>
                <w:color w:val="000000"/>
                <w:sz w:val="16"/>
                <w:szCs w:val="16"/>
              </w:rPr>
              <w:t>ntity</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2.3</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971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2A7B73">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 xml:space="preserve">Parameter </w:t>
            </w:r>
            <w:r w:rsidR="002A7B73">
              <w:rPr>
                <w:rFonts w:ascii="Arial" w:hAnsi="Arial" w:cs="Arial"/>
                <w:color w:val="000000"/>
                <w:sz w:val="16"/>
                <w:szCs w:val="16"/>
              </w:rPr>
              <w:t>a</w:t>
            </w:r>
            <w:r w:rsidRPr="003F68EC">
              <w:rPr>
                <w:rFonts w:ascii="Arial" w:hAnsi="Arial" w:cs="Arial"/>
                <w:color w:val="000000"/>
                <w:sz w:val="16"/>
                <w:szCs w:val="16"/>
              </w:rPr>
              <w:t>djustments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242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482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473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493 </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10,648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793 </w:t>
            </w:r>
          </w:p>
        </w:tc>
      </w:tr>
      <w:tr w:rsidR="003F68EC" w:rsidRPr="003F68EC" w:rsidTr="00E47A5C">
        <w:trPr>
          <w:trHeight w:val="227"/>
        </w:trPr>
        <w:tc>
          <w:tcPr>
            <w:tcW w:w="3979" w:type="dxa"/>
            <w:gridSpan w:val="2"/>
            <w:tcBorders>
              <w:top w:val="nil"/>
              <w:left w:val="nil"/>
              <w:bottom w:val="nil"/>
              <w:right w:val="nil"/>
            </w:tcBorders>
            <w:shd w:val="clear" w:color="auto" w:fill="auto"/>
            <w:noWrap/>
            <w:hideMark/>
          </w:tcPr>
          <w:p w:rsidR="003F68EC" w:rsidRPr="003F68EC" w:rsidRDefault="003F68EC" w:rsidP="003F68EC">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Decrease in estimates (administered)</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2A7B73" w:rsidP="003F68EC">
            <w:pPr>
              <w:spacing w:after="0" w:line="240" w:lineRule="auto"/>
              <w:ind w:firstLineChars="200" w:firstLine="320"/>
              <w:jc w:val="left"/>
              <w:rPr>
                <w:rFonts w:ascii="Arial" w:hAnsi="Arial" w:cs="Arial"/>
                <w:color w:val="000000"/>
                <w:sz w:val="16"/>
                <w:szCs w:val="16"/>
              </w:rPr>
            </w:pPr>
            <w:r>
              <w:rPr>
                <w:rFonts w:ascii="Arial" w:hAnsi="Arial" w:cs="Arial"/>
                <w:color w:val="000000"/>
                <w:sz w:val="16"/>
                <w:szCs w:val="16"/>
              </w:rPr>
              <w:t>Related e</w:t>
            </w:r>
            <w:r w:rsidR="003F68EC" w:rsidRPr="003F68EC">
              <w:rPr>
                <w:rFonts w:ascii="Arial" w:hAnsi="Arial" w:cs="Arial"/>
                <w:color w:val="000000"/>
                <w:sz w:val="16"/>
                <w:szCs w:val="16"/>
              </w:rPr>
              <w:t>ntity</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2.3</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(5,929)</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(1,695)</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(7,619)</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(4,092)</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8D43FC" w:rsidP="003F68EC">
            <w:pPr>
              <w:spacing w:after="0" w:line="240" w:lineRule="auto"/>
              <w:ind w:firstLineChars="200" w:firstLine="320"/>
              <w:jc w:val="left"/>
              <w:rPr>
                <w:rFonts w:ascii="Arial" w:hAnsi="Arial" w:cs="Arial"/>
                <w:color w:val="000000"/>
                <w:sz w:val="16"/>
                <w:szCs w:val="16"/>
              </w:rPr>
            </w:pPr>
            <w:r>
              <w:rPr>
                <w:rFonts w:ascii="Arial" w:hAnsi="Arial" w:cs="Arial"/>
                <w:color w:val="000000"/>
                <w:sz w:val="16"/>
                <w:szCs w:val="16"/>
              </w:rPr>
              <w:t>Programme specific p</w:t>
            </w:r>
            <w:r w:rsidR="003F68EC" w:rsidRPr="003F68EC">
              <w:rPr>
                <w:rFonts w:ascii="Arial" w:hAnsi="Arial" w:cs="Arial"/>
                <w:color w:val="000000"/>
                <w:sz w:val="16"/>
                <w:szCs w:val="16"/>
              </w:rPr>
              <w:t>arameter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(218)</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(240)</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(42)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(43)</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2A7B73">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 xml:space="preserve">Parameter </w:t>
            </w:r>
            <w:r w:rsidR="002A7B73">
              <w:rPr>
                <w:rFonts w:ascii="Arial" w:hAnsi="Arial" w:cs="Arial"/>
                <w:color w:val="000000"/>
                <w:sz w:val="16"/>
                <w:szCs w:val="16"/>
              </w:rPr>
              <w:t>a</w:t>
            </w:r>
            <w:r w:rsidRPr="003F68EC">
              <w:rPr>
                <w:rFonts w:ascii="Arial" w:hAnsi="Arial" w:cs="Arial"/>
                <w:color w:val="000000"/>
                <w:sz w:val="16"/>
                <w:szCs w:val="16"/>
              </w:rPr>
              <w:t>djustments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2.3</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(6)</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(12)</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2.1, 2.3</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(20,000)</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(20,061)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(20,061)</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(20,061)</w:t>
            </w:r>
          </w:p>
        </w:tc>
      </w:tr>
      <w:tr w:rsidR="003F68EC" w:rsidRPr="003F68EC" w:rsidTr="00AD1935">
        <w:trPr>
          <w:trHeight w:val="327"/>
        </w:trPr>
        <w:tc>
          <w:tcPr>
            <w:tcW w:w="2881" w:type="dxa"/>
            <w:tcBorders>
              <w:top w:val="nil"/>
              <w:left w:val="nil"/>
              <w:bottom w:val="nil"/>
              <w:right w:val="nil"/>
            </w:tcBorders>
            <w:shd w:val="clear" w:color="auto" w:fill="auto"/>
            <w:vAlign w:val="center"/>
            <w:hideMark/>
          </w:tcPr>
          <w:p w:rsidR="003F68EC" w:rsidRPr="003F68EC" w:rsidRDefault="003F68EC" w:rsidP="00AD1935">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Net impact on estimates for Outcome 2 (administered)</w:t>
            </w:r>
          </w:p>
        </w:tc>
        <w:tc>
          <w:tcPr>
            <w:tcW w:w="1098" w:type="dxa"/>
            <w:tcBorders>
              <w:top w:val="nil"/>
              <w:left w:val="nil"/>
              <w:bottom w:val="nil"/>
              <w:right w:val="nil"/>
            </w:tcBorders>
            <w:shd w:val="clear" w:color="auto" w:fill="auto"/>
            <w:noWrap/>
            <w:vAlign w:val="center"/>
            <w:hideMark/>
          </w:tcPr>
          <w:p w:rsidR="003F68EC" w:rsidRPr="003F68EC" w:rsidRDefault="003F68EC" w:rsidP="003F68EC">
            <w:pPr>
              <w:spacing w:after="0" w:line="240" w:lineRule="auto"/>
              <w:jc w:val="center"/>
              <w:rPr>
                <w:rFonts w:ascii="Arial" w:hAnsi="Arial" w:cs="Arial"/>
                <w:color w:val="000000"/>
                <w:sz w:val="16"/>
                <w:szCs w:val="16"/>
              </w:rPr>
            </w:pP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(15,257)</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(20,543)</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(27,255)</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(22,922)</w:t>
            </w:r>
          </w:p>
        </w:tc>
      </w:tr>
      <w:tr w:rsidR="003F68EC" w:rsidRPr="003F68EC" w:rsidTr="00AD1935">
        <w:trPr>
          <w:trHeight w:val="317"/>
        </w:trPr>
        <w:tc>
          <w:tcPr>
            <w:tcW w:w="3979" w:type="dxa"/>
            <w:gridSpan w:val="2"/>
            <w:tcBorders>
              <w:top w:val="nil"/>
              <w:left w:val="nil"/>
              <w:bottom w:val="nil"/>
              <w:right w:val="nil"/>
            </w:tcBorders>
            <w:shd w:val="clear" w:color="auto" w:fill="auto"/>
            <w:noWrap/>
            <w:vAlign w:val="center"/>
            <w:hideMark/>
          </w:tcPr>
          <w:p w:rsidR="003F68EC" w:rsidRPr="003F68EC" w:rsidRDefault="003F68EC" w:rsidP="00AD1935">
            <w:pPr>
              <w:spacing w:after="0" w:line="240" w:lineRule="auto"/>
              <w:ind w:firstLineChars="100" w:firstLine="160"/>
              <w:jc w:val="left"/>
              <w:rPr>
                <w:rFonts w:ascii="Arial" w:hAnsi="Arial" w:cs="Arial"/>
                <w:color w:val="000000"/>
                <w:sz w:val="16"/>
                <w:szCs w:val="16"/>
              </w:rPr>
            </w:pPr>
            <w:r w:rsidRPr="003F68EC">
              <w:rPr>
                <w:rFonts w:ascii="Arial" w:hAnsi="Arial" w:cs="Arial"/>
                <w:color w:val="000000"/>
                <w:sz w:val="16"/>
                <w:szCs w:val="16"/>
              </w:rPr>
              <w:t>Decrease in estimates (departmental)</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2A7B73">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 xml:space="preserve">Parameter </w:t>
            </w:r>
            <w:r w:rsidR="002A7B73">
              <w:rPr>
                <w:rFonts w:ascii="Arial" w:hAnsi="Arial" w:cs="Arial"/>
                <w:color w:val="000000"/>
                <w:sz w:val="16"/>
                <w:szCs w:val="16"/>
              </w:rPr>
              <w:t>a</w:t>
            </w:r>
            <w:r w:rsidRPr="003F68EC">
              <w:rPr>
                <w:rFonts w:ascii="Arial" w:hAnsi="Arial" w:cs="Arial"/>
                <w:color w:val="000000"/>
                <w:sz w:val="16"/>
                <w:szCs w:val="16"/>
              </w:rPr>
              <w:t>djustments</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 xml:space="preserve">- </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(37)</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(75)</w:t>
            </w:r>
          </w:p>
        </w:tc>
      </w:tr>
      <w:tr w:rsidR="003F68EC" w:rsidRPr="003F68EC" w:rsidTr="004A4685">
        <w:trPr>
          <w:trHeight w:val="227"/>
        </w:trPr>
        <w:tc>
          <w:tcPr>
            <w:tcW w:w="2881" w:type="dxa"/>
            <w:tcBorders>
              <w:top w:val="nil"/>
              <w:left w:val="nil"/>
              <w:bottom w:val="nil"/>
              <w:right w:val="nil"/>
            </w:tcBorders>
            <w:shd w:val="clear" w:color="auto" w:fill="auto"/>
            <w:noWrap/>
            <w:hideMark/>
          </w:tcPr>
          <w:p w:rsidR="003F68EC" w:rsidRPr="003F68EC" w:rsidRDefault="003F68EC" w:rsidP="003F68EC">
            <w:pPr>
              <w:spacing w:after="0" w:line="240" w:lineRule="auto"/>
              <w:ind w:firstLineChars="200" w:firstLine="320"/>
              <w:jc w:val="left"/>
              <w:rPr>
                <w:rFonts w:ascii="Arial" w:hAnsi="Arial" w:cs="Arial"/>
                <w:color w:val="000000"/>
                <w:sz w:val="16"/>
                <w:szCs w:val="16"/>
              </w:rPr>
            </w:pPr>
            <w:r w:rsidRPr="003F68EC">
              <w:rPr>
                <w:rFonts w:ascii="Arial" w:hAnsi="Arial" w:cs="Arial"/>
                <w:color w:val="000000"/>
                <w:sz w:val="16"/>
                <w:szCs w:val="16"/>
              </w:rPr>
              <w:t>Other</w:t>
            </w:r>
          </w:p>
        </w:tc>
        <w:tc>
          <w:tcPr>
            <w:tcW w:w="1098" w:type="dxa"/>
            <w:tcBorders>
              <w:top w:val="nil"/>
              <w:left w:val="nil"/>
              <w:bottom w:val="nil"/>
              <w:right w:val="nil"/>
            </w:tcBorders>
            <w:shd w:val="clear" w:color="auto" w:fill="auto"/>
            <w:noWrap/>
            <w:hideMark/>
          </w:tcPr>
          <w:p w:rsidR="003F68EC" w:rsidRPr="003F68EC" w:rsidRDefault="003F68EC" w:rsidP="004A4685">
            <w:pPr>
              <w:spacing w:after="0" w:line="240" w:lineRule="auto"/>
              <w:jc w:val="center"/>
              <w:rPr>
                <w:rFonts w:ascii="Arial" w:hAnsi="Arial" w:cs="Arial"/>
                <w:color w:val="000000"/>
                <w:sz w:val="16"/>
                <w:szCs w:val="16"/>
              </w:rPr>
            </w:pPr>
            <w:r w:rsidRPr="003F68EC">
              <w:rPr>
                <w:rFonts w:ascii="Arial" w:hAnsi="Arial" w:cs="Arial"/>
                <w:color w:val="000000"/>
                <w:sz w:val="16"/>
                <w:szCs w:val="16"/>
              </w:rPr>
              <w:t>2</w:t>
            </w:r>
          </w:p>
        </w:tc>
        <w:tc>
          <w:tcPr>
            <w:tcW w:w="939" w:type="dxa"/>
            <w:tcBorders>
              <w:top w:val="nil"/>
              <w:left w:val="nil"/>
              <w:bottom w:val="nil"/>
              <w:right w:val="nil"/>
            </w:tcBorders>
            <w:shd w:val="clear" w:color="auto" w:fill="auto"/>
            <w:noWrap/>
            <w:hideMark/>
          </w:tcPr>
          <w:p w:rsidR="003F68EC" w:rsidRPr="003F68EC" w:rsidRDefault="003F68EC" w:rsidP="00A942F5">
            <w:pPr>
              <w:spacing w:after="0" w:line="240" w:lineRule="auto"/>
              <w:jc w:val="right"/>
              <w:rPr>
                <w:rFonts w:ascii="Arial" w:hAnsi="Arial" w:cs="Arial"/>
                <w:color w:val="000000"/>
                <w:sz w:val="16"/>
                <w:szCs w:val="16"/>
              </w:rPr>
            </w:pPr>
            <w:r w:rsidRPr="003F68EC">
              <w:rPr>
                <w:rFonts w:ascii="Arial" w:hAnsi="Arial" w:cs="Arial"/>
                <w:color w:val="000000"/>
                <w:sz w:val="16"/>
                <w:szCs w:val="16"/>
              </w:rPr>
              <w:t>(</w:t>
            </w:r>
            <w:r w:rsidR="00A942F5">
              <w:rPr>
                <w:rFonts w:ascii="Arial" w:hAnsi="Arial" w:cs="Arial"/>
                <w:color w:val="000000"/>
                <w:sz w:val="16"/>
                <w:szCs w:val="16"/>
              </w:rPr>
              <w:t>1,786</w:t>
            </w:r>
            <w:r w:rsidRPr="003F68EC">
              <w:rPr>
                <w:rFonts w:ascii="Arial" w:hAnsi="Arial" w:cs="Arial"/>
                <w:color w:val="000000"/>
                <w:sz w:val="16"/>
                <w:szCs w:val="16"/>
              </w:rPr>
              <w:t>)</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(1,396)</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(1,199)</w:t>
            </w:r>
          </w:p>
        </w:tc>
        <w:tc>
          <w:tcPr>
            <w:tcW w:w="939" w:type="dxa"/>
            <w:tcBorders>
              <w:top w:val="nil"/>
              <w:left w:val="nil"/>
              <w:bottom w:val="nil"/>
              <w:right w:val="nil"/>
            </w:tcBorders>
            <w:shd w:val="clear" w:color="auto" w:fill="auto"/>
            <w:noWrap/>
            <w:hideMark/>
          </w:tcPr>
          <w:p w:rsidR="003F68EC" w:rsidRPr="003F68EC" w:rsidRDefault="003F68EC" w:rsidP="003F68EC">
            <w:pPr>
              <w:spacing w:after="0" w:line="240" w:lineRule="auto"/>
              <w:jc w:val="right"/>
              <w:rPr>
                <w:rFonts w:ascii="Arial" w:hAnsi="Arial" w:cs="Arial"/>
                <w:color w:val="000000"/>
                <w:sz w:val="16"/>
                <w:szCs w:val="16"/>
              </w:rPr>
            </w:pPr>
            <w:r w:rsidRPr="003F68EC">
              <w:rPr>
                <w:rFonts w:ascii="Arial" w:hAnsi="Arial" w:cs="Arial"/>
                <w:color w:val="000000"/>
                <w:sz w:val="16"/>
                <w:szCs w:val="16"/>
              </w:rPr>
              <w:t>(1,071)</w:t>
            </w:r>
          </w:p>
        </w:tc>
      </w:tr>
      <w:tr w:rsidR="003F68EC" w:rsidRPr="003F68EC" w:rsidTr="00AD1935">
        <w:trPr>
          <w:trHeight w:val="301"/>
        </w:trPr>
        <w:tc>
          <w:tcPr>
            <w:tcW w:w="2881" w:type="dxa"/>
            <w:tcBorders>
              <w:top w:val="nil"/>
              <w:left w:val="nil"/>
              <w:bottom w:val="single" w:sz="4" w:space="0" w:color="auto"/>
              <w:right w:val="nil"/>
            </w:tcBorders>
            <w:shd w:val="clear" w:color="auto" w:fill="auto"/>
            <w:vAlign w:val="bottom"/>
            <w:hideMark/>
          </w:tcPr>
          <w:p w:rsidR="003F68EC" w:rsidRPr="003F68EC" w:rsidRDefault="003F68EC" w:rsidP="00AD1935">
            <w:pPr>
              <w:spacing w:after="0" w:line="240" w:lineRule="auto"/>
              <w:jc w:val="left"/>
              <w:rPr>
                <w:rFonts w:ascii="Arial" w:hAnsi="Arial" w:cs="Arial"/>
                <w:b/>
                <w:bCs/>
                <w:color w:val="000000"/>
                <w:sz w:val="16"/>
                <w:szCs w:val="16"/>
              </w:rPr>
            </w:pPr>
            <w:r w:rsidRPr="003F68EC">
              <w:rPr>
                <w:rFonts w:ascii="Arial" w:hAnsi="Arial" w:cs="Arial"/>
                <w:b/>
                <w:bCs/>
                <w:color w:val="000000"/>
                <w:sz w:val="16"/>
                <w:szCs w:val="16"/>
              </w:rPr>
              <w:t>Net impact on estimates for Outcome 2 (departmental)</w:t>
            </w:r>
          </w:p>
        </w:tc>
        <w:tc>
          <w:tcPr>
            <w:tcW w:w="1098" w:type="dxa"/>
            <w:tcBorders>
              <w:top w:val="nil"/>
              <w:left w:val="nil"/>
              <w:bottom w:val="single" w:sz="4" w:space="0" w:color="auto"/>
              <w:right w:val="nil"/>
            </w:tcBorders>
            <w:shd w:val="clear" w:color="auto" w:fill="auto"/>
            <w:noWrap/>
            <w:hideMark/>
          </w:tcPr>
          <w:p w:rsidR="003F68EC" w:rsidRPr="003F68EC" w:rsidRDefault="003F68EC" w:rsidP="003F68EC">
            <w:pPr>
              <w:spacing w:after="0" w:line="240" w:lineRule="auto"/>
              <w:jc w:val="center"/>
              <w:rPr>
                <w:rFonts w:ascii="Arial" w:hAnsi="Arial" w:cs="Arial"/>
                <w:color w:val="000000"/>
                <w:sz w:val="16"/>
                <w:szCs w:val="16"/>
              </w:rPr>
            </w:pPr>
            <w:r w:rsidRPr="003F68EC">
              <w:rPr>
                <w:rFonts w:ascii="Arial" w:hAnsi="Arial" w:cs="Arial"/>
                <w:color w:val="000000"/>
                <w:sz w:val="16"/>
                <w:szCs w:val="16"/>
              </w:rPr>
              <w:t> </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(1,786)</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(1,396)</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(1,236)</w:t>
            </w:r>
          </w:p>
        </w:tc>
        <w:tc>
          <w:tcPr>
            <w:tcW w:w="939" w:type="dxa"/>
            <w:tcBorders>
              <w:top w:val="single" w:sz="4" w:space="0" w:color="auto"/>
              <w:left w:val="nil"/>
              <w:bottom w:val="single" w:sz="4" w:space="0" w:color="auto"/>
              <w:right w:val="nil"/>
            </w:tcBorders>
            <w:shd w:val="clear" w:color="auto" w:fill="auto"/>
            <w:noWrap/>
            <w:vAlign w:val="bottom"/>
            <w:hideMark/>
          </w:tcPr>
          <w:p w:rsidR="003F68EC" w:rsidRPr="003F68EC" w:rsidRDefault="003F68EC" w:rsidP="00AD1935">
            <w:pPr>
              <w:spacing w:after="0" w:line="240" w:lineRule="auto"/>
              <w:jc w:val="right"/>
              <w:rPr>
                <w:rFonts w:ascii="Arial" w:hAnsi="Arial" w:cs="Arial"/>
                <w:b/>
                <w:bCs/>
                <w:color w:val="000000"/>
                <w:sz w:val="16"/>
                <w:szCs w:val="16"/>
              </w:rPr>
            </w:pPr>
            <w:r w:rsidRPr="003F68EC">
              <w:rPr>
                <w:rFonts w:ascii="Arial" w:hAnsi="Arial" w:cs="Arial"/>
                <w:b/>
                <w:bCs/>
                <w:color w:val="000000"/>
                <w:sz w:val="16"/>
                <w:szCs w:val="16"/>
              </w:rPr>
              <w:t>(1,146)</w:t>
            </w:r>
          </w:p>
        </w:tc>
      </w:tr>
    </w:tbl>
    <w:p w:rsidR="00F51DAC" w:rsidRPr="00564C0F" w:rsidRDefault="00F51DAC" w:rsidP="00F51DAC">
      <w:pPr>
        <w:pStyle w:val="Heading3"/>
      </w:pPr>
      <w:bookmarkStart w:id="186" w:name="_Toc490972407"/>
      <w:bookmarkStart w:id="187" w:name="_Toc491014627"/>
      <w:bookmarkStart w:id="188" w:name="_Toc491014769"/>
      <w:bookmarkStart w:id="189" w:name="_Toc491014949"/>
      <w:bookmarkStart w:id="190" w:name="_Toc491015096"/>
      <w:bookmarkStart w:id="191" w:name="_Toc491029237"/>
      <w:bookmarkStart w:id="192" w:name="_Toc491030326"/>
      <w:bookmarkStart w:id="193" w:name="_Toc491030786"/>
      <w:bookmarkStart w:id="194" w:name="_Toc491031349"/>
      <w:bookmarkStart w:id="195" w:name="_Toc491031936"/>
      <w:bookmarkStart w:id="196" w:name="_Toc491032108"/>
      <w:bookmarkStart w:id="197" w:name="_Toc491032217"/>
      <w:bookmarkStart w:id="198" w:name="_Toc491032324"/>
      <w:bookmarkStart w:id="199" w:name="_Toc491771712"/>
      <w:bookmarkStart w:id="200" w:name="_Toc491773287"/>
      <w:bookmarkStart w:id="201" w:name="_Toc23559345"/>
      <w:bookmarkStart w:id="202" w:name="_Toc23559379"/>
      <w:bookmarkStart w:id="203" w:name="_Toc23559670"/>
      <w:bookmarkStart w:id="204" w:name="_Toc23560134"/>
      <w:bookmarkStart w:id="205" w:name="_Toc23563428"/>
      <w:bookmarkStart w:id="206" w:name="_Toc77998681"/>
      <w:bookmarkStart w:id="207" w:name="_Toc79406110"/>
      <w:bookmarkStart w:id="208" w:name="_Toc79467812"/>
      <w:bookmarkStart w:id="209" w:name="_Toc112211960"/>
      <w:bookmarkStart w:id="210" w:name="_Toc112212054"/>
      <w:bookmarkStart w:id="211" w:name="_Toc112137872"/>
      <w:bookmarkStart w:id="212" w:name="_Toc112137894"/>
      <w:r>
        <w:br w:type="page"/>
      </w:r>
      <w:bookmarkStart w:id="213" w:name="_Toc210703212"/>
      <w:r>
        <w:lastRenderedPageBreak/>
        <w:t>1.</w:t>
      </w:r>
      <w:bookmarkEnd w:id="213"/>
      <w:r>
        <w:t>5</w:t>
      </w:r>
      <w:r>
        <w:tab/>
      </w:r>
      <w:bookmarkStart w:id="214" w:name="_Toc210646451"/>
      <w:bookmarkStart w:id="215" w:name="_Toc210698430"/>
      <w:bookmarkStart w:id="216" w:name="_Toc210703213"/>
      <w:r w:rsidRPr="00564C0F">
        <w:t>Breakdown of additional estimates by appropriation bill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bookmarkEnd w:id="215"/>
      <w:bookmarkEnd w:id="216"/>
    </w:p>
    <w:p w:rsidR="00F51DAC" w:rsidRPr="00A4644A" w:rsidRDefault="00F51DAC" w:rsidP="004B25FE">
      <w:pPr>
        <w:jc w:val="left"/>
      </w:pPr>
      <w:r w:rsidRPr="00564C0F">
        <w:t xml:space="preserve">The following tables detail the Additional Estimates sought for </w:t>
      </w:r>
      <w:r w:rsidR="004B25FE">
        <w:t>the Department of Employment</w:t>
      </w:r>
      <w:r w:rsidRPr="00564C0F">
        <w:t xml:space="preserve"> through </w:t>
      </w:r>
      <w:r w:rsidRPr="00A4644A">
        <w:t>Appropriation Bills No.</w:t>
      </w:r>
      <w:r w:rsidR="00BF696F" w:rsidRPr="00A4644A">
        <w:t xml:space="preserve"> </w:t>
      </w:r>
      <w:r w:rsidRPr="00A4644A">
        <w:t xml:space="preserve">3 </w:t>
      </w:r>
      <w:r w:rsidR="001A1C55" w:rsidRPr="00A4644A">
        <w:t>and</w:t>
      </w:r>
      <w:r w:rsidR="00BF696F" w:rsidRPr="00A4644A">
        <w:t xml:space="preserve"> </w:t>
      </w:r>
      <w:r w:rsidR="00A4644A">
        <w:t xml:space="preserve">No. </w:t>
      </w:r>
      <w:r w:rsidRPr="00A4644A">
        <w:t>4.</w:t>
      </w:r>
    </w:p>
    <w:p w:rsidR="00F51DAC" w:rsidRDefault="00F51DAC" w:rsidP="00F51DAC">
      <w:pPr>
        <w:pStyle w:val="TableHeading"/>
        <w:rPr>
          <w:lang w:val="en-AU"/>
        </w:rPr>
      </w:pPr>
      <w:bookmarkStart w:id="217" w:name="_Toc491771713"/>
      <w:bookmarkStart w:id="218" w:name="_Toc491773288"/>
      <w:bookmarkStart w:id="219" w:name="_Toc23559346"/>
      <w:bookmarkStart w:id="220" w:name="_Toc23559380"/>
      <w:bookmarkStart w:id="221" w:name="_Toc23560135"/>
      <w:bookmarkStart w:id="222" w:name="_Toc23563429"/>
      <w:r w:rsidRPr="00564C0F">
        <w:t xml:space="preserve">Table 1.5: Appropriation Bill (No. 3) </w:t>
      </w:r>
      <w:bookmarkEnd w:id="217"/>
      <w:bookmarkEnd w:id="218"/>
      <w:bookmarkEnd w:id="219"/>
      <w:bookmarkEnd w:id="220"/>
      <w:bookmarkEnd w:id="221"/>
      <w:bookmarkEnd w:id="222"/>
      <w:r w:rsidR="00A1234B" w:rsidRPr="00564C0F">
        <w:t>201</w:t>
      </w:r>
      <w:r w:rsidR="000E33CD" w:rsidRPr="00564C0F">
        <w:rPr>
          <w:lang w:val="en-AU"/>
        </w:rPr>
        <w:t>5</w:t>
      </w:r>
      <w:r w:rsidR="004B25FE">
        <w:rPr>
          <w:lang w:val="en-AU"/>
        </w:rPr>
        <w:t>–</w:t>
      </w:r>
      <w:r w:rsidR="00A1234B" w:rsidRPr="00564C0F">
        <w:t>1</w:t>
      </w:r>
      <w:r w:rsidR="000E33CD" w:rsidRPr="00564C0F">
        <w:rPr>
          <w:lang w:val="en-AU"/>
        </w:rPr>
        <w:t>6</w:t>
      </w:r>
    </w:p>
    <w:tbl>
      <w:tblPr>
        <w:tblW w:w="7769" w:type="dxa"/>
        <w:tblInd w:w="93" w:type="dxa"/>
        <w:tblLook w:val="04A0" w:firstRow="1" w:lastRow="0" w:firstColumn="1" w:lastColumn="0" w:noHBand="0" w:noVBand="1"/>
      </w:tblPr>
      <w:tblGrid>
        <w:gridCol w:w="2804"/>
        <w:gridCol w:w="993"/>
        <w:gridCol w:w="993"/>
        <w:gridCol w:w="993"/>
        <w:gridCol w:w="993"/>
        <w:gridCol w:w="993"/>
      </w:tblGrid>
      <w:tr w:rsidR="000B6127" w:rsidRPr="008D43FC" w:rsidTr="001F3C45">
        <w:trPr>
          <w:trHeight w:val="681"/>
          <w:tblHeader/>
        </w:trPr>
        <w:tc>
          <w:tcPr>
            <w:tcW w:w="2804" w:type="dxa"/>
            <w:tcBorders>
              <w:top w:val="single" w:sz="4" w:space="0" w:color="auto"/>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c>
          <w:tcPr>
            <w:tcW w:w="993" w:type="dxa"/>
            <w:tcBorders>
              <w:top w:val="single" w:sz="4" w:space="0" w:color="auto"/>
              <w:left w:val="nil"/>
              <w:bottom w:val="single" w:sz="4" w:space="0" w:color="000000"/>
              <w:right w:val="nil"/>
            </w:tcBorders>
            <w:shd w:val="clear" w:color="auto" w:fill="auto"/>
            <w:vAlign w:val="center"/>
            <w:hideMark/>
          </w:tcPr>
          <w:p w:rsidR="008D43FC" w:rsidRPr="008D43FC" w:rsidRDefault="008D43FC" w:rsidP="008D43FC">
            <w:pPr>
              <w:spacing w:after="0" w:line="240" w:lineRule="auto"/>
              <w:jc w:val="right"/>
              <w:rPr>
                <w:rFonts w:ascii="Arial" w:hAnsi="Arial" w:cs="Arial"/>
                <w:i/>
                <w:iCs/>
                <w:color w:val="000000"/>
                <w:sz w:val="16"/>
                <w:szCs w:val="16"/>
              </w:rPr>
            </w:pPr>
            <w:r>
              <w:rPr>
                <w:rFonts w:ascii="Arial" w:hAnsi="Arial" w:cs="Arial"/>
                <w:i/>
                <w:iCs/>
                <w:color w:val="000000"/>
                <w:sz w:val="16"/>
                <w:szCs w:val="16"/>
              </w:rPr>
              <w:t>2014–</w:t>
            </w:r>
            <w:r w:rsidRPr="008D43FC">
              <w:rPr>
                <w:rFonts w:ascii="Arial" w:hAnsi="Arial" w:cs="Arial"/>
                <w:i/>
                <w:iCs/>
                <w:color w:val="000000"/>
                <w:sz w:val="16"/>
                <w:szCs w:val="16"/>
              </w:rPr>
              <w:t>15</w:t>
            </w:r>
            <w:r w:rsidRPr="008D43FC">
              <w:rPr>
                <w:rFonts w:ascii="Arial" w:hAnsi="Arial" w:cs="Arial"/>
                <w:i/>
                <w:iCs/>
                <w:color w:val="000000"/>
                <w:sz w:val="16"/>
                <w:szCs w:val="16"/>
              </w:rPr>
              <w:br/>
              <w:t>Available</w:t>
            </w:r>
            <w:r w:rsidRPr="008D43FC">
              <w:rPr>
                <w:rFonts w:ascii="Arial" w:hAnsi="Arial" w:cs="Arial"/>
                <w:i/>
                <w:iCs/>
                <w:color w:val="000000"/>
                <w:sz w:val="16"/>
                <w:szCs w:val="16"/>
              </w:rPr>
              <w:br/>
              <w:t>$'000</w:t>
            </w:r>
          </w:p>
        </w:tc>
        <w:tc>
          <w:tcPr>
            <w:tcW w:w="993" w:type="dxa"/>
            <w:tcBorders>
              <w:top w:val="single" w:sz="4" w:space="0" w:color="auto"/>
              <w:left w:val="nil"/>
              <w:bottom w:val="single" w:sz="4" w:space="0" w:color="000000"/>
              <w:right w:val="nil"/>
            </w:tcBorders>
            <w:shd w:val="clear" w:color="auto" w:fill="auto"/>
            <w:vAlign w:val="center"/>
            <w:hideMark/>
          </w:tcPr>
          <w:p w:rsidR="008D43FC" w:rsidRPr="008D43FC" w:rsidRDefault="008D43FC" w:rsidP="008D43FC">
            <w:pPr>
              <w:spacing w:after="0" w:line="240" w:lineRule="auto"/>
              <w:jc w:val="right"/>
              <w:rPr>
                <w:rFonts w:ascii="Arial" w:hAnsi="Arial" w:cs="Arial"/>
                <w:color w:val="000000"/>
                <w:sz w:val="16"/>
                <w:szCs w:val="16"/>
              </w:rPr>
            </w:pPr>
            <w:r>
              <w:rPr>
                <w:rFonts w:ascii="Arial" w:hAnsi="Arial" w:cs="Arial"/>
                <w:color w:val="000000"/>
                <w:sz w:val="16"/>
                <w:szCs w:val="16"/>
              </w:rPr>
              <w:t>2015–</w:t>
            </w:r>
            <w:r w:rsidRPr="008D43FC">
              <w:rPr>
                <w:rFonts w:ascii="Arial" w:hAnsi="Arial" w:cs="Arial"/>
                <w:color w:val="000000"/>
                <w:sz w:val="16"/>
                <w:szCs w:val="16"/>
              </w:rPr>
              <w:t>16</w:t>
            </w:r>
            <w:r w:rsidRPr="008D43FC">
              <w:rPr>
                <w:rFonts w:ascii="Arial" w:hAnsi="Arial" w:cs="Arial"/>
                <w:color w:val="000000"/>
                <w:sz w:val="16"/>
                <w:szCs w:val="16"/>
              </w:rPr>
              <w:br/>
              <w:t>Budget</w:t>
            </w:r>
            <w:r w:rsidRPr="008D43FC">
              <w:rPr>
                <w:rFonts w:ascii="Arial" w:hAnsi="Arial" w:cs="Arial"/>
                <w:color w:val="000000"/>
                <w:sz w:val="16"/>
                <w:szCs w:val="16"/>
              </w:rPr>
              <w:br/>
              <w:t>$'000</w:t>
            </w:r>
          </w:p>
        </w:tc>
        <w:tc>
          <w:tcPr>
            <w:tcW w:w="993" w:type="dxa"/>
            <w:tcBorders>
              <w:top w:val="single" w:sz="4" w:space="0" w:color="auto"/>
              <w:left w:val="nil"/>
              <w:bottom w:val="single" w:sz="4" w:space="0" w:color="000000"/>
              <w:right w:val="nil"/>
            </w:tcBorders>
            <w:shd w:val="clear" w:color="auto" w:fill="auto"/>
            <w:vAlign w:val="center"/>
            <w:hideMark/>
          </w:tcPr>
          <w:p w:rsidR="008D43FC" w:rsidRPr="008D43FC" w:rsidRDefault="008D43FC" w:rsidP="008D43FC">
            <w:pPr>
              <w:spacing w:after="0" w:line="240" w:lineRule="auto"/>
              <w:jc w:val="right"/>
              <w:rPr>
                <w:rFonts w:ascii="Arial" w:hAnsi="Arial" w:cs="Arial"/>
                <w:color w:val="000000"/>
                <w:sz w:val="16"/>
                <w:szCs w:val="16"/>
              </w:rPr>
            </w:pPr>
            <w:r>
              <w:rPr>
                <w:rFonts w:ascii="Arial" w:hAnsi="Arial" w:cs="Arial"/>
                <w:color w:val="000000"/>
                <w:sz w:val="16"/>
                <w:szCs w:val="16"/>
              </w:rPr>
              <w:t>2015–</w:t>
            </w:r>
            <w:r w:rsidRPr="008D43FC">
              <w:rPr>
                <w:rFonts w:ascii="Arial" w:hAnsi="Arial" w:cs="Arial"/>
                <w:color w:val="000000"/>
                <w:sz w:val="16"/>
                <w:szCs w:val="16"/>
              </w:rPr>
              <w:t>16</w:t>
            </w:r>
            <w:r w:rsidRPr="008D43FC">
              <w:rPr>
                <w:rFonts w:ascii="Arial" w:hAnsi="Arial" w:cs="Arial"/>
                <w:color w:val="000000"/>
                <w:sz w:val="16"/>
                <w:szCs w:val="16"/>
              </w:rPr>
              <w:br/>
              <w:t>Revised</w:t>
            </w:r>
            <w:r w:rsidRPr="008D43FC">
              <w:rPr>
                <w:rFonts w:ascii="Arial" w:hAnsi="Arial" w:cs="Arial"/>
                <w:color w:val="000000"/>
                <w:sz w:val="16"/>
                <w:szCs w:val="16"/>
              </w:rPr>
              <w:br/>
              <w:t>$'000</w:t>
            </w:r>
          </w:p>
        </w:tc>
        <w:tc>
          <w:tcPr>
            <w:tcW w:w="993" w:type="dxa"/>
            <w:tcBorders>
              <w:top w:val="single" w:sz="4" w:space="0" w:color="auto"/>
              <w:left w:val="nil"/>
              <w:bottom w:val="single" w:sz="4" w:space="0" w:color="000000"/>
              <w:right w:val="nil"/>
            </w:tcBorders>
            <w:shd w:val="clear" w:color="000000" w:fill="E6E6E6"/>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Additional Estimates</w:t>
            </w:r>
            <w:r w:rsidRPr="008D43FC">
              <w:rPr>
                <w:rFonts w:ascii="Arial" w:hAnsi="Arial" w:cs="Arial"/>
                <w:color w:val="000000"/>
                <w:sz w:val="16"/>
                <w:szCs w:val="16"/>
              </w:rPr>
              <w:br/>
              <w:t>$'000</w:t>
            </w:r>
          </w:p>
        </w:tc>
        <w:tc>
          <w:tcPr>
            <w:tcW w:w="993" w:type="dxa"/>
            <w:tcBorders>
              <w:top w:val="single" w:sz="4" w:space="0" w:color="auto"/>
              <w:left w:val="nil"/>
              <w:bottom w:val="single" w:sz="4" w:space="0" w:color="000000"/>
              <w:right w:val="nil"/>
            </w:tcBorders>
            <w:shd w:val="clear" w:color="000000" w:fill="E6E6E6"/>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Reduced Estimates</w:t>
            </w:r>
            <w:r w:rsidRPr="008D43FC">
              <w:rPr>
                <w:rFonts w:ascii="Arial" w:hAnsi="Arial" w:cs="Arial"/>
                <w:color w:val="000000"/>
                <w:sz w:val="16"/>
                <w:szCs w:val="16"/>
              </w:rPr>
              <w:br/>
              <w:t>$'000</w:t>
            </w:r>
          </w:p>
        </w:tc>
      </w:tr>
      <w:tr w:rsidR="000B6127" w:rsidRPr="008D43FC" w:rsidTr="000B6127">
        <w:trPr>
          <w:trHeight w:val="227"/>
        </w:trPr>
        <w:tc>
          <w:tcPr>
            <w:tcW w:w="2804" w:type="dxa"/>
            <w:tcBorders>
              <w:top w:val="nil"/>
              <w:left w:val="nil"/>
              <w:bottom w:val="nil"/>
              <w:right w:val="nil"/>
            </w:tcBorders>
            <w:shd w:val="clear" w:color="auto" w:fill="auto"/>
            <w:noWrap/>
            <w:vAlign w:val="center"/>
            <w:hideMark/>
          </w:tcPr>
          <w:p w:rsidR="008D43FC" w:rsidRPr="008D43FC" w:rsidRDefault="000B6127"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ADMINISTERED ITEMS</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247"/>
        </w:trPr>
        <w:tc>
          <w:tcPr>
            <w:tcW w:w="2804"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Outcome 1</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1132"/>
        </w:trPr>
        <w:tc>
          <w:tcPr>
            <w:tcW w:w="2804" w:type="dxa"/>
            <w:tcBorders>
              <w:top w:val="nil"/>
              <w:left w:val="nil"/>
              <w:bottom w:val="nil"/>
              <w:right w:val="nil"/>
            </w:tcBorders>
            <w:shd w:val="clear" w:color="auto" w:fill="auto"/>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Foster a productive and competitive labour market through employment policies and programmes that assist job seekers into work, meet employer needs and increase Australia's workforce participation.</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r w:rsidRPr="008D43FC">
              <w:rPr>
                <w:rFonts w:ascii="Arial" w:hAnsi="Arial" w:cs="Arial"/>
                <w:i/>
                <w:iCs/>
                <w:color w:val="000000"/>
                <w:sz w:val="16"/>
                <w:szCs w:val="16"/>
              </w:rPr>
              <w:t xml:space="preserve">1,524,317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1,523,012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1,522,705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307 </w:t>
            </w:r>
          </w:p>
        </w:tc>
      </w:tr>
      <w:tr w:rsidR="000B6127" w:rsidRPr="008D43FC" w:rsidTr="000B6127">
        <w:trPr>
          <w:trHeight w:val="283"/>
        </w:trPr>
        <w:tc>
          <w:tcPr>
            <w:tcW w:w="2804"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Outcome 2</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428"/>
        </w:trPr>
        <w:tc>
          <w:tcPr>
            <w:tcW w:w="2804" w:type="dxa"/>
            <w:tcBorders>
              <w:top w:val="nil"/>
              <w:left w:val="nil"/>
              <w:bottom w:val="nil"/>
              <w:right w:val="nil"/>
            </w:tcBorders>
            <w:shd w:val="clear" w:color="auto" w:fill="auto"/>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Facilitate jobs growth through policies that promote fair, productive and safe workplaces.</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r w:rsidRPr="008D43FC">
              <w:rPr>
                <w:rFonts w:ascii="Arial" w:hAnsi="Arial" w:cs="Arial"/>
                <w:i/>
                <w:iCs/>
                <w:color w:val="000000"/>
                <w:sz w:val="16"/>
                <w:szCs w:val="16"/>
              </w:rPr>
              <w:t xml:space="preserve">28,235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21,352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21,672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320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 </w:t>
            </w:r>
          </w:p>
        </w:tc>
      </w:tr>
      <w:tr w:rsidR="000B6127" w:rsidRPr="008D43FC" w:rsidTr="000B6127">
        <w:trPr>
          <w:trHeight w:val="227"/>
        </w:trPr>
        <w:tc>
          <w:tcPr>
            <w:tcW w:w="2804"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Total administered</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
                <w:iCs/>
                <w:color w:val="000000"/>
                <w:sz w:val="16"/>
                <w:szCs w:val="16"/>
              </w:rPr>
            </w:pPr>
            <w:r w:rsidRPr="008D43FC">
              <w:rPr>
                <w:rFonts w:ascii="Arial" w:hAnsi="Arial" w:cs="Arial"/>
                <w:b/>
                <w:bCs/>
                <w:i/>
                <w:iCs/>
                <w:color w:val="000000"/>
                <w:sz w:val="16"/>
                <w:szCs w:val="16"/>
              </w:rPr>
              <w:t xml:space="preserve">1,552,552 </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Cs/>
                <w:color w:val="000000"/>
                <w:sz w:val="16"/>
                <w:szCs w:val="16"/>
              </w:rPr>
            </w:pPr>
            <w:r w:rsidRPr="008D43FC">
              <w:rPr>
                <w:rFonts w:ascii="Arial" w:hAnsi="Arial" w:cs="Arial"/>
                <w:b/>
                <w:bCs/>
                <w:iCs/>
                <w:color w:val="000000"/>
                <w:sz w:val="16"/>
                <w:szCs w:val="16"/>
              </w:rPr>
              <w:t xml:space="preserve">1,544,364 </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Cs/>
                <w:color w:val="000000"/>
                <w:sz w:val="16"/>
                <w:szCs w:val="16"/>
              </w:rPr>
            </w:pPr>
            <w:r w:rsidRPr="008D43FC">
              <w:rPr>
                <w:rFonts w:ascii="Arial" w:hAnsi="Arial" w:cs="Arial"/>
                <w:b/>
                <w:bCs/>
                <w:iCs/>
                <w:color w:val="000000"/>
                <w:sz w:val="16"/>
                <w:szCs w:val="16"/>
              </w:rPr>
              <w:t xml:space="preserve">1,544,377 </w:t>
            </w:r>
          </w:p>
        </w:tc>
        <w:tc>
          <w:tcPr>
            <w:tcW w:w="993" w:type="dxa"/>
            <w:tcBorders>
              <w:top w:val="single" w:sz="4" w:space="0" w:color="000000"/>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320 </w:t>
            </w:r>
          </w:p>
        </w:tc>
        <w:tc>
          <w:tcPr>
            <w:tcW w:w="993" w:type="dxa"/>
            <w:tcBorders>
              <w:top w:val="single" w:sz="4" w:space="0" w:color="000000"/>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307 </w:t>
            </w:r>
          </w:p>
        </w:tc>
      </w:tr>
      <w:tr w:rsidR="000B6127" w:rsidRPr="008D43FC" w:rsidTr="000B6127">
        <w:trPr>
          <w:trHeight w:val="227"/>
        </w:trPr>
        <w:tc>
          <w:tcPr>
            <w:tcW w:w="2804" w:type="dxa"/>
            <w:tcBorders>
              <w:top w:val="nil"/>
              <w:left w:val="nil"/>
              <w:bottom w:val="nil"/>
              <w:right w:val="nil"/>
            </w:tcBorders>
            <w:shd w:val="clear" w:color="auto" w:fill="auto"/>
            <w:noWrap/>
            <w:vAlign w:val="center"/>
            <w:hideMark/>
          </w:tcPr>
          <w:p w:rsidR="008D43FC" w:rsidRPr="008D43FC" w:rsidRDefault="000B6127"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DEPARTMENTAL PROGRAMMES</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275"/>
        </w:trPr>
        <w:tc>
          <w:tcPr>
            <w:tcW w:w="2804" w:type="dxa"/>
            <w:tcBorders>
              <w:top w:val="nil"/>
              <w:left w:val="nil"/>
              <w:bottom w:val="nil"/>
              <w:right w:val="nil"/>
            </w:tcBorders>
            <w:shd w:val="clear" w:color="auto" w:fill="auto"/>
            <w:noWrap/>
            <w:vAlign w:val="center"/>
            <w:hideMark/>
          </w:tcPr>
          <w:p w:rsidR="008D43FC" w:rsidRPr="008D43FC" w:rsidRDefault="008D43FC" w:rsidP="000B6127">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Outcome 1</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lef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1044"/>
        </w:trPr>
        <w:tc>
          <w:tcPr>
            <w:tcW w:w="2804" w:type="dxa"/>
            <w:tcBorders>
              <w:top w:val="nil"/>
              <w:left w:val="nil"/>
              <w:bottom w:val="nil"/>
              <w:right w:val="nil"/>
            </w:tcBorders>
            <w:shd w:val="clear" w:color="auto" w:fill="auto"/>
            <w:vAlign w:val="center"/>
            <w:hideMark/>
          </w:tcPr>
          <w:p w:rsidR="008D43FC" w:rsidRPr="008D43FC" w:rsidRDefault="008D43FC" w:rsidP="000B6127">
            <w:pPr>
              <w:spacing w:after="0" w:line="240" w:lineRule="auto"/>
              <w:jc w:val="left"/>
              <w:rPr>
                <w:rFonts w:ascii="Arial" w:hAnsi="Arial" w:cs="Arial"/>
                <w:color w:val="000000"/>
                <w:sz w:val="16"/>
                <w:szCs w:val="16"/>
              </w:rPr>
            </w:pPr>
            <w:r w:rsidRPr="008D43FC">
              <w:rPr>
                <w:rFonts w:ascii="Arial" w:hAnsi="Arial" w:cs="Arial"/>
                <w:color w:val="000000"/>
                <w:sz w:val="16"/>
                <w:szCs w:val="16"/>
              </w:rPr>
              <w:t>Foster a productive and competitive labour market through employment policies and programmes that assist job seekers into work, meet employer needs and increase Australia's workforce participation.</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r w:rsidRPr="008D43FC">
              <w:rPr>
                <w:rFonts w:ascii="Arial" w:hAnsi="Arial" w:cs="Arial"/>
                <w:i/>
                <w:iCs/>
                <w:color w:val="000000"/>
                <w:sz w:val="16"/>
                <w:szCs w:val="16"/>
              </w:rPr>
              <w:t xml:space="preserve">269,055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270,650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265,416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5,234 </w:t>
            </w:r>
          </w:p>
        </w:tc>
      </w:tr>
      <w:tr w:rsidR="000B6127" w:rsidRPr="008D43FC" w:rsidTr="000B6127">
        <w:trPr>
          <w:trHeight w:val="269"/>
        </w:trPr>
        <w:tc>
          <w:tcPr>
            <w:tcW w:w="2804" w:type="dxa"/>
            <w:tcBorders>
              <w:top w:val="nil"/>
              <w:left w:val="nil"/>
              <w:bottom w:val="nil"/>
              <w:right w:val="nil"/>
            </w:tcBorders>
            <w:shd w:val="clear" w:color="auto" w:fill="auto"/>
            <w:noWrap/>
            <w:vAlign w:val="center"/>
            <w:hideMark/>
          </w:tcPr>
          <w:p w:rsidR="008D43FC" w:rsidRPr="008D43FC" w:rsidRDefault="008D43FC" w:rsidP="000B6127">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Outcome 2</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w:t>
            </w:r>
          </w:p>
        </w:tc>
      </w:tr>
      <w:tr w:rsidR="000B6127" w:rsidRPr="008D43FC" w:rsidTr="000B6127">
        <w:trPr>
          <w:trHeight w:val="569"/>
        </w:trPr>
        <w:tc>
          <w:tcPr>
            <w:tcW w:w="2804" w:type="dxa"/>
            <w:tcBorders>
              <w:top w:val="nil"/>
              <w:left w:val="nil"/>
              <w:bottom w:val="nil"/>
              <w:right w:val="nil"/>
            </w:tcBorders>
            <w:shd w:val="clear" w:color="auto" w:fill="auto"/>
            <w:vAlign w:val="center"/>
            <w:hideMark/>
          </w:tcPr>
          <w:p w:rsidR="008D43FC" w:rsidRPr="008D43FC" w:rsidRDefault="008D43FC" w:rsidP="000B6127">
            <w:pPr>
              <w:spacing w:after="0" w:line="240" w:lineRule="auto"/>
              <w:jc w:val="left"/>
              <w:rPr>
                <w:rFonts w:ascii="Arial" w:hAnsi="Arial" w:cs="Arial"/>
                <w:color w:val="000000"/>
                <w:sz w:val="16"/>
                <w:szCs w:val="16"/>
              </w:rPr>
            </w:pPr>
            <w:r w:rsidRPr="008D43FC">
              <w:rPr>
                <w:rFonts w:ascii="Arial" w:hAnsi="Arial" w:cs="Arial"/>
                <w:color w:val="000000"/>
                <w:sz w:val="16"/>
                <w:szCs w:val="16"/>
              </w:rPr>
              <w:t>Facilitate jobs growth through policies that promote fair, productive and safe workplaces.</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i/>
                <w:iCs/>
                <w:color w:val="000000"/>
                <w:sz w:val="16"/>
                <w:szCs w:val="16"/>
              </w:rPr>
            </w:pPr>
            <w:r w:rsidRPr="008D43FC">
              <w:rPr>
                <w:rFonts w:ascii="Arial" w:hAnsi="Arial" w:cs="Arial"/>
                <w:i/>
                <w:iCs/>
                <w:color w:val="000000"/>
                <w:sz w:val="16"/>
                <w:szCs w:val="16"/>
              </w:rPr>
              <w:t xml:space="preserve">57,958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42,294 </w:t>
            </w:r>
          </w:p>
        </w:tc>
        <w:tc>
          <w:tcPr>
            <w:tcW w:w="993"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42,267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 </w:t>
            </w:r>
          </w:p>
        </w:tc>
        <w:tc>
          <w:tcPr>
            <w:tcW w:w="993" w:type="dxa"/>
            <w:tcBorders>
              <w:top w:val="nil"/>
              <w:left w:val="nil"/>
              <w:bottom w:val="nil"/>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color w:val="000000"/>
                <w:sz w:val="16"/>
                <w:szCs w:val="16"/>
              </w:rPr>
            </w:pPr>
            <w:r w:rsidRPr="008D43FC">
              <w:rPr>
                <w:rFonts w:ascii="Arial" w:hAnsi="Arial" w:cs="Arial"/>
                <w:color w:val="000000"/>
                <w:sz w:val="16"/>
                <w:szCs w:val="16"/>
              </w:rPr>
              <w:t xml:space="preserve">27 </w:t>
            </w:r>
          </w:p>
        </w:tc>
      </w:tr>
      <w:tr w:rsidR="000B6127" w:rsidRPr="008D43FC" w:rsidTr="000B6127">
        <w:trPr>
          <w:trHeight w:val="227"/>
        </w:trPr>
        <w:tc>
          <w:tcPr>
            <w:tcW w:w="2804" w:type="dxa"/>
            <w:tcBorders>
              <w:top w:val="nil"/>
              <w:left w:val="nil"/>
              <w:bottom w:val="nil"/>
              <w:right w:val="nil"/>
            </w:tcBorders>
            <w:shd w:val="clear" w:color="auto" w:fill="auto"/>
            <w:noWrap/>
            <w:vAlign w:val="center"/>
            <w:hideMark/>
          </w:tcPr>
          <w:p w:rsidR="008D43FC" w:rsidRPr="008D43FC" w:rsidRDefault="008D43FC"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Total departmental</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
                <w:iCs/>
                <w:color w:val="000000"/>
                <w:sz w:val="16"/>
                <w:szCs w:val="16"/>
              </w:rPr>
            </w:pPr>
            <w:r w:rsidRPr="008D43FC">
              <w:rPr>
                <w:rFonts w:ascii="Arial" w:hAnsi="Arial" w:cs="Arial"/>
                <w:b/>
                <w:bCs/>
                <w:i/>
                <w:iCs/>
                <w:color w:val="000000"/>
                <w:sz w:val="16"/>
                <w:szCs w:val="16"/>
              </w:rPr>
              <w:t xml:space="preserve">327,013 </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Cs/>
                <w:color w:val="000000"/>
                <w:sz w:val="16"/>
                <w:szCs w:val="16"/>
              </w:rPr>
            </w:pPr>
            <w:r w:rsidRPr="008D43FC">
              <w:rPr>
                <w:rFonts w:ascii="Arial" w:hAnsi="Arial" w:cs="Arial"/>
                <w:b/>
                <w:bCs/>
                <w:iCs/>
                <w:color w:val="000000"/>
                <w:sz w:val="16"/>
                <w:szCs w:val="16"/>
              </w:rPr>
              <w:t xml:space="preserve">312,944 </w:t>
            </w:r>
          </w:p>
        </w:tc>
        <w:tc>
          <w:tcPr>
            <w:tcW w:w="993" w:type="dxa"/>
            <w:tcBorders>
              <w:top w:val="single" w:sz="4" w:space="0" w:color="000000"/>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Cs/>
                <w:color w:val="000000"/>
                <w:sz w:val="16"/>
                <w:szCs w:val="16"/>
              </w:rPr>
            </w:pPr>
            <w:r w:rsidRPr="008D43FC">
              <w:rPr>
                <w:rFonts w:ascii="Arial" w:hAnsi="Arial" w:cs="Arial"/>
                <w:b/>
                <w:bCs/>
                <w:iCs/>
                <w:color w:val="000000"/>
                <w:sz w:val="16"/>
                <w:szCs w:val="16"/>
              </w:rPr>
              <w:t xml:space="preserve">307,683 </w:t>
            </w:r>
          </w:p>
        </w:tc>
        <w:tc>
          <w:tcPr>
            <w:tcW w:w="993" w:type="dxa"/>
            <w:tcBorders>
              <w:top w:val="single" w:sz="4" w:space="0" w:color="000000"/>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 </w:t>
            </w:r>
          </w:p>
        </w:tc>
        <w:tc>
          <w:tcPr>
            <w:tcW w:w="993" w:type="dxa"/>
            <w:tcBorders>
              <w:top w:val="single" w:sz="4" w:space="0" w:color="000000"/>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5,261 </w:t>
            </w:r>
          </w:p>
        </w:tc>
      </w:tr>
      <w:tr w:rsidR="000B6127" w:rsidRPr="008D43FC" w:rsidTr="000B6127">
        <w:trPr>
          <w:trHeight w:val="453"/>
        </w:trPr>
        <w:tc>
          <w:tcPr>
            <w:tcW w:w="2804" w:type="dxa"/>
            <w:tcBorders>
              <w:top w:val="nil"/>
              <w:left w:val="nil"/>
              <w:bottom w:val="single" w:sz="4" w:space="0" w:color="000000"/>
              <w:right w:val="nil"/>
            </w:tcBorders>
            <w:shd w:val="clear" w:color="auto" w:fill="auto"/>
            <w:vAlign w:val="center"/>
            <w:hideMark/>
          </w:tcPr>
          <w:p w:rsidR="008D43FC" w:rsidRPr="008D43FC" w:rsidRDefault="008D43FC" w:rsidP="008D43FC">
            <w:pPr>
              <w:spacing w:after="0" w:line="240" w:lineRule="auto"/>
              <w:jc w:val="left"/>
              <w:rPr>
                <w:rFonts w:ascii="Arial" w:hAnsi="Arial" w:cs="Arial"/>
                <w:b/>
                <w:bCs/>
                <w:color w:val="000000"/>
                <w:sz w:val="16"/>
                <w:szCs w:val="16"/>
              </w:rPr>
            </w:pPr>
            <w:r w:rsidRPr="008D43FC">
              <w:rPr>
                <w:rFonts w:ascii="Arial" w:hAnsi="Arial" w:cs="Arial"/>
                <w:b/>
                <w:bCs/>
                <w:color w:val="000000"/>
                <w:sz w:val="16"/>
                <w:szCs w:val="16"/>
              </w:rPr>
              <w:t>Total administered and departmental</w:t>
            </w:r>
          </w:p>
        </w:tc>
        <w:tc>
          <w:tcPr>
            <w:tcW w:w="993" w:type="dxa"/>
            <w:tcBorders>
              <w:top w:val="nil"/>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i/>
                <w:iCs/>
                <w:color w:val="000000"/>
                <w:sz w:val="16"/>
                <w:szCs w:val="16"/>
              </w:rPr>
            </w:pPr>
            <w:r w:rsidRPr="008D43FC">
              <w:rPr>
                <w:rFonts w:ascii="Arial" w:hAnsi="Arial" w:cs="Arial"/>
                <w:b/>
                <w:bCs/>
                <w:i/>
                <w:iCs/>
                <w:color w:val="000000"/>
                <w:sz w:val="16"/>
                <w:szCs w:val="16"/>
              </w:rPr>
              <w:t xml:space="preserve">1,879,565 </w:t>
            </w:r>
          </w:p>
        </w:tc>
        <w:tc>
          <w:tcPr>
            <w:tcW w:w="993" w:type="dxa"/>
            <w:tcBorders>
              <w:top w:val="nil"/>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1,857,308 </w:t>
            </w:r>
          </w:p>
        </w:tc>
        <w:tc>
          <w:tcPr>
            <w:tcW w:w="993" w:type="dxa"/>
            <w:tcBorders>
              <w:top w:val="nil"/>
              <w:left w:val="nil"/>
              <w:bottom w:val="single" w:sz="4" w:space="0" w:color="000000"/>
              <w:right w:val="nil"/>
            </w:tcBorders>
            <w:shd w:val="clear" w:color="auto" w:fill="auto"/>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1,852,060 </w:t>
            </w:r>
          </w:p>
        </w:tc>
        <w:tc>
          <w:tcPr>
            <w:tcW w:w="993" w:type="dxa"/>
            <w:tcBorders>
              <w:top w:val="nil"/>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320 </w:t>
            </w:r>
          </w:p>
        </w:tc>
        <w:tc>
          <w:tcPr>
            <w:tcW w:w="993" w:type="dxa"/>
            <w:tcBorders>
              <w:top w:val="nil"/>
              <w:left w:val="nil"/>
              <w:bottom w:val="single" w:sz="4" w:space="0" w:color="000000"/>
              <w:right w:val="nil"/>
            </w:tcBorders>
            <w:shd w:val="clear" w:color="000000" w:fill="E6E6E6"/>
            <w:noWrap/>
            <w:vAlign w:val="center"/>
            <w:hideMark/>
          </w:tcPr>
          <w:p w:rsidR="008D43FC" w:rsidRPr="008D43FC" w:rsidRDefault="008D43FC" w:rsidP="008D43FC">
            <w:pPr>
              <w:spacing w:after="0" w:line="240" w:lineRule="auto"/>
              <w:jc w:val="right"/>
              <w:rPr>
                <w:rFonts w:ascii="Arial" w:hAnsi="Arial" w:cs="Arial"/>
                <w:b/>
                <w:bCs/>
                <w:color w:val="000000"/>
                <w:sz w:val="16"/>
                <w:szCs w:val="16"/>
              </w:rPr>
            </w:pPr>
            <w:r w:rsidRPr="008D43FC">
              <w:rPr>
                <w:rFonts w:ascii="Arial" w:hAnsi="Arial" w:cs="Arial"/>
                <w:b/>
                <w:bCs/>
                <w:color w:val="000000"/>
                <w:sz w:val="16"/>
                <w:szCs w:val="16"/>
              </w:rPr>
              <w:t xml:space="preserve">5,568 </w:t>
            </w:r>
          </w:p>
        </w:tc>
      </w:tr>
    </w:tbl>
    <w:p w:rsidR="00BF696F" w:rsidRPr="004B25FE" w:rsidRDefault="00BF696F" w:rsidP="00BD3FDE">
      <w:pPr>
        <w:pStyle w:val="TableGraphic"/>
        <w:rPr>
          <w:color w:val="auto"/>
        </w:rPr>
      </w:pPr>
    </w:p>
    <w:p w:rsidR="00F51DAC" w:rsidRDefault="00F51DAC" w:rsidP="00F51DAC">
      <w:pPr>
        <w:pStyle w:val="TableHeading"/>
        <w:rPr>
          <w:lang w:val="en-AU"/>
        </w:rPr>
      </w:pPr>
      <w:r w:rsidRPr="00213A28">
        <w:rPr>
          <w:highlight w:val="cyan"/>
          <w:lang w:val="en-GB"/>
        </w:rPr>
        <w:br w:type="page"/>
      </w:r>
      <w:bookmarkStart w:id="223" w:name="_Toc491771714"/>
      <w:bookmarkStart w:id="224" w:name="_Toc491773289"/>
      <w:bookmarkStart w:id="225" w:name="_Toc23559347"/>
      <w:bookmarkStart w:id="226" w:name="_Toc23559381"/>
      <w:bookmarkStart w:id="227" w:name="_Toc23560136"/>
      <w:bookmarkStart w:id="228" w:name="_Toc23563430"/>
      <w:r w:rsidRPr="00564C0F">
        <w:lastRenderedPageBreak/>
        <w:t xml:space="preserve">Table 1.6: Appropriation Bill (No. 4) </w:t>
      </w:r>
      <w:bookmarkEnd w:id="223"/>
      <w:bookmarkEnd w:id="224"/>
      <w:bookmarkEnd w:id="225"/>
      <w:bookmarkEnd w:id="226"/>
      <w:bookmarkEnd w:id="227"/>
      <w:bookmarkEnd w:id="228"/>
      <w:r w:rsidR="00A1234B" w:rsidRPr="00564C0F">
        <w:t>201</w:t>
      </w:r>
      <w:r w:rsidR="000E33CD" w:rsidRPr="00564C0F">
        <w:rPr>
          <w:lang w:val="en-AU"/>
        </w:rPr>
        <w:t>5</w:t>
      </w:r>
      <w:r w:rsidR="004B25FE">
        <w:rPr>
          <w:lang w:val="en-AU"/>
        </w:rPr>
        <w:t>–</w:t>
      </w:r>
      <w:r w:rsidR="00A1234B" w:rsidRPr="00564C0F">
        <w:t>1</w:t>
      </w:r>
      <w:r w:rsidR="000E33CD" w:rsidRPr="00564C0F">
        <w:rPr>
          <w:lang w:val="en-AU"/>
        </w:rPr>
        <w:t>6</w:t>
      </w:r>
    </w:p>
    <w:tbl>
      <w:tblPr>
        <w:tblW w:w="7843" w:type="dxa"/>
        <w:tblInd w:w="93" w:type="dxa"/>
        <w:tblLook w:val="04A0" w:firstRow="1" w:lastRow="0" w:firstColumn="1" w:lastColumn="0" w:noHBand="0" w:noVBand="1"/>
      </w:tblPr>
      <w:tblGrid>
        <w:gridCol w:w="2848"/>
        <w:gridCol w:w="999"/>
        <w:gridCol w:w="999"/>
        <w:gridCol w:w="999"/>
        <w:gridCol w:w="999"/>
        <w:gridCol w:w="999"/>
      </w:tblGrid>
      <w:tr w:rsidR="000B6127" w:rsidRPr="000B6127" w:rsidTr="001F3C45">
        <w:trPr>
          <w:trHeight w:val="614"/>
          <w:tblHeader/>
        </w:trPr>
        <w:tc>
          <w:tcPr>
            <w:tcW w:w="2848" w:type="dxa"/>
            <w:tcBorders>
              <w:top w:val="single" w:sz="4" w:space="0" w:color="auto"/>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color w:val="000000"/>
                <w:sz w:val="16"/>
                <w:szCs w:val="16"/>
              </w:rPr>
            </w:pPr>
            <w:r w:rsidRPr="000B6127">
              <w:rPr>
                <w:rFonts w:ascii="Arial" w:hAnsi="Arial" w:cs="Arial"/>
                <w:color w:val="000000"/>
                <w:sz w:val="16"/>
                <w:szCs w:val="16"/>
              </w:rPr>
              <w:t> </w:t>
            </w:r>
          </w:p>
        </w:tc>
        <w:tc>
          <w:tcPr>
            <w:tcW w:w="999" w:type="dxa"/>
            <w:tcBorders>
              <w:top w:val="single" w:sz="4" w:space="0" w:color="auto"/>
              <w:left w:val="nil"/>
              <w:bottom w:val="single" w:sz="4" w:space="0" w:color="000000"/>
              <w:right w:val="nil"/>
            </w:tcBorders>
            <w:shd w:val="clear" w:color="auto" w:fill="auto"/>
            <w:vAlign w:val="center"/>
            <w:hideMark/>
          </w:tcPr>
          <w:p w:rsidR="000B6127" w:rsidRPr="000B6127" w:rsidRDefault="000B6127" w:rsidP="000B6127">
            <w:pPr>
              <w:spacing w:after="0" w:line="240" w:lineRule="auto"/>
              <w:jc w:val="right"/>
              <w:rPr>
                <w:rFonts w:ascii="Arial" w:hAnsi="Arial" w:cs="Arial"/>
                <w:i/>
                <w:iCs/>
                <w:color w:val="000000"/>
                <w:sz w:val="16"/>
                <w:szCs w:val="16"/>
              </w:rPr>
            </w:pPr>
            <w:r w:rsidRPr="000B6127">
              <w:rPr>
                <w:rFonts w:ascii="Arial" w:hAnsi="Arial" w:cs="Arial"/>
                <w:i/>
                <w:iCs/>
                <w:color w:val="000000"/>
                <w:sz w:val="16"/>
                <w:szCs w:val="16"/>
              </w:rPr>
              <w:t>2014</w:t>
            </w:r>
            <w:r>
              <w:rPr>
                <w:rFonts w:ascii="Arial" w:hAnsi="Arial" w:cs="Arial"/>
                <w:i/>
                <w:iCs/>
                <w:color w:val="000000"/>
                <w:sz w:val="16"/>
                <w:szCs w:val="16"/>
              </w:rPr>
              <w:t>–</w:t>
            </w:r>
            <w:r w:rsidRPr="000B6127">
              <w:rPr>
                <w:rFonts w:ascii="Arial" w:hAnsi="Arial" w:cs="Arial"/>
                <w:i/>
                <w:iCs/>
                <w:color w:val="000000"/>
                <w:sz w:val="16"/>
                <w:szCs w:val="16"/>
              </w:rPr>
              <w:t>15</w:t>
            </w:r>
            <w:r w:rsidRPr="000B6127">
              <w:rPr>
                <w:rFonts w:ascii="Arial" w:hAnsi="Arial" w:cs="Arial"/>
                <w:i/>
                <w:iCs/>
                <w:color w:val="000000"/>
                <w:sz w:val="16"/>
                <w:szCs w:val="16"/>
              </w:rPr>
              <w:br/>
              <w:t>Available</w:t>
            </w:r>
            <w:r w:rsidRPr="000B6127">
              <w:rPr>
                <w:rFonts w:ascii="Arial" w:hAnsi="Arial" w:cs="Arial"/>
                <w:i/>
                <w:iCs/>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center"/>
            <w:hideMark/>
          </w:tcPr>
          <w:p w:rsidR="000B6127" w:rsidRPr="000B6127" w:rsidRDefault="000B6127" w:rsidP="000B6127">
            <w:pPr>
              <w:spacing w:after="0" w:line="240" w:lineRule="auto"/>
              <w:jc w:val="right"/>
              <w:rPr>
                <w:rFonts w:ascii="Arial" w:hAnsi="Arial" w:cs="Arial"/>
                <w:color w:val="000000"/>
                <w:sz w:val="16"/>
                <w:szCs w:val="16"/>
              </w:rPr>
            </w:pPr>
            <w:r>
              <w:rPr>
                <w:rFonts w:ascii="Arial" w:hAnsi="Arial" w:cs="Arial"/>
                <w:color w:val="000000"/>
                <w:sz w:val="16"/>
                <w:szCs w:val="16"/>
              </w:rPr>
              <w:t>2015–</w:t>
            </w:r>
            <w:r w:rsidRPr="000B6127">
              <w:rPr>
                <w:rFonts w:ascii="Arial" w:hAnsi="Arial" w:cs="Arial"/>
                <w:color w:val="000000"/>
                <w:sz w:val="16"/>
                <w:szCs w:val="16"/>
              </w:rPr>
              <w:t>16</w:t>
            </w:r>
            <w:r w:rsidRPr="000B6127">
              <w:rPr>
                <w:rFonts w:ascii="Arial" w:hAnsi="Arial" w:cs="Arial"/>
                <w:color w:val="000000"/>
                <w:sz w:val="16"/>
                <w:szCs w:val="16"/>
              </w:rPr>
              <w:br/>
              <w:t>Budget</w:t>
            </w:r>
            <w:r w:rsidRPr="000B6127">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center"/>
            <w:hideMark/>
          </w:tcPr>
          <w:p w:rsidR="000B6127" w:rsidRPr="000B6127" w:rsidRDefault="000B6127" w:rsidP="000B6127">
            <w:pPr>
              <w:spacing w:after="0" w:line="240" w:lineRule="auto"/>
              <w:jc w:val="right"/>
              <w:rPr>
                <w:rFonts w:ascii="Arial" w:hAnsi="Arial" w:cs="Arial"/>
                <w:color w:val="000000"/>
                <w:sz w:val="16"/>
                <w:szCs w:val="16"/>
              </w:rPr>
            </w:pPr>
            <w:r>
              <w:rPr>
                <w:rFonts w:ascii="Arial" w:hAnsi="Arial" w:cs="Arial"/>
                <w:color w:val="000000"/>
                <w:sz w:val="16"/>
                <w:szCs w:val="16"/>
              </w:rPr>
              <w:t>2015–</w:t>
            </w:r>
            <w:r w:rsidRPr="000B6127">
              <w:rPr>
                <w:rFonts w:ascii="Arial" w:hAnsi="Arial" w:cs="Arial"/>
                <w:color w:val="000000"/>
                <w:sz w:val="16"/>
                <w:szCs w:val="16"/>
              </w:rPr>
              <w:t>16</w:t>
            </w:r>
            <w:r w:rsidRPr="000B6127">
              <w:rPr>
                <w:rFonts w:ascii="Arial" w:hAnsi="Arial" w:cs="Arial"/>
                <w:color w:val="000000"/>
                <w:sz w:val="16"/>
                <w:szCs w:val="16"/>
              </w:rPr>
              <w:br/>
              <w:t>Revised</w:t>
            </w:r>
            <w:r w:rsidRPr="000B6127">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000000" w:fill="E6E6E6"/>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Additional Estimates</w:t>
            </w:r>
            <w:r w:rsidRPr="000B6127">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000000" w:fill="E6E6E6"/>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Reduced Estimates</w:t>
            </w:r>
            <w:r w:rsidRPr="000B6127">
              <w:rPr>
                <w:rFonts w:ascii="Arial" w:hAnsi="Arial" w:cs="Arial"/>
                <w:color w:val="000000"/>
                <w:sz w:val="16"/>
                <w:szCs w:val="16"/>
              </w:rPr>
              <w:br/>
              <w:t>$'000</w:t>
            </w:r>
          </w:p>
        </w:tc>
      </w:tr>
      <w:tr w:rsidR="000B6127" w:rsidRPr="000B6127" w:rsidTr="000B6127">
        <w:trPr>
          <w:trHeight w:val="262"/>
        </w:trPr>
        <w:tc>
          <w:tcPr>
            <w:tcW w:w="2848"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b/>
                <w:bCs/>
                <w:color w:val="000000"/>
                <w:sz w:val="16"/>
                <w:szCs w:val="16"/>
              </w:rPr>
            </w:pPr>
            <w:r w:rsidRPr="000B6127">
              <w:rPr>
                <w:rFonts w:ascii="Arial" w:hAnsi="Arial" w:cs="Arial"/>
                <w:b/>
                <w:bCs/>
                <w:color w:val="000000"/>
                <w:sz w:val="16"/>
                <w:szCs w:val="16"/>
              </w:rPr>
              <w:t>Non-operating</w:t>
            </w: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i/>
                <w:iCs/>
                <w:color w:val="000000"/>
                <w:sz w:val="16"/>
                <w:szCs w:val="16"/>
              </w:rPr>
            </w:pP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color w:val="000000"/>
                <w:sz w:val="16"/>
                <w:szCs w:val="16"/>
              </w:rPr>
            </w:pPr>
          </w:p>
        </w:tc>
        <w:tc>
          <w:tcPr>
            <w:tcW w:w="999" w:type="dxa"/>
            <w:tcBorders>
              <w:top w:val="nil"/>
              <w:left w:val="nil"/>
              <w:bottom w:val="nil"/>
              <w:right w:val="nil"/>
            </w:tcBorders>
            <w:shd w:val="clear" w:color="000000" w:fill="E6E6E6"/>
            <w:noWrap/>
            <w:vAlign w:val="center"/>
            <w:hideMark/>
          </w:tcPr>
          <w:p w:rsidR="000B6127" w:rsidRPr="000B6127" w:rsidRDefault="000B6127" w:rsidP="000B6127">
            <w:pPr>
              <w:spacing w:after="0" w:line="240" w:lineRule="auto"/>
              <w:jc w:val="left"/>
              <w:rPr>
                <w:rFonts w:ascii="Arial" w:hAnsi="Arial" w:cs="Arial"/>
                <w:color w:val="000000"/>
                <w:sz w:val="16"/>
                <w:szCs w:val="16"/>
              </w:rPr>
            </w:pPr>
            <w:r w:rsidRPr="000B6127">
              <w:rPr>
                <w:rFonts w:ascii="Arial" w:hAnsi="Arial" w:cs="Arial"/>
                <w:color w:val="000000"/>
                <w:sz w:val="16"/>
                <w:szCs w:val="16"/>
              </w:rPr>
              <w:t> </w:t>
            </w:r>
          </w:p>
        </w:tc>
        <w:tc>
          <w:tcPr>
            <w:tcW w:w="999" w:type="dxa"/>
            <w:tcBorders>
              <w:top w:val="nil"/>
              <w:left w:val="nil"/>
              <w:bottom w:val="nil"/>
              <w:right w:val="nil"/>
            </w:tcBorders>
            <w:shd w:val="clear" w:color="000000" w:fill="E6E6E6"/>
            <w:noWrap/>
            <w:vAlign w:val="center"/>
            <w:hideMark/>
          </w:tcPr>
          <w:p w:rsidR="000B6127" w:rsidRPr="000B6127" w:rsidRDefault="000B6127" w:rsidP="000B6127">
            <w:pPr>
              <w:spacing w:after="0" w:line="240" w:lineRule="auto"/>
              <w:jc w:val="left"/>
              <w:rPr>
                <w:rFonts w:ascii="Arial" w:hAnsi="Arial" w:cs="Arial"/>
                <w:color w:val="000000"/>
                <w:sz w:val="16"/>
                <w:szCs w:val="16"/>
              </w:rPr>
            </w:pPr>
            <w:r w:rsidRPr="000B6127">
              <w:rPr>
                <w:rFonts w:ascii="Arial" w:hAnsi="Arial" w:cs="Arial"/>
                <w:color w:val="000000"/>
                <w:sz w:val="16"/>
                <w:szCs w:val="16"/>
              </w:rPr>
              <w:t> </w:t>
            </w:r>
          </w:p>
        </w:tc>
      </w:tr>
      <w:tr w:rsidR="000B6127" w:rsidRPr="000B6127" w:rsidTr="000B6127">
        <w:trPr>
          <w:trHeight w:val="262"/>
        </w:trPr>
        <w:tc>
          <w:tcPr>
            <w:tcW w:w="2848"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ind w:firstLineChars="100" w:firstLine="160"/>
              <w:jc w:val="left"/>
              <w:rPr>
                <w:rFonts w:ascii="Arial" w:hAnsi="Arial" w:cs="Arial"/>
                <w:color w:val="000000"/>
                <w:sz w:val="16"/>
                <w:szCs w:val="16"/>
              </w:rPr>
            </w:pPr>
            <w:r w:rsidRPr="000B6127">
              <w:rPr>
                <w:rFonts w:ascii="Arial" w:hAnsi="Arial" w:cs="Arial"/>
                <w:color w:val="000000"/>
                <w:sz w:val="16"/>
                <w:szCs w:val="16"/>
              </w:rPr>
              <w:t>Equity injections</w:t>
            </w: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i/>
                <w:iCs/>
                <w:color w:val="000000"/>
                <w:sz w:val="16"/>
                <w:szCs w:val="16"/>
              </w:rPr>
            </w:pPr>
            <w:r w:rsidRPr="000B6127">
              <w:rPr>
                <w:rFonts w:ascii="Arial" w:hAnsi="Arial" w:cs="Arial"/>
                <w:i/>
                <w:iCs/>
                <w:color w:val="000000"/>
                <w:sz w:val="16"/>
                <w:szCs w:val="16"/>
              </w:rPr>
              <w:t xml:space="preserve">23,987 </w:t>
            </w: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 xml:space="preserve">9,333 </w:t>
            </w:r>
          </w:p>
        </w:tc>
        <w:tc>
          <w:tcPr>
            <w:tcW w:w="999"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 xml:space="preserve">15,408 </w:t>
            </w:r>
          </w:p>
        </w:tc>
        <w:tc>
          <w:tcPr>
            <w:tcW w:w="999" w:type="dxa"/>
            <w:tcBorders>
              <w:top w:val="nil"/>
              <w:left w:val="nil"/>
              <w:bottom w:val="nil"/>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 xml:space="preserve">6,075 </w:t>
            </w:r>
          </w:p>
        </w:tc>
        <w:tc>
          <w:tcPr>
            <w:tcW w:w="999" w:type="dxa"/>
            <w:tcBorders>
              <w:top w:val="nil"/>
              <w:left w:val="nil"/>
              <w:bottom w:val="nil"/>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color w:val="000000"/>
                <w:sz w:val="16"/>
                <w:szCs w:val="16"/>
              </w:rPr>
            </w:pPr>
            <w:r w:rsidRPr="000B6127">
              <w:rPr>
                <w:rFonts w:ascii="Arial" w:hAnsi="Arial" w:cs="Arial"/>
                <w:color w:val="000000"/>
                <w:sz w:val="16"/>
                <w:szCs w:val="16"/>
              </w:rPr>
              <w:t xml:space="preserve">- </w:t>
            </w:r>
          </w:p>
        </w:tc>
      </w:tr>
      <w:tr w:rsidR="000B6127" w:rsidRPr="000B6127" w:rsidTr="000B6127">
        <w:trPr>
          <w:trHeight w:val="262"/>
        </w:trPr>
        <w:tc>
          <w:tcPr>
            <w:tcW w:w="2848" w:type="dxa"/>
            <w:tcBorders>
              <w:top w:val="nil"/>
              <w:left w:val="nil"/>
              <w:bottom w:val="nil"/>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b/>
                <w:bCs/>
                <w:color w:val="000000"/>
                <w:sz w:val="16"/>
                <w:szCs w:val="16"/>
              </w:rPr>
            </w:pPr>
            <w:r w:rsidRPr="000B6127">
              <w:rPr>
                <w:rFonts w:ascii="Arial" w:hAnsi="Arial" w:cs="Arial"/>
                <w:b/>
                <w:bCs/>
                <w:color w:val="000000"/>
                <w:sz w:val="16"/>
                <w:szCs w:val="16"/>
              </w:rPr>
              <w:t>Total non-operating</w:t>
            </w:r>
          </w:p>
        </w:tc>
        <w:tc>
          <w:tcPr>
            <w:tcW w:w="999" w:type="dxa"/>
            <w:tcBorders>
              <w:top w:val="single" w:sz="4" w:space="0" w:color="000000"/>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i/>
                <w:iCs/>
                <w:color w:val="000000"/>
                <w:sz w:val="16"/>
                <w:szCs w:val="16"/>
              </w:rPr>
            </w:pPr>
            <w:r w:rsidRPr="000B6127">
              <w:rPr>
                <w:rFonts w:ascii="Arial" w:hAnsi="Arial" w:cs="Arial"/>
                <w:b/>
                <w:bCs/>
                <w:i/>
                <w:iCs/>
                <w:color w:val="000000"/>
                <w:sz w:val="16"/>
                <w:szCs w:val="16"/>
              </w:rPr>
              <w:t xml:space="preserve">23,987 </w:t>
            </w:r>
          </w:p>
        </w:tc>
        <w:tc>
          <w:tcPr>
            <w:tcW w:w="999" w:type="dxa"/>
            <w:tcBorders>
              <w:top w:val="single" w:sz="4" w:space="0" w:color="000000"/>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9,333 </w:t>
            </w:r>
          </w:p>
        </w:tc>
        <w:tc>
          <w:tcPr>
            <w:tcW w:w="999" w:type="dxa"/>
            <w:tcBorders>
              <w:top w:val="single" w:sz="4" w:space="0" w:color="000000"/>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15,408 </w:t>
            </w:r>
          </w:p>
        </w:tc>
        <w:tc>
          <w:tcPr>
            <w:tcW w:w="999" w:type="dxa"/>
            <w:tcBorders>
              <w:top w:val="single" w:sz="4" w:space="0" w:color="000000"/>
              <w:left w:val="nil"/>
              <w:bottom w:val="single" w:sz="4" w:space="0" w:color="000000"/>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6,075 </w:t>
            </w:r>
          </w:p>
        </w:tc>
        <w:tc>
          <w:tcPr>
            <w:tcW w:w="999" w:type="dxa"/>
            <w:tcBorders>
              <w:top w:val="single" w:sz="4" w:space="0" w:color="000000"/>
              <w:left w:val="nil"/>
              <w:bottom w:val="single" w:sz="4" w:space="0" w:color="000000"/>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 </w:t>
            </w:r>
          </w:p>
        </w:tc>
      </w:tr>
      <w:tr w:rsidR="000B6127" w:rsidRPr="000B6127" w:rsidTr="000B6127">
        <w:trPr>
          <w:trHeight w:val="262"/>
        </w:trPr>
        <w:tc>
          <w:tcPr>
            <w:tcW w:w="2848" w:type="dxa"/>
            <w:tcBorders>
              <w:top w:val="nil"/>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left"/>
              <w:rPr>
                <w:rFonts w:ascii="Arial" w:hAnsi="Arial" w:cs="Arial"/>
                <w:b/>
                <w:bCs/>
                <w:color w:val="000000"/>
                <w:sz w:val="16"/>
                <w:szCs w:val="16"/>
              </w:rPr>
            </w:pPr>
            <w:r w:rsidRPr="000B6127">
              <w:rPr>
                <w:rFonts w:ascii="Arial" w:hAnsi="Arial" w:cs="Arial"/>
                <w:b/>
                <w:bCs/>
                <w:color w:val="000000"/>
                <w:sz w:val="16"/>
                <w:szCs w:val="16"/>
              </w:rPr>
              <w:t>Total other services</w:t>
            </w:r>
          </w:p>
        </w:tc>
        <w:tc>
          <w:tcPr>
            <w:tcW w:w="999" w:type="dxa"/>
            <w:tcBorders>
              <w:top w:val="nil"/>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i/>
                <w:iCs/>
                <w:color w:val="000000"/>
                <w:sz w:val="16"/>
                <w:szCs w:val="16"/>
              </w:rPr>
            </w:pPr>
            <w:r w:rsidRPr="000B6127">
              <w:rPr>
                <w:rFonts w:ascii="Arial" w:hAnsi="Arial" w:cs="Arial"/>
                <w:b/>
                <w:bCs/>
                <w:i/>
                <w:iCs/>
                <w:color w:val="000000"/>
                <w:sz w:val="16"/>
                <w:szCs w:val="16"/>
              </w:rPr>
              <w:t xml:space="preserve">23,987 </w:t>
            </w:r>
          </w:p>
        </w:tc>
        <w:tc>
          <w:tcPr>
            <w:tcW w:w="999" w:type="dxa"/>
            <w:tcBorders>
              <w:top w:val="nil"/>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iCs/>
                <w:color w:val="000000"/>
                <w:sz w:val="16"/>
                <w:szCs w:val="16"/>
              </w:rPr>
            </w:pPr>
            <w:r w:rsidRPr="000B6127">
              <w:rPr>
                <w:rFonts w:ascii="Arial" w:hAnsi="Arial" w:cs="Arial"/>
                <w:b/>
                <w:bCs/>
                <w:iCs/>
                <w:color w:val="000000"/>
                <w:sz w:val="16"/>
                <w:szCs w:val="16"/>
              </w:rPr>
              <w:t xml:space="preserve">9,333 </w:t>
            </w:r>
          </w:p>
        </w:tc>
        <w:tc>
          <w:tcPr>
            <w:tcW w:w="999" w:type="dxa"/>
            <w:tcBorders>
              <w:top w:val="nil"/>
              <w:left w:val="nil"/>
              <w:bottom w:val="single" w:sz="4" w:space="0" w:color="000000"/>
              <w:right w:val="nil"/>
            </w:tcBorders>
            <w:shd w:val="clear" w:color="auto" w:fill="auto"/>
            <w:noWrap/>
            <w:vAlign w:val="center"/>
            <w:hideMark/>
          </w:tcPr>
          <w:p w:rsidR="000B6127" w:rsidRPr="000B6127" w:rsidRDefault="000B6127" w:rsidP="000B6127">
            <w:pPr>
              <w:spacing w:after="0" w:line="240" w:lineRule="auto"/>
              <w:jc w:val="right"/>
              <w:rPr>
                <w:rFonts w:ascii="Arial" w:hAnsi="Arial" w:cs="Arial"/>
                <w:b/>
                <w:bCs/>
                <w:iCs/>
                <w:color w:val="000000"/>
                <w:sz w:val="16"/>
                <w:szCs w:val="16"/>
              </w:rPr>
            </w:pPr>
            <w:r w:rsidRPr="000B6127">
              <w:rPr>
                <w:rFonts w:ascii="Arial" w:hAnsi="Arial" w:cs="Arial"/>
                <w:b/>
                <w:bCs/>
                <w:iCs/>
                <w:color w:val="000000"/>
                <w:sz w:val="16"/>
                <w:szCs w:val="16"/>
              </w:rPr>
              <w:t xml:space="preserve">15,408 </w:t>
            </w:r>
          </w:p>
        </w:tc>
        <w:tc>
          <w:tcPr>
            <w:tcW w:w="999" w:type="dxa"/>
            <w:tcBorders>
              <w:top w:val="nil"/>
              <w:left w:val="nil"/>
              <w:bottom w:val="single" w:sz="4" w:space="0" w:color="000000"/>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6,075 </w:t>
            </w:r>
          </w:p>
        </w:tc>
        <w:tc>
          <w:tcPr>
            <w:tcW w:w="999" w:type="dxa"/>
            <w:tcBorders>
              <w:top w:val="nil"/>
              <w:left w:val="nil"/>
              <w:bottom w:val="single" w:sz="4" w:space="0" w:color="000000"/>
              <w:right w:val="nil"/>
            </w:tcBorders>
            <w:shd w:val="clear" w:color="000000" w:fill="E6E6E6"/>
            <w:noWrap/>
            <w:vAlign w:val="center"/>
            <w:hideMark/>
          </w:tcPr>
          <w:p w:rsidR="000B6127" w:rsidRPr="000B6127" w:rsidRDefault="000B6127" w:rsidP="000B6127">
            <w:pPr>
              <w:spacing w:after="0" w:line="240" w:lineRule="auto"/>
              <w:jc w:val="right"/>
              <w:rPr>
                <w:rFonts w:ascii="Arial" w:hAnsi="Arial" w:cs="Arial"/>
                <w:b/>
                <w:bCs/>
                <w:color w:val="000000"/>
                <w:sz w:val="16"/>
                <w:szCs w:val="16"/>
              </w:rPr>
            </w:pPr>
            <w:r w:rsidRPr="000B6127">
              <w:rPr>
                <w:rFonts w:ascii="Arial" w:hAnsi="Arial" w:cs="Arial"/>
                <w:b/>
                <w:bCs/>
                <w:color w:val="000000"/>
                <w:sz w:val="16"/>
                <w:szCs w:val="16"/>
              </w:rPr>
              <w:t xml:space="preserve">- </w:t>
            </w:r>
          </w:p>
        </w:tc>
      </w:tr>
    </w:tbl>
    <w:p w:rsidR="00F51DAC" w:rsidRPr="004B25FE" w:rsidRDefault="00F51DAC" w:rsidP="004B25FE">
      <w:pPr>
        <w:pStyle w:val="TableGraphic"/>
        <w:rPr>
          <w:color w:val="auto"/>
        </w:rPr>
      </w:pPr>
      <w:bookmarkStart w:id="229" w:name="_Toc491029238"/>
      <w:bookmarkStart w:id="230" w:name="_Toc491030327"/>
      <w:bookmarkStart w:id="231" w:name="_Toc491030787"/>
      <w:bookmarkStart w:id="232" w:name="_Toc491031350"/>
      <w:bookmarkStart w:id="233" w:name="_Toc491031937"/>
      <w:bookmarkStart w:id="234" w:name="_Toc491032109"/>
      <w:bookmarkStart w:id="235" w:name="_Toc491032218"/>
      <w:bookmarkStart w:id="236" w:name="_Toc491032325"/>
      <w:bookmarkStart w:id="237" w:name="_Toc491771715"/>
      <w:bookmarkStart w:id="238" w:name="_Toc491773290"/>
      <w:bookmarkStart w:id="239" w:name="_Toc23559348"/>
      <w:bookmarkStart w:id="240" w:name="_Toc23559382"/>
      <w:bookmarkStart w:id="241" w:name="_Toc23559671"/>
      <w:bookmarkStart w:id="242" w:name="_Toc23560137"/>
      <w:bookmarkStart w:id="243" w:name="_Toc23563431"/>
      <w:bookmarkStart w:id="244" w:name="_Toc77998682"/>
      <w:bookmarkStart w:id="245" w:name="_Toc79406111"/>
      <w:bookmarkStart w:id="246" w:name="_Toc79467813"/>
      <w:bookmarkStart w:id="247" w:name="_Toc112211961"/>
      <w:bookmarkStart w:id="248" w:name="_Toc112212055"/>
      <w:bookmarkStart w:id="249" w:name="_Toc112137873"/>
      <w:bookmarkStart w:id="250" w:name="_Toc112137895"/>
    </w:p>
    <w:p w:rsidR="00F51DAC" w:rsidRPr="00735019" w:rsidRDefault="00F51DAC" w:rsidP="0090206F">
      <w:pPr>
        <w:pStyle w:val="Heading2"/>
        <w:rPr>
          <w:i/>
          <w:iCs/>
          <w:color w:val="FF0000"/>
        </w:rPr>
      </w:pPr>
      <w:r>
        <w:br w:type="page"/>
      </w:r>
      <w:bookmarkStart w:id="251" w:name="_Toc436624143"/>
      <w:bookmarkStart w:id="252" w:name="_Toc436625444"/>
      <w:bookmarkStart w:id="253" w:name="_Toc446237032"/>
      <w:bookmarkStart w:id="254" w:name="_Toc449255764"/>
      <w:bookmarkStart w:id="255" w:name="_Toc490972409"/>
      <w:bookmarkStart w:id="256" w:name="_Toc491014629"/>
      <w:bookmarkStart w:id="257" w:name="_Toc491014771"/>
      <w:bookmarkStart w:id="258" w:name="_Toc491014951"/>
      <w:bookmarkStart w:id="259" w:name="_Toc491015098"/>
      <w:bookmarkStart w:id="260" w:name="_Toc491029242"/>
      <w:bookmarkStart w:id="261" w:name="_Toc491030331"/>
      <w:bookmarkStart w:id="262" w:name="_Toc491030790"/>
      <w:bookmarkStart w:id="263" w:name="_Toc491031353"/>
      <w:bookmarkStart w:id="264" w:name="_Toc491031940"/>
      <w:bookmarkStart w:id="265" w:name="_Toc491032113"/>
      <w:bookmarkStart w:id="266" w:name="_Toc491032221"/>
      <w:bookmarkStart w:id="267" w:name="_Toc491032328"/>
      <w:bookmarkStart w:id="268" w:name="_Toc491771720"/>
      <w:bookmarkStart w:id="269" w:name="_Toc491773295"/>
      <w:bookmarkStart w:id="270" w:name="_Toc23559353"/>
      <w:bookmarkStart w:id="271" w:name="_Toc23559387"/>
      <w:bookmarkStart w:id="272" w:name="_Toc23559674"/>
      <w:bookmarkStart w:id="273" w:name="_Toc23560142"/>
      <w:bookmarkStart w:id="274" w:name="_Toc23563436"/>
      <w:bookmarkStart w:id="275" w:name="_Toc77998688"/>
      <w:bookmarkStart w:id="276" w:name="_Toc79399717"/>
      <w:bookmarkStart w:id="277" w:name="_Toc112211966"/>
      <w:bookmarkStart w:id="278" w:name="_Toc112212060"/>
      <w:bookmarkStart w:id="279" w:name="_Toc112137878"/>
      <w:bookmarkStart w:id="280" w:name="_Toc112137900"/>
      <w:bookmarkStart w:id="281" w:name="_Toc210646453"/>
      <w:bookmarkStart w:id="282" w:name="_Toc210698432"/>
      <w:bookmarkStart w:id="283" w:name="_Toc21070321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735019">
        <w:lastRenderedPageBreak/>
        <w:t>Section 2</w:t>
      </w:r>
      <w:bookmarkEnd w:id="251"/>
      <w:bookmarkEnd w:id="252"/>
      <w:bookmarkEnd w:id="253"/>
      <w:bookmarkEnd w:id="254"/>
      <w:r>
        <w:t xml:space="preserve">: </w:t>
      </w:r>
      <w:bookmarkStart w:id="284" w:name="_Toc436624144"/>
      <w:bookmarkStart w:id="285" w:name="_Toc436625445"/>
      <w:bookmarkStart w:id="286" w:name="_Toc436626790"/>
      <w:bookmarkStart w:id="287" w:name="_Toc446237033"/>
      <w:bookmarkStart w:id="288" w:name="_Toc449255765"/>
      <w:r w:rsidRPr="00735019">
        <w:t xml:space="preserve">Revisions to </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4"/>
      <w:bookmarkEnd w:id="285"/>
      <w:bookmarkEnd w:id="286"/>
      <w:bookmarkEnd w:id="287"/>
      <w:bookmarkEnd w:id="288"/>
      <w:r w:rsidR="001436E5">
        <w:rPr>
          <w:lang w:val="en-AU"/>
        </w:rPr>
        <w:t>outcomes</w:t>
      </w:r>
      <w:r w:rsidRPr="00735019">
        <w:t xml:space="preserve"> and </w:t>
      </w:r>
      <w:r w:rsidR="001436E5">
        <w:t>p</w:t>
      </w:r>
      <w:r w:rsidR="001436E5" w:rsidRPr="00735019">
        <w:t xml:space="preserve">lanned </w:t>
      </w:r>
      <w:r w:rsidR="001436E5">
        <w:t>p</w:t>
      </w:r>
      <w:r w:rsidR="001436E5" w:rsidRPr="00735019">
        <w:t>erformance</w:t>
      </w:r>
      <w:bookmarkEnd w:id="282"/>
      <w:bookmarkEnd w:id="283"/>
    </w:p>
    <w:p w:rsidR="00F51DAC" w:rsidRDefault="00F51DAC" w:rsidP="0033317A">
      <w:pPr>
        <w:pStyle w:val="Heading3"/>
        <w:rPr>
          <w:lang w:val="en-AU"/>
        </w:rPr>
      </w:pPr>
      <w:bookmarkStart w:id="289" w:name="_Toc436624145"/>
      <w:bookmarkStart w:id="290" w:name="_Toc436625446"/>
      <w:bookmarkStart w:id="291" w:name="_Toc449255766"/>
      <w:bookmarkStart w:id="292" w:name="_Toc490972410"/>
      <w:bookmarkStart w:id="293" w:name="_Toc491014630"/>
      <w:bookmarkStart w:id="294" w:name="_Toc491014772"/>
      <w:bookmarkStart w:id="295" w:name="_Toc491014952"/>
      <w:bookmarkStart w:id="296" w:name="_Toc491015099"/>
      <w:bookmarkStart w:id="297" w:name="_Toc491029243"/>
      <w:bookmarkStart w:id="298" w:name="_Toc491030332"/>
      <w:bookmarkStart w:id="299" w:name="_Toc491030791"/>
      <w:bookmarkStart w:id="300" w:name="_Toc491031354"/>
      <w:bookmarkStart w:id="301" w:name="_Toc491031941"/>
      <w:bookmarkStart w:id="302" w:name="_Toc491032114"/>
      <w:bookmarkStart w:id="303" w:name="_Toc491032222"/>
      <w:bookmarkStart w:id="304" w:name="_Toc491032329"/>
      <w:bookmarkStart w:id="305" w:name="_Toc491771721"/>
      <w:bookmarkStart w:id="306" w:name="_Toc491773296"/>
      <w:bookmarkStart w:id="307" w:name="_Toc23559354"/>
      <w:bookmarkStart w:id="308" w:name="_Toc23559388"/>
      <w:bookmarkStart w:id="309" w:name="_Toc23559675"/>
      <w:bookmarkStart w:id="310" w:name="_Toc23560143"/>
      <w:bookmarkStart w:id="311" w:name="_Toc23563437"/>
      <w:bookmarkStart w:id="312" w:name="_Toc77998689"/>
      <w:bookmarkStart w:id="313" w:name="_Toc79406118"/>
      <w:bookmarkStart w:id="314" w:name="_Toc79467820"/>
      <w:bookmarkStart w:id="315" w:name="_Toc112211967"/>
      <w:bookmarkStart w:id="316" w:name="_Toc112212061"/>
      <w:bookmarkStart w:id="317" w:name="_Toc112137879"/>
      <w:bookmarkStart w:id="318" w:name="_Toc112137901"/>
      <w:bookmarkStart w:id="319" w:name="_Toc210646454"/>
      <w:bookmarkStart w:id="320" w:name="_Toc210698433"/>
      <w:bookmarkStart w:id="321" w:name="_Toc210703215"/>
      <w:r>
        <w:t>2.1</w:t>
      </w:r>
      <w:r>
        <w:tab/>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00F47771">
        <w:rPr>
          <w:lang w:val="en-AU"/>
        </w:rPr>
        <w:t>Outcomes</w:t>
      </w:r>
      <w:r>
        <w:t xml:space="preserve"> and performance information</w:t>
      </w:r>
      <w:bookmarkStart w:id="322" w:name="_Toc490972411"/>
      <w:bookmarkStart w:id="323" w:name="_Toc491014631"/>
      <w:bookmarkStart w:id="324" w:name="_Toc491014773"/>
      <w:bookmarkStart w:id="325" w:name="_Toc491014953"/>
      <w:bookmarkStart w:id="326" w:name="_Toc491015100"/>
    </w:p>
    <w:p w:rsidR="0033317A" w:rsidRPr="0033317A" w:rsidRDefault="0033317A" w:rsidP="0033317A">
      <w:pPr>
        <w:jc w:val="left"/>
      </w:pPr>
      <w:r>
        <w:t xml:space="preserve">No changes have been made to the Department of Employment’s outcome structure since the 2015–16 </w:t>
      </w:r>
      <w:r w:rsidR="00EB228D">
        <w:t>Portfolio</w:t>
      </w:r>
      <w:r>
        <w:t xml:space="preserve"> Budget Statements. Complete details of the department’s outcomes and performance information can be found in the 2015–16 Portfolio Budget Statements. </w:t>
      </w:r>
    </w:p>
    <w:p w:rsidR="00F51DAC" w:rsidRDefault="00F51DAC" w:rsidP="00E15CF3">
      <w:pPr>
        <w:pStyle w:val="Outcomeheading"/>
        <w:rPr>
          <w:lang w:val="en-AU"/>
        </w:rPr>
      </w:pPr>
      <w:bookmarkStart w:id="327" w:name="_Toc210701000"/>
      <w:bookmarkStart w:id="328" w:name="_Toc210703216"/>
      <w:r w:rsidRPr="004928FF">
        <w:t>Outcome 1</w:t>
      </w:r>
      <w:bookmarkEnd w:id="322"/>
      <w:bookmarkEnd w:id="323"/>
      <w:bookmarkEnd w:id="324"/>
      <w:bookmarkEnd w:id="325"/>
      <w:bookmarkEnd w:id="326"/>
      <w:bookmarkEnd w:id="327"/>
      <w:bookmarkEnd w:id="328"/>
    </w:p>
    <w:p w:rsidR="008E1C29" w:rsidRDefault="008E1C29" w:rsidP="008E1C29">
      <w:pPr>
        <w:pStyle w:val="ProgramHeading"/>
      </w:pPr>
      <w:r>
        <w:t xml:space="preserve">Outcome 1: </w:t>
      </w:r>
      <w:r w:rsidRPr="00CA05CE">
        <w:t>Foster a productive and competitive labour market through employment policies and programmes that assist job seekers into work, meet employer needs and increase Australia’s workforce participation.</w:t>
      </w:r>
    </w:p>
    <w:p w:rsidR="00F51DAC" w:rsidRPr="00D93D96" w:rsidRDefault="00E15CF3" w:rsidP="000B5844">
      <w:pPr>
        <w:pStyle w:val="Heading4"/>
      </w:pPr>
      <w:r>
        <w:t xml:space="preserve">Outcome 1 </w:t>
      </w:r>
      <w:r w:rsidR="00701B3C">
        <w:t>s</w:t>
      </w:r>
      <w:r w:rsidR="00701B3C" w:rsidRPr="00D93D96">
        <w:t>trategy</w:t>
      </w:r>
    </w:p>
    <w:p w:rsidR="00F51DAC" w:rsidRDefault="008E1C29" w:rsidP="008E1C29">
      <w:pPr>
        <w:jc w:val="left"/>
      </w:pPr>
      <w:r>
        <w:t xml:space="preserve">No changes have been made to this outcome strategy since the 2015–16 Portfolio Budget Statements. </w:t>
      </w:r>
    </w:p>
    <w:p w:rsidR="00F51DAC" w:rsidRPr="001436E5" w:rsidRDefault="00F51DAC" w:rsidP="00F51DAC">
      <w:pPr>
        <w:pStyle w:val="TableHeading"/>
        <w:rPr>
          <w:highlight w:val="yellow"/>
          <w:lang w:val="en-AU"/>
        </w:rPr>
      </w:pPr>
      <w:r w:rsidRPr="00D93D96">
        <w:t xml:space="preserve">Table 2.1 Budgeted </w:t>
      </w:r>
      <w:r w:rsidR="00701B3C" w:rsidRPr="00D93D96">
        <w:t>expenses</w:t>
      </w:r>
      <w:r w:rsidR="00701B3C">
        <w:rPr>
          <w:lang w:val="en-AU"/>
        </w:rPr>
        <w:t xml:space="preserve"> for</w:t>
      </w:r>
      <w:r w:rsidRPr="00D93D96">
        <w:t xml:space="preserve"> Outcome </w:t>
      </w:r>
      <w:r w:rsidR="005459F9">
        <w:rPr>
          <w:lang w:val="en-AU"/>
        </w:rPr>
        <w:t>1</w:t>
      </w:r>
    </w:p>
    <w:tbl>
      <w:tblPr>
        <w:tblW w:w="7773" w:type="dxa"/>
        <w:tblInd w:w="93" w:type="dxa"/>
        <w:tblLook w:val="04A0" w:firstRow="1" w:lastRow="0" w:firstColumn="1" w:lastColumn="0" w:noHBand="0" w:noVBand="1"/>
      </w:tblPr>
      <w:tblGrid>
        <w:gridCol w:w="5489"/>
        <w:gridCol w:w="1142"/>
        <w:gridCol w:w="1142"/>
      </w:tblGrid>
      <w:tr w:rsidR="00FD2224" w:rsidRPr="00FD2224" w:rsidTr="00133268">
        <w:trPr>
          <w:trHeight w:val="852"/>
          <w:tblHeader/>
        </w:trPr>
        <w:tc>
          <w:tcPr>
            <w:tcW w:w="5489" w:type="dxa"/>
            <w:tcBorders>
              <w:top w:val="single" w:sz="4" w:space="0" w:color="auto"/>
              <w:left w:val="nil"/>
              <w:bottom w:val="nil"/>
              <w:right w:val="nil"/>
            </w:tcBorders>
            <w:shd w:val="clear" w:color="auto" w:fill="auto"/>
            <w:hideMark/>
          </w:tcPr>
          <w:p w:rsidR="00FD2224" w:rsidRPr="00FD2224" w:rsidRDefault="00FD2224" w:rsidP="00FD2224">
            <w:pPr>
              <w:spacing w:after="0" w:line="240" w:lineRule="auto"/>
              <w:jc w:val="left"/>
              <w:rPr>
                <w:rFonts w:ascii="Arial" w:hAnsi="Arial" w:cs="Arial"/>
                <w:b/>
                <w:bCs/>
                <w:color w:val="000000"/>
                <w:sz w:val="16"/>
                <w:szCs w:val="16"/>
              </w:rPr>
            </w:pPr>
            <w:r w:rsidRPr="00FD2224">
              <w:rPr>
                <w:rFonts w:ascii="Arial" w:hAnsi="Arial" w:cs="Arial"/>
                <w:b/>
                <w:bCs/>
                <w:color w:val="000000"/>
                <w:sz w:val="16"/>
                <w:szCs w:val="16"/>
              </w:rPr>
              <w:t>Outcome 1: Foster a productive and competitive labour market through employment policies and programmes that assist job seekers into work, meet employer needs and increase Australia's workforce participation.</w:t>
            </w:r>
          </w:p>
        </w:tc>
        <w:tc>
          <w:tcPr>
            <w:tcW w:w="1142" w:type="dxa"/>
            <w:tcBorders>
              <w:top w:val="single" w:sz="4" w:space="0" w:color="auto"/>
              <w:left w:val="nil"/>
              <w:bottom w:val="single" w:sz="4" w:space="0" w:color="auto"/>
              <w:right w:val="nil"/>
            </w:tcBorders>
            <w:shd w:val="clear" w:color="auto" w:fill="auto"/>
            <w:hideMark/>
          </w:tcPr>
          <w:p w:rsidR="00FD2224" w:rsidRPr="00FD2224" w:rsidRDefault="00FD2224" w:rsidP="00FD2224">
            <w:pPr>
              <w:spacing w:after="0" w:line="240" w:lineRule="auto"/>
              <w:jc w:val="right"/>
              <w:rPr>
                <w:rFonts w:ascii="Arial" w:hAnsi="Arial" w:cs="Arial"/>
                <w:color w:val="000000"/>
                <w:sz w:val="16"/>
                <w:szCs w:val="16"/>
              </w:rPr>
            </w:pPr>
            <w:r>
              <w:rPr>
                <w:rFonts w:ascii="Arial" w:hAnsi="Arial" w:cs="Arial"/>
                <w:color w:val="000000"/>
                <w:sz w:val="16"/>
                <w:szCs w:val="16"/>
              </w:rPr>
              <w:t>2014–</w:t>
            </w:r>
            <w:r w:rsidRPr="00FD2224">
              <w:rPr>
                <w:rFonts w:ascii="Arial" w:hAnsi="Arial" w:cs="Arial"/>
                <w:color w:val="000000"/>
                <w:sz w:val="16"/>
                <w:szCs w:val="16"/>
              </w:rPr>
              <w:t>15</w:t>
            </w:r>
            <w:r w:rsidRPr="00FD2224">
              <w:rPr>
                <w:rFonts w:ascii="Arial" w:hAnsi="Arial" w:cs="Arial"/>
                <w:color w:val="000000"/>
                <w:sz w:val="16"/>
                <w:szCs w:val="16"/>
              </w:rPr>
              <w:br/>
              <w:t>Actual expenses</w:t>
            </w:r>
            <w:r w:rsidRPr="00FD2224">
              <w:rPr>
                <w:rFonts w:ascii="Arial" w:hAnsi="Arial" w:cs="Arial"/>
                <w:color w:val="000000"/>
                <w:sz w:val="16"/>
                <w:szCs w:val="16"/>
              </w:rPr>
              <w:br/>
              <w:t>$'000</w:t>
            </w:r>
          </w:p>
        </w:tc>
        <w:tc>
          <w:tcPr>
            <w:tcW w:w="1142" w:type="dxa"/>
            <w:tcBorders>
              <w:top w:val="single" w:sz="4" w:space="0" w:color="auto"/>
              <w:left w:val="nil"/>
              <w:bottom w:val="single" w:sz="4" w:space="0" w:color="auto"/>
              <w:right w:val="nil"/>
            </w:tcBorders>
            <w:shd w:val="clear" w:color="000000" w:fill="E6E6E6"/>
            <w:hideMark/>
          </w:tcPr>
          <w:p w:rsidR="00FD2224" w:rsidRPr="00FD2224" w:rsidRDefault="00FD2224" w:rsidP="00FD2224">
            <w:pPr>
              <w:spacing w:after="0" w:line="240" w:lineRule="auto"/>
              <w:jc w:val="right"/>
              <w:rPr>
                <w:rFonts w:ascii="Arial" w:hAnsi="Arial" w:cs="Arial"/>
                <w:color w:val="000000"/>
                <w:sz w:val="16"/>
                <w:szCs w:val="16"/>
              </w:rPr>
            </w:pPr>
            <w:r>
              <w:rPr>
                <w:rFonts w:ascii="Arial" w:hAnsi="Arial" w:cs="Arial"/>
                <w:color w:val="000000"/>
                <w:sz w:val="16"/>
                <w:szCs w:val="16"/>
              </w:rPr>
              <w:t>2015–</w:t>
            </w:r>
            <w:r w:rsidRPr="00FD2224">
              <w:rPr>
                <w:rFonts w:ascii="Arial" w:hAnsi="Arial" w:cs="Arial"/>
                <w:color w:val="000000"/>
                <w:sz w:val="16"/>
                <w:szCs w:val="16"/>
              </w:rPr>
              <w:t>16</w:t>
            </w:r>
            <w:r w:rsidRPr="00FD2224">
              <w:rPr>
                <w:rFonts w:ascii="Arial" w:hAnsi="Arial" w:cs="Arial"/>
                <w:color w:val="000000"/>
                <w:sz w:val="16"/>
                <w:szCs w:val="16"/>
              </w:rPr>
              <w:br/>
              <w:t>Revised estimated expenses</w:t>
            </w:r>
            <w:r w:rsidRPr="00FD2224">
              <w:rPr>
                <w:rFonts w:ascii="Arial" w:hAnsi="Arial" w:cs="Arial"/>
                <w:color w:val="000000"/>
                <w:sz w:val="16"/>
                <w:szCs w:val="16"/>
              </w:rPr>
              <w:br/>
              <w:t>$'000</w:t>
            </w:r>
          </w:p>
        </w:tc>
      </w:tr>
      <w:tr w:rsidR="00FD2224" w:rsidRPr="00FD2224" w:rsidTr="00FD2224">
        <w:trPr>
          <w:trHeight w:val="220"/>
        </w:trPr>
        <w:tc>
          <w:tcPr>
            <w:tcW w:w="5489" w:type="dxa"/>
            <w:tcBorders>
              <w:top w:val="nil"/>
              <w:left w:val="nil"/>
              <w:bottom w:val="nil"/>
              <w:right w:val="nil"/>
            </w:tcBorders>
            <w:shd w:val="clear" w:color="auto" w:fill="auto"/>
            <w:vAlign w:val="center"/>
            <w:hideMark/>
          </w:tcPr>
          <w:p w:rsidR="00FD2224" w:rsidRPr="00FD2224" w:rsidRDefault="00FD2224" w:rsidP="00FD2224">
            <w:pPr>
              <w:spacing w:after="0" w:line="240" w:lineRule="auto"/>
              <w:jc w:val="left"/>
              <w:rPr>
                <w:rFonts w:ascii="Arial" w:hAnsi="Arial" w:cs="Arial"/>
                <w:b/>
                <w:bCs/>
                <w:sz w:val="16"/>
                <w:szCs w:val="16"/>
              </w:rPr>
            </w:pPr>
            <w:r w:rsidRPr="00FD2224">
              <w:rPr>
                <w:rFonts w:ascii="Arial" w:hAnsi="Arial" w:cs="Arial"/>
                <w:b/>
                <w:bCs/>
                <w:sz w:val="16"/>
                <w:szCs w:val="16"/>
              </w:rPr>
              <w:t>Programme 1.1: Employment Services</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sz w:val="16"/>
                <w:szCs w:val="16"/>
              </w:rPr>
            </w:pPr>
            <w:r w:rsidRPr="00FD2224">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ind w:firstLineChars="100" w:firstLine="160"/>
              <w:jc w:val="left"/>
              <w:rPr>
                <w:rFonts w:ascii="Arial" w:hAnsi="Arial" w:cs="Arial"/>
                <w:sz w:val="16"/>
                <w:szCs w:val="16"/>
              </w:rPr>
            </w:pPr>
            <w:r w:rsidRPr="00FD2224">
              <w:rPr>
                <w:rFonts w:ascii="Arial" w:hAnsi="Arial" w:cs="Arial"/>
                <w:sz w:val="16"/>
                <w:szCs w:val="16"/>
              </w:rPr>
              <w:t>Ordinary annual services (</w:t>
            </w:r>
            <w:r w:rsidRPr="00FD2224">
              <w:rPr>
                <w:rFonts w:ascii="Arial" w:hAnsi="Arial" w:cs="Arial"/>
                <w:i/>
                <w:iCs/>
                <w:sz w:val="16"/>
                <w:szCs w:val="16"/>
              </w:rPr>
              <w:t>Appropriation Act No. 1</w:t>
            </w:r>
            <w:r w:rsidRPr="00FD2224">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1,367,249 </w:t>
            </w: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xml:space="preserve">1,522,705 </w:t>
            </w:r>
          </w:p>
        </w:tc>
      </w:tr>
      <w:tr w:rsidR="00FD2224" w:rsidRPr="00FD2224" w:rsidTr="00FD2224">
        <w:trPr>
          <w:trHeight w:val="220"/>
        </w:trPr>
        <w:tc>
          <w:tcPr>
            <w:tcW w:w="5489" w:type="dxa"/>
            <w:tcBorders>
              <w:top w:val="nil"/>
              <w:left w:val="nil"/>
              <w:bottom w:val="nil"/>
              <w:right w:val="nil"/>
            </w:tcBorders>
            <w:shd w:val="clear" w:color="auto" w:fill="auto"/>
            <w:vAlign w:val="center"/>
            <w:hideMark/>
          </w:tcPr>
          <w:p w:rsidR="00FD2224" w:rsidRPr="00FD2224" w:rsidRDefault="00FD2224" w:rsidP="00FD2224">
            <w:pPr>
              <w:spacing w:after="0" w:line="240" w:lineRule="auto"/>
              <w:jc w:val="left"/>
              <w:rPr>
                <w:rFonts w:ascii="Arial" w:hAnsi="Arial" w:cs="Arial"/>
                <w:b/>
                <w:bCs/>
                <w:sz w:val="16"/>
                <w:szCs w:val="16"/>
              </w:rPr>
            </w:pPr>
            <w:r w:rsidRPr="00FD2224">
              <w:rPr>
                <w:rFonts w:ascii="Arial" w:hAnsi="Arial" w:cs="Arial"/>
                <w:b/>
                <w:bCs/>
                <w:sz w:val="16"/>
                <w:szCs w:val="16"/>
              </w:rPr>
              <w:t>Total for Programme 1.1</w:t>
            </w:r>
          </w:p>
        </w:tc>
        <w:tc>
          <w:tcPr>
            <w:tcW w:w="1142" w:type="dxa"/>
            <w:tcBorders>
              <w:top w:val="single" w:sz="4" w:space="0" w:color="auto"/>
              <w:left w:val="nil"/>
              <w:bottom w:val="single" w:sz="4" w:space="0" w:color="auto"/>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b/>
                <w:bCs/>
                <w:color w:val="000000"/>
                <w:sz w:val="16"/>
                <w:szCs w:val="16"/>
              </w:rPr>
            </w:pPr>
            <w:r w:rsidRPr="00FD2224">
              <w:rPr>
                <w:rFonts w:ascii="Arial" w:hAnsi="Arial" w:cs="Arial"/>
                <w:b/>
                <w:bCs/>
                <w:color w:val="000000"/>
                <w:sz w:val="16"/>
                <w:szCs w:val="16"/>
              </w:rPr>
              <w:t xml:space="preserve">1,367,249 </w:t>
            </w:r>
          </w:p>
        </w:tc>
        <w:tc>
          <w:tcPr>
            <w:tcW w:w="1142" w:type="dxa"/>
            <w:tcBorders>
              <w:top w:val="single" w:sz="4" w:space="0" w:color="auto"/>
              <w:left w:val="nil"/>
              <w:bottom w:val="single" w:sz="4" w:space="0" w:color="auto"/>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b/>
                <w:bCs/>
                <w:color w:val="000000"/>
                <w:sz w:val="16"/>
                <w:szCs w:val="16"/>
              </w:rPr>
            </w:pPr>
            <w:r w:rsidRPr="00FD2224">
              <w:rPr>
                <w:rFonts w:ascii="Arial" w:hAnsi="Arial" w:cs="Arial"/>
                <w:b/>
                <w:bCs/>
                <w:color w:val="000000"/>
                <w:sz w:val="16"/>
                <w:szCs w:val="16"/>
              </w:rPr>
              <w:t xml:space="preserve">1,522,705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b/>
                <w:bCs/>
                <w:sz w:val="16"/>
                <w:szCs w:val="16"/>
              </w:rPr>
            </w:pPr>
            <w:r w:rsidRPr="00FD2224">
              <w:rPr>
                <w:rFonts w:ascii="Arial" w:hAnsi="Arial" w:cs="Arial"/>
                <w:b/>
                <w:bCs/>
                <w:sz w:val="16"/>
                <w:szCs w:val="16"/>
              </w:rPr>
              <w:t>Outcome 1 Totals by appropriation type</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sz w:val="16"/>
                <w:szCs w:val="16"/>
              </w:rPr>
            </w:pPr>
            <w:r w:rsidRPr="00FD2224">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ind w:firstLineChars="100" w:firstLine="160"/>
              <w:jc w:val="left"/>
              <w:rPr>
                <w:rFonts w:ascii="Arial" w:hAnsi="Arial" w:cs="Arial"/>
                <w:sz w:val="16"/>
                <w:szCs w:val="16"/>
              </w:rPr>
            </w:pPr>
            <w:r w:rsidRPr="00FD2224">
              <w:rPr>
                <w:rFonts w:ascii="Arial" w:hAnsi="Arial" w:cs="Arial"/>
                <w:sz w:val="16"/>
                <w:szCs w:val="16"/>
              </w:rPr>
              <w:t>Ordinary annual services (</w:t>
            </w:r>
            <w:r w:rsidRPr="00FD2224">
              <w:rPr>
                <w:rFonts w:ascii="Arial" w:hAnsi="Arial" w:cs="Arial"/>
                <w:i/>
                <w:iCs/>
                <w:sz w:val="16"/>
                <w:szCs w:val="16"/>
              </w:rPr>
              <w:t>Appropriation Act No. 1</w:t>
            </w:r>
            <w:r w:rsidRPr="00FD2224">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1,367,249 </w:t>
            </w: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xml:space="preserve">1,522,705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sz w:val="16"/>
                <w:szCs w:val="16"/>
              </w:rPr>
            </w:pPr>
            <w:r w:rsidRPr="00FD2224">
              <w:rPr>
                <w:rFonts w:ascii="Arial" w:hAnsi="Arial" w:cs="Arial"/>
                <w:sz w:val="16"/>
                <w:szCs w:val="16"/>
              </w:rPr>
              <w:t>Departmental expenses</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ind w:firstLineChars="100" w:firstLine="160"/>
              <w:jc w:val="left"/>
              <w:rPr>
                <w:rFonts w:ascii="Arial" w:hAnsi="Arial" w:cs="Arial"/>
                <w:sz w:val="16"/>
                <w:szCs w:val="16"/>
              </w:rPr>
            </w:pPr>
            <w:r w:rsidRPr="00FD2224">
              <w:rPr>
                <w:rFonts w:ascii="Arial" w:hAnsi="Arial" w:cs="Arial"/>
                <w:sz w:val="16"/>
                <w:szCs w:val="16"/>
              </w:rPr>
              <w:t>Departmental appropriation(a)</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228,805 </w:t>
            </w: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xml:space="preserve">259,706 </w:t>
            </w:r>
          </w:p>
        </w:tc>
      </w:tr>
      <w:tr w:rsidR="00FD2224" w:rsidRPr="00FD2224" w:rsidTr="00FD2224">
        <w:trPr>
          <w:trHeight w:val="220"/>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sz w:val="16"/>
                <w:szCs w:val="16"/>
              </w:rPr>
            </w:pPr>
            <w:r w:rsidRPr="00FD2224">
              <w:rPr>
                <w:rFonts w:ascii="Arial" w:hAnsi="Arial" w:cs="Arial"/>
                <w:sz w:val="16"/>
                <w:szCs w:val="16"/>
              </w:rPr>
              <w:t>Expenses not requiring appropriation in the Budget year(b)</w:t>
            </w: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24,154 </w:t>
            </w:r>
          </w:p>
        </w:tc>
        <w:tc>
          <w:tcPr>
            <w:tcW w:w="1142" w:type="dxa"/>
            <w:tcBorders>
              <w:top w:val="nil"/>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 xml:space="preserve">23,192 </w:t>
            </w:r>
          </w:p>
        </w:tc>
      </w:tr>
      <w:tr w:rsidR="00FD2224" w:rsidRPr="00FD2224" w:rsidTr="00FD2224">
        <w:trPr>
          <w:trHeight w:val="220"/>
        </w:trPr>
        <w:tc>
          <w:tcPr>
            <w:tcW w:w="5489" w:type="dxa"/>
            <w:tcBorders>
              <w:top w:val="nil"/>
              <w:left w:val="nil"/>
              <w:bottom w:val="single" w:sz="4" w:space="0" w:color="auto"/>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b/>
                <w:bCs/>
                <w:color w:val="000000"/>
                <w:sz w:val="16"/>
                <w:szCs w:val="16"/>
              </w:rPr>
            </w:pPr>
            <w:r w:rsidRPr="00FD2224">
              <w:rPr>
                <w:rFonts w:ascii="Arial" w:hAnsi="Arial" w:cs="Arial"/>
                <w:b/>
                <w:bCs/>
                <w:color w:val="000000"/>
                <w:sz w:val="16"/>
                <w:szCs w:val="16"/>
              </w:rPr>
              <w:t>Total expenses for Outcome 1</w:t>
            </w:r>
          </w:p>
        </w:tc>
        <w:tc>
          <w:tcPr>
            <w:tcW w:w="1142" w:type="dxa"/>
            <w:tcBorders>
              <w:top w:val="single" w:sz="4" w:space="0" w:color="auto"/>
              <w:left w:val="nil"/>
              <w:bottom w:val="single" w:sz="4" w:space="0" w:color="auto"/>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b/>
                <w:bCs/>
                <w:color w:val="000000"/>
                <w:sz w:val="16"/>
                <w:szCs w:val="16"/>
              </w:rPr>
            </w:pPr>
            <w:r w:rsidRPr="00FD2224">
              <w:rPr>
                <w:rFonts w:ascii="Arial" w:hAnsi="Arial" w:cs="Arial"/>
                <w:b/>
                <w:bCs/>
                <w:color w:val="000000"/>
                <w:sz w:val="16"/>
                <w:szCs w:val="16"/>
              </w:rPr>
              <w:t xml:space="preserve">1,620,208 </w:t>
            </w:r>
          </w:p>
        </w:tc>
        <w:tc>
          <w:tcPr>
            <w:tcW w:w="1142" w:type="dxa"/>
            <w:tcBorders>
              <w:top w:val="single" w:sz="4" w:space="0" w:color="auto"/>
              <w:left w:val="nil"/>
              <w:bottom w:val="single" w:sz="4" w:space="0" w:color="auto"/>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b/>
                <w:bCs/>
                <w:color w:val="000000"/>
                <w:sz w:val="16"/>
                <w:szCs w:val="16"/>
              </w:rPr>
            </w:pPr>
            <w:r w:rsidRPr="00FD2224">
              <w:rPr>
                <w:rFonts w:ascii="Arial" w:hAnsi="Arial" w:cs="Arial"/>
                <w:b/>
                <w:bCs/>
                <w:color w:val="000000"/>
                <w:sz w:val="16"/>
                <w:szCs w:val="16"/>
              </w:rPr>
              <w:t xml:space="preserve">1,805,603 </w:t>
            </w:r>
          </w:p>
        </w:tc>
      </w:tr>
      <w:tr w:rsidR="00FD2224" w:rsidRPr="00FD2224" w:rsidTr="00FD2224">
        <w:trPr>
          <w:trHeight w:val="118"/>
        </w:trPr>
        <w:tc>
          <w:tcPr>
            <w:tcW w:w="5489"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sz w:val="16"/>
                <w:szCs w:val="16"/>
              </w:rPr>
            </w:pP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sz w:val="16"/>
                <w:szCs w:val="16"/>
              </w:rPr>
            </w:pPr>
          </w:p>
        </w:tc>
        <w:tc>
          <w:tcPr>
            <w:tcW w:w="1142" w:type="dxa"/>
            <w:tcBorders>
              <w:top w:val="nil"/>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4"/>
                <w:szCs w:val="14"/>
              </w:rPr>
            </w:pPr>
          </w:p>
        </w:tc>
      </w:tr>
      <w:tr w:rsidR="00FD2224" w:rsidRPr="00FD2224" w:rsidTr="00FD2224">
        <w:trPr>
          <w:trHeight w:val="220"/>
        </w:trPr>
        <w:tc>
          <w:tcPr>
            <w:tcW w:w="5489" w:type="dxa"/>
            <w:tcBorders>
              <w:top w:val="single" w:sz="4" w:space="0" w:color="000000"/>
              <w:left w:val="nil"/>
              <w:bottom w:val="nil"/>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color w:val="000000"/>
                <w:sz w:val="16"/>
                <w:szCs w:val="16"/>
              </w:rPr>
            </w:pPr>
            <w:r w:rsidRPr="00FD2224">
              <w:rPr>
                <w:rFonts w:ascii="Arial" w:hAnsi="Arial" w:cs="Arial"/>
                <w:color w:val="000000"/>
                <w:sz w:val="16"/>
                <w:szCs w:val="16"/>
              </w:rPr>
              <w:t> </w:t>
            </w:r>
          </w:p>
        </w:tc>
        <w:tc>
          <w:tcPr>
            <w:tcW w:w="1142" w:type="dxa"/>
            <w:tcBorders>
              <w:top w:val="single" w:sz="4" w:space="0" w:color="000000"/>
              <w:left w:val="nil"/>
              <w:bottom w:val="nil"/>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sz w:val="16"/>
                <w:szCs w:val="16"/>
              </w:rPr>
            </w:pPr>
            <w:r w:rsidRPr="00FD2224">
              <w:rPr>
                <w:rFonts w:ascii="Arial" w:hAnsi="Arial" w:cs="Arial"/>
                <w:sz w:val="16"/>
                <w:szCs w:val="16"/>
              </w:rPr>
              <w:t>2014</w:t>
            </w:r>
            <w:r>
              <w:rPr>
                <w:rFonts w:ascii="Arial" w:hAnsi="Arial" w:cs="Arial"/>
                <w:sz w:val="16"/>
                <w:szCs w:val="16"/>
              </w:rPr>
              <w:t>–</w:t>
            </w:r>
            <w:r w:rsidRPr="00FD2224">
              <w:rPr>
                <w:rFonts w:ascii="Arial" w:hAnsi="Arial" w:cs="Arial"/>
                <w:sz w:val="16"/>
                <w:szCs w:val="16"/>
              </w:rPr>
              <w:t>15</w:t>
            </w:r>
          </w:p>
        </w:tc>
        <w:tc>
          <w:tcPr>
            <w:tcW w:w="1142" w:type="dxa"/>
            <w:tcBorders>
              <w:top w:val="single" w:sz="4" w:space="0" w:color="000000"/>
              <w:left w:val="nil"/>
              <w:bottom w:val="nil"/>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sz w:val="16"/>
                <w:szCs w:val="16"/>
              </w:rPr>
            </w:pPr>
            <w:r>
              <w:rPr>
                <w:rFonts w:ascii="Arial" w:hAnsi="Arial" w:cs="Arial"/>
                <w:sz w:val="16"/>
                <w:szCs w:val="16"/>
              </w:rPr>
              <w:t>2015–</w:t>
            </w:r>
            <w:r w:rsidRPr="00FD2224">
              <w:rPr>
                <w:rFonts w:ascii="Arial" w:hAnsi="Arial" w:cs="Arial"/>
                <w:sz w:val="16"/>
                <w:szCs w:val="16"/>
              </w:rPr>
              <w:t>16</w:t>
            </w:r>
          </w:p>
        </w:tc>
      </w:tr>
      <w:tr w:rsidR="00FD2224" w:rsidRPr="00FD2224" w:rsidTr="00FD2224">
        <w:trPr>
          <w:trHeight w:val="220"/>
        </w:trPr>
        <w:tc>
          <w:tcPr>
            <w:tcW w:w="5489" w:type="dxa"/>
            <w:tcBorders>
              <w:top w:val="nil"/>
              <w:left w:val="nil"/>
              <w:bottom w:val="single" w:sz="4" w:space="0" w:color="000000"/>
              <w:right w:val="nil"/>
            </w:tcBorders>
            <w:shd w:val="clear" w:color="auto" w:fill="auto"/>
            <w:noWrap/>
            <w:vAlign w:val="center"/>
            <w:hideMark/>
          </w:tcPr>
          <w:p w:rsidR="00FD2224" w:rsidRPr="00FD2224" w:rsidRDefault="00FD2224" w:rsidP="00FD2224">
            <w:pPr>
              <w:spacing w:after="0" w:line="240" w:lineRule="auto"/>
              <w:jc w:val="left"/>
              <w:rPr>
                <w:rFonts w:ascii="Arial" w:hAnsi="Arial" w:cs="Arial"/>
                <w:b/>
                <w:bCs/>
                <w:color w:val="000000"/>
                <w:sz w:val="16"/>
                <w:szCs w:val="16"/>
              </w:rPr>
            </w:pPr>
            <w:r w:rsidRPr="00FD2224">
              <w:rPr>
                <w:rFonts w:ascii="Arial" w:hAnsi="Arial" w:cs="Arial"/>
                <w:b/>
                <w:bCs/>
                <w:color w:val="000000"/>
                <w:sz w:val="16"/>
                <w:szCs w:val="16"/>
              </w:rPr>
              <w:t>Average Staffing Level (number)</w:t>
            </w:r>
          </w:p>
        </w:tc>
        <w:tc>
          <w:tcPr>
            <w:tcW w:w="1142" w:type="dxa"/>
            <w:tcBorders>
              <w:top w:val="single" w:sz="4" w:space="0" w:color="000000"/>
              <w:left w:val="nil"/>
              <w:bottom w:val="single" w:sz="4" w:space="0" w:color="000000"/>
              <w:right w:val="nil"/>
            </w:tcBorders>
            <w:shd w:val="clear" w:color="auto" w:fill="auto"/>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1,182 </w:t>
            </w:r>
          </w:p>
        </w:tc>
        <w:tc>
          <w:tcPr>
            <w:tcW w:w="1142" w:type="dxa"/>
            <w:tcBorders>
              <w:top w:val="single" w:sz="4" w:space="0" w:color="000000"/>
              <w:left w:val="nil"/>
              <w:bottom w:val="single" w:sz="4" w:space="0" w:color="000000"/>
              <w:right w:val="nil"/>
            </w:tcBorders>
            <w:shd w:val="clear" w:color="000000" w:fill="E6E6E6"/>
            <w:noWrap/>
            <w:vAlign w:val="center"/>
            <w:hideMark/>
          </w:tcPr>
          <w:p w:rsidR="00FD2224" w:rsidRPr="00FD2224" w:rsidRDefault="00FD2224" w:rsidP="00FD2224">
            <w:pPr>
              <w:spacing w:after="0" w:line="240" w:lineRule="auto"/>
              <w:jc w:val="right"/>
              <w:rPr>
                <w:rFonts w:ascii="Arial" w:hAnsi="Arial" w:cs="Arial"/>
                <w:color w:val="000000"/>
                <w:sz w:val="16"/>
                <w:szCs w:val="16"/>
              </w:rPr>
            </w:pPr>
            <w:r w:rsidRPr="00FD2224">
              <w:rPr>
                <w:rFonts w:ascii="Arial" w:hAnsi="Arial" w:cs="Arial"/>
                <w:color w:val="000000"/>
                <w:sz w:val="16"/>
                <w:szCs w:val="16"/>
              </w:rPr>
              <w:t xml:space="preserve">1,294 </w:t>
            </w:r>
          </w:p>
        </w:tc>
      </w:tr>
    </w:tbl>
    <w:p w:rsidR="00FD2224" w:rsidRDefault="00FD2224" w:rsidP="00FD2224">
      <w:pPr>
        <w:pStyle w:val="Source"/>
      </w:pPr>
    </w:p>
    <w:p w:rsidR="00FD2224" w:rsidRDefault="00FD2224" w:rsidP="00FD2224">
      <w:pPr>
        <w:pStyle w:val="Source"/>
        <w:jc w:val="left"/>
      </w:pPr>
      <w:r>
        <w:t xml:space="preserve">(a) </w:t>
      </w:r>
      <w:r>
        <w:tab/>
        <w:t>Departmental Appropriation combines “Ordinary annual services (</w:t>
      </w:r>
      <w:r>
        <w:rPr>
          <w:i/>
        </w:rPr>
        <w:t>Appropriation Act No. 1</w:t>
      </w:r>
      <w:r>
        <w:t xml:space="preserve"> and Bill No. 3)” and “Retained Revenue Receipts under </w:t>
      </w:r>
      <w:proofErr w:type="spellStart"/>
      <w:r>
        <w:t>s74</w:t>
      </w:r>
      <w:proofErr w:type="spellEnd"/>
      <w:r>
        <w:t xml:space="preserve"> of the </w:t>
      </w:r>
      <w:proofErr w:type="spellStart"/>
      <w:r>
        <w:rPr>
          <w:i/>
        </w:rPr>
        <w:t>PGPA</w:t>
      </w:r>
      <w:proofErr w:type="spellEnd"/>
      <w:r>
        <w:rPr>
          <w:i/>
        </w:rPr>
        <w:t xml:space="preserve"> Act 2013</w:t>
      </w:r>
      <w:r>
        <w:t>”.</w:t>
      </w:r>
    </w:p>
    <w:p w:rsidR="00FD2224" w:rsidRDefault="00FD2224" w:rsidP="00FD2224">
      <w:pPr>
        <w:pStyle w:val="Source"/>
        <w:jc w:val="left"/>
      </w:pPr>
      <w:r>
        <w:t xml:space="preserve">(b) </w:t>
      </w:r>
      <w:r>
        <w:tab/>
        <w:t>Expenses not requiring appropriation in the Budget year is made up of Depreciation Expense, Amortisation Expense, and Audit Fees.</w:t>
      </w:r>
    </w:p>
    <w:p w:rsidR="00FD2224" w:rsidRDefault="00FD2224" w:rsidP="00FD2224">
      <w:pPr>
        <w:pStyle w:val="Source"/>
        <w:jc w:val="left"/>
      </w:pPr>
    </w:p>
    <w:p w:rsidR="00FD2224" w:rsidRPr="00FD2224" w:rsidRDefault="00FD2224" w:rsidP="00FD2224">
      <w:pPr>
        <w:pStyle w:val="Source"/>
        <w:jc w:val="left"/>
      </w:pPr>
      <w:r>
        <w:t>Note: Departmental appropriation splits and totals are indicative estimates and may change in the course of the budget year as government priorities change.</w:t>
      </w:r>
    </w:p>
    <w:p w:rsidR="00FD2224" w:rsidRDefault="00FD2224" w:rsidP="00E15CF3">
      <w:pPr>
        <w:pStyle w:val="Heading5"/>
        <w:rPr>
          <w:lang w:val="en-AU"/>
        </w:rPr>
      </w:pPr>
    </w:p>
    <w:p w:rsidR="00F51DAC" w:rsidRDefault="009D4B20" w:rsidP="00E15CF3">
      <w:pPr>
        <w:pStyle w:val="Heading5"/>
        <w:rPr>
          <w:lang w:val="en-AU"/>
        </w:rPr>
      </w:pPr>
      <w:r>
        <w:t xml:space="preserve">Programme </w:t>
      </w:r>
      <w:r w:rsidR="005459F9">
        <w:rPr>
          <w:lang w:val="en-AU"/>
        </w:rPr>
        <w:t>1.1 Employment Services</w:t>
      </w:r>
    </w:p>
    <w:p w:rsidR="005459F9" w:rsidRPr="005459F9" w:rsidRDefault="005459F9" w:rsidP="005459F9">
      <w:r>
        <w:t xml:space="preserve">Performance information contained in the 2015–16 Portfolio Budget Statements have not changed. </w:t>
      </w:r>
    </w:p>
    <w:p w:rsidR="00F51DAC" w:rsidRDefault="005459F9" w:rsidP="00E15CF3">
      <w:pPr>
        <w:pStyle w:val="Heading5"/>
      </w:pPr>
      <w:r>
        <w:rPr>
          <w:lang w:val="en-AU"/>
        </w:rPr>
        <w:t xml:space="preserve">Table 2.1.1 </w:t>
      </w:r>
      <w:r w:rsidR="009D4B20">
        <w:t xml:space="preserve">Programme </w:t>
      </w:r>
      <w:r w:rsidR="00701B3C">
        <w:t>expenses</w:t>
      </w:r>
    </w:p>
    <w:tbl>
      <w:tblPr>
        <w:tblW w:w="7800" w:type="dxa"/>
        <w:tblInd w:w="93" w:type="dxa"/>
        <w:tblLook w:val="04A0" w:firstRow="1" w:lastRow="0" w:firstColumn="1" w:lastColumn="0" w:noHBand="0" w:noVBand="1"/>
      </w:tblPr>
      <w:tblGrid>
        <w:gridCol w:w="3160"/>
        <w:gridCol w:w="928"/>
        <w:gridCol w:w="928"/>
        <w:gridCol w:w="928"/>
        <w:gridCol w:w="928"/>
        <w:gridCol w:w="928"/>
      </w:tblGrid>
      <w:tr w:rsidR="00315697" w:rsidRPr="00315697" w:rsidTr="00133268">
        <w:trPr>
          <w:trHeight w:val="743"/>
          <w:tblHeader/>
        </w:trPr>
        <w:tc>
          <w:tcPr>
            <w:tcW w:w="3160" w:type="dxa"/>
            <w:tcBorders>
              <w:top w:val="single" w:sz="4" w:space="0" w:color="auto"/>
              <w:left w:val="nil"/>
              <w:right w:val="nil"/>
            </w:tcBorders>
            <w:shd w:val="clear" w:color="auto" w:fill="auto"/>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 </w:t>
            </w:r>
          </w:p>
        </w:tc>
        <w:tc>
          <w:tcPr>
            <w:tcW w:w="928"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2014–</w:t>
            </w:r>
            <w:r w:rsidRPr="00315697">
              <w:rPr>
                <w:rFonts w:ascii="Arial" w:hAnsi="Arial" w:cs="Arial"/>
                <w:sz w:val="16"/>
                <w:szCs w:val="16"/>
              </w:rPr>
              <w:t>15</w:t>
            </w:r>
            <w:r w:rsidRPr="00315697">
              <w:rPr>
                <w:rFonts w:ascii="Arial" w:hAnsi="Arial" w:cs="Arial"/>
                <w:sz w:val="16"/>
                <w:szCs w:val="16"/>
              </w:rPr>
              <w:br/>
              <w:t>Actual</w:t>
            </w:r>
            <w:r w:rsidRPr="00315697">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2015–</w:t>
            </w:r>
            <w:r w:rsidRPr="00315697">
              <w:rPr>
                <w:rFonts w:ascii="Arial" w:hAnsi="Arial" w:cs="Arial"/>
                <w:sz w:val="16"/>
                <w:szCs w:val="16"/>
              </w:rPr>
              <w:t>16</w:t>
            </w:r>
            <w:r w:rsidRPr="00315697">
              <w:rPr>
                <w:rFonts w:ascii="Arial" w:hAnsi="Arial" w:cs="Arial"/>
                <w:sz w:val="16"/>
                <w:szCs w:val="16"/>
              </w:rPr>
              <w:br/>
              <w:t>Revised budget</w:t>
            </w:r>
            <w:r w:rsidRPr="00315697">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2016–</w:t>
            </w:r>
            <w:r w:rsidRPr="00315697">
              <w:rPr>
                <w:rFonts w:ascii="Arial" w:hAnsi="Arial" w:cs="Arial"/>
                <w:sz w:val="16"/>
                <w:szCs w:val="16"/>
              </w:rPr>
              <w:t>17</w:t>
            </w:r>
            <w:r w:rsidRPr="00315697">
              <w:rPr>
                <w:rFonts w:ascii="Arial" w:hAnsi="Arial" w:cs="Arial"/>
                <w:sz w:val="16"/>
                <w:szCs w:val="16"/>
              </w:rPr>
              <w:br/>
              <w:t>Forward year 1</w:t>
            </w:r>
            <w:r w:rsidRPr="00315697">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2017–</w:t>
            </w:r>
            <w:r w:rsidRPr="00315697">
              <w:rPr>
                <w:rFonts w:ascii="Arial" w:hAnsi="Arial" w:cs="Arial"/>
                <w:sz w:val="16"/>
                <w:szCs w:val="16"/>
              </w:rPr>
              <w:t>18</w:t>
            </w:r>
            <w:r w:rsidRPr="00315697">
              <w:rPr>
                <w:rFonts w:ascii="Arial" w:hAnsi="Arial" w:cs="Arial"/>
                <w:sz w:val="16"/>
                <w:szCs w:val="16"/>
              </w:rPr>
              <w:br/>
              <w:t>Forward year 2</w:t>
            </w:r>
            <w:r w:rsidRPr="00315697">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2018–</w:t>
            </w:r>
            <w:r w:rsidRPr="00315697">
              <w:rPr>
                <w:rFonts w:ascii="Arial" w:hAnsi="Arial" w:cs="Arial"/>
                <w:sz w:val="16"/>
                <w:szCs w:val="16"/>
              </w:rPr>
              <w:t>19</w:t>
            </w:r>
            <w:r w:rsidRPr="00315697">
              <w:rPr>
                <w:rFonts w:ascii="Arial" w:hAnsi="Arial" w:cs="Arial"/>
                <w:sz w:val="16"/>
                <w:szCs w:val="16"/>
              </w:rPr>
              <w:br/>
              <w:t>Forward year 3</w:t>
            </w:r>
            <w:r w:rsidRPr="00315697">
              <w:rPr>
                <w:rFonts w:ascii="Arial" w:hAnsi="Arial" w:cs="Arial"/>
                <w:sz w:val="16"/>
                <w:szCs w:val="16"/>
              </w:rPr>
              <w:br/>
              <w:t>$'000</w:t>
            </w:r>
          </w:p>
        </w:tc>
      </w:tr>
      <w:tr w:rsidR="00315697" w:rsidRPr="00315697" w:rsidTr="004A4685">
        <w:trPr>
          <w:trHeight w:val="225"/>
        </w:trPr>
        <w:tc>
          <w:tcPr>
            <w:tcW w:w="3160" w:type="dxa"/>
            <w:tcBorders>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Annual administered expenses:</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C0C0C0"/>
            <w:noWrap/>
            <w:vAlign w:val="bottom"/>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jobactive</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1,169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1,452,559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1,716,997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1,685,420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1,699,825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Job Services Australia</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1,362,295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Job Commitment Bonus</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34,234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64,003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65,630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65,851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 xml:space="preserve">Empowering </w:t>
            </w:r>
            <w:proofErr w:type="spellStart"/>
            <w:r w:rsidRPr="00315697">
              <w:rPr>
                <w:rFonts w:ascii="Arial" w:hAnsi="Arial" w:cs="Arial"/>
                <w:sz w:val="16"/>
                <w:szCs w:val="16"/>
              </w:rPr>
              <w:t>YOUth</w:t>
            </w:r>
            <w:proofErr w:type="spellEnd"/>
            <w:r w:rsidRPr="00315697">
              <w:rPr>
                <w:rFonts w:ascii="Arial" w:hAnsi="Arial" w:cs="Arial"/>
                <w:sz w:val="16"/>
                <w:szCs w:val="16"/>
              </w:rPr>
              <w:t xml:space="preserve"> Initiatives</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10,100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17,600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17,600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5,050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proofErr w:type="spellStart"/>
            <w:r w:rsidRPr="00315697">
              <w:rPr>
                <w:rFonts w:ascii="Arial" w:hAnsi="Arial" w:cs="Arial"/>
                <w:sz w:val="16"/>
                <w:szCs w:val="16"/>
              </w:rPr>
              <w:t>ParentsNext</w:t>
            </w:r>
            <w:proofErr w:type="spellEnd"/>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2,721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14,322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21,080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20,191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Transition to Work</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18,541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89,405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96,855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99,618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Seasonal Worker Programme</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489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1,277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1,703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1,729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1,754 </w:t>
            </w:r>
          </w:p>
        </w:tc>
      </w:tr>
      <w:tr w:rsidR="00315697" w:rsidRPr="00315697" w:rsidTr="00AD77B7">
        <w:trPr>
          <w:trHeight w:val="225"/>
        </w:trPr>
        <w:tc>
          <w:tcPr>
            <w:tcW w:w="3160"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00" w:firstLine="160"/>
              <w:jc w:val="left"/>
              <w:rPr>
                <w:rFonts w:ascii="Arial" w:hAnsi="Arial" w:cs="Arial"/>
                <w:sz w:val="16"/>
                <w:szCs w:val="16"/>
              </w:rPr>
            </w:pPr>
            <w:r w:rsidRPr="00315697">
              <w:rPr>
                <w:rFonts w:ascii="Arial" w:hAnsi="Arial" w:cs="Arial"/>
                <w:sz w:val="16"/>
                <w:szCs w:val="16"/>
              </w:rPr>
              <w:t>Mature Age Employment</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3,296 </w:t>
            </w:r>
          </w:p>
        </w:tc>
        <w:tc>
          <w:tcPr>
            <w:tcW w:w="928"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3,273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928"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r>
      <w:tr w:rsidR="00315697" w:rsidRPr="00315697" w:rsidTr="00315697">
        <w:trPr>
          <w:trHeight w:val="225"/>
        </w:trPr>
        <w:tc>
          <w:tcPr>
            <w:tcW w:w="3160" w:type="dxa"/>
            <w:tcBorders>
              <w:top w:val="nil"/>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 xml:space="preserve">Total programme expenses </w:t>
            </w:r>
          </w:p>
        </w:tc>
        <w:tc>
          <w:tcPr>
            <w:tcW w:w="928"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1,367,249 </w:t>
            </w:r>
          </w:p>
        </w:tc>
        <w:tc>
          <w:tcPr>
            <w:tcW w:w="928" w:type="dxa"/>
            <w:tcBorders>
              <w:top w:val="single" w:sz="4" w:space="0" w:color="auto"/>
              <w:left w:val="nil"/>
              <w:bottom w:val="single" w:sz="4" w:space="0" w:color="auto"/>
              <w:right w:val="nil"/>
            </w:tcBorders>
            <w:shd w:val="clear" w:color="000000" w:fill="C0C0C0"/>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1,522,705 </w:t>
            </w:r>
          </w:p>
        </w:tc>
        <w:tc>
          <w:tcPr>
            <w:tcW w:w="928"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1,904,030 </w:t>
            </w:r>
          </w:p>
        </w:tc>
        <w:tc>
          <w:tcPr>
            <w:tcW w:w="928"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1,888,314 </w:t>
            </w:r>
          </w:p>
        </w:tc>
        <w:tc>
          <w:tcPr>
            <w:tcW w:w="928"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1,892,289 </w:t>
            </w:r>
          </w:p>
        </w:tc>
      </w:tr>
    </w:tbl>
    <w:p w:rsidR="00315697" w:rsidRDefault="00315697" w:rsidP="00315697">
      <w:pPr>
        <w:pStyle w:val="Source"/>
        <w:jc w:val="left"/>
      </w:pPr>
    </w:p>
    <w:p w:rsidR="00315697" w:rsidRDefault="00315697" w:rsidP="00315697">
      <w:pPr>
        <w:pStyle w:val="Source"/>
        <w:jc w:val="left"/>
      </w:pPr>
      <w:r>
        <w:t xml:space="preserve">Linked to: Department of Human </w:t>
      </w:r>
      <w:proofErr w:type="gramStart"/>
      <w:r>
        <w:t>Services,</w:t>
      </w:r>
      <w:proofErr w:type="gramEnd"/>
      <w:r>
        <w:t xml:space="preserve"> Programme 1.1 Services to the Community—Social Security and Welfare and the Department of </w:t>
      </w:r>
      <w:r w:rsidR="00EB228D">
        <w:t xml:space="preserve">the </w:t>
      </w:r>
      <w:r>
        <w:t>Prime Minister and Cabinet, Programme 2.1 Jobs, Land and Economy.</w:t>
      </w:r>
    </w:p>
    <w:p w:rsidR="00315697" w:rsidRDefault="00315697">
      <w:pPr>
        <w:spacing w:after="0" w:line="240" w:lineRule="auto"/>
        <w:jc w:val="left"/>
        <w:rPr>
          <w:rFonts w:ascii="Arial" w:hAnsi="Arial"/>
          <w:sz w:val="16"/>
        </w:rPr>
      </w:pPr>
      <w:r>
        <w:br w:type="page"/>
      </w:r>
    </w:p>
    <w:p w:rsidR="008F2BCF" w:rsidRPr="008F2BCF" w:rsidRDefault="008F2BCF" w:rsidP="008F2BCF">
      <w:pPr>
        <w:pStyle w:val="Outcomeheading"/>
        <w:rPr>
          <w:lang w:val="en-AU"/>
        </w:rPr>
      </w:pPr>
      <w:bookmarkStart w:id="329" w:name="_Toc112137880"/>
      <w:bookmarkStart w:id="330" w:name="_Toc112137902"/>
      <w:bookmarkStart w:id="331" w:name="_Toc210646455"/>
      <w:bookmarkStart w:id="332" w:name="_Toc210698434"/>
      <w:bookmarkStart w:id="333" w:name="_Toc210703217"/>
      <w:bookmarkStart w:id="334" w:name="_Toc436624160"/>
      <w:bookmarkStart w:id="335" w:name="_Toc436625461"/>
      <w:bookmarkStart w:id="336" w:name="_Toc449255783"/>
      <w:bookmarkStart w:id="337" w:name="_Toc490972415"/>
      <w:bookmarkStart w:id="338" w:name="_Toc491014635"/>
      <w:bookmarkStart w:id="339" w:name="_Toc491014777"/>
      <w:bookmarkStart w:id="340" w:name="_Toc491014957"/>
      <w:bookmarkStart w:id="341" w:name="_Toc491015104"/>
      <w:bookmarkStart w:id="342" w:name="_Toc491029247"/>
      <w:bookmarkStart w:id="343" w:name="_Toc491030336"/>
      <w:bookmarkStart w:id="344" w:name="_Toc491030795"/>
      <w:bookmarkStart w:id="345" w:name="_Toc491031358"/>
      <w:bookmarkStart w:id="346" w:name="_Toc491031945"/>
      <w:bookmarkStart w:id="347" w:name="_Toc491032124"/>
      <w:bookmarkStart w:id="348" w:name="_Toc491032226"/>
      <w:bookmarkStart w:id="349" w:name="_Toc491032333"/>
      <w:bookmarkStart w:id="350" w:name="_Toc491771728"/>
      <w:bookmarkStart w:id="351" w:name="_Toc491773303"/>
      <w:bookmarkStart w:id="352" w:name="_Toc23559358"/>
      <w:bookmarkStart w:id="353" w:name="_Toc23559392"/>
      <w:bookmarkStart w:id="354" w:name="_Toc23559679"/>
      <w:bookmarkStart w:id="355" w:name="_Toc23560148"/>
      <w:bookmarkStart w:id="356" w:name="_Toc23563441"/>
      <w:bookmarkStart w:id="357" w:name="_Toc492800629"/>
      <w:r>
        <w:lastRenderedPageBreak/>
        <w:t xml:space="preserve">Outcome </w:t>
      </w:r>
      <w:r>
        <w:rPr>
          <w:lang w:val="en-AU"/>
        </w:rPr>
        <w:t>2</w:t>
      </w:r>
    </w:p>
    <w:p w:rsidR="008F2BCF" w:rsidRDefault="008F2BCF" w:rsidP="008F2BCF">
      <w:pPr>
        <w:pStyle w:val="ProgramHeading"/>
      </w:pPr>
      <w:r>
        <w:t>Outcome 2: Facilitate jobs growth through policies that promote fair, productive and safe workplaces.</w:t>
      </w:r>
    </w:p>
    <w:p w:rsidR="008F2BCF" w:rsidRPr="00D93D96" w:rsidRDefault="008F2BCF" w:rsidP="008F2BCF">
      <w:pPr>
        <w:pStyle w:val="Heading4"/>
      </w:pPr>
      <w:r>
        <w:t xml:space="preserve">Outcome </w:t>
      </w:r>
      <w:r>
        <w:rPr>
          <w:lang w:val="en-AU"/>
        </w:rPr>
        <w:t>2</w:t>
      </w:r>
      <w:r>
        <w:t xml:space="preserve"> s</w:t>
      </w:r>
      <w:r w:rsidRPr="00D93D96">
        <w:t>trategy</w:t>
      </w:r>
    </w:p>
    <w:p w:rsidR="008F2BCF" w:rsidRDefault="008F2BCF" w:rsidP="008F2BCF">
      <w:pPr>
        <w:jc w:val="left"/>
      </w:pPr>
      <w:r>
        <w:t xml:space="preserve">No changes have been made to this outcome strategy since the 2015–16 Portfolio Budget Statements. </w:t>
      </w:r>
    </w:p>
    <w:p w:rsidR="008F2BCF" w:rsidRPr="001436E5" w:rsidRDefault="008F2BCF" w:rsidP="008F2BCF">
      <w:pPr>
        <w:pStyle w:val="TableHeading"/>
        <w:rPr>
          <w:highlight w:val="yellow"/>
          <w:lang w:val="en-AU"/>
        </w:rPr>
      </w:pPr>
      <w:r>
        <w:t>Table 2.</w:t>
      </w:r>
      <w:r>
        <w:rPr>
          <w:lang w:val="en-AU"/>
        </w:rPr>
        <w:t>2</w:t>
      </w:r>
      <w:r w:rsidRPr="00D93D96">
        <w:t xml:space="preserve"> Budgeted expenses</w:t>
      </w:r>
      <w:r>
        <w:rPr>
          <w:lang w:val="en-AU"/>
        </w:rPr>
        <w:t xml:space="preserve"> for</w:t>
      </w:r>
      <w:r w:rsidRPr="00D93D96">
        <w:t xml:space="preserve"> Outcome </w:t>
      </w:r>
      <w:r>
        <w:rPr>
          <w:lang w:val="en-AU"/>
        </w:rPr>
        <w:t>2</w:t>
      </w:r>
    </w:p>
    <w:tbl>
      <w:tblPr>
        <w:tblW w:w="7776" w:type="dxa"/>
        <w:tblInd w:w="93" w:type="dxa"/>
        <w:tblLook w:val="04A0" w:firstRow="1" w:lastRow="0" w:firstColumn="1" w:lastColumn="0" w:noHBand="0" w:noVBand="1"/>
      </w:tblPr>
      <w:tblGrid>
        <w:gridCol w:w="5492"/>
        <w:gridCol w:w="1142"/>
        <w:gridCol w:w="1142"/>
      </w:tblGrid>
      <w:tr w:rsidR="00315697" w:rsidRPr="00315697" w:rsidTr="001E280C">
        <w:trPr>
          <w:trHeight w:val="830"/>
          <w:tblHeader/>
        </w:trPr>
        <w:tc>
          <w:tcPr>
            <w:tcW w:w="5492" w:type="dxa"/>
            <w:tcBorders>
              <w:top w:val="single" w:sz="4" w:space="0" w:color="auto"/>
              <w:left w:val="nil"/>
              <w:bottom w:val="nil"/>
              <w:right w:val="nil"/>
            </w:tcBorders>
            <w:shd w:val="clear" w:color="auto" w:fill="auto"/>
            <w:hideMark/>
          </w:tcPr>
          <w:p w:rsidR="00315697" w:rsidRPr="00315697" w:rsidRDefault="00315697" w:rsidP="00315697">
            <w:pPr>
              <w:spacing w:after="0" w:line="240" w:lineRule="auto"/>
              <w:jc w:val="left"/>
              <w:rPr>
                <w:rFonts w:ascii="Arial" w:hAnsi="Arial" w:cs="Arial"/>
                <w:b/>
                <w:bCs/>
                <w:color w:val="000000"/>
                <w:sz w:val="16"/>
                <w:szCs w:val="16"/>
              </w:rPr>
            </w:pPr>
            <w:r w:rsidRPr="00315697">
              <w:rPr>
                <w:rFonts w:ascii="Arial" w:hAnsi="Arial" w:cs="Arial"/>
                <w:b/>
                <w:bCs/>
                <w:color w:val="000000"/>
                <w:sz w:val="16"/>
                <w:szCs w:val="16"/>
              </w:rPr>
              <w:t>Outcome 2: Facilitate jobs growth through policies that promote fair, productive and safe workplaces.</w:t>
            </w:r>
          </w:p>
        </w:tc>
        <w:tc>
          <w:tcPr>
            <w:tcW w:w="1142"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color w:val="000000"/>
                <w:sz w:val="16"/>
                <w:szCs w:val="16"/>
              </w:rPr>
            </w:pPr>
            <w:r>
              <w:rPr>
                <w:rFonts w:ascii="Arial" w:hAnsi="Arial" w:cs="Arial"/>
                <w:color w:val="000000"/>
                <w:sz w:val="16"/>
                <w:szCs w:val="16"/>
              </w:rPr>
              <w:t>2014–</w:t>
            </w:r>
            <w:r w:rsidRPr="00315697">
              <w:rPr>
                <w:rFonts w:ascii="Arial" w:hAnsi="Arial" w:cs="Arial"/>
                <w:color w:val="000000"/>
                <w:sz w:val="16"/>
                <w:szCs w:val="16"/>
              </w:rPr>
              <w:t>15</w:t>
            </w:r>
            <w:r w:rsidRPr="00315697">
              <w:rPr>
                <w:rFonts w:ascii="Arial" w:hAnsi="Arial" w:cs="Arial"/>
                <w:color w:val="000000"/>
                <w:sz w:val="16"/>
                <w:szCs w:val="16"/>
              </w:rPr>
              <w:br/>
              <w:t>Actual expenses</w:t>
            </w:r>
            <w:r w:rsidRPr="00315697">
              <w:rPr>
                <w:rFonts w:ascii="Arial" w:hAnsi="Arial" w:cs="Arial"/>
                <w:color w:val="000000"/>
                <w:sz w:val="16"/>
                <w:szCs w:val="16"/>
              </w:rPr>
              <w:br/>
              <w:t>$'000</w:t>
            </w:r>
          </w:p>
        </w:tc>
        <w:tc>
          <w:tcPr>
            <w:tcW w:w="1142" w:type="dxa"/>
            <w:tcBorders>
              <w:top w:val="single" w:sz="4" w:space="0" w:color="auto"/>
              <w:left w:val="nil"/>
              <w:bottom w:val="single" w:sz="4" w:space="0" w:color="auto"/>
              <w:right w:val="nil"/>
            </w:tcBorders>
            <w:shd w:val="clear" w:color="000000" w:fill="E6E6E6"/>
            <w:hideMark/>
          </w:tcPr>
          <w:p w:rsidR="00315697" w:rsidRPr="00315697" w:rsidRDefault="00315697" w:rsidP="00315697">
            <w:pPr>
              <w:spacing w:after="0" w:line="240" w:lineRule="auto"/>
              <w:jc w:val="right"/>
              <w:rPr>
                <w:rFonts w:ascii="Arial" w:hAnsi="Arial" w:cs="Arial"/>
                <w:color w:val="000000"/>
                <w:sz w:val="16"/>
                <w:szCs w:val="16"/>
              </w:rPr>
            </w:pPr>
            <w:r>
              <w:rPr>
                <w:rFonts w:ascii="Arial" w:hAnsi="Arial" w:cs="Arial"/>
                <w:color w:val="000000"/>
                <w:sz w:val="16"/>
                <w:szCs w:val="16"/>
              </w:rPr>
              <w:t>2015–</w:t>
            </w:r>
            <w:r w:rsidRPr="00315697">
              <w:rPr>
                <w:rFonts w:ascii="Arial" w:hAnsi="Arial" w:cs="Arial"/>
                <w:color w:val="000000"/>
                <w:sz w:val="16"/>
                <w:szCs w:val="16"/>
              </w:rPr>
              <w:t>16</w:t>
            </w:r>
            <w:r w:rsidRPr="00315697">
              <w:rPr>
                <w:rFonts w:ascii="Arial" w:hAnsi="Arial" w:cs="Arial"/>
                <w:color w:val="000000"/>
                <w:sz w:val="16"/>
                <w:szCs w:val="16"/>
              </w:rPr>
              <w:br/>
              <w:t>Revised estimated expenses</w:t>
            </w:r>
            <w:r w:rsidRPr="00315697">
              <w:rPr>
                <w:rFonts w:ascii="Arial" w:hAnsi="Arial" w:cs="Arial"/>
                <w:color w:val="000000"/>
                <w:sz w:val="16"/>
                <w:szCs w:val="16"/>
              </w:rPr>
              <w:br/>
              <w:t>$'000</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Programme 2.1: Employee Assistance</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Ordinary annual services (</w:t>
            </w:r>
            <w:r w:rsidRPr="00315697">
              <w:rPr>
                <w:rFonts w:ascii="Arial" w:hAnsi="Arial" w:cs="Arial"/>
                <w:i/>
                <w:iCs/>
                <w:sz w:val="16"/>
                <w:szCs w:val="16"/>
              </w:rPr>
              <w:t>Appropriation Act No. 1</w:t>
            </w:r>
            <w:r w:rsidRPr="00315697">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11,665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6,297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Special appropriations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466,450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363,762 </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Total for Programme 2.1</w:t>
            </w:r>
          </w:p>
        </w:tc>
        <w:tc>
          <w:tcPr>
            <w:tcW w:w="1142" w:type="dxa"/>
            <w:tcBorders>
              <w:top w:val="single" w:sz="4" w:space="0" w:color="auto"/>
              <w:left w:val="nil"/>
              <w:bottom w:val="single" w:sz="4" w:space="0" w:color="auto"/>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478,115 </w:t>
            </w:r>
          </w:p>
        </w:tc>
        <w:tc>
          <w:tcPr>
            <w:tcW w:w="1142" w:type="dxa"/>
            <w:tcBorders>
              <w:top w:val="single" w:sz="4" w:space="0" w:color="auto"/>
              <w:left w:val="nil"/>
              <w:bottom w:val="single" w:sz="4" w:space="0" w:color="auto"/>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370,059 </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Program 2.2: Workplace Assistance</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Ordinary annual services (</w:t>
            </w:r>
            <w:r w:rsidRPr="00315697">
              <w:rPr>
                <w:rFonts w:ascii="Arial" w:hAnsi="Arial" w:cs="Arial"/>
                <w:i/>
                <w:iCs/>
                <w:sz w:val="16"/>
                <w:szCs w:val="16"/>
              </w:rPr>
              <w:t>Appropriation Act No. 1</w:t>
            </w:r>
            <w:r w:rsidRPr="00315697">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14,437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15,034 </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Total for Programme 2.2</w:t>
            </w:r>
          </w:p>
        </w:tc>
        <w:tc>
          <w:tcPr>
            <w:tcW w:w="1142" w:type="dxa"/>
            <w:tcBorders>
              <w:top w:val="single" w:sz="4" w:space="0" w:color="auto"/>
              <w:left w:val="nil"/>
              <w:bottom w:val="single" w:sz="4" w:space="0" w:color="auto"/>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14,437 </w:t>
            </w:r>
          </w:p>
        </w:tc>
        <w:tc>
          <w:tcPr>
            <w:tcW w:w="1142" w:type="dxa"/>
            <w:tcBorders>
              <w:top w:val="single" w:sz="4" w:space="0" w:color="auto"/>
              <w:left w:val="nil"/>
              <w:bottom w:val="single" w:sz="4" w:space="0" w:color="auto"/>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15,034 </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Program 2.3: Workers Compensation Payments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Ordinary annual services (</w:t>
            </w:r>
            <w:r w:rsidRPr="00315697">
              <w:rPr>
                <w:rFonts w:ascii="Arial" w:hAnsi="Arial" w:cs="Arial"/>
                <w:i/>
                <w:iCs/>
                <w:sz w:val="16"/>
                <w:szCs w:val="16"/>
              </w:rPr>
              <w:t>Appropriation Act No. 1</w:t>
            </w:r>
            <w:r w:rsidRPr="00315697">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7,563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7,727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Special appropriations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84,299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63,797 </w:t>
            </w:r>
          </w:p>
        </w:tc>
      </w:tr>
      <w:tr w:rsidR="00315697" w:rsidRPr="00315697" w:rsidTr="00315697">
        <w:trPr>
          <w:trHeight w:val="231"/>
        </w:trPr>
        <w:tc>
          <w:tcPr>
            <w:tcW w:w="5492" w:type="dxa"/>
            <w:tcBorders>
              <w:top w:val="nil"/>
              <w:left w:val="nil"/>
              <w:bottom w:val="nil"/>
              <w:right w:val="nil"/>
            </w:tcBorders>
            <w:shd w:val="clear" w:color="auto" w:fill="auto"/>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Total for Programme 2.3</w:t>
            </w:r>
          </w:p>
        </w:tc>
        <w:tc>
          <w:tcPr>
            <w:tcW w:w="1142" w:type="dxa"/>
            <w:tcBorders>
              <w:top w:val="single" w:sz="4" w:space="0" w:color="auto"/>
              <w:left w:val="nil"/>
              <w:bottom w:val="single" w:sz="4" w:space="0" w:color="auto"/>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91,862 </w:t>
            </w:r>
          </w:p>
        </w:tc>
        <w:tc>
          <w:tcPr>
            <w:tcW w:w="1142" w:type="dxa"/>
            <w:tcBorders>
              <w:top w:val="single" w:sz="4" w:space="0" w:color="auto"/>
              <w:left w:val="nil"/>
              <w:bottom w:val="single" w:sz="4" w:space="0" w:color="auto"/>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71,524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b/>
                <w:bCs/>
                <w:sz w:val="16"/>
                <w:szCs w:val="16"/>
              </w:rPr>
            </w:pPr>
            <w:r w:rsidRPr="00315697">
              <w:rPr>
                <w:rFonts w:ascii="Arial" w:hAnsi="Arial" w:cs="Arial"/>
                <w:b/>
                <w:bCs/>
                <w:sz w:val="16"/>
                <w:szCs w:val="16"/>
              </w:rPr>
              <w:t>Outcome 2 Totals by appropriation type</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Administered Expenses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Ordinary annual services (</w:t>
            </w:r>
            <w:r w:rsidRPr="00315697">
              <w:rPr>
                <w:rFonts w:ascii="Arial" w:hAnsi="Arial" w:cs="Arial"/>
                <w:i/>
                <w:iCs/>
                <w:sz w:val="16"/>
                <w:szCs w:val="16"/>
              </w:rPr>
              <w:t>Appropriation Act No. 1</w:t>
            </w:r>
            <w:r w:rsidRPr="00315697">
              <w:rPr>
                <w:rFonts w:ascii="Arial" w:hAnsi="Arial" w:cs="Arial"/>
                <w:sz w:val="16"/>
                <w:szCs w:val="16"/>
              </w:rPr>
              <w:t xml:space="preserve"> and Bill No. 3)</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33,665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29,058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Special appropriations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550,749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427,559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Departmental expenses</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ind w:firstLineChars="100" w:firstLine="160"/>
              <w:jc w:val="left"/>
              <w:rPr>
                <w:rFonts w:ascii="Arial" w:hAnsi="Arial" w:cs="Arial"/>
                <w:sz w:val="16"/>
                <w:szCs w:val="16"/>
              </w:rPr>
            </w:pPr>
            <w:r w:rsidRPr="00315697">
              <w:rPr>
                <w:rFonts w:ascii="Arial" w:hAnsi="Arial" w:cs="Arial"/>
                <w:sz w:val="16"/>
                <w:szCs w:val="16"/>
              </w:rPr>
              <w:t>Departmental appropriation(a)</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78,919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40,203 </w:t>
            </w:r>
          </w:p>
        </w:tc>
      </w:tr>
      <w:tr w:rsidR="00315697" w:rsidRPr="00315697" w:rsidTr="00315697">
        <w:trPr>
          <w:trHeight w:val="231"/>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Expenses not requiring appropriation in the Budget year(b)</w:t>
            </w: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4,181 </w:t>
            </w:r>
          </w:p>
        </w:tc>
        <w:tc>
          <w:tcPr>
            <w:tcW w:w="1142" w:type="dxa"/>
            <w:tcBorders>
              <w:top w:val="nil"/>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3,703 </w:t>
            </w:r>
          </w:p>
        </w:tc>
      </w:tr>
      <w:tr w:rsidR="00315697" w:rsidRPr="00315697" w:rsidTr="00315697">
        <w:trPr>
          <w:trHeight w:val="231"/>
        </w:trPr>
        <w:tc>
          <w:tcPr>
            <w:tcW w:w="5492" w:type="dxa"/>
            <w:tcBorders>
              <w:top w:val="nil"/>
              <w:left w:val="nil"/>
              <w:bottom w:val="single" w:sz="4" w:space="0" w:color="auto"/>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b/>
                <w:bCs/>
                <w:color w:val="000000"/>
                <w:sz w:val="16"/>
                <w:szCs w:val="16"/>
              </w:rPr>
            </w:pPr>
            <w:r w:rsidRPr="00315697">
              <w:rPr>
                <w:rFonts w:ascii="Arial" w:hAnsi="Arial" w:cs="Arial"/>
                <w:b/>
                <w:bCs/>
                <w:color w:val="000000"/>
                <w:sz w:val="16"/>
                <w:szCs w:val="16"/>
              </w:rPr>
              <w:t>Total expenses for Outcome 2</w:t>
            </w:r>
          </w:p>
        </w:tc>
        <w:tc>
          <w:tcPr>
            <w:tcW w:w="1142" w:type="dxa"/>
            <w:tcBorders>
              <w:top w:val="single" w:sz="4" w:space="0" w:color="auto"/>
              <w:left w:val="nil"/>
              <w:bottom w:val="single" w:sz="4" w:space="0" w:color="auto"/>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667,514 </w:t>
            </w:r>
          </w:p>
        </w:tc>
        <w:tc>
          <w:tcPr>
            <w:tcW w:w="1142" w:type="dxa"/>
            <w:tcBorders>
              <w:top w:val="single" w:sz="4" w:space="0" w:color="auto"/>
              <w:left w:val="nil"/>
              <w:bottom w:val="single" w:sz="4" w:space="0" w:color="auto"/>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b/>
                <w:bCs/>
                <w:color w:val="000000"/>
                <w:sz w:val="16"/>
                <w:szCs w:val="16"/>
              </w:rPr>
            </w:pPr>
            <w:r w:rsidRPr="00315697">
              <w:rPr>
                <w:rFonts w:ascii="Arial" w:hAnsi="Arial" w:cs="Arial"/>
                <w:b/>
                <w:bCs/>
                <w:color w:val="000000"/>
                <w:sz w:val="16"/>
                <w:szCs w:val="16"/>
              </w:rPr>
              <w:t xml:space="preserve">500,523 </w:t>
            </w:r>
          </w:p>
        </w:tc>
      </w:tr>
      <w:tr w:rsidR="00315697" w:rsidRPr="00315697" w:rsidTr="00315697">
        <w:trPr>
          <w:trHeight w:val="123"/>
        </w:trPr>
        <w:tc>
          <w:tcPr>
            <w:tcW w:w="549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sz w:val="16"/>
                <w:szCs w:val="16"/>
              </w:rPr>
            </w:pP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sz w:val="16"/>
                <w:szCs w:val="16"/>
              </w:rPr>
            </w:pPr>
          </w:p>
        </w:tc>
        <w:tc>
          <w:tcPr>
            <w:tcW w:w="1142" w:type="dxa"/>
            <w:tcBorders>
              <w:top w:val="nil"/>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4"/>
                <w:szCs w:val="14"/>
              </w:rPr>
            </w:pPr>
          </w:p>
        </w:tc>
      </w:tr>
      <w:tr w:rsidR="00315697" w:rsidRPr="00315697" w:rsidTr="00315697">
        <w:trPr>
          <w:trHeight w:val="231"/>
        </w:trPr>
        <w:tc>
          <w:tcPr>
            <w:tcW w:w="5492" w:type="dxa"/>
            <w:tcBorders>
              <w:top w:val="single" w:sz="4" w:space="0" w:color="000000"/>
              <w:left w:val="nil"/>
              <w:bottom w:val="nil"/>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color w:val="000000"/>
                <w:sz w:val="16"/>
                <w:szCs w:val="16"/>
              </w:rPr>
            </w:pPr>
            <w:r w:rsidRPr="00315697">
              <w:rPr>
                <w:rFonts w:ascii="Arial" w:hAnsi="Arial" w:cs="Arial"/>
                <w:color w:val="000000"/>
                <w:sz w:val="16"/>
                <w:szCs w:val="16"/>
              </w:rPr>
              <w:t> </w:t>
            </w:r>
          </w:p>
        </w:tc>
        <w:tc>
          <w:tcPr>
            <w:tcW w:w="1142" w:type="dxa"/>
            <w:tcBorders>
              <w:top w:val="single" w:sz="4" w:space="0" w:color="000000"/>
              <w:left w:val="nil"/>
              <w:bottom w:val="nil"/>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2014-15</w:t>
            </w:r>
          </w:p>
        </w:tc>
        <w:tc>
          <w:tcPr>
            <w:tcW w:w="1142" w:type="dxa"/>
            <w:tcBorders>
              <w:top w:val="single" w:sz="4" w:space="0" w:color="000000"/>
              <w:left w:val="nil"/>
              <w:bottom w:val="nil"/>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2015-16</w:t>
            </w:r>
          </w:p>
        </w:tc>
      </w:tr>
      <w:tr w:rsidR="00315697" w:rsidRPr="00315697" w:rsidTr="00315697">
        <w:trPr>
          <w:trHeight w:val="231"/>
        </w:trPr>
        <w:tc>
          <w:tcPr>
            <w:tcW w:w="5492" w:type="dxa"/>
            <w:tcBorders>
              <w:top w:val="nil"/>
              <w:left w:val="nil"/>
              <w:bottom w:val="single" w:sz="4" w:space="0" w:color="000000"/>
              <w:right w:val="nil"/>
            </w:tcBorders>
            <w:shd w:val="clear" w:color="auto" w:fill="auto"/>
            <w:noWrap/>
            <w:vAlign w:val="center"/>
            <w:hideMark/>
          </w:tcPr>
          <w:p w:rsidR="00315697" w:rsidRPr="00315697" w:rsidRDefault="00315697" w:rsidP="00315697">
            <w:pPr>
              <w:spacing w:after="0" w:line="240" w:lineRule="auto"/>
              <w:jc w:val="left"/>
              <w:rPr>
                <w:rFonts w:ascii="Arial" w:hAnsi="Arial" w:cs="Arial"/>
                <w:b/>
                <w:bCs/>
                <w:color w:val="000000"/>
                <w:sz w:val="16"/>
                <w:szCs w:val="16"/>
              </w:rPr>
            </w:pPr>
            <w:r w:rsidRPr="00315697">
              <w:rPr>
                <w:rFonts w:ascii="Arial" w:hAnsi="Arial" w:cs="Arial"/>
                <w:b/>
                <w:bCs/>
                <w:color w:val="000000"/>
                <w:sz w:val="16"/>
                <w:szCs w:val="16"/>
              </w:rPr>
              <w:t>Average Staffing Level (number)</w:t>
            </w:r>
          </w:p>
        </w:tc>
        <w:tc>
          <w:tcPr>
            <w:tcW w:w="1142" w:type="dxa"/>
            <w:tcBorders>
              <w:top w:val="single" w:sz="4" w:space="0" w:color="000000"/>
              <w:left w:val="nil"/>
              <w:bottom w:val="single" w:sz="4" w:space="0" w:color="000000"/>
              <w:right w:val="nil"/>
            </w:tcBorders>
            <w:shd w:val="clear" w:color="auto" w:fill="auto"/>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481 </w:t>
            </w:r>
          </w:p>
        </w:tc>
        <w:tc>
          <w:tcPr>
            <w:tcW w:w="1142" w:type="dxa"/>
            <w:tcBorders>
              <w:top w:val="single" w:sz="4" w:space="0" w:color="000000"/>
              <w:left w:val="nil"/>
              <w:bottom w:val="single" w:sz="4" w:space="0" w:color="000000"/>
              <w:right w:val="nil"/>
            </w:tcBorders>
            <w:shd w:val="clear" w:color="000000" w:fill="E6E6E6"/>
            <w:noWrap/>
            <w:vAlign w:val="center"/>
            <w:hideMark/>
          </w:tcPr>
          <w:p w:rsidR="00315697" w:rsidRPr="00315697" w:rsidRDefault="00315697" w:rsidP="00315697">
            <w:pPr>
              <w:spacing w:after="0" w:line="240" w:lineRule="auto"/>
              <w:jc w:val="right"/>
              <w:rPr>
                <w:rFonts w:ascii="Arial" w:hAnsi="Arial" w:cs="Arial"/>
                <w:color w:val="000000"/>
                <w:sz w:val="16"/>
                <w:szCs w:val="16"/>
              </w:rPr>
            </w:pPr>
            <w:r w:rsidRPr="00315697">
              <w:rPr>
                <w:rFonts w:ascii="Arial" w:hAnsi="Arial" w:cs="Arial"/>
                <w:color w:val="000000"/>
                <w:sz w:val="16"/>
                <w:szCs w:val="16"/>
              </w:rPr>
              <w:t xml:space="preserve">497 </w:t>
            </w:r>
          </w:p>
        </w:tc>
      </w:tr>
    </w:tbl>
    <w:p w:rsidR="00315697" w:rsidRDefault="00315697" w:rsidP="00315697">
      <w:pPr>
        <w:pStyle w:val="Source"/>
        <w:jc w:val="left"/>
      </w:pPr>
    </w:p>
    <w:p w:rsidR="00315697" w:rsidRDefault="00315697" w:rsidP="00315697">
      <w:pPr>
        <w:pStyle w:val="Source"/>
        <w:jc w:val="left"/>
      </w:pPr>
      <w:r>
        <w:t xml:space="preserve">(a) </w:t>
      </w:r>
      <w:r>
        <w:tab/>
        <w:t>Departmental Appropriation combines “Ordinary annual services (</w:t>
      </w:r>
      <w:r>
        <w:rPr>
          <w:i/>
        </w:rPr>
        <w:t>Appropriation Act No. 1</w:t>
      </w:r>
      <w:r>
        <w:t xml:space="preserve"> and Bill No. 3)” and “Retained Revenue Receipts under </w:t>
      </w:r>
      <w:proofErr w:type="spellStart"/>
      <w:r>
        <w:t>s74</w:t>
      </w:r>
      <w:proofErr w:type="spellEnd"/>
      <w:r>
        <w:t xml:space="preserve"> of the </w:t>
      </w:r>
      <w:proofErr w:type="spellStart"/>
      <w:r>
        <w:rPr>
          <w:i/>
        </w:rPr>
        <w:t>PGPA</w:t>
      </w:r>
      <w:proofErr w:type="spellEnd"/>
      <w:r>
        <w:rPr>
          <w:i/>
        </w:rPr>
        <w:t xml:space="preserve"> Act 2013</w:t>
      </w:r>
      <w:r>
        <w:t>”.</w:t>
      </w:r>
    </w:p>
    <w:p w:rsidR="00315697" w:rsidRDefault="00315697" w:rsidP="00315697">
      <w:pPr>
        <w:pStyle w:val="Source"/>
        <w:jc w:val="left"/>
      </w:pPr>
      <w:r>
        <w:t xml:space="preserve">(b) </w:t>
      </w:r>
      <w:r>
        <w:tab/>
        <w:t>Expenses not requiring appropriation in the Budget year is made up of Depreciation Expense, Amortisation Expense, and Audit Fees.</w:t>
      </w:r>
    </w:p>
    <w:p w:rsidR="00315697" w:rsidRDefault="00315697" w:rsidP="00315697">
      <w:pPr>
        <w:pStyle w:val="Source"/>
        <w:jc w:val="left"/>
      </w:pPr>
    </w:p>
    <w:p w:rsidR="00315697" w:rsidRDefault="00315697" w:rsidP="00315697">
      <w:pPr>
        <w:pStyle w:val="Source"/>
        <w:jc w:val="left"/>
      </w:pPr>
      <w:r>
        <w:t>Note: Departmental appropriation splits and totals are indicative estimates and may change in the course of the budget year as government priorities change.</w:t>
      </w:r>
    </w:p>
    <w:p w:rsidR="00315697" w:rsidRDefault="00315697">
      <w:pPr>
        <w:spacing w:after="0" w:line="240" w:lineRule="auto"/>
        <w:jc w:val="left"/>
        <w:rPr>
          <w:rFonts w:ascii="Arial" w:hAnsi="Arial"/>
          <w:sz w:val="16"/>
        </w:rPr>
      </w:pPr>
      <w:r>
        <w:br w:type="page"/>
      </w:r>
    </w:p>
    <w:p w:rsidR="008F2BCF" w:rsidRDefault="008F2BCF" w:rsidP="008F2BCF">
      <w:pPr>
        <w:pStyle w:val="Heading5"/>
        <w:rPr>
          <w:lang w:val="en-AU"/>
        </w:rPr>
      </w:pPr>
      <w:r>
        <w:lastRenderedPageBreak/>
        <w:t xml:space="preserve">Programme </w:t>
      </w:r>
      <w:r>
        <w:rPr>
          <w:lang w:val="en-AU"/>
        </w:rPr>
        <w:t>2.1 Employee Assistance</w:t>
      </w:r>
    </w:p>
    <w:p w:rsidR="008F2BCF" w:rsidRPr="005459F9" w:rsidRDefault="008F2BCF" w:rsidP="008F2BCF">
      <w:r>
        <w:t xml:space="preserve">Performance information contained in the 2015–16 Portfolio Budget Statements have not changed. </w:t>
      </w:r>
    </w:p>
    <w:p w:rsidR="008F2BCF" w:rsidRDefault="008F2BCF" w:rsidP="008F2BCF">
      <w:pPr>
        <w:pStyle w:val="Heading5"/>
      </w:pPr>
      <w:r>
        <w:rPr>
          <w:lang w:val="en-AU"/>
        </w:rPr>
        <w:t xml:space="preserve">Table 2.2.1 </w:t>
      </w:r>
      <w:r>
        <w:t>Programme expenses</w:t>
      </w:r>
    </w:p>
    <w:tbl>
      <w:tblPr>
        <w:tblW w:w="7769" w:type="dxa"/>
        <w:tblInd w:w="93" w:type="dxa"/>
        <w:tblLook w:val="04A0" w:firstRow="1" w:lastRow="0" w:firstColumn="1" w:lastColumn="0" w:noHBand="0" w:noVBand="1"/>
      </w:tblPr>
      <w:tblGrid>
        <w:gridCol w:w="3425"/>
        <w:gridCol w:w="867"/>
        <w:gridCol w:w="867"/>
        <w:gridCol w:w="870"/>
        <w:gridCol w:w="870"/>
        <w:gridCol w:w="870"/>
      </w:tblGrid>
      <w:tr w:rsidR="00315697" w:rsidRPr="00315697" w:rsidTr="001E280C">
        <w:trPr>
          <w:trHeight w:val="668"/>
          <w:tblHeader/>
        </w:trPr>
        <w:tc>
          <w:tcPr>
            <w:tcW w:w="3425" w:type="dxa"/>
            <w:tcBorders>
              <w:top w:val="single" w:sz="4" w:space="0" w:color="auto"/>
              <w:left w:val="nil"/>
              <w:right w:val="nil"/>
            </w:tcBorders>
            <w:shd w:val="clear" w:color="auto" w:fill="auto"/>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 </w:t>
            </w:r>
          </w:p>
        </w:tc>
        <w:tc>
          <w:tcPr>
            <w:tcW w:w="867"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2014–</w:t>
            </w:r>
            <w:r w:rsidRPr="00315697">
              <w:rPr>
                <w:rFonts w:ascii="Arial" w:hAnsi="Arial" w:cs="Arial"/>
                <w:sz w:val="16"/>
                <w:szCs w:val="16"/>
              </w:rPr>
              <w:t>15</w:t>
            </w:r>
            <w:r w:rsidRPr="00315697">
              <w:rPr>
                <w:rFonts w:ascii="Arial" w:hAnsi="Arial" w:cs="Arial"/>
                <w:sz w:val="16"/>
                <w:szCs w:val="16"/>
              </w:rPr>
              <w:br/>
              <w:t>Actual</w:t>
            </w:r>
            <w:r w:rsidRPr="00315697">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2015–</w:t>
            </w:r>
            <w:r w:rsidRPr="00315697">
              <w:rPr>
                <w:rFonts w:ascii="Arial" w:hAnsi="Arial" w:cs="Arial"/>
                <w:sz w:val="16"/>
                <w:szCs w:val="16"/>
              </w:rPr>
              <w:t>16</w:t>
            </w:r>
            <w:r w:rsidRPr="00315697">
              <w:rPr>
                <w:rFonts w:ascii="Arial" w:hAnsi="Arial" w:cs="Arial"/>
                <w:sz w:val="16"/>
                <w:szCs w:val="16"/>
              </w:rPr>
              <w:br/>
              <w:t>Revised budget</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2016</w:t>
            </w:r>
            <w:r>
              <w:rPr>
                <w:rFonts w:ascii="Arial" w:hAnsi="Arial" w:cs="Arial"/>
                <w:sz w:val="16"/>
                <w:szCs w:val="16"/>
              </w:rPr>
              <w:t>–</w:t>
            </w:r>
            <w:r w:rsidRPr="00315697">
              <w:rPr>
                <w:rFonts w:ascii="Arial" w:hAnsi="Arial" w:cs="Arial"/>
                <w:sz w:val="16"/>
                <w:szCs w:val="16"/>
              </w:rPr>
              <w:t>17</w:t>
            </w:r>
            <w:r w:rsidRPr="00315697">
              <w:rPr>
                <w:rFonts w:ascii="Arial" w:hAnsi="Arial" w:cs="Arial"/>
                <w:sz w:val="16"/>
                <w:szCs w:val="16"/>
              </w:rPr>
              <w:br/>
              <w:t>Forward year 1</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2017</w:t>
            </w:r>
            <w:r>
              <w:rPr>
                <w:rFonts w:ascii="Arial" w:hAnsi="Arial" w:cs="Arial"/>
                <w:sz w:val="16"/>
                <w:szCs w:val="16"/>
              </w:rPr>
              <w:t>–</w:t>
            </w:r>
            <w:r w:rsidRPr="00315697">
              <w:rPr>
                <w:rFonts w:ascii="Arial" w:hAnsi="Arial" w:cs="Arial"/>
                <w:sz w:val="16"/>
                <w:szCs w:val="16"/>
              </w:rPr>
              <w:t>18</w:t>
            </w:r>
            <w:r w:rsidRPr="00315697">
              <w:rPr>
                <w:rFonts w:ascii="Arial" w:hAnsi="Arial" w:cs="Arial"/>
                <w:sz w:val="16"/>
                <w:szCs w:val="16"/>
              </w:rPr>
              <w:br/>
              <w:t>Forward year 2</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2018</w:t>
            </w:r>
            <w:r>
              <w:rPr>
                <w:rFonts w:ascii="Arial" w:hAnsi="Arial" w:cs="Arial"/>
                <w:sz w:val="16"/>
                <w:szCs w:val="16"/>
              </w:rPr>
              <w:t>–</w:t>
            </w:r>
            <w:r w:rsidRPr="00315697">
              <w:rPr>
                <w:rFonts w:ascii="Arial" w:hAnsi="Arial" w:cs="Arial"/>
                <w:sz w:val="16"/>
                <w:szCs w:val="16"/>
              </w:rPr>
              <w:t>19</w:t>
            </w:r>
            <w:r w:rsidRPr="00315697">
              <w:rPr>
                <w:rFonts w:ascii="Arial" w:hAnsi="Arial" w:cs="Arial"/>
                <w:sz w:val="16"/>
                <w:szCs w:val="16"/>
              </w:rPr>
              <w:br/>
              <w:t>Forward year 3</w:t>
            </w:r>
            <w:r w:rsidRPr="00315697">
              <w:rPr>
                <w:rFonts w:ascii="Arial" w:hAnsi="Arial" w:cs="Arial"/>
                <w:sz w:val="16"/>
                <w:szCs w:val="16"/>
              </w:rPr>
              <w:br/>
              <w:t>$'000</w:t>
            </w:r>
          </w:p>
        </w:tc>
      </w:tr>
      <w:tr w:rsidR="00315697" w:rsidRPr="00315697" w:rsidTr="004A4685">
        <w:trPr>
          <w:trHeight w:val="221"/>
        </w:trPr>
        <w:tc>
          <w:tcPr>
            <w:tcW w:w="3425" w:type="dxa"/>
            <w:tcBorders>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Annual administered expenses:</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C0C0C0"/>
            <w:noWrap/>
            <w:vAlign w:val="bottom"/>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442"/>
        </w:trPr>
        <w:tc>
          <w:tcPr>
            <w:tcW w:w="3425" w:type="dxa"/>
            <w:tcBorders>
              <w:top w:val="nil"/>
              <w:left w:val="nil"/>
              <w:bottom w:val="nil"/>
              <w:right w:val="nil"/>
            </w:tcBorders>
            <w:shd w:val="clear" w:color="auto" w:fill="auto"/>
            <w:hideMark/>
          </w:tcPr>
          <w:p w:rsidR="00315697" w:rsidRPr="00315697" w:rsidRDefault="00315697" w:rsidP="00AD77B7">
            <w:pPr>
              <w:spacing w:after="0" w:line="240" w:lineRule="auto"/>
              <w:ind w:left="191"/>
              <w:jc w:val="left"/>
              <w:rPr>
                <w:rFonts w:ascii="Arial" w:hAnsi="Arial" w:cs="Arial"/>
                <w:sz w:val="16"/>
                <w:szCs w:val="16"/>
              </w:rPr>
            </w:pPr>
            <w:r w:rsidRPr="00315697">
              <w:rPr>
                <w:rFonts w:ascii="Arial" w:hAnsi="Arial" w:cs="Arial"/>
                <w:sz w:val="16"/>
                <w:szCs w:val="16"/>
              </w:rPr>
              <w:t>General Employee Entitlements and Redundancy Scheme</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11,459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272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r>
      <w:tr w:rsidR="00315697" w:rsidRPr="00315697" w:rsidTr="00AD77B7">
        <w:trPr>
          <w:trHeight w:val="221"/>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sz w:val="16"/>
                <w:szCs w:val="16"/>
              </w:rPr>
            </w:pPr>
            <w:r w:rsidRPr="00315697">
              <w:rPr>
                <w:rFonts w:ascii="Arial" w:hAnsi="Arial" w:cs="Arial"/>
                <w:sz w:val="16"/>
                <w:szCs w:val="16"/>
              </w:rPr>
              <w:t>Fair Entitlements Guarantee</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206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6,025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6,805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1,750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1,750 </w:t>
            </w:r>
          </w:p>
        </w:tc>
      </w:tr>
      <w:tr w:rsidR="00315697" w:rsidRPr="00315697" w:rsidTr="00AD77B7">
        <w:trPr>
          <w:trHeight w:val="221"/>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Special Appropriations:</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221"/>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i/>
                <w:iCs/>
                <w:sz w:val="16"/>
                <w:szCs w:val="16"/>
              </w:rPr>
            </w:pPr>
            <w:r w:rsidRPr="00315697">
              <w:rPr>
                <w:rFonts w:ascii="Arial" w:hAnsi="Arial" w:cs="Arial"/>
                <w:i/>
                <w:iCs/>
                <w:sz w:val="16"/>
                <w:szCs w:val="16"/>
              </w:rPr>
              <w:t>Coal Mining Industry (</w:t>
            </w:r>
            <w:proofErr w:type="spellStart"/>
            <w:r w:rsidRPr="00315697">
              <w:rPr>
                <w:rFonts w:ascii="Arial" w:hAnsi="Arial" w:cs="Arial"/>
                <w:i/>
                <w:iCs/>
                <w:sz w:val="16"/>
                <w:szCs w:val="16"/>
              </w:rPr>
              <w:t>LSL</w:t>
            </w:r>
            <w:proofErr w:type="spellEnd"/>
            <w:r w:rsidRPr="00315697">
              <w:rPr>
                <w:rFonts w:ascii="Arial" w:hAnsi="Arial" w:cs="Arial"/>
                <w:i/>
                <w:iCs/>
                <w:sz w:val="16"/>
                <w:szCs w:val="16"/>
              </w:rPr>
              <w:t>) Act 1992</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159,401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154,618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154,618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154,618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154,618 </w:t>
            </w:r>
          </w:p>
        </w:tc>
      </w:tr>
      <w:tr w:rsidR="00315697" w:rsidRPr="00315697" w:rsidTr="00AD77B7">
        <w:trPr>
          <w:trHeight w:val="221"/>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i/>
                <w:iCs/>
                <w:sz w:val="16"/>
                <w:szCs w:val="16"/>
              </w:rPr>
            </w:pPr>
            <w:r w:rsidRPr="00315697">
              <w:rPr>
                <w:rFonts w:ascii="Arial" w:hAnsi="Arial" w:cs="Arial"/>
                <w:i/>
                <w:iCs/>
                <w:sz w:val="16"/>
                <w:szCs w:val="16"/>
              </w:rPr>
              <w:t>Fair Entitlements Guarantee Act 2012</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307,049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209,144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199,264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195,532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194,591 </w:t>
            </w:r>
          </w:p>
        </w:tc>
      </w:tr>
      <w:tr w:rsidR="00315697" w:rsidRPr="00315697" w:rsidTr="00AD77B7">
        <w:trPr>
          <w:trHeight w:val="221"/>
        </w:trPr>
        <w:tc>
          <w:tcPr>
            <w:tcW w:w="3425" w:type="dxa"/>
            <w:tcBorders>
              <w:top w:val="nil"/>
              <w:left w:val="nil"/>
              <w:bottom w:val="single" w:sz="4" w:space="0" w:color="auto"/>
              <w:right w:val="nil"/>
            </w:tcBorders>
            <w:shd w:val="clear" w:color="auto" w:fill="auto"/>
            <w:noWrap/>
            <w:vAlign w:val="bottom"/>
            <w:hideMark/>
          </w:tcPr>
          <w:p w:rsidR="00315697" w:rsidRPr="00315697" w:rsidRDefault="00315697" w:rsidP="00AD77B7">
            <w:pPr>
              <w:spacing w:after="0" w:line="240" w:lineRule="auto"/>
              <w:jc w:val="left"/>
              <w:rPr>
                <w:rFonts w:ascii="Arial" w:hAnsi="Arial" w:cs="Arial"/>
                <w:b/>
                <w:bCs/>
                <w:sz w:val="16"/>
                <w:szCs w:val="16"/>
              </w:rPr>
            </w:pPr>
            <w:r w:rsidRPr="00315697">
              <w:rPr>
                <w:rFonts w:ascii="Arial" w:hAnsi="Arial" w:cs="Arial"/>
                <w:b/>
                <w:bCs/>
                <w:sz w:val="16"/>
                <w:szCs w:val="16"/>
              </w:rPr>
              <w:t xml:space="preserve">Total programme expenses </w:t>
            </w:r>
          </w:p>
        </w:tc>
        <w:tc>
          <w:tcPr>
            <w:tcW w:w="867"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478,115 </w:t>
            </w:r>
          </w:p>
        </w:tc>
        <w:tc>
          <w:tcPr>
            <w:tcW w:w="867" w:type="dxa"/>
            <w:tcBorders>
              <w:top w:val="single" w:sz="4" w:space="0" w:color="auto"/>
              <w:left w:val="nil"/>
              <w:bottom w:val="single" w:sz="4" w:space="0" w:color="auto"/>
              <w:right w:val="nil"/>
            </w:tcBorders>
            <w:shd w:val="clear" w:color="000000" w:fill="C0C0C0"/>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370,059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360,687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351,900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350,959 </w:t>
            </w:r>
          </w:p>
        </w:tc>
      </w:tr>
    </w:tbl>
    <w:p w:rsidR="008F2BCF" w:rsidRPr="00315697" w:rsidRDefault="008F2BCF" w:rsidP="00C80E36">
      <w:pPr>
        <w:rPr>
          <w:lang w:val="en-GB"/>
        </w:rPr>
      </w:pPr>
    </w:p>
    <w:p w:rsidR="008F2BCF" w:rsidRDefault="008F2BCF" w:rsidP="008F2BCF">
      <w:pPr>
        <w:pStyle w:val="Heading5"/>
        <w:rPr>
          <w:lang w:val="en-AU"/>
        </w:rPr>
      </w:pPr>
      <w:r>
        <w:t xml:space="preserve">Programme </w:t>
      </w:r>
      <w:r>
        <w:rPr>
          <w:lang w:val="en-AU"/>
        </w:rPr>
        <w:t>2.2 Workplace Assistance</w:t>
      </w:r>
    </w:p>
    <w:p w:rsidR="008F2BCF" w:rsidRPr="005459F9" w:rsidRDefault="008F2BCF" w:rsidP="008F2BCF">
      <w:r>
        <w:t xml:space="preserve">Performance information contained in the 2015–16 Portfolio Budget Statements have not changed. </w:t>
      </w:r>
    </w:p>
    <w:p w:rsidR="008F2BCF" w:rsidRDefault="008F2BCF" w:rsidP="008F2BCF">
      <w:pPr>
        <w:pStyle w:val="Heading5"/>
      </w:pPr>
      <w:r>
        <w:rPr>
          <w:lang w:val="en-AU"/>
        </w:rPr>
        <w:t xml:space="preserve">Table 2.2.2 </w:t>
      </w:r>
      <w:r>
        <w:t>Programme expenses</w:t>
      </w:r>
    </w:p>
    <w:tbl>
      <w:tblPr>
        <w:tblW w:w="7769" w:type="dxa"/>
        <w:tblInd w:w="93" w:type="dxa"/>
        <w:tblLook w:val="04A0" w:firstRow="1" w:lastRow="0" w:firstColumn="1" w:lastColumn="0" w:noHBand="0" w:noVBand="1"/>
      </w:tblPr>
      <w:tblGrid>
        <w:gridCol w:w="3425"/>
        <w:gridCol w:w="867"/>
        <w:gridCol w:w="867"/>
        <w:gridCol w:w="870"/>
        <w:gridCol w:w="870"/>
        <w:gridCol w:w="870"/>
      </w:tblGrid>
      <w:tr w:rsidR="00315697" w:rsidRPr="00315697" w:rsidTr="001E280C">
        <w:trPr>
          <w:trHeight w:val="703"/>
          <w:tblHeader/>
        </w:trPr>
        <w:tc>
          <w:tcPr>
            <w:tcW w:w="3425" w:type="dxa"/>
            <w:tcBorders>
              <w:top w:val="single" w:sz="4" w:space="0" w:color="auto"/>
              <w:left w:val="nil"/>
              <w:right w:val="nil"/>
            </w:tcBorders>
            <w:shd w:val="clear" w:color="auto" w:fill="auto"/>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 </w:t>
            </w:r>
          </w:p>
        </w:tc>
        <w:tc>
          <w:tcPr>
            <w:tcW w:w="867"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2014–</w:t>
            </w:r>
            <w:r w:rsidRPr="00315697">
              <w:rPr>
                <w:rFonts w:ascii="Arial" w:hAnsi="Arial" w:cs="Arial"/>
                <w:sz w:val="16"/>
                <w:szCs w:val="16"/>
              </w:rPr>
              <w:t>15</w:t>
            </w:r>
            <w:r w:rsidRPr="00315697">
              <w:rPr>
                <w:rFonts w:ascii="Arial" w:hAnsi="Arial" w:cs="Arial"/>
                <w:sz w:val="16"/>
                <w:szCs w:val="16"/>
              </w:rPr>
              <w:br/>
              <w:t>Actual</w:t>
            </w:r>
            <w:r w:rsidRPr="00315697">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2015–</w:t>
            </w:r>
            <w:r w:rsidRPr="00315697">
              <w:rPr>
                <w:rFonts w:ascii="Arial" w:hAnsi="Arial" w:cs="Arial"/>
                <w:sz w:val="16"/>
                <w:szCs w:val="16"/>
              </w:rPr>
              <w:t>16</w:t>
            </w:r>
            <w:r w:rsidRPr="00315697">
              <w:rPr>
                <w:rFonts w:ascii="Arial" w:hAnsi="Arial" w:cs="Arial"/>
                <w:sz w:val="16"/>
                <w:szCs w:val="16"/>
              </w:rPr>
              <w:br/>
              <w:t>Revised budget</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2016–</w:t>
            </w:r>
            <w:r w:rsidRPr="00315697">
              <w:rPr>
                <w:rFonts w:ascii="Arial" w:hAnsi="Arial" w:cs="Arial"/>
                <w:sz w:val="16"/>
                <w:szCs w:val="16"/>
              </w:rPr>
              <w:t>17</w:t>
            </w:r>
            <w:r w:rsidRPr="00315697">
              <w:rPr>
                <w:rFonts w:ascii="Arial" w:hAnsi="Arial" w:cs="Arial"/>
                <w:sz w:val="16"/>
                <w:szCs w:val="16"/>
              </w:rPr>
              <w:br/>
              <w:t>Forward year 1</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2017–</w:t>
            </w:r>
            <w:r w:rsidRPr="00315697">
              <w:rPr>
                <w:rFonts w:ascii="Arial" w:hAnsi="Arial" w:cs="Arial"/>
                <w:sz w:val="16"/>
                <w:szCs w:val="16"/>
              </w:rPr>
              <w:t>18</w:t>
            </w:r>
            <w:r w:rsidRPr="00315697">
              <w:rPr>
                <w:rFonts w:ascii="Arial" w:hAnsi="Arial" w:cs="Arial"/>
                <w:sz w:val="16"/>
                <w:szCs w:val="16"/>
              </w:rPr>
              <w:br/>
              <w:t>Forward year 2</w:t>
            </w:r>
            <w:r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Pr>
                <w:rFonts w:ascii="Arial" w:hAnsi="Arial" w:cs="Arial"/>
                <w:sz w:val="16"/>
                <w:szCs w:val="16"/>
              </w:rPr>
              <w:t>2018–</w:t>
            </w:r>
            <w:r w:rsidRPr="00315697">
              <w:rPr>
                <w:rFonts w:ascii="Arial" w:hAnsi="Arial" w:cs="Arial"/>
                <w:sz w:val="16"/>
                <w:szCs w:val="16"/>
              </w:rPr>
              <w:t>19</w:t>
            </w:r>
            <w:r w:rsidRPr="00315697">
              <w:rPr>
                <w:rFonts w:ascii="Arial" w:hAnsi="Arial" w:cs="Arial"/>
                <w:sz w:val="16"/>
                <w:szCs w:val="16"/>
              </w:rPr>
              <w:br/>
              <w:t>Forward year 3</w:t>
            </w:r>
            <w:r w:rsidRPr="00315697">
              <w:rPr>
                <w:rFonts w:ascii="Arial" w:hAnsi="Arial" w:cs="Arial"/>
                <w:sz w:val="16"/>
                <w:szCs w:val="16"/>
              </w:rPr>
              <w:br/>
              <w:t>$'000</w:t>
            </w:r>
          </w:p>
        </w:tc>
      </w:tr>
      <w:tr w:rsidR="00315697" w:rsidRPr="00315697" w:rsidTr="004A4685">
        <w:trPr>
          <w:trHeight w:val="229"/>
        </w:trPr>
        <w:tc>
          <w:tcPr>
            <w:tcW w:w="3425" w:type="dxa"/>
            <w:tcBorders>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Annual administered expenses:</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C0C0C0"/>
            <w:noWrap/>
            <w:vAlign w:val="bottom"/>
            <w:hideMark/>
          </w:tcPr>
          <w:p w:rsidR="00315697" w:rsidRPr="00315697" w:rsidRDefault="00315697" w:rsidP="00315697">
            <w:pPr>
              <w:spacing w:after="0" w:line="240" w:lineRule="auto"/>
              <w:jc w:val="left"/>
              <w:rPr>
                <w:rFonts w:ascii="Arial" w:hAnsi="Arial" w:cs="Arial"/>
                <w:sz w:val="16"/>
                <w:szCs w:val="16"/>
              </w:rPr>
            </w:pPr>
            <w:r w:rsidRPr="00315697">
              <w:rPr>
                <w:rFonts w:ascii="Arial" w:hAnsi="Arial" w:cs="Arial"/>
                <w:sz w:val="16"/>
                <w:szCs w:val="16"/>
              </w:rPr>
              <w:t>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458"/>
        </w:trPr>
        <w:tc>
          <w:tcPr>
            <w:tcW w:w="3425" w:type="dxa"/>
            <w:tcBorders>
              <w:top w:val="nil"/>
              <w:left w:val="nil"/>
              <w:bottom w:val="nil"/>
              <w:right w:val="nil"/>
            </w:tcBorders>
            <w:shd w:val="clear" w:color="auto" w:fill="auto"/>
            <w:hideMark/>
          </w:tcPr>
          <w:p w:rsidR="00315697" w:rsidRPr="00315697" w:rsidRDefault="00315697" w:rsidP="00AD77B7">
            <w:pPr>
              <w:spacing w:after="0" w:line="240" w:lineRule="auto"/>
              <w:ind w:left="191"/>
              <w:jc w:val="left"/>
              <w:rPr>
                <w:rFonts w:ascii="Arial" w:hAnsi="Arial" w:cs="Arial"/>
                <w:sz w:val="16"/>
                <w:szCs w:val="16"/>
              </w:rPr>
            </w:pPr>
            <w:r w:rsidRPr="00315697">
              <w:rPr>
                <w:rFonts w:ascii="Arial" w:hAnsi="Arial" w:cs="Arial"/>
                <w:sz w:val="16"/>
                <w:szCs w:val="16"/>
              </w:rPr>
              <w:t>International Labour Organization Subscription</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9,948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10,301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10,836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11,051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11,102 </w:t>
            </w:r>
          </w:p>
        </w:tc>
      </w:tr>
      <w:tr w:rsidR="00315697" w:rsidRPr="00315697" w:rsidTr="00AD77B7">
        <w:trPr>
          <w:trHeight w:val="229"/>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sz w:val="16"/>
                <w:szCs w:val="16"/>
              </w:rPr>
            </w:pPr>
            <w:r w:rsidRPr="00315697">
              <w:rPr>
                <w:rFonts w:ascii="Arial" w:hAnsi="Arial" w:cs="Arial"/>
                <w:sz w:val="16"/>
                <w:szCs w:val="16"/>
              </w:rPr>
              <w:t>Protected Action Ballots Scheme</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1,392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1,600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1,600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1,600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1,600 </w:t>
            </w:r>
          </w:p>
        </w:tc>
      </w:tr>
      <w:tr w:rsidR="00315697" w:rsidRPr="00315697" w:rsidTr="00AD77B7">
        <w:trPr>
          <w:trHeight w:val="229"/>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sz w:val="16"/>
                <w:szCs w:val="16"/>
              </w:rPr>
            </w:pPr>
            <w:r w:rsidRPr="00315697">
              <w:rPr>
                <w:rFonts w:ascii="Arial" w:hAnsi="Arial" w:cs="Arial"/>
                <w:sz w:val="16"/>
                <w:szCs w:val="16"/>
              </w:rPr>
              <w:t>Centre for Workplace Leadership</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3,097 </w:t>
            </w:r>
          </w:p>
        </w:tc>
        <w:tc>
          <w:tcPr>
            <w:tcW w:w="867" w:type="dxa"/>
            <w:tcBorders>
              <w:top w:val="nil"/>
              <w:left w:val="nil"/>
              <w:bottom w:val="nil"/>
              <w:right w:val="nil"/>
            </w:tcBorders>
            <w:shd w:val="clear" w:color="000000" w:fill="C0C0C0"/>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3,133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 </w:t>
            </w:r>
          </w:p>
        </w:tc>
      </w:tr>
      <w:tr w:rsidR="00315697" w:rsidRPr="00315697" w:rsidTr="00AD77B7">
        <w:trPr>
          <w:trHeight w:val="229"/>
        </w:trPr>
        <w:tc>
          <w:tcPr>
            <w:tcW w:w="3425" w:type="dxa"/>
            <w:tcBorders>
              <w:top w:val="nil"/>
              <w:left w:val="nil"/>
              <w:bottom w:val="single" w:sz="4" w:space="0" w:color="auto"/>
              <w:right w:val="nil"/>
            </w:tcBorders>
            <w:shd w:val="clear" w:color="auto" w:fill="auto"/>
            <w:noWrap/>
            <w:vAlign w:val="bottom"/>
            <w:hideMark/>
          </w:tcPr>
          <w:p w:rsidR="00315697" w:rsidRPr="00315697" w:rsidRDefault="00315697" w:rsidP="00AD77B7">
            <w:pPr>
              <w:spacing w:after="0" w:line="240" w:lineRule="auto"/>
              <w:jc w:val="left"/>
              <w:rPr>
                <w:rFonts w:ascii="Arial" w:hAnsi="Arial" w:cs="Arial"/>
                <w:b/>
                <w:bCs/>
                <w:sz w:val="16"/>
                <w:szCs w:val="16"/>
              </w:rPr>
            </w:pPr>
            <w:r w:rsidRPr="00315697">
              <w:rPr>
                <w:rFonts w:ascii="Arial" w:hAnsi="Arial" w:cs="Arial"/>
                <w:b/>
                <w:bCs/>
                <w:sz w:val="16"/>
                <w:szCs w:val="16"/>
              </w:rPr>
              <w:t xml:space="preserve">Total programme expenses </w:t>
            </w:r>
          </w:p>
        </w:tc>
        <w:tc>
          <w:tcPr>
            <w:tcW w:w="867"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14,437 </w:t>
            </w:r>
          </w:p>
        </w:tc>
        <w:tc>
          <w:tcPr>
            <w:tcW w:w="867" w:type="dxa"/>
            <w:tcBorders>
              <w:top w:val="single" w:sz="4" w:space="0" w:color="auto"/>
              <w:left w:val="nil"/>
              <w:bottom w:val="single" w:sz="4" w:space="0" w:color="auto"/>
              <w:right w:val="nil"/>
            </w:tcBorders>
            <w:shd w:val="clear" w:color="000000" w:fill="C0C0C0"/>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15,034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12,436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12,651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12,702 </w:t>
            </w:r>
          </w:p>
        </w:tc>
      </w:tr>
    </w:tbl>
    <w:p w:rsidR="00C80E36" w:rsidRDefault="00C80E36" w:rsidP="00C80E36">
      <w:pPr>
        <w:rPr>
          <w:lang w:val="en-GB"/>
        </w:rPr>
      </w:pPr>
    </w:p>
    <w:p w:rsidR="00C80E36" w:rsidRDefault="00C80E36">
      <w:pPr>
        <w:spacing w:after="0" w:line="240" w:lineRule="auto"/>
        <w:jc w:val="left"/>
        <w:rPr>
          <w:rFonts w:ascii="Arial" w:hAnsi="Arial" w:cs="Arial"/>
          <w:sz w:val="16"/>
          <w:szCs w:val="16"/>
          <w:lang w:val="en-GB"/>
        </w:rPr>
      </w:pPr>
      <w:r>
        <w:rPr>
          <w:rFonts w:ascii="Arial" w:hAnsi="Arial" w:cs="Arial"/>
          <w:sz w:val="16"/>
          <w:szCs w:val="16"/>
          <w:lang w:val="en-GB"/>
        </w:rPr>
        <w:br w:type="page"/>
      </w:r>
    </w:p>
    <w:p w:rsidR="008F2BCF" w:rsidRDefault="008F2BCF" w:rsidP="008F2BCF">
      <w:pPr>
        <w:pStyle w:val="Heading5"/>
        <w:rPr>
          <w:lang w:val="en-AU"/>
        </w:rPr>
      </w:pPr>
      <w:r>
        <w:lastRenderedPageBreak/>
        <w:t xml:space="preserve">Programme </w:t>
      </w:r>
      <w:r>
        <w:rPr>
          <w:lang w:val="en-AU"/>
        </w:rPr>
        <w:t>2</w:t>
      </w:r>
      <w:r w:rsidR="00426F29">
        <w:rPr>
          <w:lang w:val="en-AU"/>
        </w:rPr>
        <w:t>.3</w:t>
      </w:r>
      <w:r>
        <w:rPr>
          <w:lang w:val="en-AU"/>
        </w:rPr>
        <w:t xml:space="preserve"> </w:t>
      </w:r>
      <w:r w:rsidR="00426F29">
        <w:rPr>
          <w:lang w:val="en-AU"/>
        </w:rPr>
        <w:t>Workers’ Compensation Payments</w:t>
      </w:r>
    </w:p>
    <w:p w:rsidR="008F2BCF" w:rsidRPr="005459F9" w:rsidRDefault="008F2BCF" w:rsidP="008F2BCF">
      <w:r>
        <w:t xml:space="preserve">Performance information contained in the 2015–16 Portfolio Budget Statements have not changed. </w:t>
      </w:r>
    </w:p>
    <w:p w:rsidR="008F2BCF" w:rsidRDefault="008F2BCF" w:rsidP="008F2BCF">
      <w:pPr>
        <w:pStyle w:val="Heading5"/>
      </w:pPr>
      <w:r>
        <w:rPr>
          <w:lang w:val="en-AU"/>
        </w:rPr>
        <w:t>Table 2.2</w:t>
      </w:r>
      <w:r w:rsidR="00426F29">
        <w:rPr>
          <w:lang w:val="en-AU"/>
        </w:rPr>
        <w:t>.3</w:t>
      </w:r>
      <w:r>
        <w:rPr>
          <w:lang w:val="en-AU"/>
        </w:rPr>
        <w:t xml:space="preserve"> </w:t>
      </w:r>
      <w:r>
        <w:t>Programme expenses</w:t>
      </w:r>
    </w:p>
    <w:tbl>
      <w:tblPr>
        <w:tblW w:w="7769" w:type="dxa"/>
        <w:tblInd w:w="93" w:type="dxa"/>
        <w:tblLook w:val="04A0" w:firstRow="1" w:lastRow="0" w:firstColumn="1" w:lastColumn="0" w:noHBand="0" w:noVBand="1"/>
      </w:tblPr>
      <w:tblGrid>
        <w:gridCol w:w="3425"/>
        <w:gridCol w:w="867"/>
        <w:gridCol w:w="867"/>
        <w:gridCol w:w="870"/>
        <w:gridCol w:w="870"/>
        <w:gridCol w:w="870"/>
      </w:tblGrid>
      <w:tr w:rsidR="00315697" w:rsidRPr="00315697" w:rsidTr="001E280C">
        <w:trPr>
          <w:trHeight w:val="668"/>
          <w:tblHeader/>
        </w:trPr>
        <w:tc>
          <w:tcPr>
            <w:tcW w:w="3425" w:type="dxa"/>
            <w:tcBorders>
              <w:top w:val="single" w:sz="4" w:space="0" w:color="auto"/>
              <w:left w:val="nil"/>
              <w:right w:val="nil"/>
            </w:tcBorders>
            <w:shd w:val="clear" w:color="auto" w:fill="auto"/>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 </w:t>
            </w:r>
          </w:p>
        </w:tc>
        <w:tc>
          <w:tcPr>
            <w:tcW w:w="867" w:type="dxa"/>
            <w:tcBorders>
              <w:top w:val="single" w:sz="4" w:space="0" w:color="auto"/>
              <w:left w:val="nil"/>
              <w:bottom w:val="single" w:sz="4" w:space="0" w:color="auto"/>
              <w:right w:val="nil"/>
            </w:tcBorders>
            <w:shd w:val="clear" w:color="auto" w:fill="auto"/>
            <w:hideMark/>
          </w:tcPr>
          <w:p w:rsidR="00315697" w:rsidRPr="00315697" w:rsidRDefault="00C80E36" w:rsidP="00315697">
            <w:pPr>
              <w:spacing w:after="0" w:line="240" w:lineRule="auto"/>
              <w:jc w:val="right"/>
              <w:rPr>
                <w:rFonts w:ascii="Arial" w:hAnsi="Arial" w:cs="Arial"/>
                <w:sz w:val="16"/>
                <w:szCs w:val="16"/>
              </w:rPr>
            </w:pPr>
            <w:r>
              <w:rPr>
                <w:rFonts w:ascii="Arial" w:hAnsi="Arial" w:cs="Arial"/>
                <w:sz w:val="16"/>
                <w:szCs w:val="16"/>
              </w:rPr>
              <w:t>2014–</w:t>
            </w:r>
            <w:r w:rsidR="00315697" w:rsidRPr="00315697">
              <w:rPr>
                <w:rFonts w:ascii="Arial" w:hAnsi="Arial" w:cs="Arial"/>
                <w:sz w:val="16"/>
                <w:szCs w:val="16"/>
              </w:rPr>
              <w:t>15</w:t>
            </w:r>
            <w:r w:rsidR="00315697" w:rsidRPr="00315697">
              <w:rPr>
                <w:rFonts w:ascii="Arial" w:hAnsi="Arial" w:cs="Arial"/>
                <w:sz w:val="16"/>
                <w:szCs w:val="16"/>
              </w:rPr>
              <w:br/>
              <w:t>Actual</w:t>
            </w:r>
            <w:r w:rsidR="00315697" w:rsidRPr="00315697">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000000" w:fill="C0C0C0"/>
            <w:hideMark/>
          </w:tcPr>
          <w:p w:rsidR="00315697" w:rsidRPr="00315697" w:rsidRDefault="00C80E36" w:rsidP="004A4685">
            <w:pPr>
              <w:tabs>
                <w:tab w:val="left" w:pos="360"/>
              </w:tabs>
              <w:spacing w:after="0" w:line="240" w:lineRule="auto"/>
              <w:jc w:val="right"/>
              <w:rPr>
                <w:rFonts w:ascii="Arial" w:hAnsi="Arial" w:cs="Arial"/>
                <w:sz w:val="16"/>
                <w:szCs w:val="16"/>
              </w:rPr>
            </w:pPr>
            <w:r>
              <w:rPr>
                <w:rFonts w:ascii="Arial" w:hAnsi="Arial" w:cs="Arial"/>
                <w:sz w:val="16"/>
                <w:szCs w:val="16"/>
              </w:rPr>
              <w:t>2015–</w:t>
            </w:r>
            <w:r w:rsidR="00315697" w:rsidRPr="00315697">
              <w:rPr>
                <w:rFonts w:ascii="Arial" w:hAnsi="Arial" w:cs="Arial"/>
                <w:sz w:val="16"/>
                <w:szCs w:val="16"/>
              </w:rPr>
              <w:t>16</w:t>
            </w:r>
            <w:r w:rsidR="00315697" w:rsidRPr="00315697">
              <w:rPr>
                <w:rFonts w:ascii="Arial" w:hAnsi="Arial" w:cs="Arial"/>
                <w:sz w:val="16"/>
                <w:szCs w:val="16"/>
              </w:rPr>
              <w:br/>
              <w:t>Revised budget</w:t>
            </w:r>
            <w:r w:rsidR="00315697"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C80E36" w:rsidP="00315697">
            <w:pPr>
              <w:spacing w:after="0" w:line="240" w:lineRule="auto"/>
              <w:jc w:val="right"/>
              <w:rPr>
                <w:rFonts w:ascii="Arial" w:hAnsi="Arial" w:cs="Arial"/>
                <w:sz w:val="16"/>
                <w:szCs w:val="16"/>
              </w:rPr>
            </w:pPr>
            <w:r>
              <w:rPr>
                <w:rFonts w:ascii="Arial" w:hAnsi="Arial" w:cs="Arial"/>
                <w:sz w:val="16"/>
                <w:szCs w:val="16"/>
              </w:rPr>
              <w:t>2016–</w:t>
            </w:r>
            <w:r w:rsidR="00315697" w:rsidRPr="00315697">
              <w:rPr>
                <w:rFonts w:ascii="Arial" w:hAnsi="Arial" w:cs="Arial"/>
                <w:sz w:val="16"/>
                <w:szCs w:val="16"/>
              </w:rPr>
              <w:t>17</w:t>
            </w:r>
            <w:r w:rsidR="00315697" w:rsidRPr="00315697">
              <w:rPr>
                <w:rFonts w:ascii="Arial" w:hAnsi="Arial" w:cs="Arial"/>
                <w:sz w:val="16"/>
                <w:szCs w:val="16"/>
              </w:rPr>
              <w:br/>
              <w:t>Forward year 1</w:t>
            </w:r>
            <w:r w:rsidR="00315697"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C80E36" w:rsidP="00315697">
            <w:pPr>
              <w:spacing w:after="0" w:line="240" w:lineRule="auto"/>
              <w:jc w:val="right"/>
              <w:rPr>
                <w:rFonts w:ascii="Arial" w:hAnsi="Arial" w:cs="Arial"/>
                <w:sz w:val="16"/>
                <w:szCs w:val="16"/>
              </w:rPr>
            </w:pPr>
            <w:r>
              <w:rPr>
                <w:rFonts w:ascii="Arial" w:hAnsi="Arial" w:cs="Arial"/>
                <w:sz w:val="16"/>
                <w:szCs w:val="16"/>
              </w:rPr>
              <w:t>2017–</w:t>
            </w:r>
            <w:r w:rsidR="00315697" w:rsidRPr="00315697">
              <w:rPr>
                <w:rFonts w:ascii="Arial" w:hAnsi="Arial" w:cs="Arial"/>
                <w:sz w:val="16"/>
                <w:szCs w:val="16"/>
              </w:rPr>
              <w:t>18</w:t>
            </w:r>
            <w:r w:rsidR="00315697" w:rsidRPr="00315697">
              <w:rPr>
                <w:rFonts w:ascii="Arial" w:hAnsi="Arial" w:cs="Arial"/>
                <w:sz w:val="16"/>
                <w:szCs w:val="16"/>
              </w:rPr>
              <w:br/>
              <w:t>Forward year 2</w:t>
            </w:r>
            <w:r w:rsidR="00315697" w:rsidRPr="00315697">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315697" w:rsidRPr="00315697" w:rsidRDefault="00C80E36" w:rsidP="00315697">
            <w:pPr>
              <w:spacing w:after="0" w:line="240" w:lineRule="auto"/>
              <w:jc w:val="right"/>
              <w:rPr>
                <w:rFonts w:ascii="Arial" w:hAnsi="Arial" w:cs="Arial"/>
                <w:sz w:val="16"/>
                <w:szCs w:val="16"/>
              </w:rPr>
            </w:pPr>
            <w:r>
              <w:rPr>
                <w:rFonts w:ascii="Arial" w:hAnsi="Arial" w:cs="Arial"/>
                <w:sz w:val="16"/>
                <w:szCs w:val="16"/>
              </w:rPr>
              <w:t>2018–</w:t>
            </w:r>
            <w:r w:rsidR="00315697" w:rsidRPr="00315697">
              <w:rPr>
                <w:rFonts w:ascii="Arial" w:hAnsi="Arial" w:cs="Arial"/>
                <w:sz w:val="16"/>
                <w:szCs w:val="16"/>
              </w:rPr>
              <w:t>19</w:t>
            </w:r>
            <w:r w:rsidR="00315697" w:rsidRPr="00315697">
              <w:rPr>
                <w:rFonts w:ascii="Arial" w:hAnsi="Arial" w:cs="Arial"/>
                <w:sz w:val="16"/>
                <w:szCs w:val="16"/>
              </w:rPr>
              <w:br/>
              <w:t>Forward year 3</w:t>
            </w:r>
            <w:r w:rsidR="00315697" w:rsidRPr="00315697">
              <w:rPr>
                <w:rFonts w:ascii="Arial" w:hAnsi="Arial" w:cs="Arial"/>
                <w:sz w:val="16"/>
                <w:szCs w:val="16"/>
              </w:rPr>
              <w:br/>
              <w:t>$'000</w:t>
            </w:r>
          </w:p>
        </w:tc>
      </w:tr>
      <w:tr w:rsidR="00315697" w:rsidRPr="00315697" w:rsidTr="004A4685">
        <w:trPr>
          <w:trHeight w:val="224"/>
        </w:trPr>
        <w:tc>
          <w:tcPr>
            <w:tcW w:w="3425" w:type="dxa"/>
            <w:tcBorders>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Annual administered expenses:</w:t>
            </w:r>
          </w:p>
        </w:tc>
        <w:tc>
          <w:tcPr>
            <w:tcW w:w="867" w:type="dxa"/>
            <w:tcBorders>
              <w:top w:val="single" w:sz="4" w:space="0" w:color="auto"/>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67" w:type="dxa"/>
            <w:tcBorders>
              <w:top w:val="single" w:sz="4" w:space="0" w:color="auto"/>
              <w:left w:val="nil"/>
              <w:bottom w:val="nil"/>
              <w:right w:val="nil"/>
            </w:tcBorders>
            <w:shd w:val="clear" w:color="000000" w:fill="C0C0C0"/>
            <w:noWrap/>
            <w:vAlign w:val="bottom"/>
            <w:hideMark/>
          </w:tcPr>
          <w:p w:rsidR="00315697" w:rsidRPr="00315697" w:rsidRDefault="00315697" w:rsidP="004A4685">
            <w:pPr>
              <w:tabs>
                <w:tab w:val="left" w:pos="360"/>
              </w:tabs>
              <w:spacing w:after="0" w:line="240" w:lineRule="auto"/>
              <w:jc w:val="left"/>
              <w:rPr>
                <w:rFonts w:ascii="Arial" w:hAnsi="Arial" w:cs="Arial"/>
                <w:sz w:val="16"/>
                <w:szCs w:val="16"/>
              </w:rPr>
            </w:pPr>
            <w:r w:rsidRPr="00315697">
              <w:rPr>
                <w:rFonts w:ascii="Arial" w:hAnsi="Arial" w:cs="Arial"/>
                <w:sz w:val="16"/>
                <w:szCs w:val="16"/>
              </w:rPr>
              <w:t> </w:t>
            </w:r>
          </w:p>
        </w:tc>
        <w:tc>
          <w:tcPr>
            <w:tcW w:w="870" w:type="dxa"/>
            <w:tcBorders>
              <w:top w:val="single" w:sz="4" w:space="0" w:color="auto"/>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single" w:sz="4" w:space="0" w:color="auto"/>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single" w:sz="4" w:space="0" w:color="auto"/>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224"/>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sz w:val="16"/>
                <w:szCs w:val="16"/>
              </w:rPr>
            </w:pPr>
            <w:proofErr w:type="spellStart"/>
            <w:r w:rsidRPr="00315697">
              <w:rPr>
                <w:rFonts w:ascii="Arial" w:hAnsi="Arial" w:cs="Arial"/>
                <w:sz w:val="16"/>
                <w:szCs w:val="16"/>
              </w:rPr>
              <w:t>Comcare</w:t>
            </w:r>
            <w:proofErr w:type="spellEnd"/>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7,563 </w:t>
            </w:r>
          </w:p>
        </w:tc>
        <w:tc>
          <w:tcPr>
            <w:tcW w:w="867" w:type="dxa"/>
            <w:tcBorders>
              <w:top w:val="nil"/>
              <w:left w:val="nil"/>
              <w:bottom w:val="nil"/>
              <w:right w:val="nil"/>
            </w:tcBorders>
            <w:shd w:val="clear" w:color="000000" w:fill="C0C0C0"/>
            <w:hideMark/>
          </w:tcPr>
          <w:p w:rsidR="00315697" w:rsidRPr="00315697" w:rsidRDefault="00315697" w:rsidP="004A4685">
            <w:pPr>
              <w:tabs>
                <w:tab w:val="left" w:pos="360"/>
              </w:tabs>
              <w:spacing w:after="0" w:line="240" w:lineRule="auto"/>
              <w:jc w:val="right"/>
              <w:rPr>
                <w:rFonts w:ascii="Arial" w:hAnsi="Arial" w:cs="Arial"/>
                <w:sz w:val="16"/>
                <w:szCs w:val="16"/>
              </w:rPr>
            </w:pPr>
            <w:r w:rsidRPr="00315697">
              <w:rPr>
                <w:rFonts w:ascii="Arial" w:hAnsi="Arial" w:cs="Arial"/>
                <w:sz w:val="16"/>
                <w:szCs w:val="16"/>
              </w:rPr>
              <w:t xml:space="preserve">7,727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6,133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6,168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6,206 </w:t>
            </w:r>
          </w:p>
        </w:tc>
      </w:tr>
      <w:tr w:rsidR="00315697" w:rsidRPr="00315697" w:rsidTr="00AD77B7">
        <w:trPr>
          <w:trHeight w:val="224"/>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jc w:val="left"/>
              <w:rPr>
                <w:rFonts w:ascii="Arial" w:hAnsi="Arial" w:cs="Arial"/>
                <w:sz w:val="16"/>
                <w:szCs w:val="16"/>
              </w:rPr>
            </w:pPr>
            <w:r w:rsidRPr="00315697">
              <w:rPr>
                <w:rFonts w:ascii="Arial" w:hAnsi="Arial" w:cs="Arial"/>
                <w:sz w:val="16"/>
                <w:szCs w:val="16"/>
              </w:rPr>
              <w:t>Special Appropriations:</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C0C0C0"/>
            <w:hideMark/>
          </w:tcPr>
          <w:p w:rsidR="00315697" w:rsidRPr="00315697" w:rsidRDefault="00315697" w:rsidP="004A4685">
            <w:pPr>
              <w:tabs>
                <w:tab w:val="left" w:pos="360"/>
              </w:tabs>
              <w:spacing w:after="0" w:line="240" w:lineRule="auto"/>
              <w:jc w:val="right"/>
              <w:rPr>
                <w:rFonts w:ascii="Arial" w:hAnsi="Arial" w:cs="Arial"/>
                <w:sz w:val="16"/>
                <w:szCs w:val="16"/>
              </w:rPr>
            </w:pPr>
            <w:r w:rsidRPr="00315697">
              <w:rPr>
                <w:rFonts w:ascii="Arial" w:hAnsi="Arial" w:cs="Arial"/>
                <w:sz w:val="16"/>
                <w:szCs w:val="16"/>
              </w:rPr>
              <w:t>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p>
        </w:tc>
      </w:tr>
      <w:tr w:rsidR="00315697" w:rsidRPr="00315697" w:rsidTr="00AD77B7">
        <w:trPr>
          <w:trHeight w:val="224"/>
        </w:trPr>
        <w:tc>
          <w:tcPr>
            <w:tcW w:w="3425" w:type="dxa"/>
            <w:tcBorders>
              <w:top w:val="nil"/>
              <w:left w:val="nil"/>
              <w:bottom w:val="nil"/>
              <w:right w:val="nil"/>
            </w:tcBorders>
            <w:shd w:val="clear" w:color="auto" w:fill="auto"/>
            <w:noWrap/>
            <w:hideMark/>
          </w:tcPr>
          <w:p w:rsidR="00315697" w:rsidRPr="00315697" w:rsidRDefault="00315697" w:rsidP="00AD77B7">
            <w:pPr>
              <w:spacing w:after="0" w:line="240" w:lineRule="auto"/>
              <w:ind w:firstLineChars="119" w:firstLine="190"/>
              <w:jc w:val="left"/>
              <w:rPr>
                <w:rFonts w:ascii="Arial" w:hAnsi="Arial" w:cs="Arial"/>
                <w:i/>
                <w:iCs/>
                <w:sz w:val="16"/>
                <w:szCs w:val="16"/>
              </w:rPr>
            </w:pPr>
            <w:r w:rsidRPr="00315697">
              <w:rPr>
                <w:rFonts w:ascii="Arial" w:hAnsi="Arial" w:cs="Arial"/>
                <w:i/>
                <w:iCs/>
                <w:sz w:val="16"/>
                <w:szCs w:val="16"/>
              </w:rPr>
              <w:t>Asbestos-related Claims Act 2005</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51,288 </w:t>
            </w:r>
          </w:p>
        </w:tc>
        <w:tc>
          <w:tcPr>
            <w:tcW w:w="867" w:type="dxa"/>
            <w:tcBorders>
              <w:top w:val="nil"/>
              <w:left w:val="nil"/>
              <w:bottom w:val="nil"/>
              <w:right w:val="nil"/>
            </w:tcBorders>
            <w:shd w:val="clear" w:color="000000" w:fill="C0C0C0"/>
            <w:hideMark/>
          </w:tcPr>
          <w:p w:rsidR="00315697" w:rsidRPr="00315697" w:rsidRDefault="00315697" w:rsidP="004A4685">
            <w:pPr>
              <w:tabs>
                <w:tab w:val="left" w:pos="360"/>
              </w:tabs>
              <w:spacing w:after="0" w:line="240" w:lineRule="auto"/>
              <w:jc w:val="right"/>
              <w:rPr>
                <w:rFonts w:ascii="Arial" w:hAnsi="Arial" w:cs="Arial"/>
                <w:sz w:val="16"/>
                <w:szCs w:val="16"/>
              </w:rPr>
            </w:pPr>
            <w:r w:rsidRPr="00315697">
              <w:rPr>
                <w:rFonts w:ascii="Arial" w:hAnsi="Arial" w:cs="Arial"/>
                <w:sz w:val="16"/>
                <w:szCs w:val="16"/>
              </w:rPr>
              <w:t xml:space="preserve">28,635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33,545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31,608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33,247 </w:t>
            </w:r>
          </w:p>
        </w:tc>
      </w:tr>
      <w:tr w:rsidR="00315697" w:rsidRPr="00315697" w:rsidTr="00AD77B7">
        <w:trPr>
          <w:trHeight w:val="448"/>
        </w:trPr>
        <w:tc>
          <w:tcPr>
            <w:tcW w:w="3425" w:type="dxa"/>
            <w:tcBorders>
              <w:top w:val="nil"/>
              <w:left w:val="nil"/>
              <w:bottom w:val="nil"/>
              <w:right w:val="nil"/>
            </w:tcBorders>
            <w:shd w:val="clear" w:color="auto" w:fill="auto"/>
            <w:hideMark/>
          </w:tcPr>
          <w:p w:rsidR="00315697" w:rsidRPr="00315697" w:rsidRDefault="00315697" w:rsidP="00AD77B7">
            <w:pPr>
              <w:spacing w:after="0" w:line="240" w:lineRule="auto"/>
              <w:ind w:left="191"/>
              <w:jc w:val="left"/>
              <w:rPr>
                <w:rFonts w:ascii="Arial" w:hAnsi="Arial" w:cs="Arial"/>
                <w:i/>
                <w:iCs/>
                <w:sz w:val="16"/>
                <w:szCs w:val="16"/>
              </w:rPr>
            </w:pPr>
            <w:r w:rsidRPr="00315697">
              <w:rPr>
                <w:rFonts w:ascii="Arial" w:hAnsi="Arial" w:cs="Arial"/>
                <w:i/>
                <w:iCs/>
                <w:sz w:val="16"/>
                <w:szCs w:val="16"/>
              </w:rPr>
              <w:t>Safety, Rehabilitation &amp; Compensation Act 1998</w:t>
            </w:r>
          </w:p>
        </w:tc>
        <w:tc>
          <w:tcPr>
            <w:tcW w:w="867"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33,011 </w:t>
            </w:r>
          </w:p>
        </w:tc>
        <w:tc>
          <w:tcPr>
            <w:tcW w:w="867" w:type="dxa"/>
            <w:tcBorders>
              <w:top w:val="nil"/>
              <w:left w:val="nil"/>
              <w:bottom w:val="nil"/>
              <w:right w:val="nil"/>
            </w:tcBorders>
            <w:shd w:val="clear" w:color="000000" w:fill="C0C0C0"/>
            <w:hideMark/>
          </w:tcPr>
          <w:p w:rsidR="00315697" w:rsidRPr="00315697" w:rsidRDefault="00315697" w:rsidP="004A4685">
            <w:pPr>
              <w:tabs>
                <w:tab w:val="left" w:pos="360"/>
              </w:tabs>
              <w:spacing w:after="0" w:line="240" w:lineRule="auto"/>
              <w:jc w:val="right"/>
              <w:rPr>
                <w:rFonts w:ascii="Arial" w:hAnsi="Arial" w:cs="Arial"/>
                <w:sz w:val="16"/>
                <w:szCs w:val="16"/>
              </w:rPr>
            </w:pPr>
            <w:r w:rsidRPr="00315697">
              <w:rPr>
                <w:rFonts w:ascii="Arial" w:hAnsi="Arial" w:cs="Arial"/>
                <w:sz w:val="16"/>
                <w:szCs w:val="16"/>
              </w:rPr>
              <w:t xml:space="preserve">35,162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33,617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29,354 </w:t>
            </w:r>
          </w:p>
        </w:tc>
        <w:tc>
          <w:tcPr>
            <w:tcW w:w="870" w:type="dxa"/>
            <w:tcBorders>
              <w:top w:val="nil"/>
              <w:left w:val="nil"/>
              <w:bottom w:val="nil"/>
              <w:right w:val="nil"/>
            </w:tcBorders>
            <w:shd w:val="clear" w:color="auto" w:fill="auto"/>
            <w:hideMark/>
          </w:tcPr>
          <w:p w:rsidR="00315697" w:rsidRPr="00315697" w:rsidRDefault="00315697" w:rsidP="00315697">
            <w:pPr>
              <w:spacing w:after="0" w:line="240" w:lineRule="auto"/>
              <w:jc w:val="right"/>
              <w:rPr>
                <w:rFonts w:ascii="Arial" w:hAnsi="Arial" w:cs="Arial"/>
                <w:sz w:val="16"/>
                <w:szCs w:val="16"/>
              </w:rPr>
            </w:pPr>
            <w:r w:rsidRPr="00315697">
              <w:rPr>
                <w:rFonts w:ascii="Arial" w:hAnsi="Arial" w:cs="Arial"/>
                <w:sz w:val="16"/>
                <w:szCs w:val="16"/>
              </w:rPr>
              <w:t xml:space="preserve">31,124 </w:t>
            </w:r>
          </w:p>
        </w:tc>
      </w:tr>
      <w:tr w:rsidR="00315697" w:rsidRPr="00315697" w:rsidTr="00AD77B7">
        <w:trPr>
          <w:trHeight w:val="224"/>
        </w:trPr>
        <w:tc>
          <w:tcPr>
            <w:tcW w:w="3425" w:type="dxa"/>
            <w:tcBorders>
              <w:top w:val="nil"/>
              <w:left w:val="nil"/>
              <w:bottom w:val="single" w:sz="4" w:space="0" w:color="auto"/>
              <w:right w:val="nil"/>
            </w:tcBorders>
            <w:shd w:val="clear" w:color="auto" w:fill="auto"/>
            <w:noWrap/>
            <w:vAlign w:val="bottom"/>
            <w:hideMark/>
          </w:tcPr>
          <w:p w:rsidR="00315697" w:rsidRPr="00315697" w:rsidRDefault="00315697" w:rsidP="00AD77B7">
            <w:pPr>
              <w:spacing w:after="0" w:line="240" w:lineRule="auto"/>
              <w:jc w:val="left"/>
              <w:rPr>
                <w:rFonts w:ascii="Arial" w:hAnsi="Arial" w:cs="Arial"/>
                <w:b/>
                <w:bCs/>
                <w:sz w:val="16"/>
                <w:szCs w:val="16"/>
              </w:rPr>
            </w:pPr>
            <w:r w:rsidRPr="00315697">
              <w:rPr>
                <w:rFonts w:ascii="Arial" w:hAnsi="Arial" w:cs="Arial"/>
                <w:b/>
                <w:bCs/>
                <w:sz w:val="16"/>
                <w:szCs w:val="16"/>
              </w:rPr>
              <w:t xml:space="preserve">Total programme expenses </w:t>
            </w:r>
          </w:p>
        </w:tc>
        <w:tc>
          <w:tcPr>
            <w:tcW w:w="867"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91,862 </w:t>
            </w:r>
          </w:p>
        </w:tc>
        <w:tc>
          <w:tcPr>
            <w:tcW w:w="867" w:type="dxa"/>
            <w:tcBorders>
              <w:top w:val="single" w:sz="4" w:space="0" w:color="auto"/>
              <w:left w:val="nil"/>
              <w:bottom w:val="single" w:sz="4" w:space="0" w:color="auto"/>
              <w:right w:val="nil"/>
            </w:tcBorders>
            <w:shd w:val="clear" w:color="000000" w:fill="C0C0C0"/>
            <w:noWrap/>
            <w:vAlign w:val="bottom"/>
            <w:hideMark/>
          </w:tcPr>
          <w:p w:rsidR="00315697" w:rsidRPr="00315697" w:rsidRDefault="00315697" w:rsidP="004A4685">
            <w:pPr>
              <w:tabs>
                <w:tab w:val="left" w:pos="360"/>
              </w:tabs>
              <w:spacing w:after="0" w:line="240" w:lineRule="auto"/>
              <w:jc w:val="right"/>
              <w:rPr>
                <w:rFonts w:ascii="Arial" w:hAnsi="Arial" w:cs="Arial"/>
                <w:b/>
                <w:bCs/>
                <w:sz w:val="16"/>
                <w:szCs w:val="16"/>
              </w:rPr>
            </w:pPr>
            <w:r w:rsidRPr="00315697">
              <w:rPr>
                <w:rFonts w:ascii="Arial" w:hAnsi="Arial" w:cs="Arial"/>
                <w:b/>
                <w:bCs/>
                <w:sz w:val="16"/>
                <w:szCs w:val="16"/>
              </w:rPr>
              <w:t xml:space="preserve">71,524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73,295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67,130 </w:t>
            </w:r>
          </w:p>
        </w:tc>
        <w:tc>
          <w:tcPr>
            <w:tcW w:w="870" w:type="dxa"/>
            <w:tcBorders>
              <w:top w:val="single" w:sz="4" w:space="0" w:color="auto"/>
              <w:left w:val="nil"/>
              <w:bottom w:val="single" w:sz="4" w:space="0" w:color="auto"/>
              <w:right w:val="nil"/>
            </w:tcBorders>
            <w:shd w:val="clear" w:color="auto" w:fill="auto"/>
            <w:noWrap/>
            <w:vAlign w:val="bottom"/>
            <w:hideMark/>
          </w:tcPr>
          <w:p w:rsidR="00315697" w:rsidRPr="00315697" w:rsidRDefault="00315697" w:rsidP="00315697">
            <w:pPr>
              <w:spacing w:after="0" w:line="240" w:lineRule="auto"/>
              <w:jc w:val="right"/>
              <w:rPr>
                <w:rFonts w:ascii="Arial" w:hAnsi="Arial" w:cs="Arial"/>
                <w:b/>
                <w:bCs/>
                <w:sz w:val="16"/>
                <w:szCs w:val="16"/>
              </w:rPr>
            </w:pPr>
            <w:r w:rsidRPr="00315697">
              <w:rPr>
                <w:rFonts w:ascii="Arial" w:hAnsi="Arial" w:cs="Arial"/>
                <w:b/>
                <w:bCs/>
                <w:sz w:val="16"/>
                <w:szCs w:val="16"/>
              </w:rPr>
              <w:t xml:space="preserve">70,577 </w:t>
            </w:r>
          </w:p>
        </w:tc>
      </w:tr>
    </w:tbl>
    <w:p w:rsidR="00F51DAC" w:rsidRPr="0021011B" w:rsidRDefault="00F51DAC" w:rsidP="00F51DAC">
      <w:pPr>
        <w:pStyle w:val="SingleParagraph"/>
        <w:rPr>
          <w:lang w:val="en-GB"/>
        </w:rPr>
      </w:pPr>
    </w:p>
    <w:p w:rsidR="00755EB5" w:rsidRDefault="00F51DAC" w:rsidP="00084EF4">
      <w:pPr>
        <w:pStyle w:val="Heading2"/>
      </w:pPr>
      <w:r>
        <w:br w:type="page"/>
      </w:r>
      <w:r w:rsidRPr="004928FF">
        <w:lastRenderedPageBreak/>
        <w:t>Section 3</w:t>
      </w:r>
      <w:bookmarkStart w:id="358" w:name="_Toc436624159"/>
      <w:bookmarkStart w:id="359" w:name="_Toc436625460"/>
      <w:bookmarkStart w:id="360" w:name="_Toc446237038"/>
      <w:bookmarkStart w:id="361" w:name="_Toc449255782"/>
      <w:r>
        <w:t xml:space="preserve">: </w:t>
      </w:r>
      <w:r w:rsidR="00755EB5">
        <w:t xml:space="preserve">Explanatory </w:t>
      </w:r>
      <w:r w:rsidR="001436E5">
        <w:t>t</w:t>
      </w:r>
      <w:r w:rsidR="001436E5" w:rsidRPr="004928FF">
        <w:t xml:space="preserve">ables </w:t>
      </w:r>
      <w:r w:rsidRPr="004928FF">
        <w:t xml:space="preserve">and </w:t>
      </w:r>
      <w:r w:rsidR="001436E5">
        <w:t>b</w:t>
      </w:r>
      <w:r w:rsidR="001436E5" w:rsidRPr="004928FF">
        <w:t xml:space="preserve">udgeted </w:t>
      </w:r>
      <w:r w:rsidR="001436E5">
        <w:t>f</w:t>
      </w:r>
      <w:r w:rsidR="001436E5" w:rsidRPr="004928FF">
        <w:t xml:space="preserve">inancial </w:t>
      </w:r>
      <w:r w:rsidR="00755EB5">
        <w:t>S</w:t>
      </w:r>
      <w:r w:rsidRPr="004928FF">
        <w:t>tatements</w:t>
      </w:r>
      <w:bookmarkStart w:id="362" w:name="_Toc190682316"/>
      <w:bookmarkStart w:id="363" w:name="_Toc190682533"/>
      <w:bookmarkStart w:id="364" w:name="_Toc210703218"/>
      <w:bookmarkEnd w:id="329"/>
      <w:bookmarkEnd w:id="330"/>
      <w:bookmarkEnd w:id="331"/>
      <w:bookmarkEnd w:id="332"/>
      <w:bookmarkEnd w:id="333"/>
      <w:bookmarkEnd w:id="358"/>
      <w:bookmarkEnd w:id="359"/>
      <w:bookmarkEnd w:id="360"/>
      <w:bookmarkEnd w:id="361"/>
    </w:p>
    <w:p w:rsidR="00F51DAC" w:rsidRDefault="00755EB5" w:rsidP="00084EF4">
      <w:pPr>
        <w:pStyle w:val="Heading3"/>
      </w:pPr>
      <w:r>
        <w:t>3.1</w:t>
      </w:r>
      <w:r>
        <w:tab/>
        <w:t xml:space="preserve">Explanatory </w:t>
      </w:r>
      <w:r w:rsidR="00C264AC">
        <w:t>tables</w:t>
      </w:r>
      <w:bookmarkEnd w:id="362"/>
      <w:bookmarkEnd w:id="363"/>
      <w:bookmarkEnd w:id="364"/>
    </w:p>
    <w:p w:rsidR="00F51DAC" w:rsidRDefault="00F51DAC" w:rsidP="000B5844">
      <w:pPr>
        <w:pStyle w:val="Heading4"/>
      </w:pPr>
      <w:bookmarkStart w:id="365" w:name="_Toc143309827"/>
      <w:bookmarkStart w:id="366" w:name="OLE_LINK7"/>
      <w:bookmarkStart w:id="367" w:name="OLE_LINK8"/>
      <w:bookmarkStart w:id="368" w:name="_Toc35936966"/>
      <w:bookmarkStart w:id="369" w:name="_Toc77998691"/>
      <w:bookmarkStart w:id="370" w:name="_Toc79406120"/>
      <w:bookmarkStart w:id="371" w:name="_Toc79467822"/>
      <w:bookmarkStart w:id="372" w:name="_Toc112137881"/>
      <w:bookmarkStart w:id="373" w:name="_Toc112137903"/>
      <w:bookmarkStart w:id="374" w:name="_Toc210646456"/>
      <w:bookmarkStart w:id="375" w:name="_Toc210698435"/>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365"/>
    </w:p>
    <w:bookmarkEnd w:id="366"/>
    <w:bookmarkEnd w:id="367"/>
    <w:p w:rsidR="00F51DAC" w:rsidRDefault="00426F29" w:rsidP="00426F29">
      <w:pPr>
        <w:jc w:val="left"/>
      </w:pPr>
      <w:r>
        <w:t xml:space="preserve">The Department of Employment has no special accounts. For this reason Table 3.1.1 is not presented. </w:t>
      </w:r>
    </w:p>
    <w:p w:rsidR="00F51DAC" w:rsidRDefault="00F51DAC" w:rsidP="00F51DAC">
      <w:pPr>
        <w:pStyle w:val="Heading3"/>
      </w:pPr>
      <w:bookmarkStart w:id="376" w:name="_Toc190682317"/>
      <w:bookmarkStart w:id="377" w:name="_Toc210703219"/>
      <w:r>
        <w:t>3.2</w:t>
      </w:r>
      <w:r>
        <w:tab/>
        <w:t>Budgeted financial statements</w:t>
      </w:r>
      <w:bookmarkEnd w:id="376"/>
      <w:bookmarkEnd w:id="377"/>
    </w:p>
    <w:p w:rsidR="00F51DAC" w:rsidRPr="004928FF" w:rsidRDefault="00F51DAC" w:rsidP="000B5844">
      <w:pPr>
        <w:pStyle w:val="Heading4"/>
      </w:pPr>
      <w:r>
        <w:t>3.2.1</w:t>
      </w:r>
      <w:r>
        <w:tab/>
      </w:r>
      <w:r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68"/>
      <w:bookmarkEnd w:id="369"/>
      <w:bookmarkEnd w:id="370"/>
      <w:bookmarkEnd w:id="371"/>
      <w:bookmarkEnd w:id="372"/>
      <w:bookmarkEnd w:id="373"/>
      <w:bookmarkEnd w:id="374"/>
      <w:bookmarkEnd w:id="375"/>
    </w:p>
    <w:p w:rsidR="006A30D7" w:rsidRDefault="00426F29" w:rsidP="00426F29">
      <w:pPr>
        <w:jc w:val="left"/>
      </w:pPr>
      <w:r>
        <w:t xml:space="preserve">The financial statements have been updated to reflect the changes resulting from the new measures and variations as outlined in Table 1.1, Table 1.3, Table 1.4 and the actual results for the 2014–15 financial year. </w:t>
      </w:r>
    </w:p>
    <w:p w:rsidR="006A30D7" w:rsidRDefault="006A30D7">
      <w:pPr>
        <w:spacing w:after="0" w:line="240" w:lineRule="auto"/>
        <w:jc w:val="left"/>
      </w:pPr>
      <w:r>
        <w:br w:type="page"/>
      </w:r>
    </w:p>
    <w:p w:rsidR="00F51DAC" w:rsidRPr="004928FF" w:rsidRDefault="00F51DAC" w:rsidP="000B5844">
      <w:pPr>
        <w:pStyle w:val="Heading4"/>
      </w:pPr>
      <w:bookmarkStart w:id="378" w:name="_Toc77998692"/>
      <w:bookmarkStart w:id="379" w:name="_Toc79406121"/>
      <w:bookmarkStart w:id="380" w:name="_Toc79467823"/>
      <w:bookmarkStart w:id="381" w:name="_Toc112137882"/>
      <w:bookmarkStart w:id="382" w:name="_Toc112137904"/>
      <w:bookmarkStart w:id="383" w:name="_Toc210646457"/>
      <w:bookmarkStart w:id="384" w:name="_Toc210698436"/>
      <w:bookmarkStart w:id="385" w:name="_Toc35936967"/>
      <w:bookmarkStart w:id="386" w:name="_Toc533506534"/>
      <w:bookmarkStart w:id="387" w:name="_Toc533506609"/>
      <w:bookmarkStart w:id="388" w:name="_Toc533507059"/>
      <w:r>
        <w:lastRenderedPageBreak/>
        <w:t>3.2.2</w:t>
      </w:r>
      <w:r>
        <w:tab/>
      </w:r>
      <w:r w:rsidRPr="004928FF">
        <w:t xml:space="preserve">Budgeted </w:t>
      </w:r>
      <w:r w:rsidR="00C264AC">
        <w:t>f</w:t>
      </w:r>
      <w:r w:rsidR="00C264AC" w:rsidRPr="004928FF">
        <w:t xml:space="preserve">inancial </w:t>
      </w:r>
      <w:r w:rsidR="00C264AC">
        <w:t>s</w:t>
      </w:r>
      <w:r w:rsidR="00C264AC" w:rsidRPr="004928FF">
        <w:t>tatements</w:t>
      </w:r>
      <w:bookmarkEnd w:id="378"/>
      <w:bookmarkEnd w:id="379"/>
      <w:bookmarkEnd w:id="380"/>
      <w:bookmarkEnd w:id="381"/>
      <w:bookmarkEnd w:id="382"/>
      <w:bookmarkEnd w:id="383"/>
      <w:bookmarkEnd w:id="384"/>
    </w:p>
    <w:bookmarkEnd w:id="385"/>
    <w:p w:rsidR="00F51DAC" w:rsidRPr="00327424" w:rsidRDefault="00F51DAC" w:rsidP="00D71773">
      <w:pPr>
        <w:pStyle w:val="TableHeading"/>
        <w:spacing w:before="0"/>
        <w:rPr>
          <w:snapToGrid w:val="0"/>
          <w:lang w:val="en-AU"/>
        </w:rPr>
      </w:pPr>
      <w:r w:rsidRPr="00014438">
        <w:rPr>
          <w:snapToGrid w:val="0"/>
        </w:rPr>
        <w:t>Table 3.2.1</w:t>
      </w:r>
      <w:r>
        <w:rPr>
          <w:snapToGrid w:val="0"/>
        </w:rPr>
        <w:t>:</w:t>
      </w:r>
      <w:r w:rsidRPr="00014438">
        <w:rPr>
          <w:snapToGrid w:val="0"/>
        </w:rPr>
        <w:t xml:space="preserve"> </w:t>
      </w:r>
      <w:r>
        <w:rPr>
          <w:snapToGrid w:val="0"/>
        </w:rPr>
        <w:t>C</w:t>
      </w:r>
      <w:r w:rsidRPr="00014438">
        <w:rPr>
          <w:snapToGrid w:val="0"/>
        </w:rPr>
        <w:t xml:space="preserve">omprehensive </w:t>
      </w:r>
      <w:r w:rsidR="00622A38" w:rsidRPr="00014438">
        <w:rPr>
          <w:snapToGrid w:val="0"/>
        </w:rPr>
        <w:t xml:space="preserve">income statement </w:t>
      </w:r>
      <w:r w:rsidRPr="00014438">
        <w:rPr>
          <w:snapToGrid w:val="0"/>
        </w:rPr>
        <w:t>(</w:t>
      </w:r>
      <w:r w:rsidR="00622A38" w:rsidRPr="00014438">
        <w:rPr>
          <w:snapToGrid w:val="0"/>
        </w:rPr>
        <w:t>showing net cost of services</w:t>
      </w:r>
      <w:r w:rsidRPr="00014438">
        <w:rPr>
          <w:snapToGrid w:val="0"/>
        </w:rPr>
        <w:t>)</w:t>
      </w:r>
      <w:r w:rsidR="00327424">
        <w:rPr>
          <w:snapToGrid w:val="0"/>
          <w:lang w:val="en-AU"/>
        </w:rPr>
        <w:t xml:space="preserve"> for the period ended 30 June.</w:t>
      </w:r>
    </w:p>
    <w:tbl>
      <w:tblPr>
        <w:tblW w:w="7769" w:type="dxa"/>
        <w:tblLook w:val="04A0" w:firstRow="1" w:lastRow="0" w:firstColumn="1" w:lastColumn="0" w:noHBand="0" w:noVBand="1"/>
      </w:tblPr>
      <w:tblGrid>
        <w:gridCol w:w="3344"/>
        <w:gridCol w:w="885"/>
        <w:gridCol w:w="885"/>
        <w:gridCol w:w="885"/>
        <w:gridCol w:w="885"/>
        <w:gridCol w:w="885"/>
      </w:tblGrid>
      <w:tr w:rsidR="006A30D7" w:rsidTr="001E280C">
        <w:trPr>
          <w:trHeight w:val="703"/>
          <w:tblHeader/>
        </w:trPr>
        <w:tc>
          <w:tcPr>
            <w:tcW w:w="3344"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line="220" w:lineRule="exact"/>
              <w:jc w:val="left"/>
              <w:rPr>
                <w:rFonts w:ascii="Arial" w:hAnsi="Arial" w:cs="Arial"/>
                <w:b/>
                <w:bCs/>
                <w:sz w:val="16"/>
                <w:szCs w:val="16"/>
              </w:rPr>
            </w:pPr>
            <w:r>
              <w:rPr>
                <w:rFonts w:ascii="Arial" w:hAnsi="Arial" w:cs="Arial"/>
                <w:b/>
                <w:bCs/>
                <w:sz w:val="16"/>
                <w:szCs w:val="16"/>
              </w:rPr>
              <w:t> </w:t>
            </w:r>
          </w:p>
        </w:tc>
        <w:tc>
          <w:tcPr>
            <w:tcW w:w="88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2014–15</w:t>
            </w:r>
            <w:r>
              <w:rPr>
                <w:rFonts w:ascii="Arial" w:hAnsi="Arial" w:cs="Arial"/>
                <w:sz w:val="16"/>
                <w:szCs w:val="16"/>
              </w:rPr>
              <w:br/>
              <w:t>Actual</w:t>
            </w:r>
            <w:r>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000000" w:fill="E6E6E6"/>
            <w:tcMar>
              <w:top w:w="15" w:type="dxa"/>
              <w:left w:w="15" w:type="dxa"/>
              <w:bottom w:w="0" w:type="dxa"/>
              <w:right w:w="15" w:type="dxa"/>
            </w:tcMar>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2015–16</w:t>
            </w:r>
            <w:r>
              <w:rPr>
                <w:rFonts w:ascii="Arial" w:hAnsi="Arial" w:cs="Arial"/>
                <w:sz w:val="16"/>
                <w:szCs w:val="16"/>
              </w:rPr>
              <w:br/>
              <w:t>Revised budget</w:t>
            </w:r>
            <w:r>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2016–17</w:t>
            </w:r>
            <w:r>
              <w:rPr>
                <w:rFonts w:ascii="Arial" w:hAnsi="Arial" w:cs="Arial"/>
                <w:sz w:val="16"/>
                <w:szCs w:val="16"/>
              </w:rPr>
              <w:br/>
              <w:t>Forward estimate</w:t>
            </w:r>
            <w:r>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2017–18</w:t>
            </w:r>
            <w:r>
              <w:rPr>
                <w:rFonts w:ascii="Arial" w:hAnsi="Arial" w:cs="Arial"/>
                <w:sz w:val="16"/>
                <w:szCs w:val="16"/>
              </w:rPr>
              <w:br/>
              <w:t>Forward estimate</w:t>
            </w:r>
            <w:r>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2018–19</w:t>
            </w:r>
            <w:r>
              <w:rPr>
                <w:rFonts w:ascii="Arial" w:hAnsi="Arial" w:cs="Arial"/>
                <w:sz w:val="16"/>
                <w:szCs w:val="16"/>
              </w:rPr>
              <w:br/>
              <w:t>Forward estimate</w:t>
            </w:r>
            <w:r>
              <w:rPr>
                <w:rFonts w:ascii="Arial" w:hAnsi="Arial" w:cs="Arial"/>
                <w:sz w:val="16"/>
                <w:szCs w:val="16"/>
              </w:rPr>
              <w:br/>
              <w:t>$'000</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EXPENSES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Employee benefits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181,711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220,001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217,996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218,181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217,262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Suppliers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123,488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80,368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79,526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81,006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81,906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 xml:space="preserve">Grants </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1,439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Depreciation and amortisation</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27,875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26,895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28,044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27,916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27,809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Finance costs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474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Write-down and impairment of assets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848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Losses from asset sales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224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expenses</w:t>
            </w:r>
          </w:p>
        </w:tc>
        <w:tc>
          <w:tcPr>
            <w:tcW w:w="88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336,059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327,264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325,566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327,103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326,977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 xml:space="preserve">LESS: </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OWN-SOURCE INCOME</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Own-source revenue</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r>
      <w:tr w:rsidR="006A30D7" w:rsidTr="004A4685">
        <w:trPr>
          <w:trHeight w:val="108"/>
        </w:trPr>
        <w:tc>
          <w:tcPr>
            <w:tcW w:w="3344" w:type="dxa"/>
            <w:tcBorders>
              <w:top w:val="nil"/>
              <w:left w:val="nil"/>
              <w:bottom w:val="nil"/>
              <w:right w:val="nil"/>
            </w:tcBorders>
            <w:shd w:val="clear" w:color="auto" w:fill="auto"/>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Sale of goods and rendering of services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26,100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19,604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19,604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19,604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19,604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Other revenue</w:t>
            </w:r>
          </w:p>
        </w:tc>
        <w:tc>
          <w:tcPr>
            <w:tcW w:w="88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460 </w:t>
            </w:r>
          </w:p>
        </w:tc>
        <w:tc>
          <w:tcPr>
            <w:tcW w:w="0" w:type="auto"/>
            <w:tcBorders>
              <w:top w:val="nil"/>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460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460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460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460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own-source revenue</w:t>
            </w:r>
          </w:p>
        </w:tc>
        <w:tc>
          <w:tcPr>
            <w:tcW w:w="88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26,560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Gains</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p>
        </w:tc>
        <w:tc>
          <w:tcPr>
            <w:tcW w:w="0" w:type="auto"/>
            <w:tcBorders>
              <w:top w:val="single" w:sz="4" w:space="0" w:color="auto"/>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Other</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1,361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gains</w:t>
            </w:r>
          </w:p>
        </w:tc>
        <w:tc>
          <w:tcPr>
            <w:tcW w:w="88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1,361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own-source income</w:t>
            </w:r>
          </w:p>
        </w:tc>
        <w:tc>
          <w:tcPr>
            <w:tcW w:w="88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27,921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20,064 </w:t>
            </w:r>
          </w:p>
        </w:tc>
      </w:tr>
      <w:tr w:rsidR="006A30D7" w:rsidTr="004A4685">
        <w:trPr>
          <w:trHeight w:val="259"/>
        </w:trPr>
        <w:tc>
          <w:tcPr>
            <w:tcW w:w="3344" w:type="dxa"/>
            <w:tcBorders>
              <w:top w:val="nil"/>
              <w:left w:val="nil"/>
              <w:bottom w:val="nil"/>
              <w:right w:val="nil"/>
            </w:tcBorders>
            <w:shd w:val="clear" w:color="auto" w:fill="auto"/>
            <w:tcMar>
              <w:top w:w="15" w:type="dxa"/>
              <w:left w:w="15" w:type="dxa"/>
              <w:bottom w:w="0" w:type="dxa"/>
              <w:right w:w="15" w:type="dxa"/>
            </w:tcMar>
            <w:vAlign w:val="center"/>
            <w:hideMark/>
          </w:tcPr>
          <w:p w:rsidR="006A30D7" w:rsidRDefault="006A30D7" w:rsidP="00D71773">
            <w:pPr>
              <w:spacing w:after="0" w:line="220" w:lineRule="exact"/>
              <w:jc w:val="left"/>
              <w:rPr>
                <w:rFonts w:ascii="Arial" w:hAnsi="Arial" w:cs="Arial"/>
                <w:b/>
                <w:bCs/>
                <w:color w:val="000000"/>
                <w:sz w:val="16"/>
                <w:szCs w:val="16"/>
              </w:rPr>
            </w:pPr>
            <w:r>
              <w:rPr>
                <w:rFonts w:ascii="Arial" w:hAnsi="Arial" w:cs="Arial"/>
                <w:b/>
                <w:bCs/>
                <w:color w:val="000000"/>
                <w:sz w:val="16"/>
                <w:szCs w:val="16"/>
              </w:rPr>
              <w:t>Net cost of (contribution by) services</w:t>
            </w:r>
          </w:p>
        </w:tc>
        <w:tc>
          <w:tcPr>
            <w:tcW w:w="88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308,138 </w:t>
            </w:r>
          </w:p>
        </w:tc>
        <w:tc>
          <w:tcPr>
            <w:tcW w:w="0" w:type="auto"/>
            <w:tcBorders>
              <w:top w:val="nil"/>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307,200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305,502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307,039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306,913 </w:t>
            </w:r>
          </w:p>
        </w:tc>
      </w:tr>
      <w:tr w:rsidR="006A30D7" w:rsidTr="004A4685">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Revenue from Government</w:t>
            </w:r>
          </w:p>
        </w:tc>
        <w:tc>
          <w:tcPr>
            <w:tcW w:w="88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295,989 </w:t>
            </w:r>
          </w:p>
        </w:tc>
        <w:tc>
          <w:tcPr>
            <w:tcW w:w="0" w:type="auto"/>
            <w:tcBorders>
              <w:top w:val="nil"/>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280,305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277,458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279,123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279,104 </w:t>
            </w:r>
          </w:p>
        </w:tc>
      </w:tr>
      <w:tr w:rsidR="006A30D7" w:rsidTr="004A4685">
        <w:trPr>
          <w:trHeight w:val="216"/>
        </w:trPr>
        <w:tc>
          <w:tcPr>
            <w:tcW w:w="3344" w:type="dxa"/>
            <w:tcBorders>
              <w:top w:val="nil"/>
              <w:left w:val="nil"/>
              <w:bottom w:val="nil"/>
              <w:right w:val="nil"/>
            </w:tcBorders>
            <w:shd w:val="clear" w:color="auto" w:fill="auto"/>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Surplus/(deficit) attributable to the Australian Government</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(12,149)</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(26,895)</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(28,044)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(27,916)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(27,809)</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OTHER COMPREHENSIVE INCOME</w:t>
            </w:r>
          </w:p>
        </w:tc>
        <w:tc>
          <w:tcPr>
            <w:tcW w:w="88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w:t>
            </w:r>
          </w:p>
        </w:tc>
      </w:tr>
      <w:tr w:rsidR="006A30D7" w:rsidTr="004A4685">
        <w:trPr>
          <w:trHeight w:val="1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sz w:val="16"/>
                <w:szCs w:val="16"/>
              </w:rPr>
            </w:pPr>
            <w:r>
              <w:rPr>
                <w:rFonts w:ascii="Arial" w:hAnsi="Arial" w:cs="Arial"/>
                <w:sz w:val="16"/>
                <w:szCs w:val="16"/>
              </w:rPr>
              <w:t>Changes in asset revaluation surplus</w:t>
            </w:r>
          </w:p>
        </w:tc>
        <w:tc>
          <w:tcPr>
            <w:tcW w:w="88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2A7B73" w:rsidP="00CA4D0A">
            <w:pPr>
              <w:spacing w:after="0" w:line="220" w:lineRule="exact"/>
              <w:ind w:right="57"/>
              <w:jc w:val="right"/>
              <w:rPr>
                <w:rFonts w:ascii="Arial" w:hAnsi="Arial" w:cs="Arial"/>
                <w:sz w:val="16"/>
                <w:szCs w:val="16"/>
              </w:rPr>
            </w:pPr>
            <w:r>
              <w:rPr>
                <w:rFonts w:ascii="Arial" w:hAnsi="Arial" w:cs="Arial"/>
                <w:sz w:val="16"/>
                <w:szCs w:val="16"/>
              </w:rPr>
              <w: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sz w:val="16"/>
                <w:szCs w:val="16"/>
              </w:rPr>
            </w:pPr>
            <w:r>
              <w:rPr>
                <w:rFonts w:ascii="Arial" w:hAnsi="Arial" w:cs="Arial"/>
                <w:sz w:val="16"/>
                <w:szCs w:val="16"/>
              </w:rPr>
              <w:t xml:space="preserve">- </w:t>
            </w:r>
          </w:p>
        </w:tc>
      </w:tr>
      <w:tr w:rsidR="006A30D7" w:rsidTr="004A4685">
        <w:trPr>
          <w:trHeight w:val="108"/>
        </w:trPr>
        <w:tc>
          <w:tcPr>
            <w:tcW w:w="3344" w:type="dxa"/>
            <w:tcBorders>
              <w:top w:val="nil"/>
              <w:left w:val="nil"/>
              <w:right w:val="nil"/>
            </w:tcBorders>
            <w:shd w:val="clear" w:color="auto" w:fill="auto"/>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other comprehensive income</w:t>
            </w:r>
          </w:p>
        </w:tc>
        <w:tc>
          <w:tcPr>
            <w:tcW w:w="885" w:type="dxa"/>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 xml:space="preserve">- </w:t>
            </w:r>
          </w:p>
        </w:tc>
      </w:tr>
      <w:tr w:rsidR="006A30D7" w:rsidTr="004A4685">
        <w:trPr>
          <w:trHeight w:val="108"/>
        </w:trPr>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6A30D7" w:rsidRDefault="006A30D7" w:rsidP="00D71773">
            <w:pPr>
              <w:spacing w:after="0" w:line="220" w:lineRule="exact"/>
              <w:jc w:val="left"/>
              <w:rPr>
                <w:rFonts w:ascii="Arial" w:hAnsi="Arial" w:cs="Arial"/>
                <w:b/>
                <w:bCs/>
                <w:sz w:val="16"/>
                <w:szCs w:val="16"/>
              </w:rPr>
            </w:pPr>
            <w:r>
              <w:rPr>
                <w:rFonts w:ascii="Arial" w:hAnsi="Arial" w:cs="Arial"/>
                <w:b/>
                <w:bCs/>
                <w:sz w:val="16"/>
                <w:szCs w:val="16"/>
              </w:rPr>
              <w:t>Total comprehensive income/(loss)</w:t>
            </w:r>
          </w:p>
        </w:tc>
        <w:tc>
          <w:tcPr>
            <w:tcW w:w="88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4A4685">
            <w:pPr>
              <w:tabs>
                <w:tab w:val="left" w:pos="400"/>
                <w:tab w:val="left" w:pos="663"/>
              </w:tabs>
              <w:spacing w:after="0" w:line="220" w:lineRule="exact"/>
              <w:ind w:left="57" w:right="57"/>
              <w:jc w:val="right"/>
              <w:rPr>
                <w:rFonts w:ascii="Arial" w:hAnsi="Arial" w:cs="Arial"/>
                <w:b/>
                <w:bCs/>
                <w:sz w:val="16"/>
                <w:szCs w:val="16"/>
              </w:rPr>
            </w:pPr>
            <w:r>
              <w:rPr>
                <w:rFonts w:ascii="Arial" w:hAnsi="Arial" w:cs="Arial"/>
                <w:b/>
                <w:bCs/>
                <w:sz w:val="16"/>
                <w:szCs w:val="16"/>
              </w:rPr>
              <w:t>(12,149)</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6A30D7" w:rsidRDefault="006A30D7" w:rsidP="004A4685">
            <w:pPr>
              <w:spacing w:after="0" w:line="220" w:lineRule="exact"/>
              <w:ind w:right="57"/>
              <w:jc w:val="right"/>
              <w:rPr>
                <w:rFonts w:ascii="Arial" w:hAnsi="Arial" w:cs="Arial"/>
                <w:b/>
                <w:bCs/>
                <w:sz w:val="16"/>
                <w:szCs w:val="16"/>
              </w:rPr>
            </w:pPr>
            <w:r>
              <w:rPr>
                <w:rFonts w:ascii="Arial" w:hAnsi="Arial" w:cs="Arial"/>
                <w:b/>
                <w:bCs/>
                <w:sz w:val="16"/>
                <w:szCs w:val="16"/>
              </w:rPr>
              <w:t>(26,895)</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(28,044)</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(27,916)</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A30D7" w:rsidRDefault="006A30D7" w:rsidP="00CA4D0A">
            <w:pPr>
              <w:spacing w:after="0" w:line="220" w:lineRule="exact"/>
              <w:ind w:right="57"/>
              <w:jc w:val="right"/>
              <w:rPr>
                <w:rFonts w:ascii="Arial" w:hAnsi="Arial" w:cs="Arial"/>
                <w:b/>
                <w:bCs/>
                <w:sz w:val="16"/>
                <w:szCs w:val="16"/>
              </w:rPr>
            </w:pPr>
            <w:r>
              <w:rPr>
                <w:rFonts w:ascii="Arial" w:hAnsi="Arial" w:cs="Arial"/>
                <w:b/>
                <w:bCs/>
                <w:sz w:val="16"/>
                <w:szCs w:val="16"/>
              </w:rPr>
              <w:t>(27,809)</w:t>
            </w:r>
          </w:p>
        </w:tc>
      </w:tr>
    </w:tbl>
    <w:p w:rsidR="00D71773" w:rsidRDefault="00D71773" w:rsidP="00F51DAC">
      <w:pPr>
        <w:pStyle w:val="Source"/>
      </w:pPr>
    </w:p>
    <w:p w:rsidR="00D71773" w:rsidRDefault="00D71773">
      <w:pPr>
        <w:spacing w:after="0" w:line="240" w:lineRule="auto"/>
        <w:jc w:val="left"/>
        <w:rPr>
          <w:rFonts w:ascii="Arial" w:hAnsi="Arial"/>
          <w:sz w:val="16"/>
        </w:rPr>
      </w:pPr>
      <w:r>
        <w:br w:type="page"/>
      </w:r>
    </w:p>
    <w:p w:rsidR="00D71773" w:rsidRDefault="00D71773" w:rsidP="00D71773">
      <w:pPr>
        <w:pStyle w:val="TableHeading"/>
        <w:spacing w:before="0"/>
        <w:rPr>
          <w:snapToGrid w:val="0"/>
          <w:lang w:val="en-AU"/>
        </w:rPr>
      </w:pPr>
      <w:r w:rsidRPr="00014438">
        <w:rPr>
          <w:snapToGrid w:val="0"/>
        </w:rPr>
        <w:lastRenderedPageBreak/>
        <w:t>Table 3.2.1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 (continued).</w:t>
      </w:r>
    </w:p>
    <w:p w:rsidR="00AD1935" w:rsidRPr="00AD1935" w:rsidRDefault="00AD1935" w:rsidP="00AD1935">
      <w:pPr>
        <w:pStyle w:val="Source"/>
      </w:pPr>
      <w:r>
        <w:t>Note: Impact of net cash appropriation arrangements</w:t>
      </w:r>
    </w:p>
    <w:tbl>
      <w:tblPr>
        <w:tblW w:w="7779" w:type="dxa"/>
        <w:tblInd w:w="93" w:type="dxa"/>
        <w:tblLook w:val="04A0" w:firstRow="1" w:lastRow="0" w:firstColumn="1" w:lastColumn="0" w:noHBand="0" w:noVBand="1"/>
      </w:tblPr>
      <w:tblGrid>
        <w:gridCol w:w="3349"/>
        <w:gridCol w:w="886"/>
        <w:gridCol w:w="886"/>
        <w:gridCol w:w="886"/>
        <w:gridCol w:w="886"/>
        <w:gridCol w:w="886"/>
      </w:tblGrid>
      <w:tr w:rsidR="00D71773" w:rsidRPr="00D71773" w:rsidTr="001E280C">
        <w:trPr>
          <w:trHeight w:val="443"/>
          <w:tblHeader/>
        </w:trPr>
        <w:tc>
          <w:tcPr>
            <w:tcW w:w="3349" w:type="dxa"/>
            <w:tcBorders>
              <w:top w:val="single" w:sz="4" w:space="0" w:color="auto"/>
              <w:left w:val="nil"/>
              <w:bottom w:val="nil"/>
              <w:right w:val="nil"/>
            </w:tcBorders>
            <w:shd w:val="clear" w:color="auto" w:fill="auto"/>
            <w:vAlign w:val="bottom"/>
            <w:hideMark/>
          </w:tcPr>
          <w:p w:rsidR="00D71773" w:rsidRPr="00D71773" w:rsidRDefault="00D71773" w:rsidP="00D71773">
            <w:pPr>
              <w:spacing w:after="0" w:line="240" w:lineRule="auto"/>
              <w:jc w:val="left"/>
              <w:rPr>
                <w:rFonts w:ascii="Arial" w:hAnsi="Arial" w:cs="Arial"/>
                <w:sz w:val="16"/>
                <w:szCs w:val="16"/>
              </w:rPr>
            </w:pPr>
            <w:r w:rsidRPr="00D71773">
              <w:rPr>
                <w:rFonts w:ascii="Arial" w:hAnsi="Arial" w:cs="Arial"/>
                <w:sz w:val="16"/>
                <w:szCs w:val="16"/>
              </w:rPr>
              <w:t> </w:t>
            </w:r>
          </w:p>
        </w:tc>
        <w:tc>
          <w:tcPr>
            <w:tcW w:w="886" w:type="dxa"/>
            <w:tcBorders>
              <w:top w:val="single" w:sz="4" w:space="0" w:color="auto"/>
              <w:left w:val="nil"/>
              <w:bottom w:val="single" w:sz="4" w:space="0" w:color="auto"/>
              <w:right w:val="nil"/>
            </w:tcBorders>
            <w:shd w:val="clear" w:color="auto" w:fill="auto"/>
            <w:vAlign w:val="center"/>
            <w:hideMark/>
          </w:tcPr>
          <w:p w:rsidR="00D71773" w:rsidRPr="00D71773" w:rsidRDefault="00D71773" w:rsidP="00D71773">
            <w:pPr>
              <w:spacing w:after="0" w:line="240" w:lineRule="auto"/>
              <w:jc w:val="right"/>
              <w:rPr>
                <w:rFonts w:ascii="Arial" w:hAnsi="Arial" w:cs="Arial"/>
                <w:color w:val="000000"/>
                <w:sz w:val="16"/>
                <w:szCs w:val="16"/>
              </w:rPr>
            </w:pPr>
            <w:r>
              <w:rPr>
                <w:rFonts w:ascii="Arial" w:hAnsi="Arial" w:cs="Arial"/>
                <w:color w:val="000000"/>
                <w:sz w:val="16"/>
                <w:szCs w:val="16"/>
              </w:rPr>
              <w:t>2014–</w:t>
            </w:r>
            <w:r w:rsidRPr="00D71773">
              <w:rPr>
                <w:rFonts w:ascii="Arial" w:hAnsi="Arial" w:cs="Arial"/>
                <w:color w:val="000000"/>
                <w:sz w:val="16"/>
                <w:szCs w:val="16"/>
              </w:rPr>
              <w:t>15</w:t>
            </w:r>
            <w:r w:rsidRPr="00D71773">
              <w:rPr>
                <w:rFonts w:ascii="Arial" w:hAnsi="Arial" w:cs="Arial"/>
                <w:color w:val="000000"/>
                <w:sz w:val="16"/>
                <w:szCs w:val="16"/>
              </w:rPr>
              <w:br/>
              <w:t>$'000</w:t>
            </w:r>
          </w:p>
        </w:tc>
        <w:tc>
          <w:tcPr>
            <w:tcW w:w="886" w:type="dxa"/>
            <w:tcBorders>
              <w:top w:val="single" w:sz="4" w:space="0" w:color="auto"/>
              <w:left w:val="nil"/>
              <w:bottom w:val="single" w:sz="4" w:space="0" w:color="auto"/>
              <w:right w:val="nil"/>
            </w:tcBorders>
            <w:shd w:val="clear" w:color="000000" w:fill="E6E6E6"/>
            <w:vAlign w:val="center"/>
            <w:hideMark/>
          </w:tcPr>
          <w:p w:rsidR="00D71773" w:rsidRPr="00D71773" w:rsidRDefault="00D71773" w:rsidP="00D71773">
            <w:pPr>
              <w:spacing w:after="0" w:line="240" w:lineRule="auto"/>
              <w:jc w:val="right"/>
              <w:rPr>
                <w:rFonts w:ascii="Arial" w:hAnsi="Arial" w:cs="Arial"/>
                <w:color w:val="000000"/>
                <w:sz w:val="16"/>
                <w:szCs w:val="16"/>
              </w:rPr>
            </w:pPr>
            <w:r>
              <w:rPr>
                <w:rFonts w:ascii="Arial" w:hAnsi="Arial" w:cs="Arial"/>
                <w:color w:val="000000"/>
                <w:sz w:val="16"/>
                <w:szCs w:val="16"/>
              </w:rPr>
              <w:t>2015–</w:t>
            </w:r>
            <w:r w:rsidRPr="00D71773">
              <w:rPr>
                <w:rFonts w:ascii="Arial" w:hAnsi="Arial" w:cs="Arial"/>
                <w:color w:val="000000"/>
                <w:sz w:val="16"/>
                <w:szCs w:val="16"/>
              </w:rPr>
              <w:t>16</w:t>
            </w:r>
            <w:r w:rsidRPr="00D71773">
              <w:rPr>
                <w:rFonts w:ascii="Arial" w:hAnsi="Arial" w:cs="Arial"/>
                <w:color w:val="000000"/>
                <w:sz w:val="16"/>
                <w:szCs w:val="16"/>
              </w:rPr>
              <w:br/>
              <w:t>$'000</w:t>
            </w:r>
          </w:p>
        </w:tc>
        <w:tc>
          <w:tcPr>
            <w:tcW w:w="886" w:type="dxa"/>
            <w:tcBorders>
              <w:top w:val="single" w:sz="4" w:space="0" w:color="auto"/>
              <w:left w:val="nil"/>
              <w:bottom w:val="single" w:sz="4" w:space="0" w:color="auto"/>
              <w:right w:val="nil"/>
            </w:tcBorders>
            <w:shd w:val="clear" w:color="auto" w:fill="auto"/>
            <w:vAlign w:val="center"/>
            <w:hideMark/>
          </w:tcPr>
          <w:p w:rsidR="00D71773" w:rsidRPr="00D71773" w:rsidRDefault="00D71773" w:rsidP="00D71773">
            <w:pPr>
              <w:spacing w:after="0" w:line="240" w:lineRule="auto"/>
              <w:jc w:val="right"/>
              <w:rPr>
                <w:rFonts w:ascii="Arial" w:hAnsi="Arial" w:cs="Arial"/>
                <w:color w:val="000000"/>
                <w:sz w:val="16"/>
                <w:szCs w:val="16"/>
              </w:rPr>
            </w:pPr>
            <w:r>
              <w:rPr>
                <w:rFonts w:ascii="Arial" w:hAnsi="Arial" w:cs="Arial"/>
                <w:color w:val="000000"/>
                <w:sz w:val="16"/>
                <w:szCs w:val="16"/>
              </w:rPr>
              <w:t>2016–</w:t>
            </w:r>
            <w:r w:rsidRPr="00D71773">
              <w:rPr>
                <w:rFonts w:ascii="Arial" w:hAnsi="Arial" w:cs="Arial"/>
                <w:color w:val="000000"/>
                <w:sz w:val="16"/>
                <w:szCs w:val="16"/>
              </w:rPr>
              <w:t>17</w:t>
            </w:r>
            <w:r w:rsidRPr="00D71773">
              <w:rPr>
                <w:rFonts w:ascii="Arial" w:hAnsi="Arial" w:cs="Arial"/>
                <w:color w:val="000000"/>
                <w:sz w:val="16"/>
                <w:szCs w:val="16"/>
              </w:rPr>
              <w:br/>
              <w:t>$'000</w:t>
            </w:r>
          </w:p>
        </w:tc>
        <w:tc>
          <w:tcPr>
            <w:tcW w:w="886" w:type="dxa"/>
            <w:tcBorders>
              <w:top w:val="single" w:sz="4" w:space="0" w:color="auto"/>
              <w:left w:val="nil"/>
              <w:bottom w:val="single" w:sz="4" w:space="0" w:color="auto"/>
              <w:right w:val="nil"/>
            </w:tcBorders>
            <w:shd w:val="clear" w:color="auto" w:fill="auto"/>
            <w:vAlign w:val="center"/>
            <w:hideMark/>
          </w:tcPr>
          <w:p w:rsidR="00D71773" w:rsidRPr="00D71773" w:rsidRDefault="00D71773" w:rsidP="00D71773">
            <w:pPr>
              <w:spacing w:after="0" w:line="240" w:lineRule="auto"/>
              <w:jc w:val="right"/>
              <w:rPr>
                <w:rFonts w:ascii="Arial" w:hAnsi="Arial" w:cs="Arial"/>
                <w:color w:val="000000"/>
                <w:sz w:val="16"/>
                <w:szCs w:val="16"/>
              </w:rPr>
            </w:pPr>
            <w:r>
              <w:rPr>
                <w:rFonts w:ascii="Arial" w:hAnsi="Arial" w:cs="Arial"/>
                <w:color w:val="000000"/>
                <w:sz w:val="16"/>
                <w:szCs w:val="16"/>
              </w:rPr>
              <w:t>2017–</w:t>
            </w:r>
            <w:r w:rsidRPr="00D71773">
              <w:rPr>
                <w:rFonts w:ascii="Arial" w:hAnsi="Arial" w:cs="Arial"/>
                <w:color w:val="000000"/>
                <w:sz w:val="16"/>
                <w:szCs w:val="16"/>
              </w:rPr>
              <w:t>18</w:t>
            </w:r>
            <w:r w:rsidRPr="00D71773">
              <w:rPr>
                <w:rFonts w:ascii="Arial" w:hAnsi="Arial" w:cs="Arial"/>
                <w:color w:val="000000"/>
                <w:sz w:val="16"/>
                <w:szCs w:val="16"/>
              </w:rPr>
              <w:br/>
              <w:t>$'000</w:t>
            </w:r>
          </w:p>
        </w:tc>
        <w:tc>
          <w:tcPr>
            <w:tcW w:w="886" w:type="dxa"/>
            <w:tcBorders>
              <w:top w:val="single" w:sz="4" w:space="0" w:color="auto"/>
              <w:left w:val="nil"/>
              <w:bottom w:val="single" w:sz="4" w:space="0" w:color="auto"/>
              <w:right w:val="nil"/>
            </w:tcBorders>
            <w:shd w:val="clear" w:color="auto" w:fill="auto"/>
            <w:vAlign w:val="center"/>
            <w:hideMark/>
          </w:tcPr>
          <w:p w:rsidR="00D71773" w:rsidRPr="00D71773" w:rsidRDefault="00D71773" w:rsidP="00D71773">
            <w:pPr>
              <w:spacing w:after="0" w:line="240" w:lineRule="auto"/>
              <w:jc w:val="right"/>
              <w:rPr>
                <w:rFonts w:ascii="Arial" w:hAnsi="Arial" w:cs="Arial"/>
                <w:color w:val="000000"/>
                <w:sz w:val="16"/>
                <w:szCs w:val="16"/>
              </w:rPr>
            </w:pPr>
            <w:r>
              <w:rPr>
                <w:rFonts w:ascii="Arial" w:hAnsi="Arial" w:cs="Arial"/>
                <w:color w:val="000000"/>
                <w:sz w:val="16"/>
                <w:szCs w:val="16"/>
              </w:rPr>
              <w:t>2018–</w:t>
            </w:r>
            <w:r w:rsidRPr="00D71773">
              <w:rPr>
                <w:rFonts w:ascii="Arial" w:hAnsi="Arial" w:cs="Arial"/>
                <w:color w:val="000000"/>
                <w:sz w:val="16"/>
                <w:szCs w:val="16"/>
              </w:rPr>
              <w:t>19</w:t>
            </w:r>
            <w:r w:rsidRPr="00D71773">
              <w:rPr>
                <w:rFonts w:ascii="Arial" w:hAnsi="Arial" w:cs="Arial"/>
                <w:color w:val="000000"/>
                <w:sz w:val="16"/>
                <w:szCs w:val="16"/>
              </w:rPr>
              <w:br/>
              <w:t>$'000</w:t>
            </w:r>
          </w:p>
        </w:tc>
      </w:tr>
      <w:tr w:rsidR="00D71773" w:rsidRPr="00D71773" w:rsidTr="00D71773">
        <w:trPr>
          <w:trHeight w:val="681"/>
        </w:trPr>
        <w:tc>
          <w:tcPr>
            <w:tcW w:w="3349" w:type="dxa"/>
            <w:tcBorders>
              <w:top w:val="nil"/>
              <w:left w:val="nil"/>
              <w:bottom w:val="nil"/>
              <w:right w:val="nil"/>
            </w:tcBorders>
            <w:shd w:val="clear" w:color="auto" w:fill="auto"/>
            <w:vAlign w:val="bottom"/>
            <w:hideMark/>
          </w:tcPr>
          <w:p w:rsidR="00D71773" w:rsidRPr="00D71773" w:rsidRDefault="00D71773" w:rsidP="00D71773">
            <w:pPr>
              <w:spacing w:after="0" w:line="240" w:lineRule="auto"/>
              <w:ind w:left="191" w:hanging="191"/>
              <w:jc w:val="left"/>
              <w:rPr>
                <w:rFonts w:ascii="Arial" w:hAnsi="Arial" w:cs="Arial"/>
                <w:b/>
                <w:bCs/>
                <w:color w:val="000000"/>
                <w:sz w:val="16"/>
                <w:szCs w:val="16"/>
              </w:rPr>
            </w:pPr>
            <w:r w:rsidRPr="00D71773">
              <w:rPr>
                <w:rFonts w:ascii="Arial" w:hAnsi="Arial" w:cs="Arial"/>
                <w:b/>
                <w:bCs/>
                <w:color w:val="000000"/>
                <w:sz w:val="16"/>
                <w:szCs w:val="16"/>
              </w:rPr>
              <w:t>Total comprehensive income/(loss) excluding depreciation/amortisation expenses previously funded through revenue appropriations</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15,726 </w:t>
            </w:r>
          </w:p>
        </w:tc>
        <w:tc>
          <w:tcPr>
            <w:tcW w:w="886" w:type="dxa"/>
            <w:tcBorders>
              <w:top w:val="nil"/>
              <w:left w:val="nil"/>
              <w:bottom w:val="nil"/>
              <w:right w:val="nil"/>
            </w:tcBorders>
            <w:shd w:val="clear" w:color="000000" w:fill="E6E6E6"/>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 </w:t>
            </w:r>
          </w:p>
        </w:tc>
      </w:tr>
      <w:tr w:rsidR="00D71773" w:rsidRPr="00D71773" w:rsidTr="00D71773">
        <w:trPr>
          <w:trHeight w:val="664"/>
        </w:trPr>
        <w:tc>
          <w:tcPr>
            <w:tcW w:w="3349" w:type="dxa"/>
            <w:tcBorders>
              <w:top w:val="nil"/>
              <w:left w:val="nil"/>
              <w:bottom w:val="nil"/>
              <w:right w:val="nil"/>
            </w:tcBorders>
            <w:shd w:val="clear" w:color="auto" w:fill="auto"/>
            <w:vAlign w:val="bottom"/>
            <w:hideMark/>
          </w:tcPr>
          <w:p w:rsidR="00D71773" w:rsidRPr="00D71773" w:rsidRDefault="00D71773" w:rsidP="00D71773">
            <w:pPr>
              <w:spacing w:after="0" w:line="240" w:lineRule="auto"/>
              <w:ind w:left="191" w:hanging="191"/>
              <w:jc w:val="left"/>
              <w:rPr>
                <w:rFonts w:ascii="Arial" w:hAnsi="Arial" w:cs="Arial"/>
                <w:color w:val="000000"/>
                <w:sz w:val="16"/>
                <w:szCs w:val="16"/>
              </w:rPr>
            </w:pPr>
            <w:r w:rsidRPr="00D71773">
              <w:rPr>
                <w:rFonts w:ascii="Arial" w:hAnsi="Arial" w:cs="Arial"/>
                <w:color w:val="000000"/>
                <w:sz w:val="16"/>
                <w:szCs w:val="16"/>
              </w:rPr>
              <w:t>less depreciation/amortisation expenses previously funded through revenue appropriations(a)</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27,875 </w:t>
            </w:r>
          </w:p>
        </w:tc>
        <w:tc>
          <w:tcPr>
            <w:tcW w:w="886" w:type="dxa"/>
            <w:tcBorders>
              <w:top w:val="nil"/>
              <w:left w:val="nil"/>
              <w:right w:val="nil"/>
            </w:tcBorders>
            <w:shd w:val="clear" w:color="000000" w:fill="E6E6E6"/>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26,895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28,044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27,916 </w:t>
            </w:r>
          </w:p>
        </w:tc>
        <w:tc>
          <w:tcPr>
            <w:tcW w:w="886" w:type="dxa"/>
            <w:tcBorders>
              <w:top w:val="nil"/>
              <w:left w:val="nil"/>
              <w:bottom w:val="nil"/>
              <w:right w:val="nil"/>
            </w:tcBorders>
            <w:shd w:val="clear" w:color="auto" w:fill="auto"/>
            <w:noWrap/>
            <w:vAlign w:val="bottom"/>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 xml:space="preserve">27,809 </w:t>
            </w:r>
          </w:p>
        </w:tc>
      </w:tr>
      <w:tr w:rsidR="00D71773" w:rsidRPr="00D71773" w:rsidTr="00D71773">
        <w:trPr>
          <w:trHeight w:val="664"/>
        </w:trPr>
        <w:tc>
          <w:tcPr>
            <w:tcW w:w="3349" w:type="dxa"/>
            <w:tcBorders>
              <w:top w:val="nil"/>
              <w:left w:val="nil"/>
              <w:bottom w:val="single" w:sz="4" w:space="0" w:color="auto"/>
              <w:right w:val="nil"/>
            </w:tcBorders>
            <w:shd w:val="clear" w:color="auto" w:fill="auto"/>
            <w:vAlign w:val="bottom"/>
            <w:hideMark/>
          </w:tcPr>
          <w:p w:rsidR="00D71773" w:rsidRPr="00D71773" w:rsidRDefault="00D71773" w:rsidP="00D71773">
            <w:pPr>
              <w:spacing w:after="0" w:line="240" w:lineRule="auto"/>
              <w:ind w:left="191" w:hanging="191"/>
              <w:jc w:val="left"/>
              <w:rPr>
                <w:rFonts w:ascii="Arial" w:hAnsi="Arial" w:cs="Arial"/>
                <w:b/>
                <w:bCs/>
                <w:color w:val="000000"/>
                <w:sz w:val="16"/>
                <w:szCs w:val="16"/>
              </w:rPr>
            </w:pPr>
            <w:r w:rsidRPr="00D71773">
              <w:rPr>
                <w:rFonts w:ascii="Arial" w:hAnsi="Arial" w:cs="Arial"/>
                <w:b/>
                <w:bCs/>
                <w:color w:val="000000"/>
                <w:sz w:val="16"/>
                <w:szCs w:val="16"/>
              </w:rPr>
              <w:t>Tota</w:t>
            </w:r>
            <w:r>
              <w:rPr>
                <w:rFonts w:ascii="Arial" w:hAnsi="Arial" w:cs="Arial"/>
                <w:b/>
                <w:bCs/>
                <w:color w:val="000000"/>
                <w:sz w:val="16"/>
                <w:szCs w:val="16"/>
              </w:rPr>
              <w:t>l comprehensive income/(loss)—</w:t>
            </w:r>
            <w:r w:rsidRPr="00D71773">
              <w:rPr>
                <w:rFonts w:ascii="Arial" w:hAnsi="Arial" w:cs="Arial"/>
                <w:b/>
                <w:bCs/>
                <w:color w:val="000000"/>
                <w:sz w:val="16"/>
                <w:szCs w:val="16"/>
              </w:rPr>
              <w:t>as per the Statement of Comprehensive Income</w:t>
            </w:r>
          </w:p>
        </w:tc>
        <w:tc>
          <w:tcPr>
            <w:tcW w:w="886" w:type="dxa"/>
            <w:tcBorders>
              <w:top w:val="nil"/>
              <w:left w:val="nil"/>
              <w:bottom w:val="single" w:sz="4" w:space="0" w:color="auto"/>
              <w:right w:val="nil"/>
            </w:tcBorders>
            <w:shd w:val="clear" w:color="auto" w:fill="auto"/>
            <w:vAlign w:val="bottom"/>
            <w:hideMark/>
          </w:tcPr>
          <w:p w:rsidR="00D71773" w:rsidRPr="00D71773" w:rsidRDefault="00D71773" w:rsidP="00D71773">
            <w:pPr>
              <w:spacing w:after="0" w:line="240" w:lineRule="auto"/>
              <w:jc w:val="right"/>
              <w:rPr>
                <w:rFonts w:ascii="Arial" w:hAnsi="Arial" w:cs="Arial"/>
                <w:b/>
                <w:bCs/>
                <w:sz w:val="16"/>
                <w:szCs w:val="16"/>
              </w:rPr>
            </w:pPr>
            <w:r w:rsidRPr="00D71773">
              <w:rPr>
                <w:rFonts w:ascii="Arial" w:hAnsi="Arial" w:cs="Arial"/>
                <w:b/>
                <w:bCs/>
                <w:sz w:val="16"/>
                <w:szCs w:val="16"/>
              </w:rPr>
              <w:t>(12,149)</w:t>
            </w:r>
          </w:p>
        </w:tc>
        <w:tc>
          <w:tcPr>
            <w:tcW w:w="886" w:type="dxa"/>
            <w:tcBorders>
              <w:top w:val="nil"/>
              <w:left w:val="nil"/>
              <w:bottom w:val="single" w:sz="4" w:space="0" w:color="auto"/>
              <w:right w:val="nil"/>
            </w:tcBorders>
            <w:shd w:val="clear" w:color="000000" w:fill="E6E6E6"/>
            <w:noWrap/>
            <w:vAlign w:val="bottom"/>
            <w:hideMark/>
          </w:tcPr>
          <w:p w:rsidR="00D71773" w:rsidRPr="00D71773" w:rsidRDefault="00D71773" w:rsidP="00D71773">
            <w:pPr>
              <w:spacing w:after="0" w:line="240" w:lineRule="auto"/>
              <w:jc w:val="right"/>
              <w:rPr>
                <w:rFonts w:ascii="Arial" w:hAnsi="Arial" w:cs="Arial"/>
                <w:b/>
                <w:bCs/>
                <w:sz w:val="16"/>
                <w:szCs w:val="16"/>
              </w:rPr>
            </w:pPr>
            <w:r w:rsidRPr="00D71773">
              <w:rPr>
                <w:rFonts w:ascii="Arial" w:hAnsi="Arial" w:cs="Arial"/>
                <w:b/>
                <w:bCs/>
                <w:sz w:val="16"/>
                <w:szCs w:val="16"/>
              </w:rPr>
              <w:t>(26,895)</w:t>
            </w:r>
          </w:p>
        </w:tc>
        <w:tc>
          <w:tcPr>
            <w:tcW w:w="886" w:type="dxa"/>
            <w:tcBorders>
              <w:top w:val="nil"/>
              <w:left w:val="nil"/>
              <w:bottom w:val="single" w:sz="4" w:space="0" w:color="auto"/>
              <w:right w:val="nil"/>
            </w:tcBorders>
            <w:shd w:val="clear" w:color="auto" w:fill="auto"/>
            <w:vAlign w:val="bottom"/>
            <w:hideMark/>
          </w:tcPr>
          <w:p w:rsidR="00D71773" w:rsidRPr="00D71773" w:rsidRDefault="00D71773" w:rsidP="00D71773">
            <w:pPr>
              <w:spacing w:after="0" w:line="240" w:lineRule="auto"/>
              <w:jc w:val="right"/>
              <w:rPr>
                <w:rFonts w:ascii="Arial" w:hAnsi="Arial" w:cs="Arial"/>
                <w:b/>
                <w:bCs/>
                <w:sz w:val="16"/>
                <w:szCs w:val="16"/>
              </w:rPr>
            </w:pPr>
            <w:r w:rsidRPr="00D71773">
              <w:rPr>
                <w:rFonts w:ascii="Arial" w:hAnsi="Arial" w:cs="Arial"/>
                <w:b/>
                <w:bCs/>
                <w:sz w:val="16"/>
                <w:szCs w:val="16"/>
              </w:rPr>
              <w:t>(28,044)</w:t>
            </w:r>
          </w:p>
        </w:tc>
        <w:tc>
          <w:tcPr>
            <w:tcW w:w="886" w:type="dxa"/>
            <w:tcBorders>
              <w:top w:val="nil"/>
              <w:left w:val="nil"/>
              <w:bottom w:val="single" w:sz="4" w:space="0" w:color="auto"/>
              <w:right w:val="nil"/>
            </w:tcBorders>
            <w:shd w:val="clear" w:color="auto" w:fill="auto"/>
            <w:vAlign w:val="bottom"/>
            <w:hideMark/>
          </w:tcPr>
          <w:p w:rsidR="00D71773" w:rsidRPr="00D71773" w:rsidRDefault="00D71773" w:rsidP="00D71773">
            <w:pPr>
              <w:spacing w:after="0" w:line="240" w:lineRule="auto"/>
              <w:jc w:val="right"/>
              <w:rPr>
                <w:rFonts w:ascii="Arial" w:hAnsi="Arial" w:cs="Arial"/>
                <w:b/>
                <w:bCs/>
                <w:sz w:val="16"/>
                <w:szCs w:val="16"/>
              </w:rPr>
            </w:pPr>
            <w:r w:rsidRPr="00D71773">
              <w:rPr>
                <w:rFonts w:ascii="Arial" w:hAnsi="Arial" w:cs="Arial"/>
                <w:b/>
                <w:bCs/>
                <w:sz w:val="16"/>
                <w:szCs w:val="16"/>
              </w:rPr>
              <w:t>(27,916)</w:t>
            </w:r>
          </w:p>
        </w:tc>
        <w:tc>
          <w:tcPr>
            <w:tcW w:w="886" w:type="dxa"/>
            <w:tcBorders>
              <w:top w:val="nil"/>
              <w:left w:val="nil"/>
              <w:bottom w:val="single" w:sz="4" w:space="0" w:color="auto"/>
              <w:right w:val="nil"/>
            </w:tcBorders>
            <w:shd w:val="clear" w:color="auto" w:fill="auto"/>
            <w:vAlign w:val="bottom"/>
            <w:hideMark/>
          </w:tcPr>
          <w:p w:rsidR="00D71773" w:rsidRPr="00D71773" w:rsidRDefault="00D71773" w:rsidP="00D71773">
            <w:pPr>
              <w:spacing w:after="0" w:line="240" w:lineRule="auto"/>
              <w:jc w:val="right"/>
              <w:rPr>
                <w:rFonts w:ascii="Arial" w:hAnsi="Arial" w:cs="Arial"/>
                <w:b/>
                <w:bCs/>
                <w:sz w:val="16"/>
                <w:szCs w:val="16"/>
              </w:rPr>
            </w:pPr>
            <w:r w:rsidRPr="00D71773">
              <w:rPr>
                <w:rFonts w:ascii="Arial" w:hAnsi="Arial" w:cs="Arial"/>
                <w:b/>
                <w:bCs/>
                <w:sz w:val="16"/>
                <w:szCs w:val="16"/>
              </w:rPr>
              <w:t>(27,809)</w:t>
            </w:r>
          </w:p>
        </w:tc>
      </w:tr>
    </w:tbl>
    <w:p w:rsidR="006A30D7" w:rsidRDefault="006A30D7" w:rsidP="00F51DAC">
      <w:pPr>
        <w:pStyle w:val="Source"/>
      </w:pPr>
    </w:p>
    <w:p w:rsidR="00D71773" w:rsidRDefault="00E14944" w:rsidP="00F51DAC">
      <w:pPr>
        <w:pStyle w:val="Source"/>
      </w:pPr>
      <w:r>
        <w:t xml:space="preserve">(a) </w:t>
      </w:r>
      <w:r>
        <w:tab/>
      </w:r>
      <w:r w:rsidR="00D71773">
        <w:t>From 2010–</w:t>
      </w:r>
      <w:r w:rsidR="00D71773" w:rsidRPr="00D71773">
        <w:t xml:space="preserve">11, the Government introduced net cash appropriation arrangements where </w:t>
      </w:r>
      <w:r w:rsidR="00D71773" w:rsidRPr="00D71773">
        <w:rPr>
          <w:i/>
        </w:rPr>
        <w:t>Appropriation Act No. 1</w:t>
      </w:r>
      <w:r w:rsidR="00D71773" w:rsidRPr="00D71773">
        <w:t xml:space="preserve"> or Bill No. 3 revenue appropriations for the depreciation/amortisation expenses of non-corporate Commonwealth entities were replaced with a separate capital budget (the Departmental Capital Budget, or </w:t>
      </w:r>
      <w:proofErr w:type="spellStart"/>
      <w:r w:rsidR="00D71773" w:rsidRPr="00D71773">
        <w:t>DCB</w:t>
      </w:r>
      <w:proofErr w:type="spellEnd"/>
      <w:r w:rsidR="00D71773" w:rsidRPr="00D71773">
        <w:t xml:space="preserve">) provided through </w:t>
      </w:r>
      <w:r w:rsidR="00D71773" w:rsidRPr="00D71773">
        <w:rPr>
          <w:i/>
        </w:rPr>
        <w:t>Appropriation Act No. 1</w:t>
      </w:r>
      <w:r w:rsidR="00D71773" w:rsidRPr="00D71773">
        <w:t xml:space="preserve"> or Bill No. 3 equity appropriations. For information regarding </w:t>
      </w:r>
      <w:proofErr w:type="spellStart"/>
      <w:r w:rsidR="00D71773" w:rsidRPr="00D71773">
        <w:t>DCBs</w:t>
      </w:r>
      <w:proofErr w:type="spellEnd"/>
      <w:r w:rsidR="00D71773" w:rsidRPr="00D71773">
        <w:t>, please refer to Table 3.2.5 Departmental Capital Budget Statement.</w:t>
      </w:r>
    </w:p>
    <w:p w:rsidR="00D71773" w:rsidRDefault="00D71773" w:rsidP="00F51DAC">
      <w:pPr>
        <w:pStyle w:val="Source"/>
      </w:pPr>
    </w:p>
    <w:p w:rsidR="00F51DAC" w:rsidRPr="00D71773" w:rsidRDefault="00F51DAC" w:rsidP="00D71773">
      <w:pPr>
        <w:pStyle w:val="Source"/>
      </w:pPr>
      <w:proofErr w:type="gramStart"/>
      <w:r>
        <w:t>Prepared on Austral</w:t>
      </w:r>
      <w:r w:rsidR="00D71773">
        <w:t>ian Accounting Standards basis.</w:t>
      </w:r>
      <w:proofErr w:type="gramEnd"/>
    </w:p>
    <w:p w:rsidR="00391F8E" w:rsidRDefault="00391F8E">
      <w:pPr>
        <w:spacing w:after="0" w:line="240" w:lineRule="auto"/>
        <w:jc w:val="left"/>
        <w:rPr>
          <w:rFonts w:ascii="Arial" w:hAnsi="Arial"/>
          <w:b/>
          <w:snapToGrid w:val="0"/>
          <w:lang w:val="x-none"/>
        </w:rPr>
      </w:pPr>
      <w:r>
        <w:rPr>
          <w:snapToGrid w:val="0"/>
        </w:rPr>
        <w:br w:type="page"/>
      </w:r>
    </w:p>
    <w:p w:rsidR="00F51DAC" w:rsidRPr="00014438" w:rsidRDefault="00F51DAC" w:rsidP="00F51DAC">
      <w:pPr>
        <w:pStyle w:val="TableHeading"/>
        <w:spacing w:before="0"/>
        <w:rPr>
          <w:snapToGrid w:val="0"/>
        </w:rPr>
      </w:pPr>
      <w:r w:rsidRPr="00014438">
        <w:rPr>
          <w:snapToGrid w:val="0"/>
        </w:rPr>
        <w:lastRenderedPageBreak/>
        <w:t xml:space="preserve">Table 3.2.2: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Pr="00014438">
        <w:rPr>
          <w:snapToGrid w:val="0"/>
        </w:rPr>
        <w:t>(as at 30 June)</w:t>
      </w:r>
    </w:p>
    <w:tbl>
      <w:tblPr>
        <w:tblW w:w="7777" w:type="dxa"/>
        <w:tblInd w:w="93" w:type="dxa"/>
        <w:tblLook w:val="04A0" w:firstRow="1" w:lastRow="0" w:firstColumn="1" w:lastColumn="0" w:noHBand="0" w:noVBand="1"/>
      </w:tblPr>
      <w:tblGrid>
        <w:gridCol w:w="3224"/>
        <w:gridCol w:w="893"/>
        <w:gridCol w:w="915"/>
        <w:gridCol w:w="915"/>
        <w:gridCol w:w="915"/>
        <w:gridCol w:w="915"/>
      </w:tblGrid>
      <w:tr w:rsidR="00D71773" w:rsidRPr="00D71773" w:rsidTr="001E280C">
        <w:trPr>
          <w:trHeight w:val="726"/>
          <w:tblHeader/>
        </w:trPr>
        <w:tc>
          <w:tcPr>
            <w:tcW w:w="3224" w:type="dxa"/>
            <w:tcBorders>
              <w:top w:val="single" w:sz="4" w:space="0" w:color="auto"/>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893" w:type="dxa"/>
            <w:tcBorders>
              <w:top w:val="single" w:sz="4" w:space="0" w:color="auto"/>
              <w:left w:val="nil"/>
              <w:bottom w:val="single" w:sz="4" w:space="0" w:color="auto"/>
              <w:right w:val="nil"/>
            </w:tcBorders>
            <w:shd w:val="clear" w:color="auto" w:fill="auto"/>
            <w:hideMark/>
          </w:tcPr>
          <w:p w:rsidR="00D71773" w:rsidRPr="00D71773" w:rsidRDefault="00D71773" w:rsidP="00D71773">
            <w:pPr>
              <w:spacing w:after="0" w:line="240" w:lineRule="auto"/>
              <w:jc w:val="right"/>
              <w:rPr>
                <w:rFonts w:ascii="Arial" w:hAnsi="Arial" w:cs="Arial"/>
                <w:sz w:val="16"/>
                <w:szCs w:val="16"/>
              </w:rPr>
            </w:pPr>
            <w:r>
              <w:rPr>
                <w:rFonts w:ascii="Arial" w:hAnsi="Arial" w:cs="Arial"/>
                <w:sz w:val="16"/>
                <w:szCs w:val="16"/>
              </w:rPr>
              <w:t>2014–</w:t>
            </w:r>
            <w:r w:rsidRPr="00D71773">
              <w:rPr>
                <w:rFonts w:ascii="Arial" w:hAnsi="Arial" w:cs="Arial"/>
                <w:sz w:val="16"/>
                <w:szCs w:val="16"/>
              </w:rPr>
              <w:t>15</w:t>
            </w:r>
            <w:r w:rsidRPr="00D71773">
              <w:rPr>
                <w:rFonts w:ascii="Arial" w:hAnsi="Arial" w:cs="Arial"/>
                <w:sz w:val="16"/>
                <w:szCs w:val="16"/>
              </w:rPr>
              <w:br/>
              <w:t>Actual</w:t>
            </w:r>
            <w:r w:rsidRPr="00D71773">
              <w:rPr>
                <w:rFonts w:ascii="Arial" w:hAnsi="Arial" w:cs="Arial"/>
                <w:sz w:val="16"/>
                <w:szCs w:val="16"/>
              </w:rPr>
              <w:br/>
              <w:t>$'000</w:t>
            </w:r>
          </w:p>
        </w:tc>
        <w:tc>
          <w:tcPr>
            <w:tcW w:w="915" w:type="dxa"/>
            <w:tcBorders>
              <w:top w:val="single" w:sz="4" w:space="0" w:color="auto"/>
              <w:left w:val="nil"/>
              <w:bottom w:val="single" w:sz="4" w:space="0" w:color="auto"/>
              <w:right w:val="nil"/>
            </w:tcBorders>
            <w:shd w:val="clear" w:color="000000" w:fill="E6E6E6"/>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2015</w:t>
            </w:r>
            <w:r>
              <w:rPr>
                <w:rFonts w:ascii="Arial" w:hAnsi="Arial" w:cs="Arial"/>
                <w:sz w:val="16"/>
                <w:szCs w:val="16"/>
              </w:rPr>
              <w:t>–</w:t>
            </w:r>
            <w:r w:rsidRPr="00D71773">
              <w:rPr>
                <w:rFonts w:ascii="Arial" w:hAnsi="Arial" w:cs="Arial"/>
                <w:sz w:val="16"/>
                <w:szCs w:val="16"/>
              </w:rPr>
              <w:t>16</w:t>
            </w:r>
            <w:r w:rsidRPr="00D71773">
              <w:rPr>
                <w:rFonts w:ascii="Arial" w:hAnsi="Arial" w:cs="Arial"/>
                <w:sz w:val="16"/>
                <w:szCs w:val="16"/>
              </w:rPr>
              <w:br/>
              <w:t>Revised budget</w:t>
            </w:r>
            <w:r w:rsidRPr="00D71773">
              <w:rPr>
                <w:rFonts w:ascii="Arial" w:hAnsi="Arial" w:cs="Arial"/>
                <w:sz w:val="16"/>
                <w:szCs w:val="16"/>
              </w:rPr>
              <w:br/>
              <w:t>$'000</w:t>
            </w:r>
          </w:p>
        </w:tc>
        <w:tc>
          <w:tcPr>
            <w:tcW w:w="915" w:type="dxa"/>
            <w:tcBorders>
              <w:top w:val="single" w:sz="4" w:space="0" w:color="auto"/>
              <w:left w:val="nil"/>
              <w:bottom w:val="single" w:sz="4" w:space="0" w:color="auto"/>
              <w:right w:val="nil"/>
            </w:tcBorders>
            <w:shd w:val="clear" w:color="auto" w:fill="auto"/>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2016</w:t>
            </w:r>
            <w:r>
              <w:rPr>
                <w:rFonts w:ascii="Arial" w:hAnsi="Arial" w:cs="Arial"/>
                <w:sz w:val="16"/>
                <w:szCs w:val="16"/>
              </w:rPr>
              <w:t>–</w:t>
            </w:r>
            <w:r w:rsidRPr="00D71773">
              <w:rPr>
                <w:rFonts w:ascii="Arial" w:hAnsi="Arial" w:cs="Arial"/>
                <w:sz w:val="16"/>
                <w:szCs w:val="16"/>
              </w:rPr>
              <w:t>17</w:t>
            </w:r>
            <w:r w:rsidRPr="00D71773">
              <w:rPr>
                <w:rFonts w:ascii="Arial" w:hAnsi="Arial" w:cs="Arial"/>
                <w:sz w:val="16"/>
                <w:szCs w:val="16"/>
              </w:rPr>
              <w:br/>
              <w:t>Forward estimate</w:t>
            </w:r>
            <w:r w:rsidRPr="00D71773">
              <w:rPr>
                <w:rFonts w:ascii="Arial" w:hAnsi="Arial" w:cs="Arial"/>
                <w:sz w:val="16"/>
                <w:szCs w:val="16"/>
              </w:rPr>
              <w:br/>
              <w:t>$'000</w:t>
            </w:r>
          </w:p>
        </w:tc>
        <w:tc>
          <w:tcPr>
            <w:tcW w:w="915" w:type="dxa"/>
            <w:tcBorders>
              <w:top w:val="single" w:sz="4" w:space="0" w:color="auto"/>
              <w:left w:val="nil"/>
              <w:bottom w:val="single" w:sz="4" w:space="0" w:color="auto"/>
              <w:right w:val="nil"/>
            </w:tcBorders>
            <w:shd w:val="clear" w:color="auto" w:fill="auto"/>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2017</w:t>
            </w:r>
            <w:r>
              <w:rPr>
                <w:rFonts w:ascii="Arial" w:hAnsi="Arial" w:cs="Arial"/>
                <w:sz w:val="16"/>
                <w:szCs w:val="16"/>
              </w:rPr>
              <w:t>–</w:t>
            </w:r>
            <w:r w:rsidRPr="00D71773">
              <w:rPr>
                <w:rFonts w:ascii="Arial" w:hAnsi="Arial" w:cs="Arial"/>
                <w:sz w:val="16"/>
                <w:szCs w:val="16"/>
              </w:rPr>
              <w:t>18</w:t>
            </w:r>
            <w:r w:rsidRPr="00D71773">
              <w:rPr>
                <w:rFonts w:ascii="Arial" w:hAnsi="Arial" w:cs="Arial"/>
                <w:sz w:val="16"/>
                <w:szCs w:val="16"/>
              </w:rPr>
              <w:br/>
              <w:t>Forward estimate</w:t>
            </w:r>
            <w:r w:rsidRPr="00D71773">
              <w:rPr>
                <w:rFonts w:ascii="Arial" w:hAnsi="Arial" w:cs="Arial"/>
                <w:sz w:val="16"/>
                <w:szCs w:val="16"/>
              </w:rPr>
              <w:br/>
              <w:t>$'000</w:t>
            </w:r>
          </w:p>
        </w:tc>
        <w:tc>
          <w:tcPr>
            <w:tcW w:w="915" w:type="dxa"/>
            <w:tcBorders>
              <w:top w:val="single" w:sz="4" w:space="0" w:color="auto"/>
              <w:left w:val="nil"/>
              <w:bottom w:val="single" w:sz="4" w:space="0" w:color="auto"/>
              <w:right w:val="nil"/>
            </w:tcBorders>
            <w:shd w:val="clear" w:color="auto" w:fill="auto"/>
            <w:hideMark/>
          </w:tcPr>
          <w:p w:rsidR="00D71773" w:rsidRPr="00D71773" w:rsidRDefault="00D71773" w:rsidP="00D71773">
            <w:pPr>
              <w:spacing w:after="0" w:line="240" w:lineRule="auto"/>
              <w:jc w:val="right"/>
              <w:rPr>
                <w:rFonts w:ascii="Arial" w:hAnsi="Arial" w:cs="Arial"/>
                <w:sz w:val="16"/>
                <w:szCs w:val="16"/>
              </w:rPr>
            </w:pPr>
            <w:r w:rsidRPr="00D71773">
              <w:rPr>
                <w:rFonts w:ascii="Arial" w:hAnsi="Arial" w:cs="Arial"/>
                <w:sz w:val="16"/>
                <w:szCs w:val="16"/>
              </w:rPr>
              <w:t>2018</w:t>
            </w:r>
            <w:r>
              <w:rPr>
                <w:rFonts w:ascii="Arial" w:hAnsi="Arial" w:cs="Arial"/>
                <w:sz w:val="16"/>
                <w:szCs w:val="16"/>
              </w:rPr>
              <w:t>–</w:t>
            </w:r>
            <w:r w:rsidRPr="00D71773">
              <w:rPr>
                <w:rFonts w:ascii="Arial" w:hAnsi="Arial" w:cs="Arial"/>
                <w:sz w:val="16"/>
                <w:szCs w:val="16"/>
              </w:rPr>
              <w:t>19</w:t>
            </w:r>
            <w:r w:rsidRPr="00D71773">
              <w:rPr>
                <w:rFonts w:ascii="Arial" w:hAnsi="Arial" w:cs="Arial"/>
                <w:sz w:val="16"/>
                <w:szCs w:val="16"/>
              </w:rPr>
              <w:br/>
              <w:t>Forward estimate</w:t>
            </w:r>
            <w:r w:rsidRPr="00D71773">
              <w:rPr>
                <w:rFonts w:ascii="Arial" w:hAnsi="Arial" w:cs="Arial"/>
                <w:sz w:val="16"/>
                <w:szCs w:val="16"/>
              </w:rPr>
              <w:br/>
              <w:t>$'000</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ASSETS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Financial assets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 xml:space="preserve">Cash </w:t>
            </w:r>
            <w:r w:rsidRPr="00D71773">
              <w:rPr>
                <w:rFonts w:ascii="Arial" w:hAnsi="Arial" w:cs="Arial"/>
                <w:sz w:val="16"/>
                <w:szCs w:val="16"/>
              </w:rPr>
              <w:t>and cash equivalents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6,321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2,316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2,316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2,316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2,316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sz w:val="16"/>
                <w:szCs w:val="16"/>
              </w:rPr>
            </w:pPr>
            <w:r w:rsidRPr="00D71773">
              <w:rPr>
                <w:rFonts w:ascii="Arial" w:hAnsi="Arial" w:cs="Arial"/>
                <w:sz w:val="16"/>
                <w:szCs w:val="16"/>
              </w:rPr>
              <w:t>Trade and other receivables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116,131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120,498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116,285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115,214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113,835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Other financial assets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4,094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4,094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4,094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4,094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4,094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i/>
                <w:iCs/>
                <w:color w:val="000000"/>
                <w:sz w:val="16"/>
                <w:szCs w:val="16"/>
              </w:rPr>
            </w:pPr>
            <w:r w:rsidRPr="00D71773">
              <w:rPr>
                <w:rFonts w:ascii="Arial" w:hAnsi="Arial" w:cs="Arial"/>
                <w:b/>
                <w:bCs/>
                <w:i/>
                <w:iCs/>
                <w:color w:val="000000"/>
                <w:sz w:val="16"/>
                <w:szCs w:val="16"/>
              </w:rPr>
              <w:t>Total financial assets</w:t>
            </w:r>
          </w:p>
        </w:tc>
        <w:tc>
          <w:tcPr>
            <w:tcW w:w="893"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126,546 </w:t>
            </w:r>
          </w:p>
        </w:tc>
        <w:tc>
          <w:tcPr>
            <w:tcW w:w="915" w:type="dxa"/>
            <w:tcBorders>
              <w:top w:val="single" w:sz="4" w:space="0" w:color="000000"/>
              <w:left w:val="nil"/>
              <w:bottom w:val="single" w:sz="4" w:space="0" w:color="000000"/>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126,908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122,695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121,624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120,245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Non-financial assets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Land and buildings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20,260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21,441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21,155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22,110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21,464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Property, plant and equipment</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13,239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16,533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16,444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17,097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17,607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Intangibles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65,761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81,347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81,542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79,275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79,019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Other non-financial assets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12,011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12,011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12,011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12,011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12,011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i/>
                <w:iCs/>
                <w:color w:val="000000"/>
                <w:sz w:val="16"/>
                <w:szCs w:val="16"/>
              </w:rPr>
            </w:pPr>
            <w:r w:rsidRPr="00D71773">
              <w:rPr>
                <w:rFonts w:ascii="Arial" w:hAnsi="Arial" w:cs="Arial"/>
                <w:b/>
                <w:bCs/>
                <w:i/>
                <w:iCs/>
                <w:color w:val="000000"/>
                <w:sz w:val="16"/>
                <w:szCs w:val="16"/>
              </w:rPr>
              <w:t>Total non-financial assets</w:t>
            </w:r>
          </w:p>
        </w:tc>
        <w:tc>
          <w:tcPr>
            <w:tcW w:w="893"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111,271 </w:t>
            </w:r>
          </w:p>
        </w:tc>
        <w:tc>
          <w:tcPr>
            <w:tcW w:w="915" w:type="dxa"/>
            <w:tcBorders>
              <w:top w:val="single" w:sz="4" w:space="0" w:color="000000"/>
              <w:left w:val="nil"/>
              <w:bottom w:val="single" w:sz="4" w:space="0" w:color="000000"/>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131,332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131,152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130,493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130,101 </w:t>
            </w:r>
          </w:p>
        </w:tc>
      </w:tr>
      <w:tr w:rsidR="00D71773" w:rsidRPr="00D71773" w:rsidTr="00827369">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sz w:val="16"/>
                <w:szCs w:val="16"/>
              </w:rPr>
            </w:pPr>
            <w:r w:rsidRPr="00D71773">
              <w:rPr>
                <w:rFonts w:ascii="Arial" w:hAnsi="Arial" w:cs="Arial"/>
                <w:sz w:val="16"/>
                <w:szCs w:val="16"/>
              </w:rPr>
              <w:t>Assets held for sale</w:t>
            </w:r>
          </w:p>
        </w:tc>
        <w:tc>
          <w:tcPr>
            <w:tcW w:w="893" w:type="dxa"/>
            <w:tcBorders>
              <w:top w:val="nil"/>
              <w:left w:val="nil"/>
              <w:bottom w:val="single" w:sz="4" w:space="0" w:color="000000"/>
              <w:right w:val="nil"/>
            </w:tcBorders>
            <w:shd w:val="clear" w:color="auto" w:fill="auto"/>
            <w:noWrap/>
            <w:vAlign w:val="center"/>
            <w:hideMark/>
          </w:tcPr>
          <w:p w:rsidR="00D71773" w:rsidRPr="00D71773" w:rsidRDefault="00827369" w:rsidP="0082736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15" w:type="dxa"/>
            <w:tcBorders>
              <w:top w:val="nil"/>
              <w:left w:val="nil"/>
              <w:bottom w:val="single" w:sz="4" w:space="0" w:color="000000"/>
              <w:right w:val="nil"/>
            </w:tcBorders>
            <w:shd w:val="clear" w:color="000000" w:fill="E6E6E6"/>
            <w:noWrap/>
            <w:vAlign w:val="center"/>
            <w:hideMark/>
          </w:tcPr>
          <w:p w:rsidR="00D71773" w:rsidRPr="00D71773" w:rsidRDefault="00827369" w:rsidP="0082736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827369" w:rsidP="0082736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827369" w:rsidP="0082736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827369" w:rsidP="0082736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Total assets</w:t>
            </w:r>
          </w:p>
        </w:tc>
        <w:tc>
          <w:tcPr>
            <w:tcW w:w="893" w:type="dxa"/>
            <w:tcBorders>
              <w:top w:val="nil"/>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237,817 </w:t>
            </w:r>
          </w:p>
        </w:tc>
        <w:tc>
          <w:tcPr>
            <w:tcW w:w="915" w:type="dxa"/>
            <w:tcBorders>
              <w:top w:val="nil"/>
              <w:left w:val="nil"/>
              <w:bottom w:val="single" w:sz="4" w:space="0" w:color="000000"/>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258,240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253,847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252,117 </w:t>
            </w:r>
          </w:p>
        </w:tc>
        <w:tc>
          <w:tcPr>
            <w:tcW w:w="915" w:type="dxa"/>
            <w:tcBorders>
              <w:top w:val="nil"/>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250,346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LIABILITIES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Payables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Suppliers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16,720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17,137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17,918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18,755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19,195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Other payables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34,936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39,831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35,945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33,614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31,258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i/>
                <w:iCs/>
                <w:color w:val="000000"/>
                <w:sz w:val="16"/>
                <w:szCs w:val="16"/>
              </w:rPr>
            </w:pPr>
            <w:r w:rsidRPr="00D71773">
              <w:rPr>
                <w:rFonts w:ascii="Arial" w:hAnsi="Arial" w:cs="Arial"/>
                <w:b/>
                <w:bCs/>
                <w:i/>
                <w:iCs/>
                <w:color w:val="000000"/>
                <w:sz w:val="16"/>
                <w:szCs w:val="16"/>
              </w:rPr>
              <w:t>Total payables</w:t>
            </w:r>
          </w:p>
        </w:tc>
        <w:tc>
          <w:tcPr>
            <w:tcW w:w="893"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51,656 </w:t>
            </w:r>
          </w:p>
        </w:tc>
        <w:tc>
          <w:tcPr>
            <w:tcW w:w="915" w:type="dxa"/>
            <w:tcBorders>
              <w:top w:val="single" w:sz="4" w:space="0" w:color="000000"/>
              <w:left w:val="nil"/>
              <w:bottom w:val="single" w:sz="4" w:space="0" w:color="000000"/>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56,968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53,863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52,369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50,453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Provisions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left"/>
              <w:rPr>
                <w:rFonts w:ascii="Arial" w:hAnsi="Arial" w:cs="Arial"/>
                <w:color w:val="000000"/>
                <w:sz w:val="16"/>
                <w:szCs w:val="16"/>
              </w:rPr>
            </w:pPr>
            <w:r w:rsidRPr="00D71773">
              <w:rPr>
                <w:rFonts w:ascii="Arial" w:hAnsi="Arial" w:cs="Arial"/>
                <w:color w:val="000000"/>
                <w:sz w:val="16"/>
                <w:szCs w:val="16"/>
              </w:rPr>
              <w:t>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color w:val="000000"/>
                <w:sz w:val="16"/>
                <w:szCs w:val="16"/>
              </w:rPr>
            </w:pP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Employee provisions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62,596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62,260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61,959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62,550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63,188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ind w:firstLineChars="100" w:firstLine="160"/>
              <w:jc w:val="left"/>
              <w:rPr>
                <w:rFonts w:ascii="Arial" w:hAnsi="Arial" w:cs="Arial"/>
                <w:color w:val="000000"/>
                <w:sz w:val="16"/>
                <w:szCs w:val="16"/>
              </w:rPr>
            </w:pPr>
            <w:r w:rsidRPr="00D71773">
              <w:rPr>
                <w:rFonts w:ascii="Arial" w:hAnsi="Arial" w:cs="Arial"/>
                <w:color w:val="000000"/>
                <w:sz w:val="16"/>
                <w:szCs w:val="16"/>
              </w:rPr>
              <w:t>Other provisions</w:t>
            </w:r>
          </w:p>
        </w:tc>
        <w:tc>
          <w:tcPr>
            <w:tcW w:w="893"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6,264 </w:t>
            </w:r>
          </w:p>
        </w:tc>
        <w:tc>
          <w:tcPr>
            <w:tcW w:w="915" w:type="dxa"/>
            <w:tcBorders>
              <w:top w:val="nil"/>
              <w:left w:val="nil"/>
              <w:bottom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1,650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843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675 </w:t>
            </w:r>
          </w:p>
        </w:tc>
        <w:tc>
          <w:tcPr>
            <w:tcW w:w="915"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color w:val="000000"/>
                <w:sz w:val="16"/>
                <w:szCs w:val="16"/>
              </w:rPr>
            </w:pPr>
            <w:r w:rsidRPr="00D71773">
              <w:rPr>
                <w:rFonts w:ascii="Arial" w:hAnsi="Arial" w:cs="Arial"/>
                <w:color w:val="000000"/>
                <w:sz w:val="16"/>
                <w:szCs w:val="16"/>
              </w:rPr>
              <w:t xml:space="preserve">574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i/>
                <w:iCs/>
                <w:color w:val="000000"/>
                <w:sz w:val="16"/>
                <w:szCs w:val="16"/>
              </w:rPr>
            </w:pPr>
            <w:r w:rsidRPr="00D71773">
              <w:rPr>
                <w:rFonts w:ascii="Arial" w:hAnsi="Arial" w:cs="Arial"/>
                <w:b/>
                <w:bCs/>
                <w:i/>
                <w:iCs/>
                <w:color w:val="000000"/>
                <w:sz w:val="16"/>
                <w:szCs w:val="16"/>
              </w:rPr>
              <w:t>Total provisions</w:t>
            </w:r>
          </w:p>
        </w:tc>
        <w:tc>
          <w:tcPr>
            <w:tcW w:w="893"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68,860 </w:t>
            </w:r>
          </w:p>
        </w:tc>
        <w:tc>
          <w:tcPr>
            <w:tcW w:w="915" w:type="dxa"/>
            <w:tcBorders>
              <w:top w:val="single" w:sz="4" w:space="0" w:color="000000"/>
              <w:left w:val="nil"/>
              <w:bottom w:val="single" w:sz="4" w:space="0" w:color="000000"/>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63,910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62,802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63,225 </w:t>
            </w:r>
          </w:p>
        </w:tc>
        <w:tc>
          <w:tcPr>
            <w:tcW w:w="915" w:type="dxa"/>
            <w:tcBorders>
              <w:top w:val="single" w:sz="4" w:space="0" w:color="000000"/>
              <w:left w:val="nil"/>
              <w:bottom w:val="single" w:sz="4" w:space="0" w:color="000000"/>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i/>
                <w:color w:val="000000"/>
                <w:sz w:val="16"/>
                <w:szCs w:val="16"/>
              </w:rPr>
            </w:pPr>
            <w:r w:rsidRPr="00D71773">
              <w:rPr>
                <w:rFonts w:ascii="Arial" w:hAnsi="Arial" w:cs="Arial"/>
                <w:b/>
                <w:bCs/>
                <w:i/>
                <w:color w:val="000000"/>
                <w:sz w:val="16"/>
                <w:szCs w:val="16"/>
              </w:rPr>
              <w:t xml:space="preserve">63,762 </w:t>
            </w:r>
          </w:p>
        </w:tc>
      </w:tr>
      <w:tr w:rsidR="00D71773" w:rsidRPr="00D71773" w:rsidTr="00D71773">
        <w:trPr>
          <w:trHeight w:val="233"/>
        </w:trPr>
        <w:tc>
          <w:tcPr>
            <w:tcW w:w="3224" w:type="dxa"/>
            <w:tcBorders>
              <w:top w:val="nil"/>
              <w:left w:val="nil"/>
              <w:bottom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color w:val="000000"/>
                <w:sz w:val="16"/>
                <w:szCs w:val="16"/>
              </w:rPr>
            </w:pPr>
            <w:r w:rsidRPr="00D71773">
              <w:rPr>
                <w:rFonts w:ascii="Arial" w:hAnsi="Arial" w:cs="Arial"/>
                <w:b/>
                <w:bCs/>
                <w:color w:val="000000"/>
                <w:sz w:val="16"/>
                <w:szCs w:val="16"/>
              </w:rPr>
              <w:t>Total liabilities</w:t>
            </w:r>
          </w:p>
        </w:tc>
        <w:tc>
          <w:tcPr>
            <w:tcW w:w="893" w:type="dxa"/>
            <w:tcBorders>
              <w:top w:val="single" w:sz="4" w:space="0" w:color="auto"/>
              <w:left w:val="nil"/>
              <w:bottom w:val="single" w:sz="4" w:space="0" w:color="auto"/>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120,516 </w:t>
            </w:r>
          </w:p>
        </w:tc>
        <w:tc>
          <w:tcPr>
            <w:tcW w:w="915" w:type="dxa"/>
            <w:tcBorders>
              <w:top w:val="single" w:sz="4" w:space="0" w:color="auto"/>
              <w:left w:val="nil"/>
              <w:bottom w:val="single" w:sz="4" w:space="0" w:color="auto"/>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120,878 </w:t>
            </w:r>
          </w:p>
        </w:tc>
        <w:tc>
          <w:tcPr>
            <w:tcW w:w="915" w:type="dxa"/>
            <w:tcBorders>
              <w:top w:val="single" w:sz="4" w:space="0" w:color="auto"/>
              <w:left w:val="nil"/>
              <w:bottom w:val="single" w:sz="4" w:space="0" w:color="auto"/>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116,665 </w:t>
            </w:r>
          </w:p>
        </w:tc>
        <w:tc>
          <w:tcPr>
            <w:tcW w:w="915" w:type="dxa"/>
            <w:tcBorders>
              <w:top w:val="single" w:sz="4" w:space="0" w:color="auto"/>
              <w:left w:val="nil"/>
              <w:bottom w:val="single" w:sz="4" w:space="0" w:color="auto"/>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115,594 </w:t>
            </w:r>
          </w:p>
        </w:tc>
        <w:tc>
          <w:tcPr>
            <w:tcW w:w="915" w:type="dxa"/>
            <w:tcBorders>
              <w:top w:val="single" w:sz="4" w:space="0" w:color="auto"/>
              <w:left w:val="nil"/>
              <w:bottom w:val="single" w:sz="4" w:space="0" w:color="auto"/>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114,215 </w:t>
            </w:r>
          </w:p>
        </w:tc>
      </w:tr>
      <w:tr w:rsidR="00D71773" w:rsidRPr="00D71773" w:rsidTr="008E0B53">
        <w:trPr>
          <w:trHeight w:val="355"/>
        </w:trPr>
        <w:tc>
          <w:tcPr>
            <w:tcW w:w="3224" w:type="dxa"/>
            <w:tcBorders>
              <w:top w:val="nil"/>
              <w:left w:val="nil"/>
              <w:right w:val="nil"/>
            </w:tcBorders>
            <w:shd w:val="clear" w:color="auto" w:fill="auto"/>
            <w:noWrap/>
            <w:vAlign w:val="center"/>
            <w:hideMark/>
          </w:tcPr>
          <w:p w:rsidR="00D71773" w:rsidRPr="00D71773" w:rsidRDefault="00D71773" w:rsidP="00D71773">
            <w:pPr>
              <w:spacing w:after="0" w:line="240" w:lineRule="auto"/>
              <w:jc w:val="left"/>
              <w:rPr>
                <w:rFonts w:ascii="Arial" w:hAnsi="Arial" w:cs="Arial"/>
                <w:b/>
                <w:bCs/>
                <w:sz w:val="16"/>
                <w:szCs w:val="16"/>
              </w:rPr>
            </w:pPr>
            <w:r w:rsidRPr="00D71773">
              <w:rPr>
                <w:rFonts w:ascii="Arial" w:hAnsi="Arial" w:cs="Arial"/>
                <w:b/>
                <w:bCs/>
                <w:sz w:val="16"/>
                <w:szCs w:val="16"/>
              </w:rPr>
              <w:t>Net assets</w:t>
            </w:r>
          </w:p>
        </w:tc>
        <w:tc>
          <w:tcPr>
            <w:tcW w:w="893" w:type="dxa"/>
            <w:tcBorders>
              <w:top w:val="nil"/>
              <w:left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117,301 </w:t>
            </w:r>
          </w:p>
        </w:tc>
        <w:tc>
          <w:tcPr>
            <w:tcW w:w="915" w:type="dxa"/>
            <w:tcBorders>
              <w:top w:val="nil"/>
              <w:left w:val="nil"/>
              <w:right w:val="nil"/>
            </w:tcBorders>
            <w:shd w:val="clear" w:color="000000" w:fill="E6E6E6"/>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137,362 </w:t>
            </w:r>
          </w:p>
        </w:tc>
        <w:tc>
          <w:tcPr>
            <w:tcW w:w="915" w:type="dxa"/>
            <w:tcBorders>
              <w:top w:val="nil"/>
              <w:left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137,182 </w:t>
            </w:r>
          </w:p>
        </w:tc>
        <w:tc>
          <w:tcPr>
            <w:tcW w:w="915" w:type="dxa"/>
            <w:tcBorders>
              <w:top w:val="nil"/>
              <w:left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136,523 </w:t>
            </w:r>
          </w:p>
        </w:tc>
        <w:tc>
          <w:tcPr>
            <w:tcW w:w="915" w:type="dxa"/>
            <w:tcBorders>
              <w:top w:val="nil"/>
              <w:left w:val="nil"/>
              <w:right w:val="nil"/>
            </w:tcBorders>
            <w:shd w:val="clear" w:color="auto" w:fill="auto"/>
            <w:noWrap/>
            <w:vAlign w:val="center"/>
            <w:hideMark/>
          </w:tcPr>
          <w:p w:rsidR="00D71773" w:rsidRPr="00D71773" w:rsidRDefault="00D71773" w:rsidP="00D71773">
            <w:pPr>
              <w:spacing w:after="0" w:line="240" w:lineRule="auto"/>
              <w:jc w:val="right"/>
              <w:rPr>
                <w:rFonts w:ascii="Arial" w:hAnsi="Arial" w:cs="Arial"/>
                <w:b/>
                <w:bCs/>
                <w:color w:val="000000"/>
                <w:sz w:val="16"/>
                <w:szCs w:val="16"/>
              </w:rPr>
            </w:pPr>
            <w:r w:rsidRPr="00D71773">
              <w:rPr>
                <w:rFonts w:ascii="Arial" w:hAnsi="Arial" w:cs="Arial"/>
                <w:b/>
                <w:bCs/>
                <w:color w:val="000000"/>
                <w:sz w:val="16"/>
                <w:szCs w:val="16"/>
              </w:rPr>
              <w:t xml:space="preserve">136,131 </w:t>
            </w: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sz w:val="16"/>
                <w:szCs w:val="16"/>
              </w:rPr>
            </w:pPr>
            <w:r w:rsidRPr="008E0B53">
              <w:rPr>
                <w:rFonts w:ascii="Arial" w:hAnsi="Arial" w:cs="Arial"/>
                <w:b/>
                <w:bCs/>
                <w:sz w:val="16"/>
                <w:szCs w:val="16"/>
              </w:rPr>
              <w:t>EQUITY*</w:t>
            </w:r>
          </w:p>
        </w:tc>
        <w:tc>
          <w:tcPr>
            <w:tcW w:w="893"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sz w:val="16"/>
                <w:szCs w:val="16"/>
              </w:rPr>
            </w:pPr>
            <w:r w:rsidRPr="008E0B53">
              <w:rPr>
                <w:rFonts w:ascii="Arial" w:hAnsi="Arial" w:cs="Arial"/>
                <w:b/>
                <w:bCs/>
                <w:sz w:val="16"/>
                <w:szCs w:val="16"/>
              </w:rPr>
              <w:t>Parent entity interest</w:t>
            </w:r>
          </w:p>
        </w:tc>
        <w:tc>
          <w:tcPr>
            <w:tcW w:w="893"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ind w:firstLine="191"/>
              <w:jc w:val="left"/>
              <w:rPr>
                <w:rFonts w:ascii="Arial" w:hAnsi="Arial" w:cs="Arial"/>
                <w:bCs/>
                <w:sz w:val="16"/>
                <w:szCs w:val="16"/>
              </w:rPr>
            </w:pPr>
            <w:r w:rsidRPr="008E0B53">
              <w:rPr>
                <w:rFonts w:ascii="Arial" w:hAnsi="Arial" w:cs="Arial"/>
                <w:bCs/>
                <w:sz w:val="16"/>
                <w:szCs w:val="16"/>
              </w:rPr>
              <w:t>Contributed equity</w:t>
            </w:r>
          </w:p>
        </w:tc>
        <w:tc>
          <w:tcPr>
            <w:tcW w:w="893"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151,515 </w:t>
            </w:r>
          </w:p>
        </w:tc>
        <w:tc>
          <w:tcPr>
            <w:tcW w:w="915" w:type="dxa"/>
            <w:tcBorders>
              <w:top w:val="nil"/>
              <w:left w:val="nil"/>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198,471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226,335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253,592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281,009 </w:t>
            </w: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ind w:firstLine="191"/>
              <w:jc w:val="left"/>
              <w:rPr>
                <w:rFonts w:ascii="Arial" w:hAnsi="Arial" w:cs="Arial"/>
                <w:bCs/>
                <w:sz w:val="16"/>
                <w:szCs w:val="16"/>
              </w:rPr>
            </w:pPr>
            <w:r w:rsidRPr="008E0B53">
              <w:rPr>
                <w:rFonts w:ascii="Arial" w:hAnsi="Arial" w:cs="Arial"/>
                <w:bCs/>
                <w:sz w:val="16"/>
                <w:szCs w:val="16"/>
              </w:rPr>
              <w:t>Reserves</w:t>
            </w:r>
          </w:p>
        </w:tc>
        <w:tc>
          <w:tcPr>
            <w:tcW w:w="893"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3,376 </w:t>
            </w:r>
          </w:p>
        </w:tc>
        <w:tc>
          <w:tcPr>
            <w:tcW w:w="915" w:type="dxa"/>
            <w:tcBorders>
              <w:top w:val="nil"/>
              <w:left w:val="nil"/>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3,376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3,376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3,376 </w:t>
            </w:r>
          </w:p>
        </w:tc>
        <w:tc>
          <w:tcPr>
            <w:tcW w:w="915" w:type="dxa"/>
            <w:tcBorders>
              <w:top w:val="nil"/>
              <w:left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 xml:space="preserve">3,376 </w:t>
            </w: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ind w:firstLine="191"/>
              <w:jc w:val="left"/>
              <w:rPr>
                <w:rFonts w:ascii="Arial" w:hAnsi="Arial" w:cs="Arial"/>
                <w:bCs/>
                <w:sz w:val="16"/>
                <w:szCs w:val="16"/>
              </w:rPr>
            </w:pPr>
            <w:r w:rsidRPr="008E0B53">
              <w:rPr>
                <w:rFonts w:ascii="Arial" w:hAnsi="Arial" w:cs="Arial"/>
                <w:bCs/>
                <w:sz w:val="16"/>
                <w:szCs w:val="16"/>
              </w:rPr>
              <w:t>Retained surplus/(accumulated deficit)</w:t>
            </w:r>
          </w:p>
        </w:tc>
        <w:tc>
          <w:tcPr>
            <w:tcW w:w="893" w:type="dxa"/>
            <w:tcBorders>
              <w:top w:val="nil"/>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(37,590)</w:t>
            </w:r>
          </w:p>
        </w:tc>
        <w:tc>
          <w:tcPr>
            <w:tcW w:w="915" w:type="dxa"/>
            <w:tcBorders>
              <w:top w:val="nil"/>
              <w:left w:val="nil"/>
              <w:bottom w:val="single" w:sz="4" w:space="0" w:color="auto"/>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(64,485)</w:t>
            </w:r>
          </w:p>
        </w:tc>
        <w:tc>
          <w:tcPr>
            <w:tcW w:w="915" w:type="dxa"/>
            <w:tcBorders>
              <w:top w:val="nil"/>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(92,529)</w:t>
            </w:r>
          </w:p>
        </w:tc>
        <w:tc>
          <w:tcPr>
            <w:tcW w:w="915" w:type="dxa"/>
            <w:tcBorders>
              <w:top w:val="nil"/>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(120,445)</w:t>
            </w:r>
          </w:p>
        </w:tc>
        <w:tc>
          <w:tcPr>
            <w:tcW w:w="915" w:type="dxa"/>
            <w:tcBorders>
              <w:top w:val="nil"/>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Cs/>
                <w:color w:val="000000"/>
                <w:sz w:val="16"/>
                <w:szCs w:val="16"/>
              </w:rPr>
            </w:pPr>
            <w:r w:rsidRPr="008E0B53">
              <w:rPr>
                <w:rFonts w:ascii="Arial" w:hAnsi="Arial" w:cs="Arial"/>
                <w:bCs/>
                <w:color w:val="000000"/>
                <w:sz w:val="16"/>
                <w:szCs w:val="16"/>
              </w:rPr>
              <w:t>(148,254)</w:t>
            </w:r>
          </w:p>
        </w:tc>
      </w:tr>
      <w:tr w:rsidR="008E0B53" w:rsidRPr="008E0B53" w:rsidTr="008E0B53">
        <w:trPr>
          <w:trHeight w:val="233"/>
        </w:trPr>
        <w:tc>
          <w:tcPr>
            <w:tcW w:w="3224" w:type="dxa"/>
            <w:tcBorders>
              <w:top w:val="nil"/>
              <w:left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i/>
                <w:sz w:val="16"/>
                <w:szCs w:val="16"/>
              </w:rPr>
            </w:pPr>
            <w:r w:rsidRPr="008E0B53">
              <w:rPr>
                <w:rFonts w:ascii="Arial" w:hAnsi="Arial" w:cs="Arial"/>
                <w:b/>
                <w:bCs/>
                <w:i/>
                <w:sz w:val="16"/>
                <w:szCs w:val="16"/>
              </w:rPr>
              <w:t>Total parent entity interest</w:t>
            </w:r>
          </w:p>
        </w:tc>
        <w:tc>
          <w:tcPr>
            <w:tcW w:w="893"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i/>
                <w:color w:val="000000"/>
                <w:sz w:val="16"/>
                <w:szCs w:val="16"/>
              </w:rPr>
            </w:pPr>
            <w:r w:rsidRPr="008E0B53">
              <w:rPr>
                <w:rFonts w:ascii="Arial" w:hAnsi="Arial" w:cs="Arial"/>
                <w:b/>
                <w:bCs/>
                <w:i/>
                <w:color w:val="000000"/>
                <w:sz w:val="16"/>
                <w:szCs w:val="16"/>
              </w:rPr>
              <w:t xml:space="preserve">117,301 </w:t>
            </w:r>
          </w:p>
        </w:tc>
        <w:tc>
          <w:tcPr>
            <w:tcW w:w="915" w:type="dxa"/>
            <w:tcBorders>
              <w:top w:val="single" w:sz="4" w:space="0" w:color="auto"/>
              <w:left w:val="nil"/>
              <w:bottom w:val="single" w:sz="4" w:space="0" w:color="auto"/>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
                <w:bCs/>
                <w:i/>
                <w:color w:val="000000"/>
                <w:sz w:val="16"/>
                <w:szCs w:val="16"/>
              </w:rPr>
            </w:pPr>
            <w:r w:rsidRPr="008E0B53">
              <w:rPr>
                <w:rFonts w:ascii="Arial" w:hAnsi="Arial" w:cs="Arial"/>
                <w:b/>
                <w:bCs/>
                <w:i/>
                <w:color w:val="000000"/>
                <w:sz w:val="16"/>
                <w:szCs w:val="16"/>
              </w:rPr>
              <w:t xml:space="preserve">137,362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i/>
                <w:color w:val="000000"/>
                <w:sz w:val="16"/>
                <w:szCs w:val="16"/>
              </w:rPr>
            </w:pPr>
            <w:r w:rsidRPr="008E0B53">
              <w:rPr>
                <w:rFonts w:ascii="Arial" w:hAnsi="Arial" w:cs="Arial"/>
                <w:b/>
                <w:bCs/>
                <w:i/>
                <w:color w:val="000000"/>
                <w:sz w:val="16"/>
                <w:szCs w:val="16"/>
              </w:rPr>
              <w:t xml:space="preserve">137,182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i/>
                <w:color w:val="000000"/>
                <w:sz w:val="16"/>
                <w:szCs w:val="16"/>
              </w:rPr>
            </w:pPr>
            <w:r w:rsidRPr="008E0B53">
              <w:rPr>
                <w:rFonts w:ascii="Arial" w:hAnsi="Arial" w:cs="Arial"/>
                <w:b/>
                <w:bCs/>
                <w:i/>
                <w:color w:val="000000"/>
                <w:sz w:val="16"/>
                <w:szCs w:val="16"/>
              </w:rPr>
              <w:t xml:space="preserve">136,523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i/>
                <w:color w:val="000000"/>
                <w:sz w:val="16"/>
                <w:szCs w:val="16"/>
              </w:rPr>
            </w:pPr>
            <w:r w:rsidRPr="008E0B53">
              <w:rPr>
                <w:rFonts w:ascii="Arial" w:hAnsi="Arial" w:cs="Arial"/>
                <w:b/>
                <w:bCs/>
                <w:i/>
                <w:color w:val="000000"/>
                <w:sz w:val="16"/>
                <w:szCs w:val="16"/>
              </w:rPr>
              <w:t xml:space="preserve">136,131 </w:t>
            </w:r>
          </w:p>
        </w:tc>
      </w:tr>
      <w:tr w:rsidR="008E0B53" w:rsidRPr="008E0B53" w:rsidTr="008E0B53">
        <w:trPr>
          <w:trHeight w:val="233"/>
        </w:trPr>
        <w:tc>
          <w:tcPr>
            <w:tcW w:w="3224" w:type="dxa"/>
            <w:tcBorders>
              <w:top w:val="nil"/>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sz w:val="16"/>
                <w:szCs w:val="16"/>
              </w:rPr>
            </w:pPr>
            <w:r w:rsidRPr="008E0B53">
              <w:rPr>
                <w:rFonts w:ascii="Arial" w:hAnsi="Arial" w:cs="Arial"/>
                <w:b/>
                <w:bCs/>
                <w:sz w:val="16"/>
                <w:szCs w:val="16"/>
              </w:rPr>
              <w:t>Total Equity</w:t>
            </w:r>
          </w:p>
        </w:tc>
        <w:tc>
          <w:tcPr>
            <w:tcW w:w="893"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117,301 </w:t>
            </w:r>
          </w:p>
        </w:tc>
        <w:tc>
          <w:tcPr>
            <w:tcW w:w="915" w:type="dxa"/>
            <w:tcBorders>
              <w:top w:val="single" w:sz="4" w:space="0" w:color="auto"/>
              <w:left w:val="nil"/>
              <w:bottom w:val="single" w:sz="4" w:space="0" w:color="auto"/>
              <w:right w:val="nil"/>
            </w:tcBorders>
            <w:shd w:val="clear" w:color="000000" w:fill="E6E6E6"/>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137,362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137,182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136,523 </w:t>
            </w:r>
          </w:p>
        </w:tc>
        <w:tc>
          <w:tcPr>
            <w:tcW w:w="915" w:type="dxa"/>
            <w:tcBorders>
              <w:top w:val="single" w:sz="4" w:space="0" w:color="auto"/>
              <w:left w:val="nil"/>
              <w:bottom w:val="single" w:sz="4" w:space="0" w:color="auto"/>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136,131 </w:t>
            </w:r>
          </w:p>
        </w:tc>
      </w:tr>
    </w:tbl>
    <w:p w:rsidR="008E0B53" w:rsidRDefault="008E0B53" w:rsidP="00F51DAC">
      <w:pPr>
        <w:pStyle w:val="Source"/>
      </w:pPr>
    </w:p>
    <w:p w:rsidR="00F51DAC" w:rsidRDefault="008E0B53" w:rsidP="00F51DAC">
      <w:pPr>
        <w:pStyle w:val="Source"/>
      </w:pPr>
      <w:r>
        <w:t>*Equity is the residual interest in assets after the deduction of liabilities.</w:t>
      </w:r>
    </w:p>
    <w:p w:rsidR="004D7F3A" w:rsidRDefault="004D7F3A" w:rsidP="008E0B53">
      <w:pPr>
        <w:pStyle w:val="Source"/>
      </w:pPr>
    </w:p>
    <w:p w:rsidR="003C0E26" w:rsidRPr="008E0B53" w:rsidRDefault="003C0E26" w:rsidP="008E0B53">
      <w:pPr>
        <w:pStyle w:val="Source"/>
      </w:pPr>
      <w:proofErr w:type="gramStart"/>
      <w:r>
        <w:t>Prepared on Austral</w:t>
      </w:r>
      <w:r w:rsidR="008E0B53">
        <w:t>ian Accounting Standards basis.</w:t>
      </w:r>
      <w:proofErr w:type="gramEnd"/>
    </w:p>
    <w:p w:rsidR="00391F8E" w:rsidRDefault="00391F8E">
      <w:pPr>
        <w:spacing w:after="0" w:line="240" w:lineRule="auto"/>
        <w:jc w:val="left"/>
        <w:rPr>
          <w:rFonts w:ascii="Arial" w:hAnsi="Arial"/>
          <w:b/>
          <w:snapToGrid w:val="0"/>
          <w:lang w:val="x-none"/>
        </w:rPr>
      </w:pPr>
      <w:r>
        <w:rPr>
          <w:snapToGrid w:val="0"/>
        </w:rPr>
        <w:br w:type="page"/>
      </w:r>
    </w:p>
    <w:p w:rsidR="00FA4915" w:rsidRPr="00014438" w:rsidRDefault="00FA4915" w:rsidP="00FA4915">
      <w:pPr>
        <w:pStyle w:val="TableHeading"/>
        <w:spacing w:before="0"/>
        <w:rPr>
          <w:snapToGrid w:val="0"/>
        </w:rPr>
      </w:pPr>
      <w:r w:rsidRPr="00014438">
        <w:rPr>
          <w:snapToGrid w:val="0"/>
        </w:rPr>
        <w:lastRenderedPageBreak/>
        <w:t>Table 3.2.</w:t>
      </w:r>
      <w:r>
        <w:rPr>
          <w:snapToGrid w:val="0"/>
        </w:rPr>
        <w:t xml:space="preserve">3: </w:t>
      </w:r>
      <w:r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391F8E">
        <w:rPr>
          <w:snapToGrid w:val="0"/>
        </w:rPr>
        <w:t>quity</w:t>
      </w:r>
      <w:r w:rsidR="00391F8E">
        <w:rPr>
          <w:snapToGrid w:val="0"/>
          <w:lang w:val="en-AU"/>
        </w:rPr>
        <w:t>—</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Pr="00014438">
        <w:rPr>
          <w:snapToGrid w:val="0"/>
        </w:rPr>
        <w:t xml:space="preserve">t (Budget </w:t>
      </w:r>
      <w:r w:rsidR="004E017C">
        <w:rPr>
          <w:snapToGrid w:val="0"/>
        </w:rPr>
        <w:t>Y</w:t>
      </w:r>
      <w:r w:rsidRPr="00014438">
        <w:rPr>
          <w:snapToGrid w:val="0"/>
        </w:rPr>
        <w:t xml:space="preserve">ear </w:t>
      </w:r>
      <w:r w:rsidR="00A1234B">
        <w:rPr>
          <w:snapToGrid w:val="0"/>
        </w:rPr>
        <w:t>201</w:t>
      </w:r>
      <w:r w:rsidR="00327424">
        <w:rPr>
          <w:snapToGrid w:val="0"/>
          <w:lang w:val="en-AU"/>
        </w:rPr>
        <w:t>5</w:t>
      </w:r>
      <w:r w:rsidR="00391F8E">
        <w:rPr>
          <w:snapToGrid w:val="0"/>
          <w:lang w:val="en-AU"/>
        </w:rPr>
        <w:t>–</w:t>
      </w:r>
      <w:r w:rsidR="00A1234B">
        <w:rPr>
          <w:snapToGrid w:val="0"/>
        </w:rPr>
        <w:t>1</w:t>
      </w:r>
      <w:r w:rsidR="00327424">
        <w:rPr>
          <w:snapToGrid w:val="0"/>
          <w:lang w:val="en-AU"/>
        </w:rPr>
        <w:t>6</w:t>
      </w:r>
      <w:r w:rsidRPr="00014438">
        <w:rPr>
          <w:snapToGrid w:val="0"/>
        </w:rPr>
        <w:t>)</w:t>
      </w:r>
    </w:p>
    <w:tbl>
      <w:tblPr>
        <w:tblW w:w="7769" w:type="dxa"/>
        <w:tblInd w:w="93" w:type="dxa"/>
        <w:tblLook w:val="04A0" w:firstRow="1" w:lastRow="0" w:firstColumn="1" w:lastColumn="0" w:noHBand="0" w:noVBand="1"/>
      </w:tblPr>
      <w:tblGrid>
        <w:gridCol w:w="3568"/>
        <w:gridCol w:w="968"/>
        <w:gridCol w:w="1128"/>
        <w:gridCol w:w="1179"/>
        <w:gridCol w:w="926"/>
      </w:tblGrid>
      <w:tr w:rsidR="008E0B53" w:rsidRPr="008E0B53" w:rsidTr="001E280C">
        <w:trPr>
          <w:trHeight w:val="785"/>
          <w:tblHeader/>
        </w:trPr>
        <w:tc>
          <w:tcPr>
            <w:tcW w:w="3568" w:type="dxa"/>
            <w:tcBorders>
              <w:top w:val="single" w:sz="4" w:space="0" w:color="auto"/>
              <w:left w:val="nil"/>
              <w:bottom w:val="nil"/>
              <w:right w:val="nil"/>
            </w:tcBorders>
            <w:shd w:val="clear" w:color="auto" w:fill="auto"/>
            <w:noWrap/>
            <w:vAlign w:val="center"/>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w:t>
            </w:r>
          </w:p>
        </w:tc>
        <w:tc>
          <w:tcPr>
            <w:tcW w:w="968" w:type="dxa"/>
            <w:tcBorders>
              <w:top w:val="single" w:sz="4" w:space="0" w:color="auto"/>
              <w:left w:val="nil"/>
              <w:bottom w:val="single" w:sz="4" w:space="0" w:color="000000"/>
              <w:right w:val="nil"/>
            </w:tcBorders>
            <w:shd w:val="clear" w:color="auto" w:fill="auto"/>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Retained earnings </w:t>
            </w:r>
            <w:r w:rsidRPr="008E0B53">
              <w:rPr>
                <w:rFonts w:ascii="Arial" w:hAnsi="Arial" w:cs="Arial"/>
                <w:color w:val="000000"/>
                <w:sz w:val="16"/>
                <w:szCs w:val="16"/>
              </w:rPr>
              <w:br/>
              <w:t>$'000</w:t>
            </w:r>
          </w:p>
        </w:tc>
        <w:tc>
          <w:tcPr>
            <w:tcW w:w="1128" w:type="dxa"/>
            <w:tcBorders>
              <w:top w:val="single" w:sz="4" w:space="0" w:color="auto"/>
              <w:left w:val="nil"/>
              <w:bottom w:val="single" w:sz="4" w:space="0" w:color="000000"/>
              <w:right w:val="nil"/>
            </w:tcBorders>
            <w:shd w:val="clear" w:color="auto" w:fill="auto"/>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Asset revaluation reserve</w:t>
            </w:r>
            <w:r w:rsidRPr="008E0B53">
              <w:rPr>
                <w:rFonts w:ascii="Arial" w:hAnsi="Arial" w:cs="Arial"/>
                <w:color w:val="000000"/>
                <w:sz w:val="16"/>
                <w:szCs w:val="16"/>
              </w:rPr>
              <w:br/>
              <w:t>$'000</w:t>
            </w:r>
          </w:p>
        </w:tc>
        <w:tc>
          <w:tcPr>
            <w:tcW w:w="1179" w:type="dxa"/>
            <w:tcBorders>
              <w:top w:val="single" w:sz="4" w:space="0" w:color="auto"/>
              <w:left w:val="nil"/>
              <w:bottom w:val="single" w:sz="4" w:space="0" w:color="000000"/>
              <w:right w:val="nil"/>
            </w:tcBorders>
            <w:shd w:val="clear" w:color="auto" w:fill="auto"/>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Contributed equity/ capital</w:t>
            </w:r>
            <w:r w:rsidRPr="008E0B53">
              <w:rPr>
                <w:rFonts w:ascii="Arial" w:hAnsi="Arial" w:cs="Arial"/>
                <w:color w:val="000000"/>
                <w:sz w:val="16"/>
                <w:szCs w:val="16"/>
              </w:rPr>
              <w:br/>
              <w:t>$'000</w:t>
            </w:r>
          </w:p>
        </w:tc>
        <w:tc>
          <w:tcPr>
            <w:tcW w:w="926" w:type="dxa"/>
            <w:tcBorders>
              <w:top w:val="single" w:sz="4" w:space="0" w:color="auto"/>
              <w:left w:val="nil"/>
              <w:bottom w:val="single" w:sz="4" w:space="0" w:color="000000"/>
              <w:right w:val="nil"/>
            </w:tcBorders>
            <w:shd w:val="clear" w:color="auto" w:fill="auto"/>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Total equity</w:t>
            </w:r>
            <w:r w:rsidRPr="008E0B53">
              <w:rPr>
                <w:rFonts w:ascii="Arial" w:hAnsi="Arial" w:cs="Arial"/>
                <w:color w:val="000000"/>
                <w:sz w:val="16"/>
                <w:szCs w:val="16"/>
              </w:rPr>
              <w:br/>
              <w:t>$'000</w:t>
            </w:r>
          </w:p>
        </w:tc>
      </w:tr>
      <w:tr w:rsidR="008E0B53" w:rsidRPr="008E0B53" w:rsidTr="008E0B53">
        <w:trPr>
          <w:trHeight w:val="227"/>
        </w:trPr>
        <w:tc>
          <w:tcPr>
            <w:tcW w:w="3568" w:type="dxa"/>
            <w:tcBorders>
              <w:top w:val="nil"/>
              <w:left w:val="nil"/>
              <w:bottom w:val="nil"/>
              <w:right w:val="nil"/>
            </w:tcBorders>
            <w:shd w:val="clear" w:color="auto" w:fill="auto"/>
            <w:vAlign w:val="center"/>
            <w:hideMark/>
          </w:tcPr>
          <w:p w:rsidR="008E0B53" w:rsidRPr="008E0B53" w:rsidRDefault="008E0B53" w:rsidP="008E0B53">
            <w:pPr>
              <w:spacing w:after="0" w:line="240" w:lineRule="auto"/>
              <w:jc w:val="left"/>
              <w:rPr>
                <w:rFonts w:ascii="Arial" w:hAnsi="Arial" w:cs="Arial"/>
                <w:b/>
                <w:bCs/>
                <w:color w:val="000000"/>
                <w:sz w:val="16"/>
                <w:szCs w:val="16"/>
              </w:rPr>
            </w:pPr>
            <w:r w:rsidRPr="008E0B53">
              <w:rPr>
                <w:rFonts w:ascii="Arial" w:hAnsi="Arial" w:cs="Arial"/>
                <w:b/>
                <w:bCs/>
                <w:color w:val="000000"/>
                <w:sz w:val="16"/>
                <w:szCs w:val="16"/>
              </w:rPr>
              <w:t>Opening balance as at 1 July 2015</w:t>
            </w:r>
          </w:p>
        </w:tc>
        <w:tc>
          <w:tcPr>
            <w:tcW w:w="9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color w:val="000000"/>
                <w:sz w:val="16"/>
                <w:szCs w:val="16"/>
              </w:rPr>
            </w:pPr>
          </w:p>
        </w:tc>
        <w:tc>
          <w:tcPr>
            <w:tcW w:w="112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color w:val="000000"/>
                <w:sz w:val="16"/>
                <w:szCs w:val="16"/>
              </w:rPr>
            </w:pPr>
          </w:p>
        </w:tc>
        <w:tc>
          <w:tcPr>
            <w:tcW w:w="1179"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color w:val="000000"/>
                <w:sz w:val="16"/>
                <w:szCs w:val="16"/>
              </w:rPr>
            </w:pPr>
          </w:p>
        </w:tc>
        <w:tc>
          <w:tcPr>
            <w:tcW w:w="926"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color w:val="000000"/>
                <w:sz w:val="16"/>
                <w:szCs w:val="16"/>
              </w:rPr>
            </w:pPr>
          </w:p>
        </w:tc>
      </w:tr>
      <w:tr w:rsidR="008E0B53" w:rsidRPr="008E0B53" w:rsidTr="008E0B53">
        <w:trPr>
          <w:trHeight w:val="342"/>
        </w:trPr>
        <w:tc>
          <w:tcPr>
            <w:tcW w:w="3568" w:type="dxa"/>
            <w:tcBorders>
              <w:top w:val="nil"/>
              <w:left w:val="nil"/>
              <w:bottom w:val="nil"/>
              <w:right w:val="nil"/>
            </w:tcBorders>
            <w:shd w:val="clear" w:color="auto" w:fill="auto"/>
            <w:vAlign w:val="bottom"/>
            <w:hideMark/>
          </w:tcPr>
          <w:p w:rsidR="008E0B53" w:rsidRPr="008E0B53" w:rsidRDefault="008E0B53" w:rsidP="00827369">
            <w:pPr>
              <w:spacing w:after="0" w:line="240" w:lineRule="auto"/>
              <w:ind w:left="191"/>
              <w:jc w:val="left"/>
              <w:rPr>
                <w:rFonts w:ascii="Arial" w:hAnsi="Arial" w:cs="Arial"/>
                <w:color w:val="000000"/>
                <w:sz w:val="16"/>
                <w:szCs w:val="16"/>
              </w:rPr>
            </w:pPr>
            <w:r w:rsidRPr="008E0B53">
              <w:rPr>
                <w:rFonts w:ascii="Arial" w:hAnsi="Arial" w:cs="Arial"/>
                <w:color w:val="000000"/>
                <w:sz w:val="16"/>
                <w:szCs w:val="16"/>
              </w:rPr>
              <w:t>Balance carried forward from previous period</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(37,590)</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3,376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151,515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117,301 </w:t>
            </w:r>
          </w:p>
        </w:tc>
      </w:tr>
      <w:tr w:rsidR="008E0B53" w:rsidRPr="008E0B53" w:rsidTr="008E0B53">
        <w:trPr>
          <w:trHeight w:val="390"/>
        </w:trPr>
        <w:tc>
          <w:tcPr>
            <w:tcW w:w="3568" w:type="dxa"/>
            <w:tcBorders>
              <w:top w:val="nil"/>
              <w:left w:val="nil"/>
              <w:bottom w:val="nil"/>
              <w:right w:val="nil"/>
            </w:tcBorders>
            <w:shd w:val="clear" w:color="auto" w:fill="auto"/>
            <w:vAlign w:val="bottom"/>
            <w:hideMark/>
          </w:tcPr>
          <w:p w:rsidR="008E0B53" w:rsidRPr="008E0B53" w:rsidRDefault="008E0B53" w:rsidP="00827369">
            <w:pPr>
              <w:spacing w:after="0" w:line="240" w:lineRule="auto"/>
              <w:ind w:left="191"/>
              <w:jc w:val="left"/>
              <w:rPr>
                <w:rFonts w:ascii="Arial" w:hAnsi="Arial" w:cs="Arial"/>
                <w:color w:val="000000"/>
                <w:sz w:val="16"/>
                <w:szCs w:val="16"/>
              </w:rPr>
            </w:pPr>
            <w:r w:rsidRPr="008E0B53">
              <w:rPr>
                <w:rFonts w:ascii="Arial" w:hAnsi="Arial" w:cs="Arial"/>
                <w:color w:val="000000"/>
                <w:sz w:val="16"/>
                <w:szCs w:val="16"/>
              </w:rPr>
              <w:t>Adjustment for changes in accounting policies</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r>
      <w:tr w:rsidR="008E0B53" w:rsidRPr="008E0B53" w:rsidTr="008E0B53">
        <w:trPr>
          <w:trHeight w:val="227"/>
        </w:trPr>
        <w:tc>
          <w:tcPr>
            <w:tcW w:w="3568" w:type="dxa"/>
            <w:tcBorders>
              <w:top w:val="nil"/>
              <w:left w:val="nil"/>
              <w:bottom w:val="nil"/>
              <w:right w:val="nil"/>
            </w:tcBorders>
            <w:shd w:val="clear" w:color="auto" w:fill="auto"/>
            <w:vAlign w:val="center"/>
            <w:hideMark/>
          </w:tcPr>
          <w:p w:rsidR="008E0B53" w:rsidRPr="008E0B53" w:rsidRDefault="008E0B53" w:rsidP="008E0B53">
            <w:pPr>
              <w:spacing w:after="0" w:line="240" w:lineRule="auto"/>
              <w:jc w:val="left"/>
              <w:rPr>
                <w:rFonts w:ascii="Arial" w:hAnsi="Arial" w:cs="Arial"/>
                <w:b/>
                <w:bCs/>
                <w:i/>
                <w:iCs/>
                <w:color w:val="000000"/>
                <w:sz w:val="16"/>
                <w:szCs w:val="16"/>
              </w:rPr>
            </w:pPr>
            <w:r w:rsidRPr="008E0B53">
              <w:rPr>
                <w:rFonts w:ascii="Arial" w:hAnsi="Arial" w:cs="Arial"/>
                <w:b/>
                <w:bCs/>
                <w:i/>
                <w:iCs/>
                <w:color w:val="000000"/>
                <w:sz w:val="16"/>
                <w:szCs w:val="16"/>
              </w:rPr>
              <w:t>Adjusted opening balance</w:t>
            </w:r>
          </w:p>
        </w:tc>
        <w:tc>
          <w:tcPr>
            <w:tcW w:w="968"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(37,590)</w:t>
            </w:r>
          </w:p>
        </w:tc>
        <w:tc>
          <w:tcPr>
            <w:tcW w:w="1128"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3,376 </w:t>
            </w:r>
          </w:p>
        </w:tc>
        <w:tc>
          <w:tcPr>
            <w:tcW w:w="1179"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151,515 </w:t>
            </w:r>
          </w:p>
        </w:tc>
        <w:tc>
          <w:tcPr>
            <w:tcW w:w="926"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117,301 </w:t>
            </w:r>
          </w:p>
        </w:tc>
      </w:tr>
      <w:tr w:rsidR="008E0B53" w:rsidRPr="008E0B53" w:rsidTr="008E0B53">
        <w:trPr>
          <w:trHeight w:val="227"/>
        </w:trPr>
        <w:tc>
          <w:tcPr>
            <w:tcW w:w="35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color w:val="000000"/>
                <w:sz w:val="16"/>
                <w:szCs w:val="16"/>
              </w:rPr>
            </w:pPr>
            <w:r w:rsidRPr="008E0B53">
              <w:rPr>
                <w:rFonts w:ascii="Arial" w:hAnsi="Arial" w:cs="Arial"/>
                <w:b/>
                <w:bCs/>
                <w:color w:val="000000"/>
                <w:sz w:val="16"/>
                <w:szCs w:val="16"/>
              </w:rPr>
              <w:t>Comprehensive income</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r>
      <w:tr w:rsidR="008E0B53" w:rsidRPr="008E0B53" w:rsidTr="008E0B53">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ind w:firstLineChars="119" w:firstLine="190"/>
              <w:jc w:val="left"/>
              <w:rPr>
                <w:rFonts w:ascii="Arial" w:hAnsi="Arial" w:cs="Arial"/>
                <w:color w:val="000000"/>
                <w:sz w:val="16"/>
                <w:szCs w:val="16"/>
              </w:rPr>
            </w:pPr>
            <w:r w:rsidRPr="008E0B53">
              <w:rPr>
                <w:rFonts w:ascii="Arial" w:hAnsi="Arial" w:cs="Arial"/>
                <w:color w:val="000000"/>
                <w:sz w:val="16"/>
                <w:szCs w:val="16"/>
              </w:rPr>
              <w:t>Other comprehensive income</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r>
      <w:tr w:rsidR="008E0B53" w:rsidRPr="008E0B53" w:rsidTr="008E0B53">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ind w:firstLineChars="119" w:firstLine="190"/>
              <w:jc w:val="left"/>
              <w:rPr>
                <w:rFonts w:ascii="Arial" w:hAnsi="Arial" w:cs="Arial"/>
                <w:sz w:val="16"/>
                <w:szCs w:val="16"/>
              </w:rPr>
            </w:pPr>
            <w:r w:rsidRPr="008E0B53">
              <w:rPr>
                <w:rFonts w:ascii="Arial" w:hAnsi="Arial" w:cs="Arial"/>
                <w:sz w:val="16"/>
                <w:szCs w:val="16"/>
              </w:rPr>
              <w:t>Surplus/(deficit) for the period</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(26,895)</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(26,895)</w:t>
            </w:r>
          </w:p>
        </w:tc>
      </w:tr>
      <w:tr w:rsidR="008E0B53" w:rsidRPr="008E0B53" w:rsidTr="008E0B53">
        <w:trPr>
          <w:trHeight w:val="227"/>
        </w:trPr>
        <w:tc>
          <w:tcPr>
            <w:tcW w:w="3568" w:type="dxa"/>
            <w:tcBorders>
              <w:top w:val="nil"/>
              <w:left w:val="nil"/>
              <w:bottom w:val="nil"/>
              <w:right w:val="nil"/>
            </w:tcBorders>
            <w:shd w:val="clear" w:color="auto" w:fill="auto"/>
            <w:vAlign w:val="center"/>
            <w:hideMark/>
          </w:tcPr>
          <w:p w:rsidR="008E0B53" w:rsidRPr="008E0B53" w:rsidRDefault="008E0B53" w:rsidP="008E0B53">
            <w:pPr>
              <w:spacing w:after="0" w:line="240" w:lineRule="auto"/>
              <w:jc w:val="left"/>
              <w:rPr>
                <w:rFonts w:ascii="Arial" w:hAnsi="Arial" w:cs="Arial"/>
                <w:b/>
                <w:bCs/>
                <w:i/>
                <w:iCs/>
                <w:color w:val="000000"/>
                <w:sz w:val="16"/>
                <w:szCs w:val="16"/>
              </w:rPr>
            </w:pPr>
            <w:r w:rsidRPr="008E0B53">
              <w:rPr>
                <w:rFonts w:ascii="Arial" w:hAnsi="Arial" w:cs="Arial"/>
                <w:b/>
                <w:bCs/>
                <w:i/>
                <w:iCs/>
                <w:color w:val="000000"/>
                <w:sz w:val="16"/>
                <w:szCs w:val="16"/>
              </w:rPr>
              <w:t>Total comprehensive income</w:t>
            </w:r>
          </w:p>
        </w:tc>
        <w:tc>
          <w:tcPr>
            <w:tcW w:w="968"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(26,895)</w:t>
            </w:r>
          </w:p>
        </w:tc>
        <w:tc>
          <w:tcPr>
            <w:tcW w:w="1128"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 </w:t>
            </w:r>
          </w:p>
        </w:tc>
        <w:tc>
          <w:tcPr>
            <w:tcW w:w="1179"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 </w:t>
            </w:r>
          </w:p>
        </w:tc>
        <w:tc>
          <w:tcPr>
            <w:tcW w:w="926"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(26,895)</w:t>
            </w:r>
          </w:p>
        </w:tc>
      </w:tr>
      <w:tr w:rsidR="008E0B53" w:rsidRPr="008E0B53" w:rsidTr="008E0B53">
        <w:trPr>
          <w:trHeight w:val="227"/>
        </w:trPr>
        <w:tc>
          <w:tcPr>
            <w:tcW w:w="35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ind w:firstLineChars="100" w:firstLine="160"/>
              <w:jc w:val="left"/>
              <w:rPr>
                <w:rFonts w:ascii="Arial" w:hAnsi="Arial" w:cs="Arial"/>
                <w:color w:val="000000"/>
                <w:sz w:val="16"/>
                <w:szCs w:val="16"/>
              </w:rPr>
            </w:pPr>
            <w:r w:rsidRPr="008E0B53">
              <w:rPr>
                <w:rFonts w:ascii="Arial" w:hAnsi="Arial" w:cs="Arial"/>
                <w:color w:val="000000"/>
                <w:sz w:val="16"/>
                <w:szCs w:val="16"/>
              </w:rPr>
              <w:t>of which:</w:t>
            </w:r>
          </w:p>
        </w:tc>
        <w:tc>
          <w:tcPr>
            <w:tcW w:w="968"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1128"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1179"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926" w:type="dxa"/>
            <w:tcBorders>
              <w:top w:val="single" w:sz="4" w:space="0" w:color="000000"/>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r>
      <w:tr w:rsidR="008E0B53" w:rsidRPr="008E0B53" w:rsidTr="002A7B73">
        <w:trPr>
          <w:trHeight w:val="160"/>
        </w:trPr>
        <w:tc>
          <w:tcPr>
            <w:tcW w:w="3568" w:type="dxa"/>
            <w:tcBorders>
              <w:top w:val="nil"/>
              <w:left w:val="nil"/>
              <w:bottom w:val="nil"/>
              <w:right w:val="nil"/>
            </w:tcBorders>
            <w:shd w:val="clear" w:color="auto" w:fill="auto"/>
            <w:vAlign w:val="bottom"/>
            <w:hideMark/>
          </w:tcPr>
          <w:p w:rsidR="008E0B53" w:rsidRPr="008E0B53" w:rsidRDefault="008E0B53" w:rsidP="008E0B53">
            <w:pPr>
              <w:spacing w:after="0" w:line="240" w:lineRule="auto"/>
              <w:ind w:left="1" w:firstLine="283"/>
              <w:jc w:val="left"/>
              <w:rPr>
                <w:rFonts w:ascii="Arial" w:hAnsi="Arial" w:cs="Arial"/>
                <w:color w:val="000000"/>
                <w:sz w:val="16"/>
                <w:szCs w:val="16"/>
              </w:rPr>
            </w:pPr>
            <w:r w:rsidRPr="008E0B53">
              <w:rPr>
                <w:rFonts w:ascii="Arial" w:hAnsi="Arial" w:cs="Arial"/>
                <w:color w:val="000000"/>
                <w:sz w:val="16"/>
                <w:szCs w:val="16"/>
              </w:rPr>
              <w:t>Attributable to the Australian Government</w:t>
            </w:r>
          </w:p>
        </w:tc>
        <w:tc>
          <w:tcPr>
            <w:tcW w:w="968" w:type="dxa"/>
            <w:tcBorders>
              <w:top w:val="nil"/>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(26,895)</w:t>
            </w:r>
          </w:p>
        </w:tc>
        <w:tc>
          <w:tcPr>
            <w:tcW w:w="1128" w:type="dxa"/>
            <w:tcBorders>
              <w:top w:val="nil"/>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(26,895)</w:t>
            </w:r>
          </w:p>
        </w:tc>
      </w:tr>
      <w:tr w:rsidR="008E0B53" w:rsidRPr="008E0B53" w:rsidTr="002A7B73">
        <w:trPr>
          <w:trHeight w:val="227"/>
        </w:trPr>
        <w:tc>
          <w:tcPr>
            <w:tcW w:w="35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color w:val="000000"/>
                <w:sz w:val="16"/>
                <w:szCs w:val="16"/>
              </w:rPr>
            </w:pPr>
            <w:r w:rsidRPr="008E0B53">
              <w:rPr>
                <w:rFonts w:ascii="Arial" w:hAnsi="Arial" w:cs="Arial"/>
                <w:b/>
                <w:bCs/>
                <w:color w:val="000000"/>
                <w:sz w:val="16"/>
                <w:szCs w:val="16"/>
              </w:rPr>
              <w:t>Transactions with owners</w:t>
            </w:r>
          </w:p>
        </w:tc>
        <w:tc>
          <w:tcPr>
            <w:tcW w:w="968" w:type="dxa"/>
            <w:tcBorders>
              <w:top w:val="single" w:sz="4" w:space="0" w:color="000000"/>
              <w:left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1128" w:type="dxa"/>
            <w:tcBorders>
              <w:top w:val="single" w:sz="4" w:space="0" w:color="000000"/>
              <w:left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1179" w:type="dxa"/>
            <w:tcBorders>
              <w:top w:val="single" w:sz="4" w:space="0" w:color="000000"/>
              <w:left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c>
          <w:tcPr>
            <w:tcW w:w="926" w:type="dxa"/>
            <w:tcBorders>
              <w:top w:val="single" w:sz="4" w:space="0" w:color="000000"/>
              <w:left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r w:rsidRPr="008E0B53">
              <w:rPr>
                <w:rFonts w:ascii="Arial" w:hAnsi="Arial" w:cs="Arial"/>
                <w:color w:val="000000"/>
                <w:sz w:val="16"/>
                <w:szCs w:val="16"/>
              </w:rPr>
              <w:t> </w:t>
            </w:r>
          </w:p>
        </w:tc>
      </w:tr>
      <w:tr w:rsidR="008E0B53" w:rsidRPr="008E0B53" w:rsidTr="002A7B73">
        <w:trPr>
          <w:trHeight w:val="227"/>
        </w:trPr>
        <w:tc>
          <w:tcPr>
            <w:tcW w:w="35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ind w:firstLineChars="100" w:firstLine="161"/>
              <w:jc w:val="left"/>
              <w:rPr>
                <w:rFonts w:ascii="Arial" w:hAnsi="Arial" w:cs="Arial"/>
                <w:b/>
                <w:bCs/>
                <w:i/>
                <w:iCs/>
                <w:color w:val="000000"/>
                <w:sz w:val="16"/>
                <w:szCs w:val="16"/>
              </w:rPr>
            </w:pPr>
            <w:r w:rsidRPr="008E0B53">
              <w:rPr>
                <w:rFonts w:ascii="Arial" w:hAnsi="Arial" w:cs="Arial"/>
                <w:b/>
                <w:bCs/>
                <w:i/>
                <w:iCs/>
                <w:color w:val="000000"/>
                <w:sz w:val="16"/>
                <w:szCs w:val="16"/>
              </w:rPr>
              <w:t>Contributions by owners</w:t>
            </w:r>
          </w:p>
        </w:tc>
        <w:tc>
          <w:tcPr>
            <w:tcW w:w="968" w:type="dxa"/>
            <w:tcBorders>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1128" w:type="dxa"/>
            <w:tcBorders>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1179" w:type="dxa"/>
            <w:tcBorders>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c>
          <w:tcPr>
            <w:tcW w:w="926" w:type="dxa"/>
            <w:tcBorders>
              <w:left w:val="nil"/>
              <w:bottom w:val="nil"/>
              <w:right w:val="nil"/>
            </w:tcBorders>
            <w:shd w:val="clear" w:color="auto" w:fill="auto"/>
            <w:noWrap/>
            <w:vAlign w:val="bottom"/>
            <w:hideMark/>
          </w:tcPr>
          <w:p w:rsidR="008E0B53" w:rsidRPr="008E0B53" w:rsidRDefault="008E0B53" w:rsidP="008E0B53">
            <w:pPr>
              <w:spacing w:after="0" w:line="240" w:lineRule="auto"/>
              <w:jc w:val="left"/>
              <w:rPr>
                <w:rFonts w:ascii="Arial" w:hAnsi="Arial" w:cs="Arial"/>
                <w:color w:val="000000"/>
                <w:sz w:val="16"/>
                <w:szCs w:val="16"/>
              </w:rPr>
            </w:pPr>
          </w:p>
        </w:tc>
      </w:tr>
      <w:tr w:rsidR="008E0B53" w:rsidRPr="008E0B53" w:rsidTr="00900701">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900701">
            <w:pPr>
              <w:spacing w:after="0" w:line="240" w:lineRule="auto"/>
              <w:ind w:firstLineChars="200" w:firstLine="320"/>
              <w:jc w:val="left"/>
              <w:rPr>
                <w:rFonts w:ascii="Arial" w:hAnsi="Arial" w:cs="Arial"/>
                <w:color w:val="000000"/>
                <w:sz w:val="16"/>
                <w:szCs w:val="16"/>
              </w:rPr>
            </w:pPr>
            <w:r>
              <w:rPr>
                <w:rFonts w:ascii="Arial" w:hAnsi="Arial" w:cs="Arial"/>
                <w:color w:val="000000"/>
                <w:sz w:val="16"/>
                <w:szCs w:val="16"/>
              </w:rPr>
              <w:t>Equity Injection—</w:t>
            </w:r>
            <w:r w:rsidRPr="008E0B53">
              <w:rPr>
                <w:rFonts w:ascii="Arial" w:hAnsi="Arial" w:cs="Arial"/>
                <w:color w:val="000000"/>
                <w:sz w:val="16"/>
                <w:szCs w:val="16"/>
              </w:rPr>
              <w:t>Appropriation</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15,408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15,408 </w:t>
            </w:r>
          </w:p>
        </w:tc>
      </w:tr>
      <w:tr w:rsidR="008E0B53" w:rsidRPr="008E0B53" w:rsidTr="00900701">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900701">
            <w:pPr>
              <w:spacing w:after="0" w:line="240" w:lineRule="auto"/>
              <w:ind w:firstLineChars="200" w:firstLine="320"/>
              <w:jc w:val="left"/>
              <w:rPr>
                <w:rFonts w:ascii="Arial" w:hAnsi="Arial" w:cs="Arial"/>
                <w:color w:val="000000"/>
                <w:sz w:val="16"/>
                <w:szCs w:val="16"/>
              </w:rPr>
            </w:pPr>
            <w:r w:rsidRPr="008E0B53">
              <w:rPr>
                <w:rFonts w:ascii="Arial" w:hAnsi="Arial" w:cs="Arial"/>
                <w:color w:val="000000"/>
                <w:sz w:val="16"/>
                <w:szCs w:val="16"/>
              </w:rPr>
              <w:t>Departmental Capital Budget (</w:t>
            </w:r>
            <w:proofErr w:type="spellStart"/>
            <w:r w:rsidRPr="008E0B53">
              <w:rPr>
                <w:rFonts w:ascii="Arial" w:hAnsi="Arial" w:cs="Arial"/>
                <w:color w:val="000000"/>
                <w:sz w:val="16"/>
                <w:szCs w:val="16"/>
              </w:rPr>
              <w:t>DCB</w:t>
            </w:r>
            <w:proofErr w:type="spellEnd"/>
            <w:r w:rsidRPr="008E0B53">
              <w:rPr>
                <w:rFonts w:ascii="Arial" w:hAnsi="Arial" w:cs="Arial"/>
                <w:color w:val="000000"/>
                <w:sz w:val="16"/>
                <w:szCs w:val="16"/>
              </w:rPr>
              <w:t>)</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27,378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27,378 </w:t>
            </w:r>
          </w:p>
        </w:tc>
      </w:tr>
      <w:tr w:rsidR="008E0B53" w:rsidRPr="008E0B53" w:rsidTr="00900701">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900701">
            <w:pPr>
              <w:spacing w:after="0" w:line="240" w:lineRule="auto"/>
              <w:ind w:firstLineChars="200" w:firstLine="320"/>
              <w:jc w:val="left"/>
              <w:rPr>
                <w:rFonts w:ascii="Arial" w:hAnsi="Arial" w:cs="Arial"/>
                <w:color w:val="000000"/>
                <w:sz w:val="16"/>
                <w:szCs w:val="16"/>
              </w:rPr>
            </w:pPr>
            <w:r w:rsidRPr="008E0B53">
              <w:rPr>
                <w:rFonts w:ascii="Arial" w:hAnsi="Arial" w:cs="Arial"/>
                <w:color w:val="000000"/>
                <w:sz w:val="16"/>
                <w:szCs w:val="16"/>
              </w:rPr>
              <w:t>Other</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4,170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4,170 </w:t>
            </w:r>
          </w:p>
        </w:tc>
      </w:tr>
      <w:tr w:rsidR="008E0B53" w:rsidRPr="008E0B53" w:rsidTr="008E0B53">
        <w:trPr>
          <w:trHeight w:val="227"/>
        </w:trPr>
        <w:tc>
          <w:tcPr>
            <w:tcW w:w="3568" w:type="dxa"/>
            <w:tcBorders>
              <w:top w:val="nil"/>
              <w:left w:val="nil"/>
              <w:bottom w:val="nil"/>
              <w:right w:val="nil"/>
            </w:tcBorders>
            <w:shd w:val="clear" w:color="auto" w:fill="auto"/>
            <w:noWrap/>
            <w:vAlign w:val="center"/>
            <w:hideMark/>
          </w:tcPr>
          <w:p w:rsidR="008E0B53" w:rsidRPr="008E0B53" w:rsidRDefault="008E0B53" w:rsidP="008E0B53">
            <w:pPr>
              <w:spacing w:after="0" w:line="240" w:lineRule="auto"/>
              <w:jc w:val="left"/>
              <w:rPr>
                <w:rFonts w:ascii="Arial" w:hAnsi="Arial" w:cs="Arial"/>
                <w:b/>
                <w:bCs/>
                <w:i/>
                <w:iCs/>
                <w:color w:val="000000"/>
                <w:sz w:val="16"/>
                <w:szCs w:val="16"/>
              </w:rPr>
            </w:pPr>
            <w:r w:rsidRPr="008E0B53">
              <w:rPr>
                <w:rFonts w:ascii="Arial" w:hAnsi="Arial" w:cs="Arial"/>
                <w:b/>
                <w:bCs/>
                <w:i/>
                <w:iCs/>
                <w:color w:val="000000"/>
                <w:sz w:val="16"/>
                <w:szCs w:val="16"/>
              </w:rPr>
              <w:t>Sub-total transactions with owners</w:t>
            </w:r>
          </w:p>
        </w:tc>
        <w:tc>
          <w:tcPr>
            <w:tcW w:w="968"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 </w:t>
            </w:r>
          </w:p>
        </w:tc>
        <w:tc>
          <w:tcPr>
            <w:tcW w:w="1128"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 </w:t>
            </w:r>
          </w:p>
        </w:tc>
        <w:tc>
          <w:tcPr>
            <w:tcW w:w="1179"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46,956 </w:t>
            </w:r>
          </w:p>
        </w:tc>
        <w:tc>
          <w:tcPr>
            <w:tcW w:w="926" w:type="dxa"/>
            <w:tcBorders>
              <w:top w:val="single" w:sz="4" w:space="0" w:color="000000"/>
              <w:left w:val="nil"/>
              <w:bottom w:val="single" w:sz="4" w:space="0" w:color="000000"/>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i/>
                <w:iCs/>
                <w:color w:val="000000"/>
                <w:sz w:val="16"/>
                <w:szCs w:val="16"/>
              </w:rPr>
            </w:pPr>
            <w:r w:rsidRPr="008E0B53">
              <w:rPr>
                <w:rFonts w:ascii="Arial" w:hAnsi="Arial" w:cs="Arial"/>
                <w:b/>
                <w:bCs/>
                <w:i/>
                <w:iCs/>
                <w:color w:val="000000"/>
                <w:sz w:val="16"/>
                <w:szCs w:val="16"/>
              </w:rPr>
              <w:t xml:space="preserve">46,956 </w:t>
            </w:r>
          </w:p>
        </w:tc>
      </w:tr>
      <w:tr w:rsidR="008E0B53" w:rsidRPr="008E0B53" w:rsidTr="00900701">
        <w:trPr>
          <w:trHeight w:val="227"/>
        </w:trPr>
        <w:tc>
          <w:tcPr>
            <w:tcW w:w="3568" w:type="dxa"/>
            <w:tcBorders>
              <w:top w:val="nil"/>
              <w:left w:val="nil"/>
              <w:bottom w:val="nil"/>
              <w:right w:val="nil"/>
            </w:tcBorders>
            <w:shd w:val="clear" w:color="auto" w:fill="auto"/>
            <w:vAlign w:val="bottom"/>
            <w:hideMark/>
          </w:tcPr>
          <w:p w:rsidR="008E0B53" w:rsidRPr="008E0B53" w:rsidRDefault="008E0B53" w:rsidP="00900701">
            <w:pPr>
              <w:spacing w:after="0" w:line="240" w:lineRule="auto"/>
              <w:ind w:firstLineChars="100" w:firstLine="160"/>
              <w:jc w:val="left"/>
              <w:rPr>
                <w:rFonts w:ascii="Arial" w:hAnsi="Arial" w:cs="Arial"/>
                <w:color w:val="000000"/>
                <w:sz w:val="16"/>
                <w:szCs w:val="16"/>
              </w:rPr>
            </w:pPr>
            <w:r w:rsidRPr="008E0B53">
              <w:rPr>
                <w:rFonts w:ascii="Arial" w:hAnsi="Arial" w:cs="Arial"/>
                <w:color w:val="000000"/>
                <w:sz w:val="16"/>
                <w:szCs w:val="16"/>
              </w:rPr>
              <w:t>Transfers between equity components</w:t>
            </w:r>
          </w:p>
        </w:tc>
        <w:tc>
          <w:tcPr>
            <w:tcW w:w="96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nil"/>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r>
      <w:tr w:rsidR="008E0B53" w:rsidRPr="008E0B53" w:rsidTr="00900701">
        <w:trPr>
          <w:trHeight w:val="459"/>
        </w:trPr>
        <w:tc>
          <w:tcPr>
            <w:tcW w:w="3568" w:type="dxa"/>
            <w:tcBorders>
              <w:top w:val="nil"/>
              <w:left w:val="nil"/>
              <w:bottom w:val="nil"/>
              <w:right w:val="nil"/>
            </w:tcBorders>
            <w:shd w:val="clear" w:color="auto" w:fill="auto"/>
            <w:vAlign w:val="bottom"/>
            <w:hideMark/>
          </w:tcPr>
          <w:p w:rsidR="008E0B53" w:rsidRPr="008E0B53" w:rsidRDefault="008E0B53" w:rsidP="00900701">
            <w:pPr>
              <w:spacing w:after="0" w:line="240" w:lineRule="auto"/>
              <w:ind w:left="191" w:hanging="191"/>
              <w:jc w:val="left"/>
              <w:rPr>
                <w:rFonts w:ascii="Arial" w:hAnsi="Arial" w:cs="Arial"/>
                <w:b/>
                <w:bCs/>
                <w:color w:val="000000"/>
                <w:sz w:val="16"/>
                <w:szCs w:val="16"/>
              </w:rPr>
            </w:pPr>
            <w:r w:rsidRPr="008E0B53">
              <w:rPr>
                <w:rFonts w:ascii="Arial" w:hAnsi="Arial" w:cs="Arial"/>
                <w:b/>
                <w:bCs/>
                <w:color w:val="000000"/>
                <w:sz w:val="16"/>
                <w:szCs w:val="16"/>
              </w:rPr>
              <w:t>Est</w:t>
            </w:r>
            <w:r w:rsidR="00900701">
              <w:rPr>
                <w:rFonts w:ascii="Arial" w:hAnsi="Arial" w:cs="Arial"/>
                <w:b/>
                <w:bCs/>
                <w:color w:val="000000"/>
                <w:sz w:val="16"/>
                <w:szCs w:val="16"/>
              </w:rPr>
              <w:t>imated closing balance as at 30 June </w:t>
            </w:r>
            <w:r w:rsidRPr="008E0B53">
              <w:rPr>
                <w:rFonts w:ascii="Arial" w:hAnsi="Arial" w:cs="Arial"/>
                <w:b/>
                <w:bCs/>
                <w:color w:val="000000"/>
                <w:sz w:val="16"/>
                <w:szCs w:val="16"/>
              </w:rPr>
              <w:t>2016</w:t>
            </w:r>
          </w:p>
        </w:tc>
        <w:tc>
          <w:tcPr>
            <w:tcW w:w="968" w:type="dxa"/>
            <w:tcBorders>
              <w:top w:val="single" w:sz="4" w:space="0" w:color="auto"/>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(64,485)</w:t>
            </w:r>
          </w:p>
        </w:tc>
        <w:tc>
          <w:tcPr>
            <w:tcW w:w="1128" w:type="dxa"/>
            <w:tcBorders>
              <w:top w:val="single" w:sz="4" w:space="0" w:color="auto"/>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3,376 </w:t>
            </w:r>
          </w:p>
        </w:tc>
        <w:tc>
          <w:tcPr>
            <w:tcW w:w="1179" w:type="dxa"/>
            <w:tcBorders>
              <w:top w:val="single" w:sz="4" w:space="0" w:color="auto"/>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198,471 </w:t>
            </w:r>
          </w:p>
        </w:tc>
        <w:tc>
          <w:tcPr>
            <w:tcW w:w="926" w:type="dxa"/>
            <w:tcBorders>
              <w:top w:val="single" w:sz="4" w:space="0" w:color="auto"/>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137,362 </w:t>
            </w:r>
          </w:p>
        </w:tc>
      </w:tr>
      <w:tr w:rsidR="008E0B53" w:rsidRPr="008E0B53" w:rsidTr="00900701">
        <w:trPr>
          <w:trHeight w:val="227"/>
        </w:trPr>
        <w:tc>
          <w:tcPr>
            <w:tcW w:w="3568" w:type="dxa"/>
            <w:tcBorders>
              <w:top w:val="nil"/>
              <w:left w:val="nil"/>
              <w:bottom w:val="nil"/>
              <w:right w:val="nil"/>
            </w:tcBorders>
            <w:shd w:val="clear" w:color="auto" w:fill="auto"/>
            <w:noWrap/>
            <w:vAlign w:val="bottom"/>
            <w:hideMark/>
          </w:tcPr>
          <w:p w:rsidR="008E0B53" w:rsidRPr="008E0B53" w:rsidRDefault="008E0B53" w:rsidP="00900701">
            <w:pPr>
              <w:spacing w:after="0" w:line="240" w:lineRule="auto"/>
              <w:ind w:firstLineChars="119" w:firstLine="190"/>
              <w:jc w:val="left"/>
              <w:rPr>
                <w:rFonts w:ascii="Arial" w:hAnsi="Arial" w:cs="Arial"/>
                <w:color w:val="000000"/>
                <w:sz w:val="16"/>
                <w:szCs w:val="16"/>
              </w:rPr>
            </w:pPr>
            <w:r w:rsidRPr="008E0B53">
              <w:rPr>
                <w:rFonts w:ascii="Arial" w:hAnsi="Arial" w:cs="Arial"/>
                <w:color w:val="000000"/>
                <w:sz w:val="16"/>
                <w:szCs w:val="16"/>
              </w:rPr>
              <w:t>Less: non-controlling interests</w:t>
            </w:r>
          </w:p>
        </w:tc>
        <w:tc>
          <w:tcPr>
            <w:tcW w:w="968"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28"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1179"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c>
          <w:tcPr>
            <w:tcW w:w="926"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color w:val="000000"/>
                <w:sz w:val="16"/>
                <w:szCs w:val="16"/>
              </w:rPr>
            </w:pPr>
            <w:r w:rsidRPr="008E0B53">
              <w:rPr>
                <w:rFonts w:ascii="Arial" w:hAnsi="Arial" w:cs="Arial"/>
                <w:color w:val="000000"/>
                <w:sz w:val="16"/>
                <w:szCs w:val="16"/>
              </w:rPr>
              <w:t xml:space="preserve">- </w:t>
            </w:r>
          </w:p>
        </w:tc>
      </w:tr>
      <w:tr w:rsidR="008E0B53" w:rsidRPr="008E0B53" w:rsidTr="00900701">
        <w:trPr>
          <w:trHeight w:val="469"/>
        </w:trPr>
        <w:tc>
          <w:tcPr>
            <w:tcW w:w="3568" w:type="dxa"/>
            <w:tcBorders>
              <w:top w:val="nil"/>
              <w:left w:val="nil"/>
              <w:bottom w:val="single" w:sz="4" w:space="0" w:color="auto"/>
              <w:right w:val="nil"/>
            </w:tcBorders>
            <w:shd w:val="clear" w:color="auto" w:fill="auto"/>
            <w:vAlign w:val="bottom"/>
            <w:hideMark/>
          </w:tcPr>
          <w:p w:rsidR="008E0B53" w:rsidRPr="008E0B53" w:rsidRDefault="008E0B53" w:rsidP="00900701">
            <w:pPr>
              <w:spacing w:after="0" w:line="240" w:lineRule="auto"/>
              <w:jc w:val="left"/>
              <w:rPr>
                <w:rFonts w:ascii="Arial" w:hAnsi="Arial" w:cs="Arial"/>
                <w:b/>
                <w:bCs/>
                <w:color w:val="000000"/>
                <w:sz w:val="16"/>
                <w:szCs w:val="16"/>
              </w:rPr>
            </w:pPr>
            <w:r w:rsidRPr="008E0B53">
              <w:rPr>
                <w:rFonts w:ascii="Arial" w:hAnsi="Arial" w:cs="Arial"/>
                <w:b/>
                <w:bCs/>
                <w:color w:val="000000"/>
                <w:sz w:val="16"/>
                <w:szCs w:val="16"/>
              </w:rPr>
              <w:t>Closing balance attributable to the Australian Government</w:t>
            </w:r>
          </w:p>
        </w:tc>
        <w:tc>
          <w:tcPr>
            <w:tcW w:w="968"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(64,485)</w:t>
            </w:r>
          </w:p>
        </w:tc>
        <w:tc>
          <w:tcPr>
            <w:tcW w:w="1128"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3,376 </w:t>
            </w:r>
          </w:p>
        </w:tc>
        <w:tc>
          <w:tcPr>
            <w:tcW w:w="1179"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198,471 </w:t>
            </w:r>
          </w:p>
        </w:tc>
        <w:tc>
          <w:tcPr>
            <w:tcW w:w="926" w:type="dxa"/>
            <w:tcBorders>
              <w:top w:val="nil"/>
              <w:left w:val="nil"/>
              <w:bottom w:val="single" w:sz="4" w:space="0" w:color="auto"/>
              <w:right w:val="nil"/>
            </w:tcBorders>
            <w:shd w:val="clear" w:color="auto" w:fill="auto"/>
            <w:noWrap/>
            <w:vAlign w:val="bottom"/>
            <w:hideMark/>
          </w:tcPr>
          <w:p w:rsidR="008E0B53" w:rsidRPr="008E0B53" w:rsidRDefault="008E0B53" w:rsidP="008E0B53">
            <w:pPr>
              <w:spacing w:after="0" w:line="240" w:lineRule="auto"/>
              <w:jc w:val="right"/>
              <w:rPr>
                <w:rFonts w:ascii="Arial" w:hAnsi="Arial" w:cs="Arial"/>
                <w:b/>
                <w:bCs/>
                <w:color w:val="000000"/>
                <w:sz w:val="16"/>
                <w:szCs w:val="16"/>
              </w:rPr>
            </w:pPr>
            <w:r w:rsidRPr="008E0B53">
              <w:rPr>
                <w:rFonts w:ascii="Arial" w:hAnsi="Arial" w:cs="Arial"/>
                <w:b/>
                <w:bCs/>
                <w:color w:val="000000"/>
                <w:sz w:val="16"/>
                <w:szCs w:val="16"/>
              </w:rPr>
              <w:t xml:space="preserve">137,362 </w:t>
            </w:r>
          </w:p>
        </w:tc>
      </w:tr>
    </w:tbl>
    <w:p w:rsidR="00FD2224" w:rsidRDefault="00FD2224" w:rsidP="00FA4915">
      <w:pPr>
        <w:pStyle w:val="TableHeading"/>
        <w:spacing w:before="0"/>
        <w:rPr>
          <w:b w:val="0"/>
          <w:sz w:val="16"/>
          <w:szCs w:val="16"/>
          <w:lang w:val="en-AU"/>
        </w:rPr>
      </w:pPr>
    </w:p>
    <w:p w:rsidR="00FA4915" w:rsidRPr="00F02340" w:rsidRDefault="001B1E37" w:rsidP="00FA4915">
      <w:pPr>
        <w:pStyle w:val="TableHeading"/>
        <w:spacing w:before="0"/>
        <w:rPr>
          <w:b w:val="0"/>
          <w:snapToGrid w:val="0"/>
          <w:sz w:val="16"/>
          <w:szCs w:val="16"/>
          <w:lang w:val="en-AU"/>
        </w:rPr>
      </w:pPr>
      <w:r w:rsidRPr="001B1E37">
        <w:rPr>
          <w:b w:val="0"/>
          <w:sz w:val="16"/>
          <w:szCs w:val="16"/>
        </w:rPr>
        <w:t>Prepared on Australian Accounting Standards basis</w:t>
      </w:r>
      <w:r w:rsidR="00F02340">
        <w:rPr>
          <w:b w:val="0"/>
          <w:snapToGrid w:val="0"/>
          <w:sz w:val="16"/>
          <w:szCs w:val="16"/>
          <w:lang w:val="en-AU"/>
        </w:rPr>
        <w:t>.</w:t>
      </w:r>
    </w:p>
    <w:p w:rsidR="00391F8E" w:rsidRDefault="00391F8E">
      <w:pPr>
        <w:spacing w:after="0" w:line="240" w:lineRule="auto"/>
        <w:jc w:val="left"/>
        <w:rPr>
          <w:rFonts w:ascii="Arial" w:hAnsi="Arial"/>
          <w:b/>
          <w:snapToGrid w:val="0"/>
          <w:lang w:val="x-none"/>
        </w:rPr>
      </w:pPr>
      <w:r>
        <w:rPr>
          <w:snapToGrid w:val="0"/>
        </w:rPr>
        <w:br w:type="page"/>
      </w:r>
    </w:p>
    <w:p w:rsidR="00F51DAC" w:rsidRPr="00014438" w:rsidRDefault="00F51DAC" w:rsidP="00FA4915">
      <w:pPr>
        <w:pStyle w:val="TableHeading"/>
        <w:spacing w:before="0"/>
        <w:rPr>
          <w:snapToGrid w:val="0"/>
        </w:rPr>
      </w:pPr>
      <w:r w:rsidRPr="00014438">
        <w:rPr>
          <w:snapToGrid w:val="0"/>
        </w:rPr>
        <w:lastRenderedPageBreak/>
        <w:t>Table 3.2.</w:t>
      </w:r>
      <w:r w:rsidR="00FA4915">
        <w:rPr>
          <w:snapToGrid w:val="0"/>
        </w:rPr>
        <w:t>4</w:t>
      </w:r>
      <w:r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Pr="00014438">
        <w:rPr>
          <w:snapToGrid w:val="0"/>
        </w:rPr>
        <w:t>(</w:t>
      </w:r>
      <w:r w:rsidR="00391F8E">
        <w:rPr>
          <w:snapToGrid w:val="0"/>
          <w:lang w:val="en-AU"/>
        </w:rPr>
        <w:t>as at</w:t>
      </w:r>
      <w:r w:rsidRPr="00014438">
        <w:rPr>
          <w:snapToGrid w:val="0"/>
        </w:rPr>
        <w:t xml:space="preserve"> 30 June)</w:t>
      </w:r>
    </w:p>
    <w:tbl>
      <w:tblPr>
        <w:tblW w:w="7766" w:type="dxa"/>
        <w:tblInd w:w="93" w:type="dxa"/>
        <w:tblLook w:val="04A0" w:firstRow="1" w:lastRow="0" w:firstColumn="1" w:lastColumn="0" w:noHBand="0" w:noVBand="1"/>
      </w:tblPr>
      <w:tblGrid>
        <w:gridCol w:w="3343"/>
        <w:gridCol w:w="884"/>
        <w:gridCol w:w="884"/>
        <w:gridCol w:w="885"/>
        <w:gridCol w:w="885"/>
        <w:gridCol w:w="885"/>
      </w:tblGrid>
      <w:tr w:rsidR="00900701" w:rsidRPr="00900701" w:rsidTr="001E280C">
        <w:trPr>
          <w:trHeight w:val="726"/>
          <w:tblHeader/>
        </w:trPr>
        <w:tc>
          <w:tcPr>
            <w:tcW w:w="3343" w:type="dxa"/>
            <w:tcBorders>
              <w:top w:val="single" w:sz="4" w:space="0" w:color="auto"/>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4" w:type="dxa"/>
            <w:tcBorders>
              <w:top w:val="single" w:sz="4" w:space="0" w:color="auto"/>
              <w:left w:val="nil"/>
              <w:bottom w:val="single" w:sz="4" w:space="0" w:color="auto"/>
              <w:right w:val="nil"/>
            </w:tcBorders>
            <w:shd w:val="clear" w:color="auto" w:fill="auto"/>
            <w:hideMark/>
          </w:tcPr>
          <w:p w:rsidR="00900701" w:rsidRPr="00900701" w:rsidRDefault="00900701" w:rsidP="005B2491">
            <w:pPr>
              <w:spacing w:after="0" w:line="240" w:lineRule="auto"/>
              <w:jc w:val="right"/>
              <w:rPr>
                <w:rFonts w:ascii="Arial" w:hAnsi="Arial" w:cs="Arial"/>
                <w:sz w:val="16"/>
                <w:szCs w:val="16"/>
              </w:rPr>
            </w:pPr>
            <w:r w:rsidRPr="00900701">
              <w:rPr>
                <w:rFonts w:ascii="Arial" w:hAnsi="Arial" w:cs="Arial"/>
                <w:sz w:val="16"/>
                <w:szCs w:val="16"/>
              </w:rPr>
              <w:t>2014</w:t>
            </w:r>
            <w:r w:rsidR="005B2491">
              <w:rPr>
                <w:rFonts w:ascii="Arial" w:hAnsi="Arial" w:cs="Arial"/>
                <w:sz w:val="16"/>
                <w:szCs w:val="16"/>
              </w:rPr>
              <w:t>–</w:t>
            </w:r>
            <w:r w:rsidRPr="00900701">
              <w:rPr>
                <w:rFonts w:ascii="Arial" w:hAnsi="Arial" w:cs="Arial"/>
                <w:sz w:val="16"/>
                <w:szCs w:val="16"/>
              </w:rPr>
              <w:t>15</w:t>
            </w:r>
            <w:r w:rsidRPr="00900701">
              <w:rPr>
                <w:rFonts w:ascii="Arial" w:hAnsi="Arial" w:cs="Arial"/>
                <w:sz w:val="16"/>
                <w:szCs w:val="16"/>
              </w:rPr>
              <w:br/>
              <w:t>Actual</w:t>
            </w:r>
            <w:r w:rsidRPr="00900701">
              <w:rPr>
                <w:rFonts w:ascii="Arial" w:hAnsi="Arial" w:cs="Arial"/>
                <w:sz w:val="16"/>
                <w:szCs w:val="16"/>
              </w:rPr>
              <w:br/>
              <w:t>$'000</w:t>
            </w:r>
          </w:p>
        </w:tc>
        <w:tc>
          <w:tcPr>
            <w:tcW w:w="884" w:type="dxa"/>
            <w:tcBorders>
              <w:top w:val="single" w:sz="4" w:space="0" w:color="auto"/>
              <w:left w:val="nil"/>
              <w:bottom w:val="single" w:sz="4" w:space="0" w:color="auto"/>
              <w:right w:val="nil"/>
            </w:tcBorders>
            <w:shd w:val="clear" w:color="000000" w:fill="E6E6E6"/>
            <w:hideMark/>
          </w:tcPr>
          <w:p w:rsidR="00900701" w:rsidRPr="00900701" w:rsidRDefault="00900701" w:rsidP="005B2491">
            <w:pPr>
              <w:spacing w:after="0" w:line="240" w:lineRule="auto"/>
              <w:jc w:val="right"/>
              <w:rPr>
                <w:rFonts w:ascii="Arial" w:hAnsi="Arial" w:cs="Arial"/>
                <w:sz w:val="16"/>
                <w:szCs w:val="16"/>
              </w:rPr>
            </w:pPr>
            <w:r w:rsidRPr="00900701">
              <w:rPr>
                <w:rFonts w:ascii="Arial" w:hAnsi="Arial" w:cs="Arial"/>
                <w:sz w:val="16"/>
                <w:szCs w:val="16"/>
              </w:rPr>
              <w:t>2015</w:t>
            </w:r>
            <w:r w:rsidR="005B2491">
              <w:rPr>
                <w:rFonts w:ascii="Arial" w:hAnsi="Arial" w:cs="Arial"/>
                <w:sz w:val="16"/>
                <w:szCs w:val="16"/>
              </w:rPr>
              <w:t>–</w:t>
            </w:r>
            <w:r w:rsidRPr="00900701">
              <w:rPr>
                <w:rFonts w:ascii="Arial" w:hAnsi="Arial" w:cs="Arial"/>
                <w:sz w:val="16"/>
                <w:szCs w:val="16"/>
              </w:rPr>
              <w:t>16</w:t>
            </w:r>
            <w:r w:rsidRPr="00900701">
              <w:rPr>
                <w:rFonts w:ascii="Arial" w:hAnsi="Arial" w:cs="Arial"/>
                <w:sz w:val="16"/>
                <w:szCs w:val="16"/>
              </w:rPr>
              <w:br/>
              <w:t>Revised budget</w:t>
            </w:r>
            <w:r w:rsidRPr="00900701">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hideMark/>
          </w:tcPr>
          <w:p w:rsidR="00900701" w:rsidRPr="00900701" w:rsidRDefault="00900701" w:rsidP="005B2491">
            <w:pPr>
              <w:spacing w:after="0" w:line="240" w:lineRule="auto"/>
              <w:jc w:val="right"/>
              <w:rPr>
                <w:rFonts w:ascii="Arial" w:hAnsi="Arial" w:cs="Arial"/>
                <w:sz w:val="16"/>
                <w:szCs w:val="16"/>
              </w:rPr>
            </w:pPr>
            <w:r w:rsidRPr="00900701">
              <w:rPr>
                <w:rFonts w:ascii="Arial" w:hAnsi="Arial" w:cs="Arial"/>
                <w:sz w:val="16"/>
                <w:szCs w:val="16"/>
              </w:rPr>
              <w:t>2016</w:t>
            </w:r>
            <w:r w:rsidR="005B2491">
              <w:rPr>
                <w:rFonts w:ascii="Arial" w:hAnsi="Arial" w:cs="Arial"/>
                <w:sz w:val="16"/>
                <w:szCs w:val="16"/>
              </w:rPr>
              <w:t>–</w:t>
            </w:r>
            <w:r w:rsidRPr="00900701">
              <w:rPr>
                <w:rFonts w:ascii="Arial" w:hAnsi="Arial" w:cs="Arial"/>
                <w:sz w:val="16"/>
                <w:szCs w:val="16"/>
              </w:rPr>
              <w:t>17</w:t>
            </w:r>
            <w:r w:rsidRPr="00900701">
              <w:rPr>
                <w:rFonts w:ascii="Arial" w:hAnsi="Arial" w:cs="Arial"/>
                <w:sz w:val="16"/>
                <w:szCs w:val="16"/>
              </w:rPr>
              <w:br/>
              <w:t>Forward estimate</w:t>
            </w:r>
            <w:r w:rsidRPr="00900701">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hideMark/>
          </w:tcPr>
          <w:p w:rsidR="00900701" w:rsidRPr="00900701" w:rsidRDefault="00900701" w:rsidP="005B2491">
            <w:pPr>
              <w:spacing w:after="0" w:line="240" w:lineRule="auto"/>
              <w:jc w:val="right"/>
              <w:rPr>
                <w:rFonts w:ascii="Arial" w:hAnsi="Arial" w:cs="Arial"/>
                <w:sz w:val="16"/>
                <w:szCs w:val="16"/>
              </w:rPr>
            </w:pPr>
            <w:r w:rsidRPr="00900701">
              <w:rPr>
                <w:rFonts w:ascii="Arial" w:hAnsi="Arial" w:cs="Arial"/>
                <w:sz w:val="16"/>
                <w:szCs w:val="16"/>
              </w:rPr>
              <w:t>2017</w:t>
            </w:r>
            <w:r w:rsidR="005B2491">
              <w:rPr>
                <w:rFonts w:ascii="Arial" w:hAnsi="Arial" w:cs="Arial"/>
                <w:sz w:val="16"/>
                <w:szCs w:val="16"/>
              </w:rPr>
              <w:t>–</w:t>
            </w:r>
            <w:r w:rsidRPr="00900701">
              <w:rPr>
                <w:rFonts w:ascii="Arial" w:hAnsi="Arial" w:cs="Arial"/>
                <w:sz w:val="16"/>
                <w:szCs w:val="16"/>
              </w:rPr>
              <w:t>18</w:t>
            </w:r>
            <w:r w:rsidRPr="00900701">
              <w:rPr>
                <w:rFonts w:ascii="Arial" w:hAnsi="Arial" w:cs="Arial"/>
                <w:sz w:val="16"/>
                <w:szCs w:val="16"/>
              </w:rPr>
              <w:br/>
              <w:t>Forward estimate</w:t>
            </w:r>
            <w:r w:rsidRPr="00900701">
              <w:rPr>
                <w:rFonts w:ascii="Arial" w:hAnsi="Arial" w:cs="Arial"/>
                <w:sz w:val="16"/>
                <w:szCs w:val="16"/>
              </w:rPr>
              <w:br/>
              <w:t>$'000</w:t>
            </w:r>
          </w:p>
        </w:tc>
        <w:tc>
          <w:tcPr>
            <w:tcW w:w="885" w:type="dxa"/>
            <w:tcBorders>
              <w:top w:val="single" w:sz="4" w:space="0" w:color="auto"/>
              <w:left w:val="nil"/>
              <w:bottom w:val="single" w:sz="4" w:space="0" w:color="auto"/>
              <w:right w:val="nil"/>
            </w:tcBorders>
            <w:shd w:val="clear" w:color="auto" w:fill="auto"/>
            <w:hideMark/>
          </w:tcPr>
          <w:p w:rsidR="00900701" w:rsidRPr="00900701" w:rsidRDefault="00900701" w:rsidP="005B2491">
            <w:pPr>
              <w:spacing w:after="0" w:line="240" w:lineRule="auto"/>
              <w:jc w:val="right"/>
              <w:rPr>
                <w:rFonts w:ascii="Arial" w:hAnsi="Arial" w:cs="Arial"/>
                <w:sz w:val="16"/>
                <w:szCs w:val="16"/>
              </w:rPr>
            </w:pPr>
            <w:r w:rsidRPr="00900701">
              <w:rPr>
                <w:rFonts w:ascii="Arial" w:hAnsi="Arial" w:cs="Arial"/>
                <w:sz w:val="16"/>
                <w:szCs w:val="16"/>
              </w:rPr>
              <w:t>2018</w:t>
            </w:r>
            <w:r w:rsidR="005B2491">
              <w:rPr>
                <w:rFonts w:ascii="Arial" w:hAnsi="Arial" w:cs="Arial"/>
                <w:sz w:val="16"/>
                <w:szCs w:val="16"/>
              </w:rPr>
              <w:t>–</w:t>
            </w:r>
            <w:r w:rsidRPr="00900701">
              <w:rPr>
                <w:rFonts w:ascii="Arial" w:hAnsi="Arial" w:cs="Arial"/>
                <w:sz w:val="16"/>
                <w:szCs w:val="16"/>
              </w:rPr>
              <w:t>19</w:t>
            </w:r>
            <w:r w:rsidRPr="00900701">
              <w:rPr>
                <w:rFonts w:ascii="Arial" w:hAnsi="Arial" w:cs="Arial"/>
                <w:sz w:val="16"/>
                <w:szCs w:val="16"/>
              </w:rPr>
              <w:br/>
              <w:t>Forward estimate</w:t>
            </w:r>
            <w:r w:rsidRPr="00900701">
              <w:rPr>
                <w:rFonts w:ascii="Arial" w:hAnsi="Arial" w:cs="Arial"/>
                <w:sz w:val="16"/>
                <w:szCs w:val="16"/>
              </w:rPr>
              <w:br/>
              <w:t>$'000</w:t>
            </w:r>
          </w:p>
        </w:tc>
      </w:tr>
      <w:tr w:rsidR="00900701" w:rsidRPr="00900701" w:rsidTr="00900701">
        <w:trPr>
          <w:trHeight w:val="225"/>
        </w:trPr>
        <w:tc>
          <w:tcPr>
            <w:tcW w:w="3343"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OPERATING ACTIVITIES</w:t>
            </w:r>
          </w:p>
        </w:tc>
        <w:tc>
          <w:tcPr>
            <w:tcW w:w="884"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center"/>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900701">
        <w:trPr>
          <w:trHeight w:val="225"/>
        </w:trPr>
        <w:tc>
          <w:tcPr>
            <w:tcW w:w="3343"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received</w:t>
            </w:r>
          </w:p>
        </w:tc>
        <w:tc>
          <w:tcPr>
            <w:tcW w:w="884"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center"/>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center"/>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4D7F3A">
        <w:trPr>
          <w:trHeight w:val="227"/>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Appropriations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281,233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283,402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280,752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279,379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279,667 </w:t>
            </w:r>
          </w:p>
        </w:tc>
      </w:tr>
      <w:tr w:rsidR="00900701" w:rsidRPr="00900701" w:rsidTr="004D7F3A">
        <w:trPr>
          <w:trHeight w:val="227"/>
        </w:trPr>
        <w:tc>
          <w:tcPr>
            <w:tcW w:w="3343" w:type="dxa"/>
            <w:tcBorders>
              <w:top w:val="nil"/>
              <w:left w:val="nil"/>
              <w:bottom w:val="nil"/>
              <w:right w:val="nil"/>
            </w:tcBorders>
            <w:shd w:val="clear" w:color="auto" w:fill="auto"/>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Sale of goods and rendering of services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28,130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18,828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19,604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19,604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19,604 </w:t>
            </w:r>
          </w:p>
        </w:tc>
      </w:tr>
      <w:tr w:rsidR="00900701" w:rsidRPr="00900701" w:rsidTr="004D7F3A">
        <w:trPr>
          <w:trHeight w:val="227"/>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Net GST received</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13,559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8,037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7,953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8,101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8,191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i/>
                <w:iCs/>
                <w:color w:val="000000"/>
                <w:sz w:val="16"/>
                <w:szCs w:val="16"/>
              </w:rPr>
            </w:pPr>
            <w:r w:rsidRPr="00900701">
              <w:rPr>
                <w:rFonts w:ascii="Arial" w:hAnsi="Arial" w:cs="Arial"/>
                <w:b/>
                <w:bCs/>
                <w:i/>
                <w:iCs/>
                <w:color w:val="000000"/>
                <w:sz w:val="16"/>
                <w:szCs w:val="16"/>
              </w:rPr>
              <w:t>Total cash received</w:t>
            </w:r>
          </w:p>
        </w:tc>
        <w:tc>
          <w:tcPr>
            <w:tcW w:w="884"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322,922 </w:t>
            </w:r>
          </w:p>
        </w:tc>
        <w:tc>
          <w:tcPr>
            <w:tcW w:w="884" w:type="dxa"/>
            <w:tcBorders>
              <w:top w:val="single" w:sz="4" w:space="0" w:color="000000"/>
              <w:left w:val="nil"/>
              <w:bottom w:val="single" w:sz="4" w:space="0" w:color="000000"/>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310,267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308,309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307,084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307,462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used</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Employees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182,157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220,347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218,351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217,528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216,586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Suppliers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110,617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93,925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89,958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89,556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90,876 </w:t>
            </w:r>
          </w:p>
        </w:tc>
      </w:tr>
      <w:tr w:rsidR="00900701" w:rsidRPr="00900701" w:rsidTr="008C1260">
        <w:trPr>
          <w:trHeight w:val="450"/>
        </w:trPr>
        <w:tc>
          <w:tcPr>
            <w:tcW w:w="3343" w:type="dxa"/>
            <w:tcBorders>
              <w:top w:val="nil"/>
              <w:left w:val="nil"/>
              <w:bottom w:val="nil"/>
              <w:right w:val="nil"/>
            </w:tcBorders>
            <w:shd w:val="clear" w:color="auto" w:fill="auto"/>
            <w:vAlign w:val="bottom"/>
            <w:hideMark/>
          </w:tcPr>
          <w:p w:rsidR="00900701" w:rsidRPr="00900701" w:rsidRDefault="00900701" w:rsidP="000C03DE">
            <w:pPr>
              <w:spacing w:after="0" w:line="240" w:lineRule="auto"/>
              <w:ind w:left="191"/>
              <w:jc w:val="left"/>
              <w:rPr>
                <w:rFonts w:ascii="Arial" w:hAnsi="Arial" w:cs="Arial"/>
                <w:sz w:val="16"/>
                <w:szCs w:val="16"/>
              </w:rPr>
            </w:pPr>
            <w:proofErr w:type="spellStart"/>
            <w:r w:rsidRPr="00900701">
              <w:rPr>
                <w:rFonts w:ascii="Arial" w:hAnsi="Arial" w:cs="Arial"/>
                <w:sz w:val="16"/>
                <w:szCs w:val="16"/>
              </w:rPr>
              <w:t>s74</w:t>
            </w:r>
            <w:proofErr w:type="spellEnd"/>
            <w:r w:rsidRPr="00900701">
              <w:rPr>
                <w:rFonts w:ascii="Arial" w:hAnsi="Arial" w:cs="Arial"/>
                <w:sz w:val="16"/>
                <w:szCs w:val="16"/>
              </w:rPr>
              <w:t xml:space="preserve"> Retained Revenue Receipts transferred to O</w:t>
            </w:r>
            <w:r w:rsidR="000C03DE">
              <w:rPr>
                <w:rFonts w:ascii="Arial" w:hAnsi="Arial" w:cs="Arial"/>
                <w:sz w:val="16"/>
                <w:szCs w:val="16"/>
              </w:rPr>
              <w:t xml:space="preserve">fficial </w:t>
            </w:r>
            <w:r w:rsidRPr="00900701">
              <w:rPr>
                <w:rFonts w:ascii="Arial" w:hAnsi="Arial" w:cs="Arial"/>
                <w:sz w:val="16"/>
                <w:szCs w:val="16"/>
              </w:rPr>
              <w:t>P</w:t>
            </w:r>
            <w:r w:rsidR="000C03DE">
              <w:rPr>
                <w:rFonts w:ascii="Arial" w:hAnsi="Arial" w:cs="Arial"/>
                <w:sz w:val="16"/>
                <w:szCs w:val="16"/>
              </w:rPr>
              <w:t xml:space="preserve">ublic </w:t>
            </w:r>
            <w:r w:rsidRPr="00900701">
              <w:rPr>
                <w:rFonts w:ascii="Arial" w:hAnsi="Arial" w:cs="Arial"/>
                <w:sz w:val="16"/>
                <w:szCs w:val="16"/>
              </w:rPr>
              <w:t>A</w:t>
            </w:r>
            <w:r w:rsidR="000C03DE">
              <w:rPr>
                <w:rFonts w:ascii="Arial" w:hAnsi="Arial" w:cs="Arial"/>
                <w:sz w:val="16"/>
                <w:szCs w:val="16"/>
              </w:rPr>
              <w:t>ccount</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26,198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Grants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1,439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i/>
                <w:iCs/>
                <w:color w:val="000000"/>
                <w:sz w:val="16"/>
                <w:szCs w:val="16"/>
              </w:rPr>
            </w:pPr>
            <w:r w:rsidRPr="00900701">
              <w:rPr>
                <w:rFonts w:ascii="Arial" w:hAnsi="Arial" w:cs="Arial"/>
                <w:b/>
                <w:bCs/>
                <w:i/>
                <w:iCs/>
                <w:color w:val="000000"/>
                <w:sz w:val="16"/>
                <w:szCs w:val="16"/>
              </w:rPr>
              <w:t>Total cash used</w:t>
            </w:r>
          </w:p>
        </w:tc>
        <w:tc>
          <w:tcPr>
            <w:tcW w:w="884"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320,411 </w:t>
            </w:r>
          </w:p>
        </w:tc>
        <w:tc>
          <w:tcPr>
            <w:tcW w:w="884" w:type="dxa"/>
            <w:tcBorders>
              <w:top w:val="single" w:sz="4" w:space="0" w:color="000000"/>
              <w:left w:val="nil"/>
              <w:bottom w:val="single" w:sz="4" w:space="0" w:color="000000"/>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314,272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308,309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307,084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307,462 </w:t>
            </w:r>
          </w:p>
        </w:tc>
      </w:tr>
      <w:tr w:rsidR="00900701" w:rsidRPr="00900701" w:rsidTr="008C1260">
        <w:trPr>
          <w:trHeight w:val="450"/>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Net cash from/(used by) operating activities</w:t>
            </w:r>
          </w:p>
        </w:tc>
        <w:tc>
          <w:tcPr>
            <w:tcW w:w="884" w:type="dxa"/>
            <w:tcBorders>
              <w:top w:val="nil"/>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2,511 </w:t>
            </w:r>
          </w:p>
        </w:tc>
        <w:tc>
          <w:tcPr>
            <w:tcW w:w="884" w:type="dxa"/>
            <w:tcBorders>
              <w:top w:val="nil"/>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(4,005)</w:t>
            </w:r>
          </w:p>
        </w:tc>
        <w:tc>
          <w:tcPr>
            <w:tcW w:w="885" w:type="dxa"/>
            <w:tcBorders>
              <w:top w:val="nil"/>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nil"/>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nil"/>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INVESTING ACTIVITIES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received</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8C1260">
        <w:trPr>
          <w:trHeight w:val="450"/>
        </w:trPr>
        <w:tc>
          <w:tcPr>
            <w:tcW w:w="3343" w:type="dxa"/>
            <w:tcBorders>
              <w:top w:val="nil"/>
              <w:left w:val="nil"/>
              <w:bottom w:val="nil"/>
              <w:right w:val="nil"/>
            </w:tcBorders>
            <w:shd w:val="clear" w:color="auto" w:fill="auto"/>
            <w:vAlign w:val="bottom"/>
            <w:hideMark/>
          </w:tcPr>
          <w:p w:rsidR="00900701" w:rsidRPr="00900701" w:rsidRDefault="00900701" w:rsidP="000C03DE">
            <w:pPr>
              <w:spacing w:after="0" w:line="240" w:lineRule="auto"/>
              <w:ind w:left="191"/>
              <w:jc w:val="left"/>
              <w:rPr>
                <w:rFonts w:ascii="Arial" w:hAnsi="Arial" w:cs="Arial"/>
                <w:color w:val="000000"/>
                <w:sz w:val="16"/>
                <w:szCs w:val="16"/>
              </w:rPr>
            </w:pPr>
            <w:r w:rsidRPr="00900701">
              <w:rPr>
                <w:rFonts w:ascii="Arial" w:hAnsi="Arial" w:cs="Arial"/>
                <w:color w:val="000000"/>
                <w:sz w:val="16"/>
                <w:szCs w:val="16"/>
              </w:rPr>
              <w:t>Proceeds from sales of property, plant and equipment</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54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i/>
                <w:iCs/>
                <w:color w:val="000000"/>
                <w:sz w:val="16"/>
                <w:szCs w:val="16"/>
              </w:rPr>
            </w:pPr>
            <w:r w:rsidRPr="00900701">
              <w:rPr>
                <w:rFonts w:ascii="Arial" w:hAnsi="Arial" w:cs="Arial"/>
                <w:b/>
                <w:bCs/>
                <w:i/>
                <w:iCs/>
                <w:color w:val="000000"/>
                <w:sz w:val="16"/>
                <w:szCs w:val="16"/>
              </w:rPr>
              <w:t>Total cash received</w:t>
            </w:r>
          </w:p>
        </w:tc>
        <w:tc>
          <w:tcPr>
            <w:tcW w:w="884"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54 </w:t>
            </w:r>
          </w:p>
        </w:tc>
        <w:tc>
          <w:tcPr>
            <w:tcW w:w="884" w:type="dxa"/>
            <w:tcBorders>
              <w:top w:val="single" w:sz="4" w:space="0" w:color="000000"/>
              <w:left w:val="nil"/>
              <w:bottom w:val="single" w:sz="4" w:space="0" w:color="000000"/>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 </w:t>
            </w:r>
          </w:p>
        </w:tc>
        <w:tc>
          <w:tcPr>
            <w:tcW w:w="885" w:type="dxa"/>
            <w:tcBorders>
              <w:top w:val="single" w:sz="4" w:space="0" w:color="000000"/>
              <w:left w:val="nil"/>
              <w:bottom w:val="single" w:sz="4" w:space="0" w:color="000000"/>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used</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left"/>
              <w:rPr>
                <w:rFonts w:ascii="Arial" w:hAnsi="Arial" w:cs="Arial"/>
                <w:color w:val="000000"/>
                <w:sz w:val="16"/>
                <w:szCs w:val="16"/>
              </w:rPr>
            </w:pPr>
            <w:r w:rsidRPr="00900701">
              <w:rPr>
                <w:rFonts w:ascii="Arial" w:hAnsi="Arial" w:cs="Arial"/>
                <w:color w:val="000000"/>
                <w:sz w:val="16"/>
                <w:szCs w:val="16"/>
              </w:rPr>
              <w:t>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left"/>
              <w:rPr>
                <w:rFonts w:ascii="Arial" w:hAnsi="Arial" w:cs="Arial"/>
                <w:color w:val="000000"/>
                <w:sz w:val="16"/>
                <w:szCs w:val="16"/>
              </w:rPr>
            </w:pPr>
          </w:p>
        </w:tc>
      </w:tr>
      <w:tr w:rsidR="00900701" w:rsidRPr="00900701" w:rsidTr="008C1260">
        <w:trPr>
          <w:trHeight w:val="450"/>
        </w:trPr>
        <w:tc>
          <w:tcPr>
            <w:tcW w:w="3343" w:type="dxa"/>
            <w:tcBorders>
              <w:top w:val="nil"/>
              <w:left w:val="nil"/>
              <w:bottom w:val="nil"/>
              <w:right w:val="nil"/>
            </w:tcBorders>
            <w:shd w:val="clear" w:color="auto" w:fill="auto"/>
            <w:vAlign w:val="bottom"/>
            <w:hideMark/>
          </w:tcPr>
          <w:p w:rsidR="00900701" w:rsidRPr="00900701" w:rsidRDefault="00900701" w:rsidP="000C03DE">
            <w:pPr>
              <w:spacing w:after="0" w:line="240" w:lineRule="auto"/>
              <w:ind w:left="191"/>
              <w:jc w:val="left"/>
              <w:rPr>
                <w:rFonts w:ascii="Arial" w:hAnsi="Arial" w:cs="Arial"/>
                <w:color w:val="000000"/>
                <w:sz w:val="16"/>
                <w:szCs w:val="16"/>
              </w:rPr>
            </w:pPr>
            <w:r w:rsidRPr="00900701">
              <w:rPr>
                <w:rFonts w:ascii="Arial" w:hAnsi="Arial" w:cs="Arial"/>
                <w:color w:val="000000"/>
                <w:sz w:val="16"/>
                <w:szCs w:val="16"/>
              </w:rPr>
              <w:t>Purchase of property, plant, equipment and intangibles</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46,225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46,956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27,864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27,257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27,417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0C03DE">
            <w:pPr>
              <w:spacing w:after="0" w:line="240" w:lineRule="auto"/>
              <w:ind w:firstLineChars="119" w:firstLine="190"/>
              <w:jc w:val="left"/>
              <w:rPr>
                <w:rFonts w:ascii="Arial" w:hAnsi="Arial" w:cs="Arial"/>
                <w:color w:val="000000"/>
                <w:sz w:val="16"/>
                <w:szCs w:val="16"/>
              </w:rPr>
            </w:pPr>
            <w:r w:rsidRPr="00900701">
              <w:rPr>
                <w:rFonts w:ascii="Arial" w:hAnsi="Arial" w:cs="Arial"/>
                <w:color w:val="000000"/>
                <w:sz w:val="16"/>
                <w:szCs w:val="16"/>
              </w:rPr>
              <w:t>Other</w:t>
            </w:r>
          </w:p>
        </w:tc>
        <w:tc>
          <w:tcPr>
            <w:tcW w:w="884"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7,526 </w:t>
            </w:r>
          </w:p>
        </w:tc>
        <w:tc>
          <w:tcPr>
            <w:tcW w:w="884" w:type="dxa"/>
            <w:tcBorders>
              <w:top w:val="nil"/>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c>
          <w:tcPr>
            <w:tcW w:w="885" w:type="dxa"/>
            <w:tcBorders>
              <w:top w:val="nil"/>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color w:val="000000"/>
                <w:sz w:val="16"/>
                <w:szCs w:val="16"/>
              </w:rPr>
            </w:pPr>
            <w:r w:rsidRPr="00900701">
              <w:rPr>
                <w:rFonts w:ascii="Arial" w:hAnsi="Arial" w:cs="Arial"/>
                <w:color w:val="000000"/>
                <w:sz w:val="16"/>
                <w:szCs w:val="16"/>
              </w:rPr>
              <w:t xml:space="preserve">- </w:t>
            </w:r>
          </w:p>
        </w:tc>
      </w:tr>
      <w:tr w:rsidR="00900701" w:rsidRPr="00900701" w:rsidTr="008C1260">
        <w:trPr>
          <w:trHeight w:val="225"/>
        </w:trPr>
        <w:tc>
          <w:tcPr>
            <w:tcW w:w="3343" w:type="dxa"/>
            <w:tcBorders>
              <w:top w:val="nil"/>
              <w:left w:val="nil"/>
              <w:bottom w:val="nil"/>
              <w:right w:val="nil"/>
            </w:tcBorders>
            <w:shd w:val="clear" w:color="auto" w:fill="auto"/>
            <w:noWrap/>
            <w:vAlign w:val="bottom"/>
            <w:hideMark/>
          </w:tcPr>
          <w:p w:rsidR="00900701" w:rsidRPr="00900701" w:rsidRDefault="00900701" w:rsidP="008C1260">
            <w:pPr>
              <w:spacing w:after="0" w:line="240" w:lineRule="auto"/>
              <w:jc w:val="left"/>
              <w:rPr>
                <w:rFonts w:ascii="Arial" w:hAnsi="Arial" w:cs="Arial"/>
                <w:b/>
                <w:bCs/>
                <w:i/>
                <w:iCs/>
                <w:color w:val="000000"/>
                <w:sz w:val="16"/>
                <w:szCs w:val="16"/>
              </w:rPr>
            </w:pPr>
            <w:r w:rsidRPr="00900701">
              <w:rPr>
                <w:rFonts w:ascii="Arial" w:hAnsi="Arial" w:cs="Arial"/>
                <w:b/>
                <w:bCs/>
                <w:i/>
                <w:iCs/>
                <w:color w:val="000000"/>
                <w:sz w:val="16"/>
                <w:szCs w:val="16"/>
              </w:rPr>
              <w:t>Total cash used</w:t>
            </w:r>
          </w:p>
        </w:tc>
        <w:tc>
          <w:tcPr>
            <w:tcW w:w="884" w:type="dxa"/>
            <w:tcBorders>
              <w:top w:val="single" w:sz="4" w:space="0" w:color="000000"/>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53,751 </w:t>
            </w:r>
          </w:p>
        </w:tc>
        <w:tc>
          <w:tcPr>
            <w:tcW w:w="884" w:type="dxa"/>
            <w:tcBorders>
              <w:top w:val="single" w:sz="4" w:space="0" w:color="000000"/>
              <w:left w:val="nil"/>
              <w:bottom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46,956 </w:t>
            </w:r>
          </w:p>
        </w:tc>
        <w:tc>
          <w:tcPr>
            <w:tcW w:w="885" w:type="dxa"/>
            <w:tcBorders>
              <w:top w:val="single" w:sz="4" w:space="0" w:color="000000"/>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27,864 </w:t>
            </w:r>
          </w:p>
        </w:tc>
        <w:tc>
          <w:tcPr>
            <w:tcW w:w="885" w:type="dxa"/>
            <w:tcBorders>
              <w:top w:val="single" w:sz="4" w:space="0" w:color="000000"/>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27,257 </w:t>
            </w:r>
          </w:p>
        </w:tc>
        <w:tc>
          <w:tcPr>
            <w:tcW w:w="885" w:type="dxa"/>
            <w:tcBorders>
              <w:top w:val="single" w:sz="4" w:space="0" w:color="000000"/>
              <w:left w:val="nil"/>
              <w:bottom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iCs/>
                <w:color w:val="000000"/>
                <w:sz w:val="16"/>
                <w:szCs w:val="16"/>
              </w:rPr>
            </w:pPr>
            <w:r w:rsidRPr="00900701">
              <w:rPr>
                <w:rFonts w:ascii="Arial" w:hAnsi="Arial" w:cs="Arial"/>
                <w:b/>
                <w:bCs/>
                <w:i/>
                <w:iCs/>
                <w:color w:val="000000"/>
                <w:sz w:val="16"/>
                <w:szCs w:val="16"/>
              </w:rPr>
              <w:t xml:space="preserve">27,417 </w:t>
            </w:r>
          </w:p>
        </w:tc>
      </w:tr>
      <w:tr w:rsidR="00900701" w:rsidRPr="00900701" w:rsidTr="008C1260">
        <w:trPr>
          <w:trHeight w:val="450"/>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Net cash from/(used by) investing activities</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(53,697)</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(46,956)</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(27,864)</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(27,257)</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(27,417)</w:t>
            </w:r>
          </w:p>
        </w:tc>
      </w:tr>
      <w:tr w:rsidR="00900701" w:rsidRPr="00900701" w:rsidTr="008C1260">
        <w:trPr>
          <w:trHeight w:val="375"/>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FINANCING ACTIVITIES</w:t>
            </w:r>
          </w:p>
        </w:tc>
        <w:tc>
          <w:tcPr>
            <w:tcW w:w="884"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4" w:type="dxa"/>
            <w:tcBorders>
              <w:top w:val="single" w:sz="4" w:space="0" w:color="auto"/>
              <w:left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w:t>
            </w: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r>
      <w:tr w:rsidR="00900701" w:rsidRPr="00900701" w:rsidTr="008C1260">
        <w:trPr>
          <w:trHeight w:val="277"/>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received</w:t>
            </w:r>
          </w:p>
        </w:tc>
        <w:tc>
          <w:tcPr>
            <w:tcW w:w="884" w:type="dxa"/>
            <w:tcBorders>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4" w:type="dxa"/>
            <w:tcBorders>
              <w:left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w:t>
            </w:r>
          </w:p>
        </w:tc>
        <w:tc>
          <w:tcPr>
            <w:tcW w:w="885" w:type="dxa"/>
            <w:tcBorders>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r>
      <w:tr w:rsidR="00900701" w:rsidRPr="00900701" w:rsidTr="004D7F3A">
        <w:trPr>
          <w:trHeight w:val="227"/>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ind w:firstLine="191"/>
              <w:jc w:val="left"/>
              <w:rPr>
                <w:rFonts w:ascii="Arial" w:hAnsi="Arial" w:cs="Arial"/>
                <w:bCs/>
                <w:color w:val="000000"/>
                <w:sz w:val="16"/>
                <w:szCs w:val="16"/>
              </w:rPr>
            </w:pPr>
            <w:r w:rsidRPr="00900701">
              <w:rPr>
                <w:rFonts w:ascii="Arial" w:hAnsi="Arial" w:cs="Arial"/>
                <w:bCs/>
                <w:color w:val="000000"/>
                <w:sz w:val="16"/>
                <w:szCs w:val="16"/>
              </w:rPr>
              <w:t>Contributed equity</w:t>
            </w:r>
          </w:p>
        </w:tc>
        <w:tc>
          <w:tcPr>
            <w:tcW w:w="884"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51,838 </w:t>
            </w:r>
          </w:p>
        </w:tc>
        <w:tc>
          <w:tcPr>
            <w:tcW w:w="884" w:type="dxa"/>
            <w:tcBorders>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46,956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27,864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27,257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27,417 </w:t>
            </w:r>
          </w:p>
        </w:tc>
      </w:tr>
      <w:tr w:rsidR="00900701" w:rsidRPr="00900701" w:rsidTr="008C1260">
        <w:trPr>
          <w:trHeight w:val="231"/>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i/>
                <w:color w:val="000000"/>
                <w:sz w:val="16"/>
                <w:szCs w:val="16"/>
              </w:rPr>
            </w:pPr>
            <w:r w:rsidRPr="00900701">
              <w:rPr>
                <w:rFonts w:ascii="Arial" w:hAnsi="Arial" w:cs="Arial"/>
                <w:b/>
                <w:bCs/>
                <w:i/>
                <w:color w:val="000000"/>
                <w:sz w:val="16"/>
                <w:szCs w:val="16"/>
              </w:rPr>
              <w:t>Total cash received</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color w:val="000000"/>
                <w:sz w:val="16"/>
                <w:szCs w:val="16"/>
              </w:rPr>
            </w:pPr>
            <w:r w:rsidRPr="00900701">
              <w:rPr>
                <w:rFonts w:ascii="Arial" w:hAnsi="Arial" w:cs="Arial"/>
                <w:b/>
                <w:bCs/>
                <w:i/>
                <w:color w:val="000000"/>
                <w:sz w:val="16"/>
                <w:szCs w:val="16"/>
              </w:rPr>
              <w:t xml:space="preserve">51,838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i/>
                <w:color w:val="000000"/>
                <w:sz w:val="16"/>
                <w:szCs w:val="16"/>
              </w:rPr>
            </w:pPr>
            <w:r w:rsidRPr="00900701">
              <w:rPr>
                <w:rFonts w:ascii="Arial" w:hAnsi="Arial" w:cs="Arial"/>
                <w:b/>
                <w:bCs/>
                <w:i/>
                <w:color w:val="000000"/>
                <w:sz w:val="16"/>
                <w:szCs w:val="16"/>
              </w:rPr>
              <w:t xml:space="preserve">46,956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color w:val="000000"/>
                <w:sz w:val="16"/>
                <w:szCs w:val="16"/>
              </w:rPr>
            </w:pPr>
            <w:r w:rsidRPr="00900701">
              <w:rPr>
                <w:rFonts w:ascii="Arial" w:hAnsi="Arial" w:cs="Arial"/>
                <w:b/>
                <w:bCs/>
                <w:i/>
                <w:color w:val="000000"/>
                <w:sz w:val="16"/>
                <w:szCs w:val="16"/>
              </w:rPr>
              <w:t xml:space="preserve">27,864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color w:val="000000"/>
                <w:sz w:val="16"/>
                <w:szCs w:val="16"/>
              </w:rPr>
            </w:pPr>
            <w:r w:rsidRPr="00900701">
              <w:rPr>
                <w:rFonts w:ascii="Arial" w:hAnsi="Arial" w:cs="Arial"/>
                <w:b/>
                <w:bCs/>
                <w:i/>
                <w:color w:val="000000"/>
                <w:sz w:val="16"/>
                <w:szCs w:val="16"/>
              </w:rPr>
              <w:t xml:space="preserve">27,257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i/>
                <w:color w:val="000000"/>
                <w:sz w:val="16"/>
                <w:szCs w:val="16"/>
              </w:rPr>
            </w:pPr>
            <w:r w:rsidRPr="00900701">
              <w:rPr>
                <w:rFonts w:ascii="Arial" w:hAnsi="Arial" w:cs="Arial"/>
                <w:b/>
                <w:bCs/>
                <w:i/>
                <w:color w:val="000000"/>
                <w:sz w:val="16"/>
                <w:szCs w:val="16"/>
              </w:rPr>
              <w:t xml:space="preserve">27,417 </w:t>
            </w:r>
          </w:p>
        </w:tc>
      </w:tr>
      <w:tr w:rsidR="00900701" w:rsidRPr="00900701" w:rsidTr="008C1260">
        <w:trPr>
          <w:trHeight w:val="263"/>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used</w:t>
            </w:r>
          </w:p>
        </w:tc>
        <w:tc>
          <w:tcPr>
            <w:tcW w:w="884"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4" w:type="dxa"/>
            <w:tcBorders>
              <w:top w:val="single" w:sz="4" w:space="0" w:color="auto"/>
              <w:left w:val="nil"/>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w:t>
            </w: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c>
          <w:tcPr>
            <w:tcW w:w="885" w:type="dxa"/>
            <w:tcBorders>
              <w:top w:val="single" w:sz="4" w:space="0" w:color="auto"/>
              <w:left w:val="nil"/>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p>
        </w:tc>
      </w:tr>
      <w:tr w:rsidR="00900701" w:rsidRPr="00900701" w:rsidTr="004D7F3A">
        <w:trPr>
          <w:trHeight w:val="227"/>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ind w:firstLine="191"/>
              <w:jc w:val="left"/>
              <w:rPr>
                <w:rFonts w:ascii="Arial" w:hAnsi="Arial" w:cs="Arial"/>
                <w:bCs/>
                <w:color w:val="000000"/>
                <w:sz w:val="16"/>
                <w:szCs w:val="16"/>
              </w:rPr>
            </w:pPr>
            <w:r w:rsidRPr="00900701">
              <w:rPr>
                <w:rFonts w:ascii="Arial" w:hAnsi="Arial" w:cs="Arial"/>
                <w:bCs/>
                <w:color w:val="000000"/>
                <w:sz w:val="16"/>
                <w:szCs w:val="16"/>
              </w:rPr>
              <w:t>Other</w:t>
            </w:r>
          </w:p>
        </w:tc>
        <w:tc>
          <w:tcPr>
            <w:tcW w:w="884"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Cs/>
                <w:color w:val="000000"/>
                <w:sz w:val="16"/>
                <w:szCs w:val="16"/>
              </w:rPr>
            </w:pPr>
            <w:r w:rsidRPr="00900701">
              <w:rPr>
                <w:rFonts w:ascii="Arial" w:hAnsi="Arial" w:cs="Arial"/>
                <w:bCs/>
                <w:color w:val="000000"/>
                <w:sz w:val="16"/>
                <w:szCs w:val="16"/>
              </w:rPr>
              <w:t xml:space="preserve">- </w:t>
            </w:r>
          </w:p>
        </w:tc>
        <w:tc>
          <w:tcPr>
            <w:tcW w:w="884" w:type="dxa"/>
            <w:tcBorders>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Cs/>
                <w:color w:val="000000"/>
                <w:sz w:val="16"/>
                <w:szCs w:val="16"/>
              </w:rPr>
            </w:pPr>
            <w:r w:rsidRPr="00900701">
              <w:rPr>
                <w:rFonts w:ascii="Arial" w:hAnsi="Arial" w:cs="Arial"/>
                <w:bCs/>
                <w:color w:val="000000"/>
                <w:sz w:val="16"/>
                <w:szCs w:val="16"/>
              </w:rPr>
              <w:t xml:space="preserve">-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Cs/>
                <w:color w:val="000000"/>
                <w:sz w:val="16"/>
                <w:szCs w:val="16"/>
              </w:rPr>
            </w:pPr>
            <w:r w:rsidRPr="00900701">
              <w:rPr>
                <w:rFonts w:ascii="Arial" w:hAnsi="Arial" w:cs="Arial"/>
                <w:bCs/>
                <w:color w:val="000000"/>
                <w:sz w:val="16"/>
                <w:szCs w:val="16"/>
              </w:rPr>
              <w:t xml:space="preserve">-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Cs/>
                <w:color w:val="000000"/>
                <w:sz w:val="16"/>
                <w:szCs w:val="16"/>
              </w:rPr>
            </w:pPr>
            <w:r w:rsidRPr="00900701">
              <w:rPr>
                <w:rFonts w:ascii="Arial" w:hAnsi="Arial" w:cs="Arial"/>
                <w:bCs/>
                <w:color w:val="000000"/>
                <w:sz w:val="16"/>
                <w:szCs w:val="16"/>
              </w:rPr>
              <w:t xml:space="preserve">- </w:t>
            </w:r>
          </w:p>
        </w:tc>
        <w:tc>
          <w:tcPr>
            <w:tcW w:w="885" w:type="dxa"/>
            <w:tcBorders>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Cs/>
                <w:color w:val="000000"/>
                <w:sz w:val="16"/>
                <w:szCs w:val="16"/>
              </w:rPr>
            </w:pPr>
            <w:r w:rsidRPr="00900701">
              <w:rPr>
                <w:rFonts w:ascii="Arial" w:hAnsi="Arial" w:cs="Arial"/>
                <w:bCs/>
                <w:color w:val="000000"/>
                <w:sz w:val="16"/>
                <w:szCs w:val="16"/>
              </w:rPr>
              <w:t xml:space="preserve">- </w:t>
            </w:r>
          </w:p>
        </w:tc>
      </w:tr>
      <w:tr w:rsidR="00900701" w:rsidRPr="00900701" w:rsidTr="008C1260">
        <w:trPr>
          <w:trHeight w:val="241"/>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i/>
                <w:color w:val="000000"/>
                <w:sz w:val="16"/>
                <w:szCs w:val="16"/>
              </w:rPr>
            </w:pPr>
            <w:r w:rsidRPr="00900701">
              <w:rPr>
                <w:rFonts w:ascii="Arial" w:hAnsi="Arial" w:cs="Arial"/>
                <w:b/>
                <w:bCs/>
                <w:i/>
                <w:color w:val="000000"/>
                <w:sz w:val="16"/>
                <w:szCs w:val="16"/>
              </w:rPr>
              <w:t>Total cash used</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r>
      <w:tr w:rsidR="00900701" w:rsidRPr="00900701" w:rsidTr="008C1260">
        <w:trPr>
          <w:trHeight w:val="274"/>
        </w:trPr>
        <w:tc>
          <w:tcPr>
            <w:tcW w:w="3343" w:type="dxa"/>
            <w:tcBorders>
              <w:top w:val="nil"/>
              <w:left w:val="nil"/>
              <w:bottom w:val="nil"/>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Net cash used by financing activities</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51,838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46,956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27,864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27,257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27,417 </w:t>
            </w:r>
          </w:p>
        </w:tc>
      </w:tr>
      <w:tr w:rsidR="00900701" w:rsidRPr="00900701" w:rsidTr="00900701">
        <w:trPr>
          <w:trHeight w:val="419"/>
        </w:trPr>
        <w:tc>
          <w:tcPr>
            <w:tcW w:w="3343" w:type="dxa"/>
            <w:tcBorders>
              <w:top w:val="nil"/>
              <w:left w:val="nil"/>
              <w:bottom w:val="nil"/>
              <w:right w:val="nil"/>
            </w:tcBorders>
            <w:shd w:val="clear" w:color="auto" w:fill="auto"/>
            <w:vAlign w:val="bottom"/>
            <w:hideMark/>
          </w:tcPr>
          <w:p w:rsidR="00900701" w:rsidRPr="00900701" w:rsidRDefault="00900701" w:rsidP="00900701">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Net increase/(decrease) in cash held</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652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(4,005)</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 </w:t>
            </w:r>
          </w:p>
        </w:tc>
      </w:tr>
      <w:tr w:rsidR="00900701" w:rsidRPr="008C1260" w:rsidTr="008C1260">
        <w:trPr>
          <w:trHeight w:val="411"/>
        </w:trPr>
        <w:tc>
          <w:tcPr>
            <w:tcW w:w="3343" w:type="dxa"/>
            <w:tcBorders>
              <w:top w:val="nil"/>
              <w:left w:val="nil"/>
              <w:right w:val="nil"/>
            </w:tcBorders>
            <w:shd w:val="clear" w:color="auto" w:fill="auto"/>
            <w:vAlign w:val="bottom"/>
            <w:hideMark/>
          </w:tcPr>
          <w:p w:rsidR="00900701" w:rsidRPr="008C1260" w:rsidRDefault="00900701" w:rsidP="008C1260">
            <w:pPr>
              <w:spacing w:after="0" w:line="240" w:lineRule="auto"/>
              <w:ind w:left="191"/>
              <w:jc w:val="left"/>
              <w:rPr>
                <w:rFonts w:ascii="Arial" w:hAnsi="Arial" w:cs="Arial"/>
                <w:bCs/>
                <w:color w:val="000000"/>
                <w:sz w:val="16"/>
                <w:szCs w:val="16"/>
              </w:rPr>
            </w:pPr>
            <w:r w:rsidRPr="008C1260">
              <w:rPr>
                <w:rFonts w:ascii="Arial" w:hAnsi="Arial" w:cs="Arial"/>
                <w:bCs/>
                <w:color w:val="000000"/>
                <w:sz w:val="16"/>
                <w:szCs w:val="16"/>
              </w:rPr>
              <w:t>Cash and cash equivalents at the beginning of the reporting period</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8C1260" w:rsidRDefault="00900701" w:rsidP="00900701">
            <w:pPr>
              <w:spacing w:after="0" w:line="240" w:lineRule="auto"/>
              <w:jc w:val="right"/>
              <w:rPr>
                <w:rFonts w:ascii="Arial" w:hAnsi="Arial" w:cs="Arial"/>
                <w:bCs/>
                <w:color w:val="000000"/>
                <w:sz w:val="16"/>
                <w:szCs w:val="16"/>
              </w:rPr>
            </w:pPr>
            <w:r w:rsidRPr="008C1260">
              <w:rPr>
                <w:rFonts w:ascii="Arial" w:hAnsi="Arial" w:cs="Arial"/>
                <w:bCs/>
                <w:color w:val="000000"/>
                <w:sz w:val="16"/>
                <w:szCs w:val="16"/>
              </w:rPr>
              <w:t xml:space="preserve">5,669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8C1260" w:rsidRDefault="00900701" w:rsidP="00900701">
            <w:pPr>
              <w:spacing w:after="0" w:line="240" w:lineRule="auto"/>
              <w:jc w:val="right"/>
              <w:rPr>
                <w:rFonts w:ascii="Arial" w:hAnsi="Arial" w:cs="Arial"/>
                <w:bCs/>
                <w:color w:val="000000"/>
                <w:sz w:val="16"/>
                <w:szCs w:val="16"/>
              </w:rPr>
            </w:pPr>
            <w:r w:rsidRPr="008C1260">
              <w:rPr>
                <w:rFonts w:ascii="Arial" w:hAnsi="Arial" w:cs="Arial"/>
                <w:bCs/>
                <w:color w:val="000000"/>
                <w:sz w:val="16"/>
                <w:szCs w:val="16"/>
              </w:rPr>
              <w:t xml:space="preserve">6,321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8C1260" w:rsidRDefault="00900701" w:rsidP="00900701">
            <w:pPr>
              <w:spacing w:after="0" w:line="240" w:lineRule="auto"/>
              <w:jc w:val="right"/>
              <w:rPr>
                <w:rFonts w:ascii="Arial" w:hAnsi="Arial" w:cs="Arial"/>
                <w:bCs/>
                <w:color w:val="000000"/>
                <w:sz w:val="16"/>
                <w:szCs w:val="16"/>
              </w:rPr>
            </w:pPr>
            <w:r w:rsidRPr="008C1260">
              <w:rPr>
                <w:rFonts w:ascii="Arial" w:hAnsi="Arial" w:cs="Arial"/>
                <w:bCs/>
                <w:color w:val="000000"/>
                <w:sz w:val="16"/>
                <w:szCs w:val="16"/>
              </w:rPr>
              <w:t xml:space="preserve">2,316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8C1260" w:rsidRDefault="00900701" w:rsidP="00900701">
            <w:pPr>
              <w:spacing w:after="0" w:line="240" w:lineRule="auto"/>
              <w:jc w:val="right"/>
              <w:rPr>
                <w:rFonts w:ascii="Arial" w:hAnsi="Arial" w:cs="Arial"/>
                <w:bCs/>
                <w:color w:val="000000"/>
                <w:sz w:val="16"/>
                <w:szCs w:val="16"/>
              </w:rPr>
            </w:pPr>
            <w:r w:rsidRPr="008C1260">
              <w:rPr>
                <w:rFonts w:ascii="Arial" w:hAnsi="Arial" w:cs="Arial"/>
                <w:bCs/>
                <w:color w:val="000000"/>
                <w:sz w:val="16"/>
                <w:szCs w:val="16"/>
              </w:rPr>
              <w:t xml:space="preserve">2,316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8C1260" w:rsidRDefault="00900701" w:rsidP="00900701">
            <w:pPr>
              <w:spacing w:after="0" w:line="240" w:lineRule="auto"/>
              <w:jc w:val="right"/>
              <w:rPr>
                <w:rFonts w:ascii="Arial" w:hAnsi="Arial" w:cs="Arial"/>
                <w:bCs/>
                <w:color w:val="000000"/>
                <w:sz w:val="16"/>
                <w:szCs w:val="16"/>
              </w:rPr>
            </w:pPr>
            <w:r w:rsidRPr="008C1260">
              <w:rPr>
                <w:rFonts w:ascii="Arial" w:hAnsi="Arial" w:cs="Arial"/>
                <w:bCs/>
                <w:color w:val="000000"/>
                <w:sz w:val="16"/>
                <w:szCs w:val="16"/>
              </w:rPr>
              <w:t xml:space="preserve">2,316 </w:t>
            </w:r>
          </w:p>
        </w:tc>
      </w:tr>
      <w:tr w:rsidR="00900701" w:rsidRPr="00900701" w:rsidTr="008C1260">
        <w:trPr>
          <w:trHeight w:val="450"/>
        </w:trPr>
        <w:tc>
          <w:tcPr>
            <w:tcW w:w="3343" w:type="dxa"/>
            <w:tcBorders>
              <w:top w:val="nil"/>
              <w:left w:val="nil"/>
              <w:bottom w:val="single" w:sz="4" w:space="0" w:color="auto"/>
              <w:right w:val="nil"/>
            </w:tcBorders>
            <w:shd w:val="clear" w:color="auto" w:fill="auto"/>
            <w:vAlign w:val="bottom"/>
            <w:hideMark/>
          </w:tcPr>
          <w:p w:rsidR="00900701" w:rsidRPr="00900701" w:rsidRDefault="00900701" w:rsidP="008C1260">
            <w:pPr>
              <w:spacing w:after="0" w:line="240" w:lineRule="auto"/>
              <w:jc w:val="left"/>
              <w:rPr>
                <w:rFonts w:ascii="Arial" w:hAnsi="Arial" w:cs="Arial"/>
                <w:b/>
                <w:bCs/>
                <w:color w:val="000000"/>
                <w:sz w:val="16"/>
                <w:szCs w:val="16"/>
              </w:rPr>
            </w:pPr>
            <w:r w:rsidRPr="00900701">
              <w:rPr>
                <w:rFonts w:ascii="Arial" w:hAnsi="Arial" w:cs="Arial"/>
                <w:b/>
                <w:bCs/>
                <w:color w:val="000000"/>
                <w:sz w:val="16"/>
                <w:szCs w:val="16"/>
              </w:rPr>
              <w:t>Cash and cash equivalents at the end of the reporting period</w:t>
            </w:r>
          </w:p>
        </w:tc>
        <w:tc>
          <w:tcPr>
            <w:tcW w:w="884"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6,321 </w:t>
            </w:r>
          </w:p>
        </w:tc>
        <w:tc>
          <w:tcPr>
            <w:tcW w:w="884" w:type="dxa"/>
            <w:tcBorders>
              <w:top w:val="single" w:sz="4" w:space="0" w:color="auto"/>
              <w:left w:val="nil"/>
              <w:bottom w:val="single" w:sz="4" w:space="0" w:color="auto"/>
              <w:right w:val="nil"/>
            </w:tcBorders>
            <w:shd w:val="clear" w:color="000000" w:fill="E6E6E6"/>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2,316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2,316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2,316 </w:t>
            </w:r>
          </w:p>
        </w:tc>
        <w:tc>
          <w:tcPr>
            <w:tcW w:w="885" w:type="dxa"/>
            <w:tcBorders>
              <w:top w:val="single" w:sz="4" w:space="0" w:color="auto"/>
              <w:left w:val="nil"/>
              <w:bottom w:val="single" w:sz="4" w:space="0" w:color="auto"/>
              <w:right w:val="nil"/>
            </w:tcBorders>
            <w:shd w:val="clear" w:color="auto" w:fill="auto"/>
            <w:noWrap/>
            <w:vAlign w:val="bottom"/>
            <w:hideMark/>
          </w:tcPr>
          <w:p w:rsidR="00900701" w:rsidRPr="00900701" w:rsidRDefault="00900701" w:rsidP="00900701">
            <w:pPr>
              <w:spacing w:after="0" w:line="240" w:lineRule="auto"/>
              <w:jc w:val="right"/>
              <w:rPr>
                <w:rFonts w:ascii="Arial" w:hAnsi="Arial" w:cs="Arial"/>
                <w:b/>
                <w:bCs/>
                <w:color w:val="000000"/>
                <w:sz w:val="16"/>
                <w:szCs w:val="16"/>
              </w:rPr>
            </w:pPr>
            <w:r w:rsidRPr="00900701">
              <w:rPr>
                <w:rFonts w:ascii="Arial" w:hAnsi="Arial" w:cs="Arial"/>
                <w:b/>
                <w:bCs/>
                <w:color w:val="000000"/>
                <w:sz w:val="16"/>
                <w:szCs w:val="16"/>
              </w:rPr>
              <w:t xml:space="preserve">2,316 </w:t>
            </w:r>
          </w:p>
        </w:tc>
      </w:tr>
    </w:tbl>
    <w:p w:rsidR="00900701" w:rsidRDefault="00900701" w:rsidP="00F51DAC">
      <w:pPr>
        <w:pStyle w:val="Source"/>
      </w:pPr>
    </w:p>
    <w:p w:rsidR="00391F8E" w:rsidRDefault="00F51DAC" w:rsidP="00D20281">
      <w:pPr>
        <w:pStyle w:val="Source"/>
      </w:pPr>
      <w:proofErr w:type="gramStart"/>
      <w:r>
        <w:t>Prepared on Austral</w:t>
      </w:r>
      <w:r w:rsidR="008C1260">
        <w:t>ian Accounting Standards basis.</w:t>
      </w:r>
      <w:proofErr w:type="gramEnd"/>
    </w:p>
    <w:p w:rsidR="00391F8E" w:rsidRDefault="00391F8E">
      <w:pPr>
        <w:spacing w:after="0" w:line="240" w:lineRule="auto"/>
        <w:jc w:val="left"/>
        <w:rPr>
          <w:rFonts w:ascii="Arial" w:hAnsi="Arial"/>
          <w:b/>
          <w:snapToGrid w:val="0"/>
          <w:lang w:val="x-none"/>
        </w:rPr>
      </w:pPr>
      <w:r>
        <w:rPr>
          <w:snapToGrid w:val="0"/>
        </w:rPr>
        <w:br w:type="page"/>
      </w:r>
    </w:p>
    <w:p w:rsidR="00391F8E" w:rsidRPr="00327424" w:rsidRDefault="00391F8E" w:rsidP="00391F8E">
      <w:pPr>
        <w:pStyle w:val="TableHeading"/>
        <w:spacing w:before="0"/>
        <w:rPr>
          <w:snapToGrid w:val="0"/>
          <w:lang w:val="en-AU"/>
        </w:rPr>
      </w:pPr>
      <w:r w:rsidRPr="00014438">
        <w:rPr>
          <w:snapToGrid w:val="0"/>
        </w:rPr>
        <w:lastRenderedPageBreak/>
        <w:t>Table 3.2.5</w:t>
      </w:r>
      <w:r>
        <w:rPr>
          <w:snapToGrid w:val="0"/>
        </w:rPr>
        <w:t>:</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(as at 30 June)</w:t>
      </w:r>
    </w:p>
    <w:tbl>
      <w:tblPr>
        <w:tblW w:w="7774" w:type="dxa"/>
        <w:tblCellMar>
          <w:left w:w="0" w:type="dxa"/>
          <w:right w:w="0" w:type="dxa"/>
        </w:tblCellMar>
        <w:tblLook w:val="04A0" w:firstRow="1" w:lastRow="0" w:firstColumn="1" w:lastColumn="0" w:noHBand="0" w:noVBand="1"/>
      </w:tblPr>
      <w:tblGrid>
        <w:gridCol w:w="3419"/>
        <w:gridCol w:w="871"/>
        <w:gridCol w:w="871"/>
        <w:gridCol w:w="871"/>
        <w:gridCol w:w="871"/>
        <w:gridCol w:w="871"/>
      </w:tblGrid>
      <w:tr w:rsidR="000349FE" w:rsidTr="001E280C">
        <w:trPr>
          <w:trHeight w:val="711"/>
          <w:tblHeader/>
        </w:trPr>
        <w:tc>
          <w:tcPr>
            <w:tcW w:w="341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349FE" w:rsidRDefault="000349FE" w:rsidP="000349FE">
            <w:pPr>
              <w:spacing w:after="0" w:line="240" w:lineRule="auto"/>
              <w:rPr>
                <w:rFonts w:ascii="Arial" w:hAnsi="Arial" w:cs="Arial"/>
                <w:sz w:val="16"/>
                <w:szCs w:val="16"/>
              </w:rPr>
            </w:pPr>
            <w:r>
              <w:rPr>
                <w:rFonts w:ascii="Arial" w:hAnsi="Arial" w:cs="Arial"/>
                <w:sz w:val="16"/>
                <w:szCs w:val="16"/>
              </w:rPr>
              <w:t> </w:t>
            </w:r>
          </w:p>
        </w:tc>
        <w:tc>
          <w:tcPr>
            <w:tcW w:w="871"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2014–15</w:t>
            </w:r>
            <w:r>
              <w:rPr>
                <w:rFonts w:ascii="Arial" w:hAnsi="Arial" w:cs="Arial"/>
                <w:sz w:val="16"/>
                <w:szCs w:val="16"/>
              </w:rPr>
              <w:br/>
              <w:t>Actual</w:t>
            </w:r>
            <w:r>
              <w:rPr>
                <w:rFonts w:ascii="Arial" w:hAnsi="Arial" w:cs="Arial"/>
                <w:sz w:val="16"/>
                <w:szCs w:val="16"/>
              </w:rPr>
              <w:br/>
              <w:t>$'000</w:t>
            </w:r>
          </w:p>
        </w:tc>
        <w:tc>
          <w:tcPr>
            <w:tcW w:w="871" w:type="dxa"/>
            <w:tcBorders>
              <w:top w:val="single" w:sz="4" w:space="0" w:color="auto"/>
              <w:left w:val="nil"/>
              <w:bottom w:val="single" w:sz="4" w:space="0" w:color="auto"/>
              <w:right w:val="nil"/>
            </w:tcBorders>
            <w:shd w:val="clear" w:color="000000" w:fill="E6E6E6"/>
            <w:tcMar>
              <w:top w:w="15" w:type="dxa"/>
              <w:left w:w="15" w:type="dxa"/>
              <w:bottom w:w="0" w:type="dxa"/>
              <w:right w:w="15" w:type="dxa"/>
            </w:tcMar>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2015–16</w:t>
            </w:r>
            <w:r>
              <w:rPr>
                <w:rFonts w:ascii="Arial" w:hAnsi="Arial" w:cs="Arial"/>
                <w:sz w:val="16"/>
                <w:szCs w:val="16"/>
              </w:rPr>
              <w:br/>
              <w:t>Revised budget</w:t>
            </w:r>
            <w:r>
              <w:rPr>
                <w:rFonts w:ascii="Arial" w:hAnsi="Arial" w:cs="Arial"/>
                <w:sz w:val="16"/>
                <w:szCs w:val="16"/>
              </w:rPr>
              <w:br/>
              <w:t>$'000</w:t>
            </w:r>
          </w:p>
        </w:tc>
        <w:tc>
          <w:tcPr>
            <w:tcW w:w="871"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2016–17</w:t>
            </w:r>
            <w:r>
              <w:rPr>
                <w:rFonts w:ascii="Arial" w:hAnsi="Arial" w:cs="Arial"/>
                <w:sz w:val="16"/>
                <w:szCs w:val="16"/>
              </w:rPr>
              <w:br/>
              <w:t>Forward estimate</w:t>
            </w:r>
            <w:r>
              <w:rPr>
                <w:rFonts w:ascii="Arial" w:hAnsi="Arial" w:cs="Arial"/>
                <w:sz w:val="16"/>
                <w:szCs w:val="16"/>
              </w:rPr>
              <w:br/>
              <w:t>$'000</w:t>
            </w:r>
          </w:p>
        </w:tc>
        <w:tc>
          <w:tcPr>
            <w:tcW w:w="871"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2017–18</w:t>
            </w:r>
            <w:r>
              <w:rPr>
                <w:rFonts w:ascii="Arial" w:hAnsi="Arial" w:cs="Arial"/>
                <w:sz w:val="16"/>
                <w:szCs w:val="16"/>
              </w:rPr>
              <w:br/>
              <w:t>Forward estimate</w:t>
            </w:r>
            <w:r>
              <w:rPr>
                <w:rFonts w:ascii="Arial" w:hAnsi="Arial" w:cs="Arial"/>
                <w:sz w:val="16"/>
                <w:szCs w:val="16"/>
              </w:rPr>
              <w:br/>
              <w:t>$'000</w:t>
            </w:r>
          </w:p>
        </w:tc>
        <w:tc>
          <w:tcPr>
            <w:tcW w:w="871"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2018–19</w:t>
            </w:r>
            <w:r>
              <w:rPr>
                <w:rFonts w:ascii="Arial" w:hAnsi="Arial" w:cs="Arial"/>
                <w:sz w:val="16"/>
                <w:szCs w:val="16"/>
              </w:rPr>
              <w:br/>
              <w:t>Forward estimate</w:t>
            </w:r>
            <w:r>
              <w:rPr>
                <w:rFonts w:ascii="Arial" w:hAnsi="Arial" w:cs="Arial"/>
                <w:sz w:val="16"/>
                <w:szCs w:val="16"/>
              </w:rPr>
              <w:br/>
              <w:t>$'000</w:t>
            </w:r>
          </w:p>
        </w:tc>
      </w:tr>
      <w:tr w:rsidR="000349FE" w:rsidTr="000349FE">
        <w:trPr>
          <w:trHeight w:val="2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2214C8">
            <w:pPr>
              <w:spacing w:after="0" w:line="240" w:lineRule="auto"/>
              <w:jc w:val="left"/>
              <w:rPr>
                <w:rFonts w:ascii="Arial" w:hAnsi="Arial" w:cs="Arial"/>
                <w:b/>
                <w:bCs/>
                <w:sz w:val="16"/>
                <w:szCs w:val="16"/>
              </w:rPr>
            </w:pPr>
            <w:r>
              <w:rPr>
                <w:rFonts w:ascii="Arial" w:hAnsi="Arial" w:cs="Arial"/>
                <w:b/>
                <w:bCs/>
                <w:sz w:val="16"/>
                <w:szCs w:val="16"/>
              </w:rPr>
              <w:t>NEW CAPITAL APPROPRIATIONS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r>
      <w:tr w:rsidR="000349FE" w:rsidTr="000349FE">
        <w:trPr>
          <w:trHeight w:val="208"/>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rsidR="000349FE" w:rsidRDefault="000349FE" w:rsidP="000349FE">
            <w:pPr>
              <w:spacing w:after="0" w:line="240" w:lineRule="auto"/>
              <w:ind w:firstLineChars="100" w:firstLine="160"/>
              <w:rPr>
                <w:rFonts w:ascii="Arial" w:hAnsi="Arial" w:cs="Arial"/>
                <w:sz w:val="16"/>
                <w:szCs w:val="16"/>
              </w:rPr>
            </w:pPr>
            <w:r>
              <w:rPr>
                <w:rFonts w:ascii="Arial" w:hAnsi="Arial" w:cs="Arial"/>
                <w:sz w:val="16"/>
                <w:szCs w:val="16"/>
              </w:rPr>
              <w:t>Capital budget—Act No. 1 (</w:t>
            </w:r>
            <w:proofErr w:type="spellStart"/>
            <w:r>
              <w:rPr>
                <w:rFonts w:ascii="Arial" w:hAnsi="Arial" w:cs="Arial"/>
                <w:sz w:val="16"/>
                <w:szCs w:val="16"/>
              </w:rPr>
              <w:t>DCB</w:t>
            </w:r>
            <w:proofErr w:type="spellEnd"/>
            <w:r>
              <w:rPr>
                <w:rFonts w:ascii="Arial" w:hAnsi="Arial" w:cs="Arial"/>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31,024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27,378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27,364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27,257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27,417 </w:t>
            </w:r>
          </w:p>
        </w:tc>
      </w:tr>
      <w:tr w:rsidR="000349FE" w:rsidTr="000349FE">
        <w:trPr>
          <w:trHeight w:val="208"/>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rsidR="000349FE" w:rsidRDefault="000349FE" w:rsidP="000349FE">
            <w:pPr>
              <w:spacing w:after="0" w:line="240" w:lineRule="auto"/>
              <w:ind w:firstLineChars="100" w:firstLine="160"/>
              <w:rPr>
                <w:rFonts w:ascii="Arial" w:hAnsi="Arial" w:cs="Arial"/>
                <w:sz w:val="16"/>
                <w:szCs w:val="16"/>
              </w:rPr>
            </w:pPr>
            <w:r>
              <w:rPr>
                <w:rFonts w:ascii="Arial" w:hAnsi="Arial" w:cs="Arial"/>
                <w:sz w:val="16"/>
                <w:szCs w:val="16"/>
              </w:rPr>
              <w:t>Equity injections—Act No. 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23,987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15,408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r>
      <w:tr w:rsidR="000349FE" w:rsidTr="000349FE">
        <w:trPr>
          <w:trHeight w:val="2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0349FE">
            <w:pPr>
              <w:spacing w:after="0" w:line="240" w:lineRule="auto"/>
              <w:rPr>
                <w:rFonts w:ascii="Arial" w:hAnsi="Arial" w:cs="Arial"/>
                <w:b/>
                <w:bCs/>
                <w:sz w:val="16"/>
                <w:szCs w:val="16"/>
              </w:rPr>
            </w:pPr>
            <w:r>
              <w:rPr>
                <w:rFonts w:ascii="Arial" w:hAnsi="Arial" w:cs="Arial"/>
                <w:b/>
                <w:bCs/>
                <w:sz w:val="16"/>
                <w:szCs w:val="16"/>
              </w:rPr>
              <w:t>Total new capital appropriations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55,011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42,786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27,364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27,257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27,417 </w:t>
            </w:r>
          </w:p>
        </w:tc>
      </w:tr>
      <w:tr w:rsidR="000349FE" w:rsidTr="000349FE">
        <w:trPr>
          <w:trHeight w:val="208"/>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rsidR="000349FE" w:rsidRDefault="000349FE" w:rsidP="000349FE">
            <w:pPr>
              <w:spacing w:after="0" w:line="240" w:lineRule="auto"/>
              <w:ind w:firstLineChars="100" w:firstLine="161"/>
              <w:rPr>
                <w:rFonts w:ascii="Arial" w:hAnsi="Arial" w:cs="Arial"/>
                <w:b/>
                <w:bCs/>
                <w:sz w:val="16"/>
                <w:szCs w:val="16"/>
              </w:rPr>
            </w:pPr>
            <w:r>
              <w:rPr>
                <w:rFonts w:ascii="Arial" w:hAnsi="Arial" w:cs="Arial"/>
                <w:b/>
                <w:bCs/>
                <w:sz w:val="16"/>
                <w:szCs w:val="16"/>
              </w:rPr>
              <w:t>Provided for: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r>
      <w:tr w:rsidR="000349FE" w:rsidTr="000349FE">
        <w:trPr>
          <w:trHeight w:val="208"/>
        </w:trPr>
        <w:tc>
          <w:tcPr>
            <w:tcW w:w="0" w:type="auto"/>
            <w:tcBorders>
              <w:top w:val="nil"/>
              <w:left w:val="nil"/>
              <w:bottom w:val="nil"/>
              <w:right w:val="nil"/>
            </w:tcBorders>
            <w:shd w:val="clear" w:color="auto" w:fill="auto"/>
            <w:noWrap/>
            <w:tcMar>
              <w:top w:w="15" w:type="dxa"/>
              <w:left w:w="270" w:type="dxa"/>
              <w:bottom w:w="0" w:type="dxa"/>
              <w:right w:w="15" w:type="dxa"/>
            </w:tcMar>
            <w:vAlign w:val="bottom"/>
            <w:hideMark/>
          </w:tcPr>
          <w:p w:rsidR="000349FE" w:rsidRDefault="000349FE" w:rsidP="000349FE">
            <w:pPr>
              <w:spacing w:after="0" w:line="240" w:lineRule="auto"/>
              <w:ind w:firstLineChars="200" w:firstLine="320"/>
              <w:rPr>
                <w:rFonts w:ascii="Arial" w:hAnsi="Arial" w:cs="Arial"/>
                <w:i/>
                <w:iCs/>
                <w:sz w:val="16"/>
                <w:szCs w:val="16"/>
              </w:rPr>
            </w:pPr>
            <w:r>
              <w:rPr>
                <w:rFonts w:ascii="Arial" w:hAnsi="Arial" w:cs="Arial"/>
                <w:i/>
                <w:iCs/>
                <w:sz w:val="16"/>
                <w:szCs w:val="16"/>
              </w:rPr>
              <w:t>Purchase of non-financial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53,751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42,786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27,364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27,257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27,417 </w:t>
            </w:r>
          </w:p>
        </w:tc>
      </w:tr>
      <w:tr w:rsidR="000349FE" w:rsidTr="000349FE">
        <w:trPr>
          <w:trHeight w:val="208"/>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rsidR="000349FE" w:rsidRDefault="000349FE" w:rsidP="000349FE">
            <w:pPr>
              <w:spacing w:after="0" w:line="240" w:lineRule="auto"/>
              <w:ind w:firstLineChars="100" w:firstLine="161"/>
              <w:rPr>
                <w:rFonts w:ascii="Arial" w:hAnsi="Arial" w:cs="Arial"/>
                <w:b/>
                <w:bCs/>
                <w:sz w:val="16"/>
                <w:szCs w:val="16"/>
              </w:rPr>
            </w:pPr>
            <w:r>
              <w:rPr>
                <w:rFonts w:ascii="Arial" w:hAnsi="Arial" w:cs="Arial"/>
                <w:b/>
                <w:bCs/>
                <w:sz w:val="16"/>
                <w:szCs w:val="16"/>
              </w:rPr>
              <w:t>Total Items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53,751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42,786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27,364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27,257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27,417 </w:t>
            </w:r>
          </w:p>
        </w:tc>
      </w:tr>
      <w:tr w:rsidR="000349FE" w:rsidTr="000349FE">
        <w:trPr>
          <w:trHeight w:val="370"/>
        </w:trPr>
        <w:tc>
          <w:tcPr>
            <w:tcW w:w="3419" w:type="dxa"/>
            <w:tcBorders>
              <w:top w:val="nil"/>
              <w:left w:val="nil"/>
              <w:bottom w:val="nil"/>
              <w:right w:val="nil"/>
            </w:tcBorders>
            <w:shd w:val="clear" w:color="auto" w:fill="auto"/>
            <w:tcMar>
              <w:top w:w="15" w:type="dxa"/>
              <w:left w:w="15" w:type="dxa"/>
              <w:bottom w:w="0" w:type="dxa"/>
              <w:right w:w="15" w:type="dxa"/>
            </w:tcMar>
            <w:vAlign w:val="bottom"/>
            <w:hideMark/>
          </w:tcPr>
          <w:p w:rsidR="000349FE" w:rsidRDefault="000349FE" w:rsidP="002214C8">
            <w:pPr>
              <w:spacing w:after="0" w:line="240" w:lineRule="auto"/>
              <w:jc w:val="left"/>
              <w:rPr>
                <w:rFonts w:ascii="Arial" w:hAnsi="Arial" w:cs="Arial"/>
                <w:b/>
                <w:bCs/>
                <w:sz w:val="16"/>
                <w:szCs w:val="16"/>
              </w:rPr>
            </w:pPr>
            <w:r>
              <w:rPr>
                <w:rFonts w:ascii="Arial" w:hAnsi="Arial" w:cs="Arial"/>
                <w:b/>
                <w:bCs/>
                <w:sz w:val="16"/>
                <w:szCs w:val="16"/>
              </w:rPr>
              <w:t>PURCHASE OF NON-FINANCIAL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p>
        </w:tc>
      </w:tr>
      <w:tr w:rsidR="000349FE" w:rsidTr="000349FE">
        <w:trPr>
          <w:trHeight w:val="207"/>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rsidR="000349FE" w:rsidRDefault="000349FE" w:rsidP="000349FE">
            <w:pPr>
              <w:spacing w:after="0" w:line="240" w:lineRule="auto"/>
              <w:ind w:firstLineChars="100" w:firstLine="160"/>
              <w:rPr>
                <w:rFonts w:ascii="Arial" w:hAnsi="Arial" w:cs="Arial"/>
                <w:sz w:val="16"/>
                <w:szCs w:val="16"/>
              </w:rPr>
            </w:pPr>
            <w:r>
              <w:rPr>
                <w:rFonts w:ascii="Arial" w:hAnsi="Arial" w:cs="Arial"/>
                <w:sz w:val="16"/>
                <w:szCs w:val="16"/>
              </w:rPr>
              <w:t>Funded by capital appropriations(a)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23,987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15,408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 </w:t>
            </w:r>
          </w:p>
        </w:tc>
      </w:tr>
      <w:tr w:rsidR="000349FE" w:rsidTr="000349FE">
        <w:trPr>
          <w:trHeight w:val="224"/>
        </w:trPr>
        <w:tc>
          <w:tcPr>
            <w:tcW w:w="3419" w:type="dxa"/>
            <w:tcBorders>
              <w:top w:val="nil"/>
              <w:left w:val="nil"/>
              <w:bottom w:val="nil"/>
              <w:right w:val="nil"/>
            </w:tcBorders>
            <w:shd w:val="clear" w:color="auto" w:fill="auto"/>
            <w:tcMar>
              <w:top w:w="15" w:type="dxa"/>
              <w:left w:w="135" w:type="dxa"/>
              <w:bottom w:w="0" w:type="dxa"/>
              <w:right w:w="15" w:type="dxa"/>
            </w:tcMar>
            <w:vAlign w:val="bottom"/>
            <w:hideMark/>
          </w:tcPr>
          <w:p w:rsidR="000349FE" w:rsidRDefault="000349FE" w:rsidP="000349FE">
            <w:pPr>
              <w:spacing w:after="0" w:line="240" w:lineRule="auto"/>
              <w:ind w:firstLineChars="100" w:firstLine="160"/>
              <w:rPr>
                <w:rFonts w:ascii="Arial" w:hAnsi="Arial" w:cs="Arial"/>
                <w:sz w:val="16"/>
                <w:szCs w:val="16"/>
              </w:rPr>
            </w:pPr>
            <w:r>
              <w:rPr>
                <w:rFonts w:ascii="Arial" w:hAnsi="Arial" w:cs="Arial"/>
                <w:sz w:val="16"/>
                <w:szCs w:val="16"/>
              </w:rPr>
              <w:t>Funded by capital appropriation—</w:t>
            </w:r>
            <w:proofErr w:type="spellStart"/>
            <w:r>
              <w:rPr>
                <w:rFonts w:ascii="Arial" w:hAnsi="Arial" w:cs="Arial"/>
                <w:sz w:val="16"/>
                <w:szCs w:val="16"/>
              </w:rPr>
              <w:t>DCB</w:t>
            </w:r>
            <w:proofErr w:type="spellEnd"/>
            <w:r>
              <w:rPr>
                <w:rFonts w:ascii="Arial" w:hAnsi="Arial" w:cs="Arial"/>
                <w:sz w:val="16"/>
                <w:szCs w:val="16"/>
              </w:rPr>
              <w:t>(b)</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29,764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31,548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27,864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27,257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27,417 </w:t>
            </w:r>
          </w:p>
        </w:tc>
      </w:tr>
      <w:tr w:rsidR="000349FE" w:rsidTr="000349FE">
        <w:trPr>
          <w:trHeight w:val="2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0349FE">
            <w:pPr>
              <w:spacing w:after="0" w:line="240" w:lineRule="auto"/>
              <w:jc w:val="left"/>
              <w:rPr>
                <w:rFonts w:ascii="Arial" w:hAnsi="Arial" w:cs="Arial"/>
                <w:b/>
                <w:bCs/>
                <w:sz w:val="16"/>
                <w:szCs w:val="16"/>
              </w:rPr>
            </w:pPr>
            <w:r>
              <w:rPr>
                <w:rFonts w:ascii="Arial" w:hAnsi="Arial" w:cs="Arial"/>
                <w:b/>
                <w:bCs/>
                <w:sz w:val="16"/>
                <w:szCs w:val="16"/>
              </w:rPr>
              <w:t>TOTAL AMOUNT SPENT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53,751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46,956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27,864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27,257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27,417 </w:t>
            </w:r>
          </w:p>
        </w:tc>
      </w:tr>
      <w:tr w:rsidR="000349FE" w:rsidTr="000349FE">
        <w:trPr>
          <w:trHeight w:val="638"/>
        </w:trPr>
        <w:tc>
          <w:tcPr>
            <w:tcW w:w="3419" w:type="dxa"/>
            <w:tcBorders>
              <w:top w:val="nil"/>
              <w:left w:val="nil"/>
              <w:bottom w:val="nil"/>
              <w:right w:val="nil"/>
            </w:tcBorders>
            <w:shd w:val="clear" w:color="auto" w:fill="auto"/>
            <w:tcMar>
              <w:top w:w="15" w:type="dxa"/>
              <w:left w:w="15" w:type="dxa"/>
              <w:bottom w:w="0" w:type="dxa"/>
              <w:right w:w="15" w:type="dxa"/>
            </w:tcMar>
            <w:vAlign w:val="bottom"/>
            <w:hideMark/>
          </w:tcPr>
          <w:p w:rsidR="000349FE" w:rsidRDefault="000349FE" w:rsidP="000349FE">
            <w:pPr>
              <w:spacing w:after="0" w:line="240" w:lineRule="auto"/>
              <w:ind w:left="284" w:hanging="284"/>
              <w:jc w:val="left"/>
              <w:rPr>
                <w:rFonts w:ascii="Arial" w:hAnsi="Arial" w:cs="Arial"/>
                <w:b/>
                <w:bCs/>
                <w:sz w:val="16"/>
                <w:szCs w:val="16"/>
              </w:rPr>
            </w:pPr>
            <w:r>
              <w:rPr>
                <w:rFonts w:ascii="Arial" w:hAnsi="Arial" w:cs="Arial"/>
                <w:b/>
                <w:bCs/>
                <w:sz w:val="16"/>
                <w:szCs w:val="16"/>
              </w:rPr>
              <w:t>RECONCILIATION OF CASH USED TO ACQUIRE ASSETS TO ASSET MOVEMENT TABLE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Calibri" w:hAnsi="Calibri" w:cs="Calibri"/>
                <w:sz w:val="22"/>
                <w:szCs w:val="22"/>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Calibri" w:hAnsi="Calibri" w:cs="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Calibri" w:hAnsi="Calibri" w:cs="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rPr>
                <w:rFonts w:ascii="Calibri" w:hAnsi="Calibri" w:cs="Calibri"/>
                <w:sz w:val="22"/>
                <w:szCs w:val="22"/>
              </w:rPr>
            </w:pPr>
          </w:p>
        </w:tc>
      </w:tr>
      <w:tr w:rsidR="000349FE" w:rsidTr="002214C8">
        <w:trPr>
          <w:trHeight w:val="20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2214C8">
            <w:pPr>
              <w:spacing w:after="0" w:line="240" w:lineRule="auto"/>
              <w:jc w:val="left"/>
              <w:rPr>
                <w:rFonts w:ascii="Arial" w:hAnsi="Arial" w:cs="Arial"/>
                <w:sz w:val="16"/>
                <w:szCs w:val="16"/>
              </w:rPr>
            </w:pPr>
            <w:r>
              <w:rPr>
                <w:rFonts w:ascii="Arial" w:hAnsi="Arial" w:cs="Arial"/>
                <w:sz w:val="16"/>
                <w:szCs w:val="16"/>
              </w:rPr>
              <w:t>Total purchases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53,751 </w:t>
            </w:r>
          </w:p>
        </w:tc>
        <w:tc>
          <w:tcPr>
            <w:tcW w:w="0" w:type="auto"/>
            <w:tcBorders>
              <w:top w:val="nil"/>
              <w:left w:val="nil"/>
              <w:bottom w:val="nil"/>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46,956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27,864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27,257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sz w:val="16"/>
                <w:szCs w:val="16"/>
              </w:rPr>
            </w:pPr>
            <w:r>
              <w:rPr>
                <w:rFonts w:ascii="Arial" w:hAnsi="Arial" w:cs="Arial"/>
                <w:sz w:val="16"/>
                <w:szCs w:val="16"/>
              </w:rPr>
              <w:t xml:space="preserve">27,417 </w:t>
            </w:r>
          </w:p>
        </w:tc>
      </w:tr>
      <w:tr w:rsidR="000349FE" w:rsidTr="000349FE">
        <w:trPr>
          <w:trHeight w:val="430"/>
        </w:trPr>
        <w:tc>
          <w:tcPr>
            <w:tcW w:w="341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0349FE" w:rsidRDefault="000349FE" w:rsidP="002214C8">
            <w:pPr>
              <w:spacing w:after="0" w:line="240" w:lineRule="auto"/>
              <w:ind w:left="284" w:hanging="284"/>
              <w:jc w:val="left"/>
              <w:rPr>
                <w:rFonts w:ascii="Arial" w:hAnsi="Arial" w:cs="Arial"/>
                <w:b/>
                <w:bCs/>
                <w:sz w:val="16"/>
                <w:szCs w:val="16"/>
              </w:rPr>
            </w:pPr>
            <w:r>
              <w:rPr>
                <w:rFonts w:ascii="Arial" w:hAnsi="Arial" w:cs="Arial"/>
                <w:b/>
                <w:bCs/>
                <w:sz w:val="16"/>
                <w:szCs w:val="16"/>
              </w:rPr>
              <w:t>TOTAL CASH REQUIRED TO ACQUIRE ASSETS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53,751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46,956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27,864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27,257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0349FE" w:rsidRDefault="000349FE" w:rsidP="004D7F3A">
            <w:pPr>
              <w:spacing w:after="0" w:line="240" w:lineRule="auto"/>
              <w:ind w:right="57"/>
              <w:jc w:val="right"/>
              <w:rPr>
                <w:rFonts w:ascii="Arial" w:hAnsi="Arial" w:cs="Arial"/>
                <w:b/>
                <w:bCs/>
                <w:sz w:val="16"/>
                <w:szCs w:val="16"/>
              </w:rPr>
            </w:pPr>
            <w:r>
              <w:rPr>
                <w:rFonts w:ascii="Arial" w:hAnsi="Arial" w:cs="Arial"/>
                <w:b/>
                <w:bCs/>
                <w:sz w:val="16"/>
                <w:szCs w:val="16"/>
              </w:rPr>
              <w:t xml:space="preserve">27,417 </w:t>
            </w:r>
          </w:p>
        </w:tc>
      </w:tr>
    </w:tbl>
    <w:p w:rsidR="00FD2224" w:rsidRDefault="00FD2224" w:rsidP="00391F8E">
      <w:pPr>
        <w:pStyle w:val="Source"/>
      </w:pPr>
    </w:p>
    <w:p w:rsidR="00391F8E" w:rsidRDefault="00391F8E" w:rsidP="00391F8E">
      <w:pPr>
        <w:pStyle w:val="Source"/>
      </w:pPr>
      <w:r>
        <w:t xml:space="preserve">(a) </w:t>
      </w:r>
      <w:r>
        <w:tab/>
        <w:t>Inclu</w:t>
      </w:r>
      <w:r w:rsidR="002214C8">
        <w:t>des both current and prior Act 2</w:t>
      </w:r>
      <w:r>
        <w:t xml:space="preserve"> and Bills 4/6 appropriations and special capital appropriations. </w:t>
      </w:r>
    </w:p>
    <w:p w:rsidR="00391F8E" w:rsidRDefault="00391F8E" w:rsidP="00391F8E">
      <w:pPr>
        <w:pStyle w:val="Source"/>
      </w:pPr>
      <w:r>
        <w:t xml:space="preserve">(b) </w:t>
      </w:r>
      <w:r>
        <w:tab/>
        <w:t xml:space="preserve">Does not include annual finance lease costs. </w:t>
      </w:r>
      <w:proofErr w:type="gramStart"/>
      <w:r>
        <w:t>Includes purchases from current and previous years’ Departmental Capital Budgets (DCBs).</w:t>
      </w:r>
      <w:proofErr w:type="gramEnd"/>
    </w:p>
    <w:p w:rsidR="002214C8" w:rsidRDefault="002214C8" w:rsidP="00391F8E">
      <w:pPr>
        <w:pStyle w:val="Source"/>
      </w:pPr>
    </w:p>
    <w:p w:rsidR="00D20281" w:rsidRPr="002214C8" w:rsidRDefault="00391F8E" w:rsidP="00D20281">
      <w:pPr>
        <w:pStyle w:val="Source"/>
      </w:pPr>
      <w:proofErr w:type="gramStart"/>
      <w:r>
        <w:t xml:space="preserve">Prepared on Australian </w:t>
      </w:r>
      <w:r w:rsidR="002214C8">
        <w:t>Accounting Standards basis.</w:t>
      </w:r>
      <w:proofErr w:type="gramEnd"/>
    </w:p>
    <w:p w:rsidR="00391F8E" w:rsidRDefault="00391F8E">
      <w:pPr>
        <w:spacing w:after="0" w:line="240" w:lineRule="auto"/>
        <w:jc w:val="left"/>
        <w:rPr>
          <w:rFonts w:ascii="Arial" w:hAnsi="Arial"/>
          <w:b/>
          <w:snapToGrid w:val="0"/>
          <w:lang w:val="x-none"/>
        </w:rPr>
      </w:pPr>
      <w:r>
        <w:rPr>
          <w:snapToGrid w:val="0"/>
        </w:rPr>
        <w:br w:type="page"/>
      </w:r>
    </w:p>
    <w:p w:rsidR="00391F8E" w:rsidRPr="00014438" w:rsidRDefault="00391F8E" w:rsidP="00391F8E">
      <w:pPr>
        <w:pStyle w:val="TableHeading"/>
        <w:spacing w:before="0"/>
        <w:rPr>
          <w:snapToGrid w:val="0"/>
        </w:rPr>
      </w:pPr>
      <w:r w:rsidRPr="00014438">
        <w:rPr>
          <w:snapToGrid w:val="0"/>
        </w:rPr>
        <w:lastRenderedPageBreak/>
        <w:t>Table 3.2.6</w:t>
      </w:r>
      <w:r>
        <w:rPr>
          <w:snapToGrid w:val="0"/>
        </w:rPr>
        <w:t xml:space="preserve">: </w:t>
      </w:r>
      <w:r w:rsidRPr="00014438">
        <w:rPr>
          <w:snapToGrid w:val="0"/>
        </w:rPr>
        <w:t>Statement of asset movements (</w:t>
      </w:r>
      <w:r>
        <w:rPr>
          <w:snapToGrid w:val="0"/>
        </w:rPr>
        <w:t>201</w:t>
      </w:r>
      <w:r>
        <w:rPr>
          <w:snapToGrid w:val="0"/>
          <w:lang w:val="en-AU"/>
        </w:rPr>
        <w:t>5–</w:t>
      </w:r>
      <w:r>
        <w:rPr>
          <w:snapToGrid w:val="0"/>
        </w:rPr>
        <w:t>1</w:t>
      </w:r>
      <w:r>
        <w:rPr>
          <w:snapToGrid w:val="0"/>
          <w:lang w:val="en-AU"/>
        </w:rPr>
        <w:t>6 Budget year</w:t>
      </w:r>
      <w:r w:rsidRPr="00014438">
        <w:rPr>
          <w:snapToGrid w:val="0"/>
        </w:rPr>
        <w:t>)</w:t>
      </w:r>
    </w:p>
    <w:tbl>
      <w:tblPr>
        <w:tblW w:w="7773" w:type="dxa"/>
        <w:tblInd w:w="93" w:type="dxa"/>
        <w:tblLook w:val="04A0" w:firstRow="1" w:lastRow="0" w:firstColumn="1" w:lastColumn="0" w:noHBand="0" w:noVBand="1"/>
      </w:tblPr>
      <w:tblGrid>
        <w:gridCol w:w="3469"/>
        <w:gridCol w:w="1076"/>
        <w:gridCol w:w="1076"/>
        <w:gridCol w:w="1076"/>
        <w:gridCol w:w="1076"/>
      </w:tblGrid>
      <w:tr w:rsidR="002214C8" w:rsidRPr="000C03DE" w:rsidTr="001E280C">
        <w:trPr>
          <w:trHeight w:val="868"/>
          <w:tblHeader/>
        </w:trPr>
        <w:tc>
          <w:tcPr>
            <w:tcW w:w="3469"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r w:rsidRPr="000C03DE">
              <w:rPr>
                <w:rFonts w:ascii="Arial" w:hAnsi="Arial" w:cs="Arial"/>
                <w:sz w:val="16"/>
                <w:szCs w:val="16"/>
              </w:rPr>
              <w:t> </w:t>
            </w:r>
          </w:p>
        </w:tc>
        <w:tc>
          <w:tcPr>
            <w:tcW w:w="1076" w:type="dxa"/>
            <w:tcBorders>
              <w:top w:val="single" w:sz="4" w:space="0" w:color="auto"/>
              <w:left w:val="nil"/>
              <w:bottom w:val="single" w:sz="4" w:space="0" w:color="auto"/>
              <w:right w:val="nil"/>
            </w:tcBorders>
            <w:shd w:val="clear" w:color="auto" w:fill="auto"/>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Buildings</w:t>
            </w:r>
            <w:r w:rsidRPr="000C03DE">
              <w:rPr>
                <w:rFonts w:ascii="Arial" w:hAnsi="Arial" w:cs="Arial"/>
                <w:sz w:val="16"/>
                <w:szCs w:val="16"/>
              </w:rPr>
              <w:br/>
              <w:t>$'000</w:t>
            </w:r>
          </w:p>
        </w:tc>
        <w:tc>
          <w:tcPr>
            <w:tcW w:w="1076" w:type="dxa"/>
            <w:tcBorders>
              <w:top w:val="single" w:sz="4" w:space="0" w:color="auto"/>
              <w:left w:val="nil"/>
              <w:bottom w:val="single" w:sz="4" w:space="0" w:color="auto"/>
              <w:right w:val="nil"/>
            </w:tcBorders>
            <w:shd w:val="clear" w:color="auto" w:fill="auto"/>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Other property, plant and equipment</w:t>
            </w:r>
            <w:r w:rsidRPr="000C03DE">
              <w:rPr>
                <w:rFonts w:ascii="Arial" w:hAnsi="Arial" w:cs="Arial"/>
                <w:sz w:val="16"/>
                <w:szCs w:val="16"/>
              </w:rPr>
              <w:br/>
              <w:t>$'000</w:t>
            </w:r>
          </w:p>
        </w:tc>
        <w:tc>
          <w:tcPr>
            <w:tcW w:w="1076" w:type="dxa"/>
            <w:tcBorders>
              <w:top w:val="single" w:sz="4" w:space="0" w:color="auto"/>
              <w:left w:val="nil"/>
              <w:bottom w:val="single" w:sz="4" w:space="0" w:color="auto"/>
              <w:right w:val="nil"/>
            </w:tcBorders>
            <w:shd w:val="clear" w:color="auto" w:fill="auto"/>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Computer software and intangibles</w:t>
            </w:r>
            <w:r w:rsidRPr="000C03DE">
              <w:rPr>
                <w:rFonts w:ascii="Arial" w:hAnsi="Arial" w:cs="Arial"/>
                <w:sz w:val="16"/>
                <w:szCs w:val="16"/>
              </w:rPr>
              <w:br/>
              <w:t>$'000</w:t>
            </w:r>
          </w:p>
        </w:tc>
        <w:tc>
          <w:tcPr>
            <w:tcW w:w="1076" w:type="dxa"/>
            <w:tcBorders>
              <w:top w:val="single" w:sz="4" w:space="0" w:color="auto"/>
              <w:left w:val="nil"/>
              <w:bottom w:val="single" w:sz="4" w:space="0" w:color="auto"/>
              <w:right w:val="nil"/>
            </w:tcBorders>
            <w:shd w:val="clear" w:color="auto" w:fill="auto"/>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Total</w:t>
            </w:r>
            <w:r w:rsidRPr="000C03DE">
              <w:rPr>
                <w:rFonts w:ascii="Arial" w:hAnsi="Arial" w:cs="Arial"/>
                <w:sz w:val="16"/>
                <w:szCs w:val="16"/>
              </w:rPr>
              <w:br/>
              <w:t>$'000</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As at 1 July 2015</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sz w:val="16"/>
                <w:szCs w:val="16"/>
              </w:rPr>
            </w:pPr>
            <w:r w:rsidRPr="000C03DE">
              <w:rPr>
                <w:rFonts w:ascii="Arial" w:hAnsi="Arial" w:cs="Arial"/>
                <w:sz w:val="16"/>
                <w:szCs w:val="16"/>
              </w:rPr>
              <w:t xml:space="preserve">Gross book value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28,582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23,697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80,122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132,401 </w:t>
            </w:r>
          </w:p>
        </w:tc>
      </w:tr>
      <w:tr w:rsidR="002214C8" w:rsidRPr="000C03DE" w:rsidTr="002214C8">
        <w:trPr>
          <w:trHeight w:val="394"/>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left="191"/>
              <w:jc w:val="left"/>
              <w:rPr>
                <w:rFonts w:ascii="Arial" w:hAnsi="Arial" w:cs="Arial"/>
                <w:sz w:val="16"/>
                <w:szCs w:val="16"/>
              </w:rPr>
            </w:pPr>
            <w:r w:rsidRPr="000C03DE">
              <w:rPr>
                <w:rFonts w:ascii="Arial" w:hAnsi="Arial" w:cs="Arial"/>
                <w:sz w:val="16"/>
                <w:szCs w:val="16"/>
              </w:rPr>
              <w:t>Accumulated depreciation/amortisation and impairment</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(8,322)</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(10,458)</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(14,361)</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(33,141)</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Opening net book balance</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20,260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13,239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65,761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99,260 </w:t>
            </w:r>
          </w:p>
        </w:tc>
      </w:tr>
      <w:tr w:rsidR="002214C8" w:rsidRPr="000C03DE" w:rsidTr="002214C8">
        <w:trPr>
          <w:trHeight w:val="228"/>
        </w:trPr>
        <w:tc>
          <w:tcPr>
            <w:tcW w:w="3469" w:type="dxa"/>
            <w:tcBorders>
              <w:top w:val="nil"/>
              <w:left w:val="nil"/>
              <w:bottom w:val="nil"/>
              <w:right w:val="nil"/>
            </w:tcBorders>
            <w:shd w:val="clear" w:color="auto" w:fill="auto"/>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CAPITAL ASSET ADDITIONS</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p>
        </w:tc>
      </w:tr>
      <w:tr w:rsidR="002214C8" w:rsidRPr="000C03DE" w:rsidTr="002214C8">
        <w:trPr>
          <w:trHeight w:val="270"/>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left="191"/>
              <w:jc w:val="left"/>
              <w:rPr>
                <w:rFonts w:ascii="Arial" w:hAnsi="Arial" w:cs="Arial"/>
                <w:b/>
                <w:bCs/>
                <w:sz w:val="16"/>
                <w:szCs w:val="16"/>
              </w:rPr>
            </w:pPr>
            <w:r w:rsidRPr="000C03DE">
              <w:rPr>
                <w:rFonts w:ascii="Arial" w:hAnsi="Arial" w:cs="Arial"/>
                <w:b/>
                <w:bCs/>
                <w:sz w:val="16"/>
                <w:szCs w:val="16"/>
              </w:rPr>
              <w:t>Estimated expenditure on new or replacement assets</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sz w:val="16"/>
                <w:szCs w:val="16"/>
              </w:rPr>
            </w:pPr>
            <w:r w:rsidRPr="000C03DE">
              <w:rPr>
                <w:rFonts w:ascii="Arial" w:hAnsi="Arial" w:cs="Arial"/>
                <w:sz w:val="16"/>
                <w:szCs w:val="16"/>
              </w:rPr>
              <w:t>By purchase—appropriation equity(a)</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6,156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6,990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33,810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46,956 </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b/>
                <w:bCs/>
                <w:sz w:val="16"/>
                <w:szCs w:val="16"/>
              </w:rPr>
            </w:pPr>
            <w:r w:rsidRPr="000C03DE">
              <w:rPr>
                <w:rFonts w:ascii="Arial" w:hAnsi="Arial" w:cs="Arial"/>
                <w:b/>
                <w:sz w:val="16"/>
                <w:szCs w:val="16"/>
              </w:rPr>
              <w:t>Total</w:t>
            </w:r>
            <w:r w:rsidRPr="000C03DE">
              <w:rPr>
                <w:rFonts w:ascii="Arial" w:hAnsi="Arial" w:cs="Arial"/>
                <w:b/>
                <w:bCs/>
                <w:sz w:val="16"/>
                <w:szCs w:val="16"/>
              </w:rPr>
              <w:t xml:space="preserve"> additions</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6,156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6,990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33,810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46,956 </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b/>
                <w:bCs/>
                <w:sz w:val="16"/>
                <w:szCs w:val="16"/>
              </w:rPr>
            </w:pPr>
            <w:r w:rsidRPr="000C03DE">
              <w:rPr>
                <w:rFonts w:ascii="Arial" w:hAnsi="Arial" w:cs="Arial"/>
                <w:b/>
                <w:bCs/>
                <w:sz w:val="16"/>
                <w:szCs w:val="16"/>
              </w:rPr>
              <w:t>Other movements</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 </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 </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sz w:val="16"/>
                <w:szCs w:val="16"/>
              </w:rPr>
            </w:pPr>
            <w:r w:rsidRPr="000C03DE">
              <w:rPr>
                <w:rFonts w:ascii="Arial" w:hAnsi="Arial" w:cs="Arial"/>
                <w:sz w:val="16"/>
                <w:szCs w:val="16"/>
              </w:rPr>
              <w:t>Depreciation/amortisation expense</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(4,975)</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(3,696)</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(18,224)</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(26,895)</w:t>
            </w:r>
          </w:p>
        </w:tc>
      </w:tr>
      <w:tr w:rsidR="002214C8" w:rsidRPr="000C03DE" w:rsidTr="002214C8">
        <w:trPr>
          <w:trHeight w:val="197"/>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b/>
                <w:bCs/>
                <w:sz w:val="16"/>
                <w:szCs w:val="16"/>
              </w:rPr>
            </w:pPr>
            <w:r w:rsidRPr="000C03DE">
              <w:rPr>
                <w:rFonts w:ascii="Arial" w:hAnsi="Arial" w:cs="Arial"/>
                <w:b/>
                <w:bCs/>
                <w:sz w:val="16"/>
                <w:szCs w:val="16"/>
              </w:rPr>
              <w:t>Total other movements</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(4,975)</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(3,696)</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(18,224)</w:t>
            </w:r>
          </w:p>
        </w:tc>
        <w:tc>
          <w:tcPr>
            <w:tcW w:w="1076" w:type="dxa"/>
            <w:tcBorders>
              <w:top w:val="single" w:sz="4" w:space="0" w:color="auto"/>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(26,895)</w:t>
            </w: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As at 30 June 2016</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sz w:val="16"/>
                <w:szCs w:val="16"/>
              </w:rPr>
            </w:pP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p>
        </w:tc>
      </w:tr>
      <w:tr w:rsidR="002214C8" w:rsidRPr="000C03DE" w:rsidTr="002214C8">
        <w:trPr>
          <w:trHeight w:val="212"/>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firstLine="191"/>
              <w:jc w:val="left"/>
              <w:rPr>
                <w:rFonts w:ascii="Arial" w:hAnsi="Arial" w:cs="Arial"/>
                <w:sz w:val="16"/>
                <w:szCs w:val="16"/>
              </w:rPr>
            </w:pPr>
            <w:r w:rsidRPr="000C03DE">
              <w:rPr>
                <w:rFonts w:ascii="Arial" w:hAnsi="Arial" w:cs="Arial"/>
                <w:sz w:val="16"/>
                <w:szCs w:val="16"/>
              </w:rPr>
              <w:t>Gross book value</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34,738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30,687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113,932 </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 xml:space="preserve">179,357 </w:t>
            </w:r>
          </w:p>
        </w:tc>
      </w:tr>
      <w:tr w:rsidR="002214C8" w:rsidRPr="000C03DE" w:rsidTr="002214C8">
        <w:trPr>
          <w:trHeight w:val="394"/>
        </w:trPr>
        <w:tc>
          <w:tcPr>
            <w:tcW w:w="3469" w:type="dxa"/>
            <w:tcBorders>
              <w:top w:val="nil"/>
              <w:left w:val="nil"/>
              <w:bottom w:val="nil"/>
              <w:right w:val="nil"/>
            </w:tcBorders>
            <w:shd w:val="clear" w:color="auto" w:fill="auto"/>
            <w:vAlign w:val="bottom"/>
            <w:hideMark/>
          </w:tcPr>
          <w:p w:rsidR="002214C8" w:rsidRPr="000C03DE" w:rsidRDefault="002214C8" w:rsidP="000C03DE">
            <w:pPr>
              <w:spacing w:after="0" w:line="240" w:lineRule="auto"/>
              <w:ind w:left="191"/>
              <w:jc w:val="left"/>
              <w:rPr>
                <w:rFonts w:ascii="Arial" w:hAnsi="Arial" w:cs="Arial"/>
                <w:sz w:val="16"/>
                <w:szCs w:val="16"/>
              </w:rPr>
            </w:pPr>
            <w:r w:rsidRPr="000C03DE">
              <w:rPr>
                <w:rFonts w:ascii="Arial" w:hAnsi="Arial" w:cs="Arial"/>
                <w:sz w:val="16"/>
                <w:szCs w:val="16"/>
              </w:rPr>
              <w:t>Accumulated depreciation/amortisation and impairment</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(13,297)</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(14,154)</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(32,585)</w:t>
            </w:r>
          </w:p>
        </w:tc>
        <w:tc>
          <w:tcPr>
            <w:tcW w:w="1076" w:type="dxa"/>
            <w:tcBorders>
              <w:top w:val="nil"/>
              <w:left w:val="nil"/>
              <w:bottom w:val="nil"/>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sz w:val="16"/>
                <w:szCs w:val="16"/>
              </w:rPr>
            </w:pPr>
            <w:r w:rsidRPr="000C03DE">
              <w:rPr>
                <w:rFonts w:ascii="Arial" w:hAnsi="Arial" w:cs="Arial"/>
                <w:sz w:val="16"/>
                <w:szCs w:val="16"/>
              </w:rPr>
              <w:t>(60,036)</w:t>
            </w:r>
          </w:p>
        </w:tc>
      </w:tr>
      <w:tr w:rsidR="002214C8" w:rsidRPr="000C03DE" w:rsidTr="002214C8">
        <w:trPr>
          <w:trHeight w:val="228"/>
        </w:trPr>
        <w:tc>
          <w:tcPr>
            <w:tcW w:w="3469" w:type="dxa"/>
            <w:tcBorders>
              <w:top w:val="nil"/>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left"/>
              <w:rPr>
                <w:rFonts w:ascii="Arial" w:hAnsi="Arial" w:cs="Arial"/>
                <w:b/>
                <w:bCs/>
                <w:sz w:val="16"/>
                <w:szCs w:val="16"/>
              </w:rPr>
            </w:pPr>
            <w:r w:rsidRPr="000C03DE">
              <w:rPr>
                <w:rFonts w:ascii="Arial" w:hAnsi="Arial" w:cs="Arial"/>
                <w:b/>
                <w:bCs/>
                <w:sz w:val="16"/>
                <w:szCs w:val="16"/>
              </w:rPr>
              <w:t>Closing net book balance</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21,441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16,533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81,347 </w:t>
            </w:r>
          </w:p>
        </w:tc>
        <w:tc>
          <w:tcPr>
            <w:tcW w:w="1076" w:type="dxa"/>
            <w:tcBorders>
              <w:top w:val="single" w:sz="4" w:space="0" w:color="auto"/>
              <w:left w:val="nil"/>
              <w:bottom w:val="single" w:sz="4" w:space="0" w:color="auto"/>
              <w:right w:val="nil"/>
            </w:tcBorders>
            <w:shd w:val="clear" w:color="auto" w:fill="auto"/>
            <w:noWrap/>
            <w:vAlign w:val="bottom"/>
            <w:hideMark/>
          </w:tcPr>
          <w:p w:rsidR="002214C8" w:rsidRPr="000C03DE" w:rsidRDefault="002214C8" w:rsidP="002214C8">
            <w:pPr>
              <w:spacing w:after="0" w:line="240" w:lineRule="auto"/>
              <w:jc w:val="right"/>
              <w:rPr>
                <w:rFonts w:ascii="Arial" w:hAnsi="Arial" w:cs="Arial"/>
                <w:b/>
                <w:bCs/>
                <w:sz w:val="16"/>
                <w:szCs w:val="16"/>
              </w:rPr>
            </w:pPr>
            <w:r w:rsidRPr="000C03DE">
              <w:rPr>
                <w:rFonts w:ascii="Arial" w:hAnsi="Arial" w:cs="Arial"/>
                <w:b/>
                <w:bCs/>
                <w:sz w:val="16"/>
                <w:szCs w:val="16"/>
              </w:rPr>
              <w:t xml:space="preserve">119,321 </w:t>
            </w:r>
          </w:p>
        </w:tc>
      </w:tr>
    </w:tbl>
    <w:p w:rsidR="002214C8" w:rsidRDefault="002214C8" w:rsidP="00391F8E">
      <w:pPr>
        <w:pStyle w:val="Source"/>
        <w:ind w:left="284" w:hanging="284"/>
      </w:pPr>
    </w:p>
    <w:p w:rsidR="00391F8E" w:rsidRDefault="00391F8E" w:rsidP="00391F8E">
      <w:pPr>
        <w:pStyle w:val="Source"/>
        <w:ind w:left="284" w:hanging="284"/>
      </w:pPr>
      <w:r>
        <w:t xml:space="preserve">(a) “Appropriation equity” refers to equity injections or Administered Assets and Liabilities appropriations provided through </w:t>
      </w:r>
      <w:r w:rsidRPr="002214C8">
        <w:rPr>
          <w:i/>
        </w:rPr>
        <w:t>Appropriation Act (</w:t>
      </w:r>
      <w:proofErr w:type="spellStart"/>
      <w:r w:rsidRPr="002214C8">
        <w:rPr>
          <w:i/>
        </w:rPr>
        <w:t>No.2</w:t>
      </w:r>
      <w:proofErr w:type="spellEnd"/>
      <w:r w:rsidRPr="002214C8">
        <w:rPr>
          <w:i/>
        </w:rPr>
        <w:t>) 2015</w:t>
      </w:r>
      <w:r w:rsidR="00830F17" w:rsidRPr="002214C8">
        <w:rPr>
          <w:i/>
        </w:rPr>
        <w:t>–</w:t>
      </w:r>
      <w:r w:rsidRPr="002214C8">
        <w:rPr>
          <w:i/>
        </w:rPr>
        <w:t>16</w:t>
      </w:r>
      <w:r>
        <w:t xml:space="preserve"> and Bill (</w:t>
      </w:r>
      <w:proofErr w:type="spellStart"/>
      <w:r>
        <w:t>No.4</w:t>
      </w:r>
      <w:proofErr w:type="spellEnd"/>
      <w:r>
        <w:t>) 2015</w:t>
      </w:r>
      <w:r w:rsidR="00830F17">
        <w:t>–</w:t>
      </w:r>
      <w:r>
        <w:t xml:space="preserve">16, including </w:t>
      </w:r>
      <w:proofErr w:type="spellStart"/>
      <w:r>
        <w:t>CDABs</w:t>
      </w:r>
      <w:proofErr w:type="spellEnd"/>
      <w:r>
        <w:t>.</w:t>
      </w:r>
    </w:p>
    <w:p w:rsidR="002214C8" w:rsidRDefault="002214C8" w:rsidP="00391F8E">
      <w:pPr>
        <w:pStyle w:val="Source"/>
      </w:pPr>
    </w:p>
    <w:p w:rsidR="00391F8E" w:rsidRDefault="00391F8E" w:rsidP="00391F8E">
      <w:pPr>
        <w:pStyle w:val="Source"/>
      </w:pPr>
      <w:proofErr w:type="gramStart"/>
      <w:r>
        <w:t>Prepared on Australian Accounting Standards basis.</w:t>
      </w:r>
      <w:proofErr w:type="gramEnd"/>
    </w:p>
    <w:p w:rsidR="00391F8E" w:rsidRDefault="00391F8E" w:rsidP="00F51DAC">
      <w:pPr>
        <w:pStyle w:val="Source"/>
      </w:pPr>
    </w:p>
    <w:p w:rsidR="00391F8E" w:rsidRDefault="00391F8E">
      <w:pPr>
        <w:spacing w:after="0" w:line="240" w:lineRule="auto"/>
        <w:jc w:val="left"/>
        <w:rPr>
          <w:rFonts w:ascii="Arial" w:hAnsi="Arial"/>
          <w:b/>
          <w:snapToGrid w:val="0"/>
          <w:lang w:val="x-none"/>
        </w:rPr>
      </w:pPr>
      <w:r>
        <w:rPr>
          <w:snapToGrid w:val="0"/>
        </w:rPr>
        <w:br w:type="page"/>
      </w:r>
    </w:p>
    <w:p w:rsidR="00391F8E" w:rsidRDefault="00391F8E" w:rsidP="00391F8E">
      <w:pPr>
        <w:pStyle w:val="TableHeading"/>
        <w:spacing w:before="0"/>
        <w:rPr>
          <w:snapToGrid w:val="0"/>
          <w:lang w:val="en-AU"/>
        </w:rPr>
      </w:pPr>
      <w:r>
        <w:rPr>
          <w:snapToGrid w:val="0"/>
        </w:rPr>
        <w:lastRenderedPageBreak/>
        <w:t xml:space="preserve">Table 3.2.7: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p>
    <w:tbl>
      <w:tblPr>
        <w:tblW w:w="7591" w:type="dxa"/>
        <w:tblInd w:w="93" w:type="dxa"/>
        <w:tblLook w:val="04A0" w:firstRow="1" w:lastRow="0" w:firstColumn="1" w:lastColumn="0" w:noHBand="0" w:noVBand="1"/>
      </w:tblPr>
      <w:tblGrid>
        <w:gridCol w:w="2850"/>
        <w:gridCol w:w="969"/>
        <w:gridCol w:w="990"/>
        <w:gridCol w:w="990"/>
        <w:gridCol w:w="990"/>
        <w:gridCol w:w="990"/>
      </w:tblGrid>
      <w:tr w:rsidR="00BA2B66" w:rsidRPr="00BA2B66" w:rsidTr="001E280C">
        <w:trPr>
          <w:trHeight w:val="785"/>
          <w:tblHeader/>
        </w:trPr>
        <w:tc>
          <w:tcPr>
            <w:tcW w:w="2850" w:type="dxa"/>
            <w:tcBorders>
              <w:top w:val="single" w:sz="4" w:space="0" w:color="auto"/>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c>
          <w:tcPr>
            <w:tcW w:w="781" w:type="dxa"/>
            <w:tcBorders>
              <w:top w:val="single" w:sz="4" w:space="0" w:color="auto"/>
              <w:left w:val="nil"/>
              <w:bottom w:val="nil"/>
              <w:right w:val="nil"/>
            </w:tcBorders>
            <w:shd w:val="clear" w:color="auto" w:fill="auto"/>
            <w:hideMark/>
          </w:tcPr>
          <w:p w:rsidR="00BA2B66" w:rsidRPr="00BA2B66" w:rsidRDefault="00BA2B66" w:rsidP="00BA2B66">
            <w:pPr>
              <w:spacing w:after="0" w:line="240" w:lineRule="auto"/>
              <w:jc w:val="right"/>
              <w:rPr>
                <w:rFonts w:ascii="Arial" w:hAnsi="Arial" w:cs="Arial"/>
                <w:sz w:val="16"/>
                <w:szCs w:val="16"/>
              </w:rPr>
            </w:pPr>
            <w:r w:rsidRPr="00BA2B66">
              <w:rPr>
                <w:rFonts w:ascii="Arial" w:hAnsi="Arial" w:cs="Arial"/>
                <w:sz w:val="16"/>
                <w:szCs w:val="16"/>
              </w:rPr>
              <w:t>2014–15</w:t>
            </w:r>
            <w:r w:rsidRPr="00BA2B66">
              <w:rPr>
                <w:rFonts w:ascii="Arial" w:hAnsi="Arial" w:cs="Arial"/>
                <w:sz w:val="16"/>
                <w:szCs w:val="16"/>
              </w:rPr>
              <w:br/>
              <w:t>Actual</w:t>
            </w:r>
            <w:r w:rsidRPr="00BA2B66">
              <w:rPr>
                <w:rFonts w:ascii="Arial" w:hAnsi="Arial" w:cs="Arial"/>
                <w:sz w:val="16"/>
                <w:szCs w:val="16"/>
              </w:rPr>
              <w:br/>
              <w:t>$'000</w:t>
            </w:r>
          </w:p>
        </w:tc>
        <w:tc>
          <w:tcPr>
            <w:tcW w:w="990" w:type="dxa"/>
            <w:tcBorders>
              <w:top w:val="single" w:sz="4" w:space="0" w:color="auto"/>
              <w:left w:val="nil"/>
              <w:bottom w:val="nil"/>
              <w:right w:val="nil"/>
            </w:tcBorders>
            <w:shd w:val="clear" w:color="000000" w:fill="E6E6E6"/>
            <w:hideMark/>
          </w:tcPr>
          <w:p w:rsidR="00BA2B66" w:rsidRPr="00BA2B66" w:rsidRDefault="00BA2B66" w:rsidP="00BA2B66">
            <w:pPr>
              <w:spacing w:after="0" w:line="240" w:lineRule="auto"/>
              <w:jc w:val="right"/>
              <w:rPr>
                <w:rFonts w:ascii="Arial" w:hAnsi="Arial" w:cs="Arial"/>
                <w:sz w:val="16"/>
                <w:szCs w:val="16"/>
              </w:rPr>
            </w:pPr>
            <w:r w:rsidRPr="00BA2B66">
              <w:rPr>
                <w:rFonts w:ascii="Arial" w:hAnsi="Arial" w:cs="Arial"/>
                <w:sz w:val="16"/>
                <w:szCs w:val="16"/>
              </w:rPr>
              <w:t>2015–16</w:t>
            </w:r>
            <w:r w:rsidRPr="00BA2B66">
              <w:rPr>
                <w:rFonts w:ascii="Arial" w:hAnsi="Arial" w:cs="Arial"/>
                <w:sz w:val="16"/>
                <w:szCs w:val="16"/>
              </w:rPr>
              <w:br/>
              <w:t>Revised budget</w:t>
            </w:r>
            <w:r w:rsidRPr="00BA2B66">
              <w:rPr>
                <w:rFonts w:ascii="Arial" w:hAnsi="Arial" w:cs="Arial"/>
                <w:sz w:val="16"/>
                <w:szCs w:val="16"/>
              </w:rPr>
              <w:br/>
              <w:t>$'000</w:t>
            </w:r>
          </w:p>
        </w:tc>
        <w:tc>
          <w:tcPr>
            <w:tcW w:w="990" w:type="dxa"/>
            <w:tcBorders>
              <w:top w:val="single" w:sz="4" w:space="0" w:color="auto"/>
              <w:left w:val="nil"/>
              <w:bottom w:val="nil"/>
              <w:right w:val="nil"/>
            </w:tcBorders>
            <w:shd w:val="clear" w:color="auto" w:fill="auto"/>
            <w:hideMark/>
          </w:tcPr>
          <w:p w:rsidR="00BA2B66" w:rsidRPr="00BA2B66" w:rsidRDefault="00BA2B66" w:rsidP="00BA2B66">
            <w:pPr>
              <w:spacing w:after="0" w:line="240" w:lineRule="auto"/>
              <w:jc w:val="right"/>
              <w:rPr>
                <w:rFonts w:ascii="Arial" w:hAnsi="Arial" w:cs="Arial"/>
                <w:sz w:val="16"/>
                <w:szCs w:val="16"/>
              </w:rPr>
            </w:pPr>
            <w:r w:rsidRPr="00BA2B66">
              <w:rPr>
                <w:rFonts w:ascii="Arial" w:hAnsi="Arial" w:cs="Arial"/>
                <w:sz w:val="16"/>
                <w:szCs w:val="16"/>
              </w:rPr>
              <w:t>2016–17</w:t>
            </w:r>
            <w:r w:rsidRPr="00BA2B66">
              <w:rPr>
                <w:rFonts w:ascii="Arial" w:hAnsi="Arial" w:cs="Arial"/>
                <w:sz w:val="16"/>
                <w:szCs w:val="16"/>
              </w:rPr>
              <w:br/>
              <w:t>Forward estimate</w:t>
            </w:r>
            <w:r w:rsidRPr="00BA2B66">
              <w:rPr>
                <w:rFonts w:ascii="Arial" w:hAnsi="Arial" w:cs="Arial"/>
                <w:sz w:val="16"/>
                <w:szCs w:val="16"/>
              </w:rPr>
              <w:br/>
              <w:t>$'000</w:t>
            </w:r>
          </w:p>
        </w:tc>
        <w:tc>
          <w:tcPr>
            <w:tcW w:w="990" w:type="dxa"/>
            <w:tcBorders>
              <w:top w:val="single" w:sz="4" w:space="0" w:color="auto"/>
              <w:left w:val="nil"/>
              <w:bottom w:val="nil"/>
              <w:right w:val="nil"/>
            </w:tcBorders>
            <w:shd w:val="clear" w:color="auto" w:fill="auto"/>
            <w:hideMark/>
          </w:tcPr>
          <w:p w:rsidR="00BA2B66" w:rsidRPr="00BA2B66" w:rsidRDefault="00BA2B66" w:rsidP="00BA2B66">
            <w:pPr>
              <w:spacing w:after="0" w:line="240" w:lineRule="auto"/>
              <w:jc w:val="right"/>
              <w:rPr>
                <w:rFonts w:ascii="Arial" w:hAnsi="Arial" w:cs="Arial"/>
                <w:sz w:val="16"/>
                <w:szCs w:val="16"/>
              </w:rPr>
            </w:pPr>
            <w:r w:rsidRPr="00BA2B66">
              <w:rPr>
                <w:rFonts w:ascii="Arial" w:hAnsi="Arial" w:cs="Arial"/>
                <w:sz w:val="16"/>
                <w:szCs w:val="16"/>
              </w:rPr>
              <w:t>2017–18</w:t>
            </w:r>
            <w:r w:rsidRPr="00BA2B66">
              <w:rPr>
                <w:rFonts w:ascii="Arial" w:hAnsi="Arial" w:cs="Arial"/>
                <w:sz w:val="16"/>
                <w:szCs w:val="16"/>
              </w:rPr>
              <w:br/>
              <w:t>Forward estimate</w:t>
            </w:r>
            <w:r w:rsidRPr="00BA2B66">
              <w:rPr>
                <w:rFonts w:ascii="Arial" w:hAnsi="Arial" w:cs="Arial"/>
                <w:sz w:val="16"/>
                <w:szCs w:val="16"/>
              </w:rPr>
              <w:br/>
              <w:t>$'000</w:t>
            </w:r>
          </w:p>
        </w:tc>
        <w:tc>
          <w:tcPr>
            <w:tcW w:w="990" w:type="dxa"/>
            <w:tcBorders>
              <w:top w:val="single" w:sz="4" w:space="0" w:color="auto"/>
              <w:left w:val="nil"/>
              <w:bottom w:val="nil"/>
              <w:right w:val="nil"/>
            </w:tcBorders>
            <w:shd w:val="clear" w:color="auto" w:fill="auto"/>
            <w:hideMark/>
          </w:tcPr>
          <w:p w:rsidR="00BA2B66" w:rsidRPr="00BA2B66" w:rsidRDefault="00BA2B66" w:rsidP="00BA2B66">
            <w:pPr>
              <w:spacing w:after="0" w:line="240" w:lineRule="auto"/>
              <w:jc w:val="right"/>
              <w:rPr>
                <w:rFonts w:ascii="Arial" w:hAnsi="Arial" w:cs="Arial"/>
                <w:sz w:val="16"/>
                <w:szCs w:val="16"/>
              </w:rPr>
            </w:pPr>
            <w:r w:rsidRPr="00BA2B66">
              <w:rPr>
                <w:rFonts w:ascii="Arial" w:hAnsi="Arial" w:cs="Arial"/>
                <w:sz w:val="16"/>
                <w:szCs w:val="16"/>
              </w:rPr>
              <w:t>2018–19</w:t>
            </w:r>
            <w:r w:rsidRPr="00BA2B66">
              <w:rPr>
                <w:rFonts w:ascii="Arial" w:hAnsi="Arial" w:cs="Arial"/>
                <w:sz w:val="16"/>
                <w:szCs w:val="16"/>
              </w:rPr>
              <w:br/>
              <w:t>Forward estimate</w:t>
            </w:r>
            <w:r w:rsidRPr="00BA2B66">
              <w:rPr>
                <w:rFonts w:ascii="Arial" w:hAnsi="Arial" w:cs="Arial"/>
                <w:sz w:val="16"/>
                <w:szCs w:val="16"/>
              </w:rPr>
              <w:br/>
              <w:t>$'000</w:t>
            </w: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Bold" w:hAnsi="Arial Bold" w:cs="Arial"/>
                <w:b/>
                <w:bCs/>
                <w:color w:val="000000"/>
                <w:spacing w:val="-4"/>
                <w:sz w:val="16"/>
                <w:szCs w:val="16"/>
              </w:rPr>
            </w:pPr>
            <w:r w:rsidRPr="00BA2B66">
              <w:rPr>
                <w:rFonts w:ascii="Arial Bold" w:hAnsi="Arial Bold" w:cs="Arial"/>
                <w:b/>
                <w:bCs/>
                <w:color w:val="000000"/>
                <w:spacing w:val="-4"/>
                <w:sz w:val="16"/>
                <w:szCs w:val="16"/>
              </w:rPr>
              <w:t>EXPENSES ADMINISTERED ON BEHALF OF GOVERNMENT</w:t>
            </w:r>
          </w:p>
        </w:tc>
        <w:tc>
          <w:tcPr>
            <w:tcW w:w="781" w:type="dxa"/>
            <w:tcBorders>
              <w:top w:val="single" w:sz="4" w:space="0" w:color="auto"/>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c>
          <w:tcPr>
            <w:tcW w:w="990" w:type="dxa"/>
            <w:tcBorders>
              <w:top w:val="single" w:sz="4" w:space="0" w:color="auto"/>
              <w:left w:val="nil"/>
              <w:bottom w:val="nil"/>
              <w:right w:val="nil"/>
            </w:tcBorders>
            <w:shd w:val="clear" w:color="000000" w:fill="E6E6E6"/>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c>
          <w:tcPr>
            <w:tcW w:w="990" w:type="dxa"/>
            <w:tcBorders>
              <w:top w:val="single" w:sz="4" w:space="0" w:color="auto"/>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c>
          <w:tcPr>
            <w:tcW w:w="990" w:type="dxa"/>
            <w:tcBorders>
              <w:top w:val="single" w:sz="4" w:space="0" w:color="auto"/>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c>
          <w:tcPr>
            <w:tcW w:w="990" w:type="dxa"/>
            <w:tcBorders>
              <w:top w:val="single" w:sz="4" w:space="0" w:color="auto"/>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color w:val="000000"/>
                <w:sz w:val="16"/>
                <w:szCs w:val="16"/>
              </w:rPr>
            </w:pPr>
            <w:r w:rsidRPr="00BA2B66">
              <w:rPr>
                <w:rFonts w:ascii="Arial" w:hAnsi="Arial" w:cs="Arial"/>
                <w:color w:val="000000"/>
                <w:sz w:val="16"/>
                <w:szCs w:val="16"/>
              </w:rPr>
              <w:t>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Suppliers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1,298,369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1,309,387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1,458,951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1,383,056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1,402,886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Subsidies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170,844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285,930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469,714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513,862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509,499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Personal benefits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384,959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296,522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317,001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317,126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317,974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Grants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89,773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79,756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98,649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99,783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89,962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left="191"/>
              <w:jc w:val="left"/>
              <w:rPr>
                <w:rFonts w:ascii="Arial" w:hAnsi="Arial" w:cs="Arial"/>
                <w:color w:val="000000"/>
                <w:spacing w:val="-4"/>
                <w:sz w:val="16"/>
                <w:szCs w:val="16"/>
              </w:rPr>
            </w:pPr>
            <w:r w:rsidRPr="00BA2B66">
              <w:rPr>
                <w:rFonts w:ascii="Arial" w:hAnsi="Arial" w:cs="Arial"/>
                <w:color w:val="000000"/>
                <w:spacing w:val="-4"/>
                <w:sz w:val="16"/>
                <w:szCs w:val="16"/>
              </w:rPr>
              <w:t>Write-down and impairment of assets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156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Payments to corporate entities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7,563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7,727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6,133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6,168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6,206 </w:t>
            </w: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expenses administered on behalf of Government</w:t>
            </w:r>
          </w:p>
        </w:tc>
        <w:tc>
          <w:tcPr>
            <w:tcW w:w="781"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1,951,664 </w:t>
            </w:r>
          </w:p>
        </w:tc>
        <w:tc>
          <w:tcPr>
            <w:tcW w:w="990" w:type="dxa"/>
            <w:tcBorders>
              <w:top w:val="single" w:sz="4" w:space="0" w:color="auto"/>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1,979,322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2,350,448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2,319,995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2,326,527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LESS:</w:t>
            </w:r>
          </w:p>
        </w:tc>
        <w:tc>
          <w:tcPr>
            <w:tcW w:w="781"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OWN-SOURCE INCOME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Own-source revenue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Taxation revenue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Other taxes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159,401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154,618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154,618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154,618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154,618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i/>
                <w:iCs/>
                <w:color w:val="000000"/>
                <w:spacing w:val="-4"/>
                <w:sz w:val="16"/>
                <w:szCs w:val="16"/>
              </w:rPr>
            </w:pPr>
            <w:r w:rsidRPr="00BA2B66">
              <w:rPr>
                <w:rFonts w:ascii="Arial" w:hAnsi="Arial" w:cs="Arial"/>
                <w:b/>
                <w:bCs/>
                <w:i/>
                <w:iCs/>
                <w:color w:val="000000"/>
                <w:spacing w:val="-4"/>
                <w:sz w:val="16"/>
                <w:szCs w:val="16"/>
              </w:rPr>
              <w:t>Total taxation revenue</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159,401 </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154,618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154,618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154,618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154,618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Non-taxation revenue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Interest</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20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Recoveries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23,278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23,632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23,632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23,632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23,632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Other revenue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5,643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6,753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6,753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6,753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6,753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i/>
                <w:iCs/>
                <w:color w:val="000000"/>
                <w:spacing w:val="-4"/>
                <w:sz w:val="16"/>
                <w:szCs w:val="16"/>
              </w:rPr>
            </w:pPr>
            <w:r w:rsidRPr="00BA2B66">
              <w:rPr>
                <w:rFonts w:ascii="Arial" w:hAnsi="Arial" w:cs="Arial"/>
                <w:b/>
                <w:bCs/>
                <w:i/>
                <w:iCs/>
                <w:color w:val="000000"/>
                <w:spacing w:val="-4"/>
                <w:sz w:val="16"/>
                <w:szCs w:val="16"/>
              </w:rPr>
              <w:t>Total non-taxation revenue</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28,941 </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30,385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30,385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30,385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i/>
                <w:iCs/>
                <w:color w:val="000000"/>
                <w:spacing w:val="-6"/>
                <w:sz w:val="16"/>
                <w:szCs w:val="16"/>
              </w:rPr>
            </w:pPr>
            <w:r w:rsidRPr="00BA2B66">
              <w:rPr>
                <w:rFonts w:ascii="Arial" w:hAnsi="Arial" w:cs="Arial"/>
                <w:b/>
                <w:bCs/>
                <w:i/>
                <w:iCs/>
                <w:color w:val="000000"/>
                <w:spacing w:val="-6"/>
                <w:sz w:val="16"/>
                <w:szCs w:val="16"/>
              </w:rPr>
              <w:t xml:space="preserve">30,385 </w:t>
            </w: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own-source revenue administered on behalf of Government</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188,342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Gains</w:t>
            </w:r>
          </w:p>
        </w:tc>
        <w:tc>
          <w:tcPr>
            <w:tcW w:w="781"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single" w:sz="4" w:space="0" w:color="auto"/>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Other gains</w:t>
            </w:r>
          </w:p>
        </w:tc>
        <w:tc>
          <w:tcPr>
            <w:tcW w:w="781"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gains administered on behalf of Government</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own-source income administered on behalf of Government</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188,342 </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185,003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Net cost of/(contribution by) services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1,763,322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1,794,319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2,165,445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2,134,992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2,141,524 </w:t>
            </w:r>
          </w:p>
        </w:tc>
      </w:tr>
      <w:tr w:rsidR="00BA2B66" w:rsidRPr="00BA2B66" w:rsidTr="00BA2B66">
        <w:trPr>
          <w:trHeight w:val="222"/>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Surplus/(Deficit) before income tax</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(1,763,322)</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(1,794,319)</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(2,165,445)</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(2,134,992)</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(2,141,524)</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firstLineChars="122" w:firstLine="190"/>
              <w:jc w:val="left"/>
              <w:rPr>
                <w:rFonts w:ascii="Arial" w:hAnsi="Arial" w:cs="Arial"/>
                <w:color w:val="000000"/>
                <w:spacing w:val="-4"/>
                <w:sz w:val="16"/>
                <w:szCs w:val="16"/>
              </w:rPr>
            </w:pPr>
            <w:r w:rsidRPr="00BA2B66">
              <w:rPr>
                <w:rFonts w:ascii="Arial" w:hAnsi="Arial" w:cs="Arial"/>
                <w:color w:val="000000"/>
                <w:spacing w:val="-4"/>
                <w:sz w:val="16"/>
                <w:szCs w:val="16"/>
              </w:rPr>
              <w:t>Income tax expense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Surplus/(deficit) after income tax</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(1,763,322)</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(1,794,319)</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(2,165,445)</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(2,134,992)</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(2,141,524)</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OTHER COMPREHENSIVE INCOME</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447"/>
        </w:trPr>
        <w:tc>
          <w:tcPr>
            <w:tcW w:w="2850" w:type="dxa"/>
            <w:tcBorders>
              <w:top w:val="nil"/>
              <w:left w:val="nil"/>
              <w:bottom w:val="nil"/>
              <w:right w:val="nil"/>
            </w:tcBorders>
            <w:shd w:val="clear" w:color="auto" w:fill="auto"/>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Items not subject to subsequent reclassification to profit or loss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r w:rsidRPr="00BA2B66">
              <w:rPr>
                <w:rFonts w:ascii="Arial" w:hAnsi="Arial" w:cs="Arial"/>
                <w:color w:val="000000"/>
                <w:spacing w:val="-6"/>
                <w:sz w:val="16"/>
                <w:szCs w:val="16"/>
              </w:rPr>
              <w:t>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left"/>
              <w:rPr>
                <w:rFonts w:ascii="Arial" w:hAnsi="Arial" w:cs="Arial"/>
                <w:color w:val="000000"/>
                <w:spacing w:val="-6"/>
                <w:sz w:val="16"/>
                <w:szCs w:val="16"/>
              </w:rPr>
            </w:pP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ind w:left="191"/>
              <w:jc w:val="left"/>
              <w:rPr>
                <w:rFonts w:ascii="Arial" w:hAnsi="Arial" w:cs="Arial"/>
                <w:spacing w:val="-4"/>
                <w:sz w:val="16"/>
                <w:szCs w:val="16"/>
              </w:rPr>
            </w:pPr>
            <w:r w:rsidRPr="00BA2B66">
              <w:rPr>
                <w:rFonts w:ascii="Arial" w:hAnsi="Arial" w:cs="Arial"/>
                <w:spacing w:val="-4"/>
                <w:sz w:val="16"/>
                <w:szCs w:val="16"/>
              </w:rPr>
              <w:t>Changes in asset revaluation surplus</w:t>
            </w:r>
          </w:p>
        </w:tc>
        <w:tc>
          <w:tcPr>
            <w:tcW w:w="781"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79,181 </w:t>
            </w:r>
          </w:p>
        </w:tc>
        <w:tc>
          <w:tcPr>
            <w:tcW w:w="990" w:type="dxa"/>
            <w:tcBorders>
              <w:top w:val="nil"/>
              <w:left w:val="nil"/>
              <w:bottom w:val="nil"/>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c>
          <w:tcPr>
            <w:tcW w:w="990" w:type="dxa"/>
            <w:tcBorders>
              <w:top w:val="nil"/>
              <w:left w:val="nil"/>
              <w:bottom w:val="nil"/>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color w:val="000000"/>
                <w:spacing w:val="-6"/>
                <w:sz w:val="16"/>
                <w:szCs w:val="16"/>
              </w:rPr>
            </w:pPr>
            <w:r w:rsidRPr="00BA2B66">
              <w:rPr>
                <w:rFonts w:ascii="Arial" w:hAnsi="Arial" w:cs="Arial"/>
                <w:color w:val="000000"/>
                <w:spacing w:val="-6"/>
                <w:sz w:val="16"/>
                <w:szCs w:val="16"/>
              </w:rPr>
              <w:t xml:space="preserve">- </w:t>
            </w:r>
          </w:p>
        </w:tc>
      </w:tr>
      <w:tr w:rsidR="00BA2B66" w:rsidRPr="00BA2B66" w:rsidTr="00BA2B66">
        <w:trPr>
          <w:trHeight w:val="222"/>
        </w:trPr>
        <w:tc>
          <w:tcPr>
            <w:tcW w:w="2850" w:type="dxa"/>
            <w:tcBorders>
              <w:top w:val="nil"/>
              <w:left w:val="nil"/>
              <w:bottom w:val="nil"/>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other comprehensive income</w:t>
            </w:r>
          </w:p>
        </w:tc>
        <w:tc>
          <w:tcPr>
            <w:tcW w:w="781"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79,181 </w:t>
            </w:r>
          </w:p>
        </w:tc>
        <w:tc>
          <w:tcPr>
            <w:tcW w:w="990" w:type="dxa"/>
            <w:tcBorders>
              <w:top w:val="single" w:sz="4" w:space="0" w:color="auto"/>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c>
          <w:tcPr>
            <w:tcW w:w="990" w:type="dxa"/>
            <w:tcBorders>
              <w:top w:val="single" w:sz="4" w:space="0" w:color="auto"/>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 xml:space="preserve">- </w:t>
            </w:r>
          </w:p>
        </w:tc>
      </w:tr>
      <w:tr w:rsidR="00BA2B66" w:rsidRPr="00BA2B66" w:rsidTr="00BA2B66">
        <w:trPr>
          <w:trHeight w:val="222"/>
        </w:trPr>
        <w:tc>
          <w:tcPr>
            <w:tcW w:w="2850" w:type="dxa"/>
            <w:tcBorders>
              <w:top w:val="nil"/>
              <w:left w:val="nil"/>
              <w:bottom w:val="single" w:sz="4" w:space="0" w:color="auto"/>
              <w:right w:val="nil"/>
            </w:tcBorders>
            <w:shd w:val="clear" w:color="auto" w:fill="auto"/>
            <w:noWrap/>
            <w:vAlign w:val="center"/>
            <w:hideMark/>
          </w:tcPr>
          <w:p w:rsidR="00BA2B66" w:rsidRPr="00BA2B66" w:rsidRDefault="00BA2B66" w:rsidP="00BA2B66">
            <w:pPr>
              <w:spacing w:after="0" w:line="240" w:lineRule="auto"/>
              <w:jc w:val="left"/>
              <w:rPr>
                <w:rFonts w:ascii="Arial" w:hAnsi="Arial" w:cs="Arial"/>
                <w:b/>
                <w:bCs/>
                <w:color w:val="000000"/>
                <w:spacing w:val="-4"/>
                <w:sz w:val="16"/>
                <w:szCs w:val="16"/>
              </w:rPr>
            </w:pPr>
            <w:r w:rsidRPr="00BA2B66">
              <w:rPr>
                <w:rFonts w:ascii="Arial" w:hAnsi="Arial" w:cs="Arial"/>
                <w:b/>
                <w:bCs/>
                <w:color w:val="000000"/>
                <w:spacing w:val="-4"/>
                <w:sz w:val="16"/>
                <w:szCs w:val="16"/>
              </w:rPr>
              <w:t>Total comprehensive income (loss)</w:t>
            </w:r>
          </w:p>
        </w:tc>
        <w:tc>
          <w:tcPr>
            <w:tcW w:w="781"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(1,684,141)</w:t>
            </w:r>
          </w:p>
        </w:tc>
        <w:tc>
          <w:tcPr>
            <w:tcW w:w="990" w:type="dxa"/>
            <w:tcBorders>
              <w:top w:val="nil"/>
              <w:left w:val="nil"/>
              <w:bottom w:val="single" w:sz="4" w:space="0" w:color="auto"/>
              <w:right w:val="nil"/>
            </w:tcBorders>
            <w:shd w:val="clear" w:color="000000" w:fill="E6E6E6"/>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(1,794,319)</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(2,165,445)</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(2,134,992)</w:t>
            </w:r>
          </w:p>
        </w:tc>
        <w:tc>
          <w:tcPr>
            <w:tcW w:w="990" w:type="dxa"/>
            <w:tcBorders>
              <w:top w:val="nil"/>
              <w:left w:val="nil"/>
              <w:bottom w:val="single" w:sz="4" w:space="0" w:color="auto"/>
              <w:right w:val="nil"/>
            </w:tcBorders>
            <w:shd w:val="clear" w:color="auto" w:fill="auto"/>
            <w:noWrap/>
            <w:vAlign w:val="bottom"/>
            <w:hideMark/>
          </w:tcPr>
          <w:p w:rsidR="00BA2B66" w:rsidRPr="00BA2B66" w:rsidRDefault="00BA2B66" w:rsidP="00BA2B66">
            <w:pPr>
              <w:spacing w:after="0" w:line="240" w:lineRule="auto"/>
              <w:jc w:val="right"/>
              <w:rPr>
                <w:rFonts w:ascii="Arial" w:hAnsi="Arial" w:cs="Arial"/>
                <w:b/>
                <w:bCs/>
                <w:color w:val="000000"/>
                <w:spacing w:val="-6"/>
                <w:sz w:val="16"/>
                <w:szCs w:val="16"/>
              </w:rPr>
            </w:pPr>
            <w:r w:rsidRPr="00BA2B66">
              <w:rPr>
                <w:rFonts w:ascii="Arial" w:hAnsi="Arial" w:cs="Arial"/>
                <w:b/>
                <w:bCs/>
                <w:color w:val="000000"/>
                <w:spacing w:val="-6"/>
                <w:sz w:val="16"/>
                <w:szCs w:val="16"/>
              </w:rPr>
              <w:t>(2,141,524)</w:t>
            </w:r>
          </w:p>
        </w:tc>
      </w:tr>
    </w:tbl>
    <w:p w:rsidR="003437E2" w:rsidRDefault="003437E2" w:rsidP="00391F8E">
      <w:pPr>
        <w:pStyle w:val="Source"/>
      </w:pPr>
    </w:p>
    <w:p w:rsidR="00391F8E" w:rsidRDefault="00391F8E" w:rsidP="00391F8E">
      <w:pPr>
        <w:pStyle w:val="Source"/>
      </w:pPr>
      <w:proofErr w:type="gramStart"/>
      <w:r>
        <w:t>Prepared on Australian Accounting Standards basis.</w:t>
      </w:r>
      <w:proofErr w:type="gramEnd"/>
    </w:p>
    <w:p w:rsidR="00391F8E" w:rsidRDefault="00391F8E">
      <w:pPr>
        <w:spacing w:after="0" w:line="240" w:lineRule="auto"/>
        <w:jc w:val="left"/>
        <w:rPr>
          <w:rFonts w:ascii="Arial" w:hAnsi="Arial"/>
          <w:sz w:val="16"/>
        </w:rPr>
      </w:pPr>
      <w:r>
        <w:br w:type="page"/>
      </w:r>
    </w:p>
    <w:p w:rsidR="00391F8E" w:rsidRPr="00014438" w:rsidRDefault="00391F8E" w:rsidP="00391F8E">
      <w:pPr>
        <w:pStyle w:val="TableHeading"/>
        <w:spacing w:before="0"/>
        <w:rPr>
          <w:snapToGrid w:val="0"/>
        </w:rPr>
      </w:pPr>
      <w:r>
        <w:rPr>
          <w:snapToGrid w:val="0"/>
        </w:rPr>
        <w:lastRenderedPageBreak/>
        <w:t xml:space="preserve">Table 3.2.8: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7777" w:type="dxa"/>
        <w:tblInd w:w="93" w:type="dxa"/>
        <w:tblLook w:val="04A0" w:firstRow="1" w:lastRow="0" w:firstColumn="1" w:lastColumn="0" w:noHBand="0" w:noVBand="1"/>
      </w:tblPr>
      <w:tblGrid>
        <w:gridCol w:w="2338"/>
        <w:gridCol w:w="1124"/>
        <w:gridCol w:w="1092"/>
        <w:gridCol w:w="1064"/>
        <w:gridCol w:w="1060"/>
        <w:gridCol w:w="1099"/>
      </w:tblGrid>
      <w:tr w:rsidR="006E3CB6" w:rsidRPr="003437E2" w:rsidTr="001E280C">
        <w:trPr>
          <w:trHeight w:val="792"/>
          <w:tblHeader/>
        </w:trPr>
        <w:tc>
          <w:tcPr>
            <w:tcW w:w="2338" w:type="dxa"/>
            <w:tcBorders>
              <w:top w:val="single" w:sz="4" w:space="0" w:color="auto"/>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124" w:type="dxa"/>
            <w:tcBorders>
              <w:top w:val="single" w:sz="4" w:space="0" w:color="auto"/>
              <w:left w:val="nil"/>
              <w:bottom w:val="single" w:sz="4" w:space="0" w:color="auto"/>
              <w:right w:val="nil"/>
            </w:tcBorders>
            <w:shd w:val="clear" w:color="auto" w:fill="auto"/>
            <w:hideMark/>
          </w:tcPr>
          <w:p w:rsidR="003437E2" w:rsidRPr="003437E2" w:rsidRDefault="003437E2" w:rsidP="006E3CB6">
            <w:pPr>
              <w:spacing w:after="0" w:line="240" w:lineRule="auto"/>
              <w:jc w:val="right"/>
              <w:rPr>
                <w:rFonts w:ascii="Arial" w:hAnsi="Arial" w:cs="Arial"/>
                <w:sz w:val="16"/>
                <w:szCs w:val="16"/>
              </w:rPr>
            </w:pPr>
            <w:r w:rsidRPr="003437E2">
              <w:rPr>
                <w:rFonts w:ascii="Arial" w:hAnsi="Arial" w:cs="Arial"/>
                <w:sz w:val="16"/>
                <w:szCs w:val="16"/>
              </w:rPr>
              <w:t>2014</w:t>
            </w:r>
            <w:r w:rsidR="006E3CB6">
              <w:rPr>
                <w:rFonts w:ascii="Arial" w:hAnsi="Arial" w:cs="Arial"/>
                <w:sz w:val="16"/>
                <w:szCs w:val="16"/>
              </w:rPr>
              <w:t>–</w:t>
            </w:r>
            <w:r w:rsidRPr="003437E2">
              <w:rPr>
                <w:rFonts w:ascii="Arial" w:hAnsi="Arial" w:cs="Arial"/>
                <w:sz w:val="16"/>
                <w:szCs w:val="16"/>
              </w:rPr>
              <w:t>15</w:t>
            </w:r>
            <w:r w:rsidRPr="003437E2">
              <w:rPr>
                <w:rFonts w:ascii="Arial" w:hAnsi="Arial" w:cs="Arial"/>
                <w:sz w:val="16"/>
                <w:szCs w:val="16"/>
              </w:rPr>
              <w:br/>
              <w:t>Actual</w:t>
            </w:r>
            <w:r w:rsidRPr="003437E2">
              <w:rPr>
                <w:rFonts w:ascii="Arial" w:hAnsi="Arial" w:cs="Arial"/>
                <w:sz w:val="16"/>
                <w:szCs w:val="16"/>
              </w:rPr>
              <w:br/>
              <w:t>$'000</w:t>
            </w:r>
          </w:p>
        </w:tc>
        <w:tc>
          <w:tcPr>
            <w:tcW w:w="1092" w:type="dxa"/>
            <w:tcBorders>
              <w:top w:val="single" w:sz="4" w:space="0" w:color="auto"/>
              <w:left w:val="nil"/>
              <w:bottom w:val="single" w:sz="4" w:space="0" w:color="auto"/>
              <w:right w:val="nil"/>
            </w:tcBorders>
            <w:shd w:val="clear" w:color="000000" w:fill="E6E6E6"/>
            <w:hideMark/>
          </w:tcPr>
          <w:p w:rsidR="003437E2" w:rsidRPr="003437E2" w:rsidRDefault="006E3CB6" w:rsidP="003437E2">
            <w:pPr>
              <w:spacing w:after="0" w:line="240" w:lineRule="auto"/>
              <w:jc w:val="right"/>
              <w:rPr>
                <w:rFonts w:ascii="Arial" w:hAnsi="Arial" w:cs="Arial"/>
                <w:sz w:val="16"/>
                <w:szCs w:val="16"/>
              </w:rPr>
            </w:pPr>
            <w:r>
              <w:rPr>
                <w:rFonts w:ascii="Arial" w:hAnsi="Arial" w:cs="Arial"/>
                <w:sz w:val="16"/>
                <w:szCs w:val="16"/>
              </w:rPr>
              <w:t>2015–</w:t>
            </w:r>
            <w:r w:rsidR="003437E2" w:rsidRPr="003437E2">
              <w:rPr>
                <w:rFonts w:ascii="Arial" w:hAnsi="Arial" w:cs="Arial"/>
                <w:sz w:val="16"/>
                <w:szCs w:val="16"/>
              </w:rPr>
              <w:t>16</w:t>
            </w:r>
            <w:r w:rsidR="003437E2" w:rsidRPr="003437E2">
              <w:rPr>
                <w:rFonts w:ascii="Arial" w:hAnsi="Arial" w:cs="Arial"/>
                <w:sz w:val="16"/>
                <w:szCs w:val="16"/>
              </w:rPr>
              <w:br/>
              <w:t>Revised budget</w:t>
            </w:r>
            <w:r w:rsidR="003437E2" w:rsidRPr="003437E2">
              <w:rPr>
                <w:rFonts w:ascii="Arial" w:hAnsi="Arial" w:cs="Arial"/>
                <w:sz w:val="16"/>
                <w:szCs w:val="16"/>
              </w:rPr>
              <w:br/>
              <w:t>$'000</w:t>
            </w:r>
          </w:p>
        </w:tc>
        <w:tc>
          <w:tcPr>
            <w:tcW w:w="1064" w:type="dxa"/>
            <w:tcBorders>
              <w:top w:val="single" w:sz="4" w:space="0" w:color="auto"/>
              <w:left w:val="nil"/>
              <w:bottom w:val="single" w:sz="4" w:space="0" w:color="auto"/>
              <w:right w:val="nil"/>
            </w:tcBorders>
            <w:shd w:val="clear" w:color="auto" w:fill="auto"/>
            <w:hideMark/>
          </w:tcPr>
          <w:p w:rsidR="003437E2" w:rsidRPr="003437E2" w:rsidRDefault="006E3CB6" w:rsidP="003437E2">
            <w:pPr>
              <w:spacing w:after="0" w:line="240" w:lineRule="auto"/>
              <w:jc w:val="right"/>
              <w:rPr>
                <w:rFonts w:ascii="Arial" w:hAnsi="Arial" w:cs="Arial"/>
                <w:sz w:val="16"/>
                <w:szCs w:val="16"/>
              </w:rPr>
            </w:pPr>
            <w:r>
              <w:rPr>
                <w:rFonts w:ascii="Arial" w:hAnsi="Arial" w:cs="Arial"/>
                <w:sz w:val="16"/>
                <w:szCs w:val="16"/>
              </w:rPr>
              <w:t>2016–</w:t>
            </w:r>
            <w:r w:rsidR="003437E2" w:rsidRPr="003437E2">
              <w:rPr>
                <w:rFonts w:ascii="Arial" w:hAnsi="Arial" w:cs="Arial"/>
                <w:sz w:val="16"/>
                <w:szCs w:val="16"/>
              </w:rPr>
              <w:t>17</w:t>
            </w:r>
            <w:r w:rsidR="003437E2" w:rsidRPr="003437E2">
              <w:rPr>
                <w:rFonts w:ascii="Arial" w:hAnsi="Arial" w:cs="Arial"/>
                <w:sz w:val="16"/>
                <w:szCs w:val="16"/>
              </w:rPr>
              <w:br/>
              <w:t>Forward estimate</w:t>
            </w:r>
            <w:r w:rsidR="003437E2" w:rsidRPr="003437E2">
              <w:rPr>
                <w:rFonts w:ascii="Arial" w:hAnsi="Arial" w:cs="Arial"/>
                <w:sz w:val="16"/>
                <w:szCs w:val="16"/>
              </w:rPr>
              <w:br/>
              <w:t>$'000</w:t>
            </w:r>
          </w:p>
        </w:tc>
        <w:tc>
          <w:tcPr>
            <w:tcW w:w="1060" w:type="dxa"/>
            <w:tcBorders>
              <w:top w:val="single" w:sz="4" w:space="0" w:color="auto"/>
              <w:left w:val="nil"/>
              <w:bottom w:val="single" w:sz="4" w:space="0" w:color="auto"/>
              <w:right w:val="nil"/>
            </w:tcBorders>
            <w:shd w:val="clear" w:color="auto" w:fill="auto"/>
            <w:hideMark/>
          </w:tcPr>
          <w:p w:rsidR="003437E2" w:rsidRPr="003437E2" w:rsidRDefault="003437E2" w:rsidP="003437E2">
            <w:pPr>
              <w:spacing w:after="0" w:line="240" w:lineRule="auto"/>
              <w:jc w:val="right"/>
              <w:rPr>
                <w:rFonts w:ascii="Arial" w:hAnsi="Arial" w:cs="Arial"/>
                <w:sz w:val="16"/>
                <w:szCs w:val="16"/>
              </w:rPr>
            </w:pPr>
            <w:r w:rsidRPr="003437E2">
              <w:rPr>
                <w:rFonts w:ascii="Arial" w:hAnsi="Arial" w:cs="Arial"/>
                <w:sz w:val="16"/>
                <w:szCs w:val="16"/>
              </w:rPr>
              <w:t>2017</w:t>
            </w:r>
            <w:r w:rsidR="006E3CB6">
              <w:rPr>
                <w:rFonts w:ascii="Arial" w:hAnsi="Arial" w:cs="Arial"/>
                <w:sz w:val="16"/>
                <w:szCs w:val="16"/>
              </w:rPr>
              <w:t>–</w:t>
            </w:r>
            <w:r w:rsidRPr="003437E2">
              <w:rPr>
                <w:rFonts w:ascii="Arial" w:hAnsi="Arial" w:cs="Arial"/>
                <w:sz w:val="16"/>
                <w:szCs w:val="16"/>
              </w:rPr>
              <w:t>18</w:t>
            </w:r>
            <w:r w:rsidRPr="003437E2">
              <w:rPr>
                <w:rFonts w:ascii="Arial" w:hAnsi="Arial" w:cs="Arial"/>
                <w:sz w:val="16"/>
                <w:szCs w:val="16"/>
              </w:rPr>
              <w:br/>
              <w:t>Forward estimate</w:t>
            </w:r>
            <w:r w:rsidRPr="003437E2">
              <w:rPr>
                <w:rFonts w:ascii="Arial" w:hAnsi="Arial" w:cs="Arial"/>
                <w:sz w:val="16"/>
                <w:szCs w:val="16"/>
              </w:rPr>
              <w:br/>
              <w:t>$'000</w:t>
            </w:r>
          </w:p>
        </w:tc>
        <w:tc>
          <w:tcPr>
            <w:tcW w:w="1099" w:type="dxa"/>
            <w:tcBorders>
              <w:top w:val="single" w:sz="4" w:space="0" w:color="auto"/>
              <w:left w:val="nil"/>
              <w:bottom w:val="single" w:sz="4" w:space="0" w:color="auto"/>
              <w:right w:val="nil"/>
            </w:tcBorders>
            <w:shd w:val="clear" w:color="auto" w:fill="auto"/>
            <w:hideMark/>
          </w:tcPr>
          <w:p w:rsidR="003437E2" w:rsidRPr="003437E2" w:rsidRDefault="003437E2" w:rsidP="006E3CB6">
            <w:pPr>
              <w:spacing w:after="0" w:line="240" w:lineRule="auto"/>
              <w:jc w:val="right"/>
              <w:rPr>
                <w:rFonts w:ascii="Arial" w:hAnsi="Arial" w:cs="Arial"/>
                <w:sz w:val="16"/>
                <w:szCs w:val="16"/>
              </w:rPr>
            </w:pPr>
            <w:r w:rsidRPr="003437E2">
              <w:rPr>
                <w:rFonts w:ascii="Arial" w:hAnsi="Arial" w:cs="Arial"/>
                <w:sz w:val="16"/>
                <w:szCs w:val="16"/>
              </w:rPr>
              <w:t>2018</w:t>
            </w:r>
            <w:r w:rsidR="006E3CB6">
              <w:rPr>
                <w:rFonts w:ascii="Arial" w:hAnsi="Arial" w:cs="Arial"/>
                <w:sz w:val="16"/>
                <w:szCs w:val="16"/>
              </w:rPr>
              <w:t>–</w:t>
            </w:r>
            <w:r w:rsidRPr="003437E2">
              <w:rPr>
                <w:rFonts w:ascii="Arial" w:hAnsi="Arial" w:cs="Arial"/>
                <w:sz w:val="16"/>
                <w:szCs w:val="16"/>
              </w:rPr>
              <w:t>19</w:t>
            </w:r>
            <w:r w:rsidRPr="003437E2">
              <w:rPr>
                <w:rFonts w:ascii="Arial" w:hAnsi="Arial" w:cs="Arial"/>
                <w:sz w:val="16"/>
                <w:szCs w:val="16"/>
              </w:rPr>
              <w:br/>
              <w:t>Forward estimate</w:t>
            </w:r>
            <w:r w:rsidRPr="003437E2">
              <w:rPr>
                <w:rFonts w:ascii="Arial" w:hAnsi="Arial" w:cs="Arial"/>
                <w:sz w:val="16"/>
                <w:szCs w:val="16"/>
              </w:rPr>
              <w:br/>
              <w:t>$'000</w:t>
            </w:r>
          </w:p>
        </w:tc>
      </w:tr>
      <w:tr w:rsidR="006E3CB6" w:rsidRPr="003437E2" w:rsidTr="006E3CB6">
        <w:trPr>
          <w:trHeight w:val="229"/>
        </w:trPr>
        <w:tc>
          <w:tcPr>
            <w:tcW w:w="2338" w:type="dxa"/>
            <w:tcBorders>
              <w:top w:val="nil"/>
              <w:left w:val="nil"/>
              <w:bottom w:val="nil"/>
              <w:right w:val="nil"/>
            </w:tcBorders>
            <w:shd w:val="clear" w:color="auto" w:fill="auto"/>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ASSETS</w:t>
            </w:r>
          </w:p>
        </w:tc>
        <w:tc>
          <w:tcPr>
            <w:tcW w:w="1124"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92" w:type="dxa"/>
            <w:tcBorders>
              <w:top w:val="nil"/>
              <w:left w:val="nil"/>
              <w:bottom w:val="nil"/>
              <w:right w:val="nil"/>
            </w:tcBorders>
            <w:shd w:val="clear" w:color="000000" w:fill="E6E6E6"/>
            <w:noWrap/>
            <w:vAlign w:val="center"/>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064"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99"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Financial assets</w:t>
            </w:r>
          </w:p>
        </w:tc>
        <w:tc>
          <w:tcPr>
            <w:tcW w:w="1124"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92" w:type="dxa"/>
            <w:tcBorders>
              <w:top w:val="nil"/>
              <w:left w:val="nil"/>
              <w:bottom w:val="nil"/>
              <w:right w:val="nil"/>
            </w:tcBorders>
            <w:shd w:val="clear" w:color="000000" w:fill="E6E6E6"/>
            <w:noWrap/>
            <w:vAlign w:val="center"/>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064"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c>
          <w:tcPr>
            <w:tcW w:w="1099"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color w:val="000000"/>
                <w:sz w:val="16"/>
                <w:szCs w:val="16"/>
              </w:rPr>
            </w:pP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firstLine="191"/>
              <w:jc w:val="left"/>
              <w:rPr>
                <w:rFonts w:ascii="Arial" w:hAnsi="Arial" w:cs="Arial"/>
                <w:sz w:val="16"/>
                <w:szCs w:val="16"/>
              </w:rPr>
            </w:pPr>
            <w:r w:rsidRPr="003437E2">
              <w:rPr>
                <w:rFonts w:ascii="Arial" w:hAnsi="Arial" w:cs="Arial"/>
                <w:sz w:val="16"/>
                <w:szCs w:val="16"/>
              </w:rPr>
              <w:t>Cash and cash equivalents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104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firstLine="191"/>
              <w:jc w:val="left"/>
              <w:rPr>
                <w:rFonts w:ascii="Arial" w:hAnsi="Arial" w:cs="Arial"/>
                <w:sz w:val="16"/>
                <w:szCs w:val="16"/>
              </w:rPr>
            </w:pPr>
            <w:r w:rsidRPr="003437E2">
              <w:rPr>
                <w:rFonts w:ascii="Arial" w:hAnsi="Arial" w:cs="Arial"/>
                <w:sz w:val="16"/>
                <w:szCs w:val="16"/>
              </w:rPr>
              <w:t>Taxation receivables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14,002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14,002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14,002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14,002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14,002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Trade and other receivables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18,163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18,267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18,267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18,267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18,267 </w:t>
            </w:r>
          </w:p>
        </w:tc>
      </w:tr>
      <w:tr w:rsidR="006E3CB6" w:rsidRPr="003437E2" w:rsidTr="006E3CB6">
        <w:trPr>
          <w:trHeight w:val="459"/>
        </w:trPr>
        <w:tc>
          <w:tcPr>
            <w:tcW w:w="2338" w:type="dxa"/>
            <w:tcBorders>
              <w:top w:val="nil"/>
              <w:left w:val="nil"/>
              <w:bottom w:val="nil"/>
              <w:right w:val="nil"/>
            </w:tcBorders>
            <w:shd w:val="clear" w:color="auto" w:fill="auto"/>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Investments accounted for using the equity method</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224,658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224,658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224,658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224,658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224,658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i/>
                <w:iCs/>
                <w:color w:val="000000"/>
                <w:sz w:val="16"/>
                <w:szCs w:val="16"/>
              </w:rPr>
            </w:pPr>
            <w:r w:rsidRPr="003437E2">
              <w:rPr>
                <w:rFonts w:ascii="Arial" w:hAnsi="Arial" w:cs="Arial"/>
                <w:b/>
                <w:bCs/>
                <w:i/>
                <w:iCs/>
                <w:color w:val="000000"/>
                <w:sz w:val="16"/>
                <w:szCs w:val="16"/>
              </w:rPr>
              <w:t>Total financial assets</w:t>
            </w:r>
          </w:p>
        </w:tc>
        <w:tc>
          <w:tcPr>
            <w:tcW w:w="112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256,927 </w:t>
            </w:r>
          </w:p>
        </w:tc>
        <w:tc>
          <w:tcPr>
            <w:tcW w:w="1092" w:type="dxa"/>
            <w:tcBorders>
              <w:top w:val="single" w:sz="4" w:space="0" w:color="000000"/>
              <w:left w:val="nil"/>
              <w:bottom w:val="single" w:sz="4" w:space="0" w:color="000000"/>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256,927 </w:t>
            </w:r>
          </w:p>
        </w:tc>
        <w:tc>
          <w:tcPr>
            <w:tcW w:w="106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256,927 </w:t>
            </w:r>
          </w:p>
        </w:tc>
        <w:tc>
          <w:tcPr>
            <w:tcW w:w="1060"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256,927 </w:t>
            </w:r>
          </w:p>
        </w:tc>
        <w:tc>
          <w:tcPr>
            <w:tcW w:w="1099"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256,927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Non-financial assets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Other non-financial assets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5,014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5,355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5,549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5,570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5,601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i/>
                <w:iCs/>
                <w:color w:val="000000"/>
                <w:sz w:val="16"/>
                <w:szCs w:val="16"/>
              </w:rPr>
            </w:pPr>
            <w:r w:rsidRPr="003437E2">
              <w:rPr>
                <w:rFonts w:ascii="Arial" w:hAnsi="Arial" w:cs="Arial"/>
                <w:b/>
                <w:bCs/>
                <w:i/>
                <w:iCs/>
                <w:color w:val="000000"/>
                <w:sz w:val="16"/>
                <w:szCs w:val="16"/>
              </w:rPr>
              <w:t>Total non-financial assets</w:t>
            </w:r>
          </w:p>
        </w:tc>
        <w:tc>
          <w:tcPr>
            <w:tcW w:w="112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5,014 </w:t>
            </w:r>
          </w:p>
        </w:tc>
        <w:tc>
          <w:tcPr>
            <w:tcW w:w="1092" w:type="dxa"/>
            <w:tcBorders>
              <w:top w:val="single" w:sz="4" w:space="0" w:color="000000"/>
              <w:left w:val="nil"/>
              <w:bottom w:val="single" w:sz="4" w:space="0" w:color="000000"/>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5,355 </w:t>
            </w:r>
          </w:p>
        </w:tc>
        <w:tc>
          <w:tcPr>
            <w:tcW w:w="106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5,549 </w:t>
            </w:r>
          </w:p>
        </w:tc>
        <w:tc>
          <w:tcPr>
            <w:tcW w:w="1060"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5,570 </w:t>
            </w:r>
          </w:p>
        </w:tc>
        <w:tc>
          <w:tcPr>
            <w:tcW w:w="1099"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5,601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Assets held for sale</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r>
      <w:tr w:rsidR="006E3CB6" w:rsidRPr="003437E2" w:rsidTr="006E3CB6">
        <w:trPr>
          <w:trHeight w:val="459"/>
        </w:trPr>
        <w:tc>
          <w:tcPr>
            <w:tcW w:w="2338" w:type="dxa"/>
            <w:tcBorders>
              <w:top w:val="nil"/>
              <w:left w:val="nil"/>
              <w:bottom w:val="nil"/>
              <w:right w:val="nil"/>
            </w:tcBorders>
            <w:shd w:val="clear" w:color="auto" w:fill="auto"/>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Total assets administered on behalf of Government</w:t>
            </w:r>
          </w:p>
        </w:tc>
        <w:tc>
          <w:tcPr>
            <w:tcW w:w="1124" w:type="dxa"/>
            <w:tcBorders>
              <w:top w:val="single" w:sz="4" w:space="0" w:color="auto"/>
              <w:left w:val="nil"/>
              <w:bottom w:val="single" w:sz="4" w:space="0" w:color="auto"/>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color w:val="000000"/>
                <w:sz w:val="16"/>
                <w:szCs w:val="16"/>
              </w:rPr>
            </w:pPr>
            <w:r w:rsidRPr="003437E2">
              <w:rPr>
                <w:rFonts w:ascii="Arial" w:hAnsi="Arial" w:cs="Arial"/>
                <w:b/>
                <w:bCs/>
                <w:color w:val="000000"/>
                <w:sz w:val="16"/>
                <w:szCs w:val="16"/>
              </w:rPr>
              <w:t xml:space="preserve">261,941 </w:t>
            </w:r>
          </w:p>
        </w:tc>
        <w:tc>
          <w:tcPr>
            <w:tcW w:w="1092" w:type="dxa"/>
            <w:tcBorders>
              <w:top w:val="single" w:sz="4" w:space="0" w:color="auto"/>
              <w:left w:val="nil"/>
              <w:bottom w:val="single" w:sz="4" w:space="0" w:color="auto"/>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b/>
                <w:bCs/>
                <w:color w:val="000000"/>
                <w:sz w:val="16"/>
                <w:szCs w:val="16"/>
              </w:rPr>
            </w:pPr>
            <w:r w:rsidRPr="003437E2">
              <w:rPr>
                <w:rFonts w:ascii="Arial" w:hAnsi="Arial" w:cs="Arial"/>
                <w:b/>
                <w:bCs/>
                <w:color w:val="000000"/>
                <w:sz w:val="16"/>
                <w:szCs w:val="16"/>
              </w:rPr>
              <w:t xml:space="preserve">262,282 </w:t>
            </w:r>
          </w:p>
        </w:tc>
        <w:tc>
          <w:tcPr>
            <w:tcW w:w="1064" w:type="dxa"/>
            <w:tcBorders>
              <w:top w:val="single" w:sz="4" w:space="0" w:color="auto"/>
              <w:left w:val="nil"/>
              <w:bottom w:val="single" w:sz="4" w:space="0" w:color="auto"/>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color w:val="000000"/>
                <w:sz w:val="16"/>
                <w:szCs w:val="16"/>
              </w:rPr>
            </w:pPr>
            <w:r w:rsidRPr="003437E2">
              <w:rPr>
                <w:rFonts w:ascii="Arial" w:hAnsi="Arial" w:cs="Arial"/>
                <w:b/>
                <w:bCs/>
                <w:color w:val="000000"/>
                <w:sz w:val="16"/>
                <w:szCs w:val="16"/>
              </w:rPr>
              <w:t xml:space="preserve">262,476 </w:t>
            </w:r>
          </w:p>
        </w:tc>
        <w:tc>
          <w:tcPr>
            <w:tcW w:w="1060" w:type="dxa"/>
            <w:tcBorders>
              <w:top w:val="single" w:sz="4" w:space="0" w:color="auto"/>
              <w:left w:val="nil"/>
              <w:bottom w:val="single" w:sz="4" w:space="0" w:color="auto"/>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color w:val="000000"/>
                <w:sz w:val="16"/>
                <w:szCs w:val="16"/>
              </w:rPr>
            </w:pPr>
            <w:r w:rsidRPr="003437E2">
              <w:rPr>
                <w:rFonts w:ascii="Arial" w:hAnsi="Arial" w:cs="Arial"/>
                <w:b/>
                <w:bCs/>
                <w:color w:val="000000"/>
                <w:sz w:val="16"/>
                <w:szCs w:val="16"/>
              </w:rPr>
              <w:t xml:space="preserve">262,497 </w:t>
            </w:r>
          </w:p>
        </w:tc>
        <w:tc>
          <w:tcPr>
            <w:tcW w:w="1099" w:type="dxa"/>
            <w:tcBorders>
              <w:top w:val="single" w:sz="4" w:space="0" w:color="auto"/>
              <w:left w:val="nil"/>
              <w:bottom w:val="single" w:sz="4" w:space="0" w:color="auto"/>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color w:val="000000"/>
                <w:sz w:val="16"/>
                <w:szCs w:val="16"/>
              </w:rPr>
            </w:pPr>
            <w:r w:rsidRPr="003437E2">
              <w:rPr>
                <w:rFonts w:ascii="Arial" w:hAnsi="Arial" w:cs="Arial"/>
                <w:b/>
                <w:bCs/>
                <w:color w:val="000000"/>
                <w:sz w:val="16"/>
                <w:szCs w:val="16"/>
              </w:rPr>
              <w:t xml:space="preserve">262,528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LIABILITIES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color w:val="000000"/>
                <w:sz w:val="16"/>
                <w:szCs w:val="16"/>
              </w:rPr>
            </w:pPr>
            <w:r w:rsidRPr="003437E2">
              <w:rPr>
                <w:rFonts w:ascii="Arial" w:hAnsi="Arial" w:cs="Arial"/>
                <w:b/>
                <w:bCs/>
                <w:color w:val="000000"/>
                <w:sz w:val="16"/>
                <w:szCs w:val="16"/>
              </w:rPr>
              <w:t>Payables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left"/>
              <w:rPr>
                <w:rFonts w:ascii="Arial" w:hAnsi="Arial" w:cs="Arial"/>
                <w:color w:val="000000"/>
                <w:sz w:val="16"/>
                <w:szCs w:val="16"/>
              </w:rPr>
            </w:pPr>
            <w:r w:rsidRPr="003437E2">
              <w:rPr>
                <w:rFonts w:ascii="Arial" w:hAnsi="Arial" w:cs="Arial"/>
                <w:color w:val="000000"/>
                <w:sz w:val="16"/>
                <w:szCs w:val="16"/>
              </w:rPr>
              <w:t>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left"/>
              <w:rPr>
                <w:rFonts w:ascii="Arial" w:hAnsi="Arial" w:cs="Arial"/>
                <w:color w:val="000000"/>
                <w:sz w:val="16"/>
                <w:szCs w:val="16"/>
              </w:rPr>
            </w:pP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Suppliers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127,076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92,076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92,076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92,076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92,076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Subsidies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24,973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24,974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24,974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24,974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24,974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Personal benefits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6,692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6,691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6,691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6,691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6,691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Grants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8B24F3">
            <w:pPr>
              <w:spacing w:after="0" w:line="240" w:lineRule="auto"/>
              <w:ind w:left="191"/>
              <w:jc w:val="left"/>
              <w:rPr>
                <w:rFonts w:ascii="Arial" w:hAnsi="Arial" w:cs="Arial"/>
                <w:color w:val="000000"/>
                <w:sz w:val="16"/>
                <w:szCs w:val="16"/>
              </w:rPr>
            </w:pPr>
            <w:r w:rsidRPr="003437E2">
              <w:rPr>
                <w:rFonts w:ascii="Arial" w:hAnsi="Arial" w:cs="Arial"/>
                <w:color w:val="000000"/>
                <w:sz w:val="16"/>
                <w:szCs w:val="16"/>
              </w:rPr>
              <w:t>Other payables</w:t>
            </w:r>
          </w:p>
        </w:tc>
        <w:tc>
          <w:tcPr>
            <w:tcW w:w="112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2,794,446 </w:t>
            </w:r>
          </w:p>
        </w:tc>
        <w:tc>
          <w:tcPr>
            <w:tcW w:w="1092" w:type="dxa"/>
            <w:tcBorders>
              <w:top w:val="nil"/>
              <w:left w:val="nil"/>
              <w:bottom w:val="nil"/>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2,786,628 </w:t>
            </w:r>
          </w:p>
        </w:tc>
        <w:tc>
          <w:tcPr>
            <w:tcW w:w="1064"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2,769,286 </w:t>
            </w:r>
          </w:p>
        </w:tc>
        <w:tc>
          <w:tcPr>
            <w:tcW w:w="1060"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2,756,960 </w:t>
            </w:r>
          </w:p>
        </w:tc>
        <w:tc>
          <w:tcPr>
            <w:tcW w:w="1099" w:type="dxa"/>
            <w:tcBorders>
              <w:top w:val="nil"/>
              <w:left w:val="nil"/>
              <w:bottom w:val="nil"/>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color w:val="000000"/>
                <w:sz w:val="16"/>
                <w:szCs w:val="16"/>
              </w:rPr>
            </w:pPr>
            <w:r w:rsidRPr="003437E2">
              <w:rPr>
                <w:rFonts w:ascii="Arial" w:hAnsi="Arial" w:cs="Arial"/>
                <w:color w:val="000000"/>
                <w:sz w:val="16"/>
                <w:szCs w:val="16"/>
              </w:rPr>
              <w:t xml:space="preserve">2,744,871 </w:t>
            </w:r>
          </w:p>
        </w:tc>
      </w:tr>
      <w:tr w:rsidR="006E3CB6" w:rsidRPr="003437E2" w:rsidTr="006E3CB6">
        <w:trPr>
          <w:trHeight w:val="229"/>
        </w:trPr>
        <w:tc>
          <w:tcPr>
            <w:tcW w:w="2338" w:type="dxa"/>
            <w:tcBorders>
              <w:top w:val="nil"/>
              <w:left w:val="nil"/>
              <w:bottom w:val="nil"/>
              <w:right w:val="nil"/>
            </w:tcBorders>
            <w:shd w:val="clear" w:color="auto" w:fill="auto"/>
            <w:noWrap/>
            <w:vAlign w:val="center"/>
            <w:hideMark/>
          </w:tcPr>
          <w:p w:rsidR="003437E2" w:rsidRPr="003437E2" w:rsidRDefault="003437E2" w:rsidP="003437E2">
            <w:pPr>
              <w:spacing w:after="0" w:line="240" w:lineRule="auto"/>
              <w:jc w:val="left"/>
              <w:rPr>
                <w:rFonts w:ascii="Arial" w:hAnsi="Arial" w:cs="Arial"/>
                <w:b/>
                <w:bCs/>
                <w:i/>
                <w:iCs/>
                <w:color w:val="000000"/>
                <w:sz w:val="16"/>
                <w:szCs w:val="16"/>
              </w:rPr>
            </w:pPr>
            <w:r w:rsidRPr="003437E2">
              <w:rPr>
                <w:rFonts w:ascii="Arial" w:hAnsi="Arial" w:cs="Arial"/>
                <w:b/>
                <w:bCs/>
                <w:i/>
                <w:iCs/>
                <w:color w:val="000000"/>
                <w:sz w:val="16"/>
                <w:szCs w:val="16"/>
              </w:rPr>
              <w:t>Total payables</w:t>
            </w:r>
          </w:p>
        </w:tc>
        <w:tc>
          <w:tcPr>
            <w:tcW w:w="112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2,953,187 </w:t>
            </w:r>
          </w:p>
        </w:tc>
        <w:tc>
          <w:tcPr>
            <w:tcW w:w="1092" w:type="dxa"/>
            <w:tcBorders>
              <w:top w:val="single" w:sz="4" w:space="0" w:color="000000"/>
              <w:left w:val="nil"/>
              <w:bottom w:val="single" w:sz="4" w:space="0" w:color="000000"/>
              <w:right w:val="nil"/>
            </w:tcBorders>
            <w:shd w:val="clear" w:color="000000" w:fill="E6E6E6"/>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2,910,369 </w:t>
            </w:r>
          </w:p>
        </w:tc>
        <w:tc>
          <w:tcPr>
            <w:tcW w:w="1064"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2,893,027 </w:t>
            </w:r>
          </w:p>
        </w:tc>
        <w:tc>
          <w:tcPr>
            <w:tcW w:w="1060"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2,880,701 </w:t>
            </w:r>
          </w:p>
        </w:tc>
        <w:tc>
          <w:tcPr>
            <w:tcW w:w="1099" w:type="dxa"/>
            <w:tcBorders>
              <w:top w:val="single" w:sz="4" w:space="0" w:color="000000"/>
              <w:left w:val="nil"/>
              <w:bottom w:val="single" w:sz="4" w:space="0" w:color="000000"/>
              <w:right w:val="nil"/>
            </w:tcBorders>
            <w:shd w:val="clear" w:color="auto" w:fill="auto"/>
            <w:noWrap/>
            <w:vAlign w:val="bottom"/>
            <w:hideMark/>
          </w:tcPr>
          <w:p w:rsidR="003437E2" w:rsidRPr="003437E2" w:rsidRDefault="003437E2" w:rsidP="003437E2">
            <w:pPr>
              <w:spacing w:after="0" w:line="240" w:lineRule="auto"/>
              <w:jc w:val="right"/>
              <w:rPr>
                <w:rFonts w:ascii="Arial" w:hAnsi="Arial" w:cs="Arial"/>
                <w:b/>
                <w:bCs/>
                <w:i/>
                <w:iCs/>
                <w:color w:val="000000"/>
                <w:sz w:val="16"/>
                <w:szCs w:val="16"/>
              </w:rPr>
            </w:pPr>
            <w:r w:rsidRPr="003437E2">
              <w:rPr>
                <w:rFonts w:ascii="Arial" w:hAnsi="Arial" w:cs="Arial"/>
                <w:b/>
                <w:bCs/>
                <w:i/>
                <w:iCs/>
                <w:color w:val="000000"/>
                <w:sz w:val="16"/>
                <w:szCs w:val="16"/>
              </w:rPr>
              <w:t xml:space="preserve">2,868,612 </w:t>
            </w:r>
          </w:p>
        </w:tc>
      </w:tr>
      <w:tr w:rsidR="006E3CB6" w:rsidRPr="006E3CB6" w:rsidTr="006E3CB6">
        <w:trPr>
          <w:trHeight w:val="229"/>
        </w:trPr>
        <w:tc>
          <w:tcPr>
            <w:tcW w:w="2338" w:type="dxa"/>
            <w:tcBorders>
              <w:top w:val="nil"/>
              <w:left w:val="nil"/>
              <w:bottom w:val="nil"/>
              <w:right w:val="nil"/>
            </w:tcBorders>
            <w:shd w:val="clear" w:color="auto" w:fill="auto"/>
            <w:noWrap/>
            <w:vAlign w:val="center"/>
            <w:hideMark/>
          </w:tcPr>
          <w:p w:rsidR="006E3CB6" w:rsidRPr="006E3CB6" w:rsidRDefault="006E3CB6" w:rsidP="006E3CB6">
            <w:pPr>
              <w:spacing w:after="0" w:line="240" w:lineRule="auto"/>
              <w:jc w:val="left"/>
              <w:rPr>
                <w:rFonts w:ascii="Arial" w:hAnsi="Arial" w:cs="Arial"/>
                <w:b/>
                <w:bCs/>
                <w:iCs/>
                <w:color w:val="000000"/>
                <w:sz w:val="16"/>
                <w:szCs w:val="16"/>
              </w:rPr>
            </w:pPr>
            <w:r w:rsidRPr="006E3CB6">
              <w:rPr>
                <w:rFonts w:ascii="Arial" w:hAnsi="Arial" w:cs="Arial"/>
                <w:b/>
                <w:bCs/>
                <w:iCs/>
                <w:color w:val="000000"/>
                <w:sz w:val="16"/>
                <w:szCs w:val="16"/>
              </w:rPr>
              <w:t>Provisions</w:t>
            </w:r>
          </w:p>
        </w:tc>
        <w:tc>
          <w:tcPr>
            <w:tcW w:w="1124" w:type="dxa"/>
            <w:tcBorders>
              <w:top w:val="single" w:sz="4" w:space="0" w:color="000000"/>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p>
        </w:tc>
        <w:tc>
          <w:tcPr>
            <w:tcW w:w="1092" w:type="dxa"/>
            <w:tcBorders>
              <w:top w:val="single" w:sz="4" w:space="0" w:color="000000"/>
              <w:left w:val="nil"/>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w:t>
            </w:r>
          </w:p>
        </w:tc>
        <w:tc>
          <w:tcPr>
            <w:tcW w:w="1064" w:type="dxa"/>
            <w:tcBorders>
              <w:top w:val="single" w:sz="4" w:space="0" w:color="000000"/>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p>
        </w:tc>
        <w:tc>
          <w:tcPr>
            <w:tcW w:w="1060" w:type="dxa"/>
            <w:tcBorders>
              <w:top w:val="single" w:sz="4" w:space="0" w:color="000000"/>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p>
        </w:tc>
        <w:tc>
          <w:tcPr>
            <w:tcW w:w="1099" w:type="dxa"/>
            <w:tcBorders>
              <w:top w:val="single" w:sz="4" w:space="0" w:color="000000"/>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p>
        </w:tc>
      </w:tr>
      <w:tr w:rsidR="006E3CB6" w:rsidRPr="006E3CB6" w:rsidTr="006E3CB6">
        <w:trPr>
          <w:trHeight w:val="229"/>
        </w:trPr>
        <w:tc>
          <w:tcPr>
            <w:tcW w:w="2338" w:type="dxa"/>
            <w:tcBorders>
              <w:top w:val="nil"/>
              <w:left w:val="nil"/>
              <w:bottom w:val="nil"/>
              <w:right w:val="nil"/>
            </w:tcBorders>
            <w:shd w:val="clear" w:color="auto" w:fill="auto"/>
            <w:noWrap/>
            <w:vAlign w:val="center"/>
            <w:hideMark/>
          </w:tcPr>
          <w:p w:rsidR="006E3CB6" w:rsidRPr="008B24F3" w:rsidRDefault="006E3CB6" w:rsidP="008B24F3">
            <w:pPr>
              <w:spacing w:after="0" w:line="240" w:lineRule="auto"/>
              <w:ind w:left="191"/>
              <w:jc w:val="left"/>
              <w:rPr>
                <w:rFonts w:ascii="Arial" w:hAnsi="Arial" w:cs="Arial"/>
                <w:color w:val="000000"/>
                <w:sz w:val="16"/>
                <w:szCs w:val="16"/>
              </w:rPr>
            </w:pPr>
            <w:r w:rsidRPr="008B24F3">
              <w:rPr>
                <w:rFonts w:ascii="Arial" w:hAnsi="Arial" w:cs="Arial"/>
                <w:color w:val="000000"/>
                <w:sz w:val="16"/>
                <w:szCs w:val="16"/>
              </w:rPr>
              <w:t>Employee provisions</w:t>
            </w:r>
          </w:p>
        </w:tc>
        <w:tc>
          <w:tcPr>
            <w:tcW w:w="1124" w:type="dxa"/>
            <w:tcBorders>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92" w:type="dxa"/>
            <w:tcBorders>
              <w:left w:val="nil"/>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64" w:type="dxa"/>
            <w:tcBorders>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60" w:type="dxa"/>
            <w:tcBorders>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99" w:type="dxa"/>
            <w:tcBorders>
              <w:left w:val="nil"/>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r>
      <w:tr w:rsidR="006E3CB6" w:rsidRPr="006E3CB6" w:rsidTr="006E3CB6">
        <w:trPr>
          <w:trHeight w:val="229"/>
        </w:trPr>
        <w:tc>
          <w:tcPr>
            <w:tcW w:w="2338" w:type="dxa"/>
            <w:tcBorders>
              <w:top w:val="nil"/>
              <w:left w:val="nil"/>
              <w:bottom w:val="nil"/>
              <w:right w:val="nil"/>
            </w:tcBorders>
            <w:shd w:val="clear" w:color="auto" w:fill="auto"/>
            <w:noWrap/>
            <w:vAlign w:val="center"/>
            <w:hideMark/>
          </w:tcPr>
          <w:p w:rsidR="006E3CB6" w:rsidRPr="006E3CB6" w:rsidRDefault="006E3CB6" w:rsidP="008B24F3">
            <w:pPr>
              <w:spacing w:after="0" w:line="240" w:lineRule="auto"/>
              <w:ind w:left="191"/>
              <w:jc w:val="left"/>
              <w:rPr>
                <w:rFonts w:ascii="Arial" w:hAnsi="Arial" w:cs="Arial"/>
                <w:bCs/>
                <w:iCs/>
                <w:color w:val="000000"/>
                <w:sz w:val="16"/>
                <w:szCs w:val="16"/>
              </w:rPr>
            </w:pPr>
            <w:r w:rsidRPr="006E3CB6">
              <w:rPr>
                <w:rFonts w:ascii="Arial" w:hAnsi="Arial" w:cs="Arial"/>
                <w:bCs/>
                <w:iCs/>
                <w:color w:val="000000"/>
                <w:sz w:val="16"/>
                <w:szCs w:val="16"/>
              </w:rPr>
              <w:t>Other provisions</w:t>
            </w:r>
          </w:p>
        </w:tc>
        <w:tc>
          <w:tcPr>
            <w:tcW w:w="1124" w:type="dxa"/>
            <w:tcBorders>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92" w:type="dxa"/>
            <w:tcBorders>
              <w:left w:val="nil"/>
              <w:bottom w:val="single" w:sz="4" w:space="0" w:color="000000"/>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64" w:type="dxa"/>
            <w:tcBorders>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60" w:type="dxa"/>
            <w:tcBorders>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c>
          <w:tcPr>
            <w:tcW w:w="1099" w:type="dxa"/>
            <w:tcBorders>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Cs/>
                <w:iCs/>
                <w:color w:val="000000"/>
                <w:sz w:val="16"/>
                <w:szCs w:val="16"/>
              </w:rPr>
            </w:pPr>
            <w:r w:rsidRPr="006E3CB6">
              <w:rPr>
                <w:rFonts w:ascii="Arial" w:hAnsi="Arial" w:cs="Arial"/>
                <w:bCs/>
                <w:iCs/>
                <w:color w:val="000000"/>
                <w:sz w:val="16"/>
                <w:szCs w:val="16"/>
              </w:rPr>
              <w:t xml:space="preserve">- </w:t>
            </w:r>
          </w:p>
        </w:tc>
      </w:tr>
      <w:tr w:rsidR="006E3CB6" w:rsidRPr="006E3CB6" w:rsidTr="006E3CB6">
        <w:trPr>
          <w:trHeight w:val="229"/>
        </w:trPr>
        <w:tc>
          <w:tcPr>
            <w:tcW w:w="2338" w:type="dxa"/>
            <w:tcBorders>
              <w:top w:val="nil"/>
              <w:left w:val="nil"/>
              <w:bottom w:val="nil"/>
              <w:right w:val="nil"/>
            </w:tcBorders>
            <w:shd w:val="clear" w:color="auto" w:fill="auto"/>
            <w:noWrap/>
            <w:vAlign w:val="center"/>
            <w:hideMark/>
          </w:tcPr>
          <w:p w:rsidR="006E3CB6" w:rsidRPr="006E3CB6" w:rsidRDefault="006E3CB6" w:rsidP="006E3CB6">
            <w:pPr>
              <w:spacing w:after="0" w:line="240" w:lineRule="auto"/>
              <w:jc w:val="left"/>
              <w:rPr>
                <w:rFonts w:ascii="Arial" w:hAnsi="Arial" w:cs="Arial"/>
                <w:b/>
                <w:bCs/>
                <w:i/>
                <w:iCs/>
                <w:color w:val="000000"/>
                <w:sz w:val="16"/>
                <w:szCs w:val="16"/>
              </w:rPr>
            </w:pPr>
            <w:r w:rsidRPr="006E3CB6">
              <w:rPr>
                <w:rFonts w:ascii="Arial" w:hAnsi="Arial" w:cs="Arial"/>
                <w:b/>
                <w:bCs/>
                <w:i/>
                <w:iCs/>
                <w:color w:val="000000"/>
                <w:sz w:val="16"/>
                <w:szCs w:val="16"/>
              </w:rPr>
              <w:t>Total provisions</w:t>
            </w:r>
          </w:p>
        </w:tc>
        <w:tc>
          <w:tcPr>
            <w:tcW w:w="112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
                <w:iCs/>
                <w:color w:val="000000"/>
                <w:sz w:val="16"/>
                <w:szCs w:val="16"/>
              </w:rPr>
            </w:pPr>
            <w:r w:rsidRPr="006E3CB6">
              <w:rPr>
                <w:rFonts w:ascii="Arial" w:hAnsi="Arial" w:cs="Arial"/>
                <w:b/>
                <w:bCs/>
                <w:i/>
                <w:iCs/>
                <w:color w:val="000000"/>
                <w:sz w:val="16"/>
                <w:szCs w:val="16"/>
              </w:rPr>
              <w:t xml:space="preserve">- </w:t>
            </w:r>
          </w:p>
        </w:tc>
        <w:tc>
          <w:tcPr>
            <w:tcW w:w="1092" w:type="dxa"/>
            <w:tcBorders>
              <w:top w:val="single" w:sz="4" w:space="0" w:color="000000"/>
              <w:left w:val="nil"/>
              <w:bottom w:val="single" w:sz="4" w:space="0" w:color="000000"/>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
                <w:bCs/>
                <w:i/>
                <w:iCs/>
                <w:color w:val="000000"/>
                <w:sz w:val="16"/>
                <w:szCs w:val="16"/>
              </w:rPr>
            </w:pPr>
            <w:r w:rsidRPr="006E3CB6">
              <w:rPr>
                <w:rFonts w:ascii="Arial" w:hAnsi="Arial" w:cs="Arial"/>
                <w:b/>
                <w:bCs/>
                <w:i/>
                <w:iCs/>
                <w:color w:val="000000"/>
                <w:sz w:val="16"/>
                <w:szCs w:val="16"/>
              </w:rPr>
              <w:t xml:space="preserve">- </w:t>
            </w:r>
          </w:p>
        </w:tc>
        <w:tc>
          <w:tcPr>
            <w:tcW w:w="106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
                <w:iCs/>
                <w:color w:val="000000"/>
                <w:sz w:val="16"/>
                <w:szCs w:val="16"/>
              </w:rPr>
            </w:pPr>
            <w:r w:rsidRPr="006E3CB6">
              <w:rPr>
                <w:rFonts w:ascii="Arial" w:hAnsi="Arial" w:cs="Arial"/>
                <w:b/>
                <w:bCs/>
                <w:i/>
                <w:iCs/>
                <w:color w:val="000000"/>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
                <w:iCs/>
                <w:color w:val="000000"/>
                <w:sz w:val="16"/>
                <w:szCs w:val="16"/>
              </w:rPr>
            </w:pPr>
            <w:r w:rsidRPr="006E3CB6">
              <w:rPr>
                <w:rFonts w:ascii="Arial" w:hAnsi="Arial" w:cs="Arial"/>
                <w:b/>
                <w:bCs/>
                <w:i/>
                <w:iCs/>
                <w:color w:val="000000"/>
                <w:sz w:val="16"/>
                <w:szCs w:val="16"/>
              </w:rPr>
              <w:t xml:space="preserve">- </w:t>
            </w:r>
          </w:p>
        </w:tc>
        <w:tc>
          <w:tcPr>
            <w:tcW w:w="1099"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
                <w:iCs/>
                <w:color w:val="000000"/>
                <w:sz w:val="16"/>
                <w:szCs w:val="16"/>
              </w:rPr>
            </w:pPr>
            <w:r w:rsidRPr="006E3CB6">
              <w:rPr>
                <w:rFonts w:ascii="Arial" w:hAnsi="Arial" w:cs="Arial"/>
                <w:b/>
                <w:bCs/>
                <w:i/>
                <w:iCs/>
                <w:color w:val="000000"/>
                <w:sz w:val="16"/>
                <w:szCs w:val="16"/>
              </w:rPr>
              <w:t xml:space="preserve">- </w:t>
            </w:r>
          </w:p>
        </w:tc>
      </w:tr>
      <w:tr w:rsidR="006E3CB6" w:rsidRPr="006E3CB6" w:rsidTr="00FD2224">
        <w:trPr>
          <w:trHeight w:val="229"/>
        </w:trPr>
        <w:tc>
          <w:tcPr>
            <w:tcW w:w="2338" w:type="dxa"/>
            <w:tcBorders>
              <w:top w:val="nil"/>
              <w:left w:val="nil"/>
              <w:right w:val="nil"/>
            </w:tcBorders>
            <w:shd w:val="clear" w:color="auto" w:fill="auto"/>
            <w:noWrap/>
            <w:vAlign w:val="center"/>
            <w:hideMark/>
          </w:tcPr>
          <w:p w:rsidR="006E3CB6" w:rsidRPr="006E3CB6" w:rsidRDefault="006E3CB6" w:rsidP="008B24F3">
            <w:pPr>
              <w:spacing w:after="0" w:line="240" w:lineRule="auto"/>
              <w:jc w:val="left"/>
              <w:rPr>
                <w:rFonts w:ascii="Arial" w:hAnsi="Arial" w:cs="Arial"/>
                <w:b/>
                <w:bCs/>
                <w:iCs/>
                <w:color w:val="000000"/>
                <w:sz w:val="16"/>
                <w:szCs w:val="16"/>
              </w:rPr>
            </w:pPr>
            <w:r w:rsidRPr="006E3CB6">
              <w:rPr>
                <w:rFonts w:ascii="Arial" w:hAnsi="Arial" w:cs="Arial"/>
                <w:b/>
                <w:bCs/>
                <w:iCs/>
                <w:color w:val="000000"/>
                <w:sz w:val="16"/>
                <w:szCs w:val="16"/>
              </w:rPr>
              <w:t>Total liabilities administered on behalf of Government</w:t>
            </w:r>
          </w:p>
        </w:tc>
        <w:tc>
          <w:tcPr>
            <w:tcW w:w="112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xml:space="preserve">2,953,187 </w:t>
            </w:r>
          </w:p>
        </w:tc>
        <w:tc>
          <w:tcPr>
            <w:tcW w:w="1092" w:type="dxa"/>
            <w:tcBorders>
              <w:top w:val="single" w:sz="4" w:space="0" w:color="000000"/>
              <w:left w:val="nil"/>
              <w:bottom w:val="single" w:sz="4" w:space="0" w:color="000000"/>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xml:space="preserve">2,910,369 </w:t>
            </w:r>
          </w:p>
        </w:tc>
        <w:tc>
          <w:tcPr>
            <w:tcW w:w="106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xml:space="preserve">2,893,027 </w:t>
            </w:r>
          </w:p>
        </w:tc>
        <w:tc>
          <w:tcPr>
            <w:tcW w:w="1060"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xml:space="preserve">2,880,701 </w:t>
            </w:r>
          </w:p>
        </w:tc>
        <w:tc>
          <w:tcPr>
            <w:tcW w:w="1099"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 xml:space="preserve">2,868,612 </w:t>
            </w:r>
          </w:p>
        </w:tc>
      </w:tr>
      <w:tr w:rsidR="006E3CB6" w:rsidRPr="006E3CB6" w:rsidTr="00FD2224">
        <w:trPr>
          <w:trHeight w:val="229"/>
        </w:trPr>
        <w:tc>
          <w:tcPr>
            <w:tcW w:w="2338" w:type="dxa"/>
            <w:tcBorders>
              <w:top w:val="nil"/>
              <w:left w:val="nil"/>
              <w:bottom w:val="single" w:sz="4" w:space="0" w:color="000000"/>
              <w:right w:val="nil"/>
            </w:tcBorders>
            <w:shd w:val="clear" w:color="auto" w:fill="auto"/>
            <w:noWrap/>
            <w:vAlign w:val="center"/>
            <w:hideMark/>
          </w:tcPr>
          <w:p w:rsidR="006E3CB6" w:rsidRPr="006E3CB6" w:rsidRDefault="006E3CB6" w:rsidP="006E3CB6">
            <w:pPr>
              <w:spacing w:after="0" w:line="240" w:lineRule="auto"/>
              <w:jc w:val="left"/>
              <w:rPr>
                <w:rFonts w:ascii="Arial" w:hAnsi="Arial" w:cs="Arial"/>
                <w:b/>
                <w:bCs/>
                <w:iCs/>
                <w:color w:val="000000"/>
                <w:sz w:val="16"/>
                <w:szCs w:val="16"/>
              </w:rPr>
            </w:pPr>
            <w:r w:rsidRPr="006E3CB6">
              <w:rPr>
                <w:rFonts w:ascii="Arial" w:hAnsi="Arial" w:cs="Arial"/>
                <w:b/>
                <w:bCs/>
                <w:iCs/>
                <w:color w:val="000000"/>
                <w:sz w:val="16"/>
                <w:szCs w:val="16"/>
              </w:rPr>
              <w:t>Net assets/(liabilities)</w:t>
            </w:r>
          </w:p>
        </w:tc>
        <w:tc>
          <w:tcPr>
            <w:tcW w:w="112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(2,691,246)</w:t>
            </w:r>
          </w:p>
        </w:tc>
        <w:tc>
          <w:tcPr>
            <w:tcW w:w="1092" w:type="dxa"/>
            <w:tcBorders>
              <w:top w:val="single" w:sz="4" w:space="0" w:color="000000"/>
              <w:left w:val="nil"/>
              <w:bottom w:val="single" w:sz="4" w:space="0" w:color="000000"/>
              <w:right w:val="nil"/>
            </w:tcBorders>
            <w:shd w:val="clear" w:color="000000" w:fill="E6E6E6"/>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(2,648,087)</w:t>
            </w:r>
          </w:p>
        </w:tc>
        <w:tc>
          <w:tcPr>
            <w:tcW w:w="1064"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(2,630,551)</w:t>
            </w:r>
          </w:p>
        </w:tc>
        <w:tc>
          <w:tcPr>
            <w:tcW w:w="1060"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(2,618,204)</w:t>
            </w:r>
          </w:p>
        </w:tc>
        <w:tc>
          <w:tcPr>
            <w:tcW w:w="1099" w:type="dxa"/>
            <w:tcBorders>
              <w:top w:val="single" w:sz="4" w:space="0" w:color="000000"/>
              <w:left w:val="nil"/>
              <w:bottom w:val="single" w:sz="4" w:space="0" w:color="000000"/>
              <w:right w:val="nil"/>
            </w:tcBorders>
            <w:shd w:val="clear" w:color="auto" w:fill="auto"/>
            <w:noWrap/>
            <w:vAlign w:val="bottom"/>
            <w:hideMark/>
          </w:tcPr>
          <w:p w:rsidR="006E3CB6" w:rsidRPr="006E3CB6" w:rsidRDefault="006E3CB6" w:rsidP="006E3CB6">
            <w:pPr>
              <w:spacing w:after="0" w:line="240" w:lineRule="auto"/>
              <w:jc w:val="right"/>
              <w:rPr>
                <w:rFonts w:ascii="Arial" w:hAnsi="Arial" w:cs="Arial"/>
                <w:b/>
                <w:bCs/>
                <w:iCs/>
                <w:color w:val="000000"/>
                <w:sz w:val="16"/>
                <w:szCs w:val="16"/>
              </w:rPr>
            </w:pPr>
            <w:r w:rsidRPr="006E3CB6">
              <w:rPr>
                <w:rFonts w:ascii="Arial" w:hAnsi="Arial" w:cs="Arial"/>
                <w:b/>
                <w:bCs/>
                <w:iCs/>
                <w:color w:val="000000"/>
                <w:sz w:val="16"/>
                <w:szCs w:val="16"/>
              </w:rPr>
              <w:t>(2,606,084)</w:t>
            </w:r>
          </w:p>
        </w:tc>
      </w:tr>
    </w:tbl>
    <w:p w:rsidR="006E3CB6" w:rsidRDefault="006E3CB6" w:rsidP="00391F8E">
      <w:pPr>
        <w:pStyle w:val="Source"/>
      </w:pPr>
    </w:p>
    <w:p w:rsidR="00391F8E" w:rsidRDefault="00391F8E" w:rsidP="00391F8E">
      <w:pPr>
        <w:pStyle w:val="Source"/>
      </w:pPr>
      <w:proofErr w:type="gramStart"/>
      <w:r>
        <w:t>Prepared on Australian Accounting Standards basis.</w:t>
      </w:r>
      <w:proofErr w:type="gramEnd"/>
    </w:p>
    <w:p w:rsidR="00391F8E" w:rsidRDefault="00391F8E">
      <w:pPr>
        <w:spacing w:after="0" w:line="240" w:lineRule="auto"/>
        <w:jc w:val="left"/>
        <w:rPr>
          <w:rFonts w:ascii="Arial" w:hAnsi="Arial"/>
          <w:sz w:val="16"/>
        </w:rPr>
      </w:pPr>
      <w:r>
        <w:br w:type="page"/>
      </w:r>
    </w:p>
    <w:p w:rsidR="00391F8E" w:rsidRDefault="00391F8E" w:rsidP="00391F8E">
      <w:pPr>
        <w:pStyle w:val="TableHeading"/>
        <w:spacing w:before="0"/>
        <w:rPr>
          <w:snapToGrid w:val="0"/>
          <w:lang w:val="en-AU"/>
        </w:rPr>
      </w:pPr>
      <w:r>
        <w:rPr>
          <w:snapToGrid w:val="0"/>
        </w:rPr>
        <w:lastRenderedPageBreak/>
        <w:t>Table 3.2.9</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00242187">
        <w:rPr>
          <w:snapToGrid w:val="0"/>
        </w:rPr>
        <w:t>lows (for the period ended</w:t>
      </w:r>
      <w:r w:rsidR="00242187">
        <w:rPr>
          <w:snapToGrid w:val="0"/>
          <w:lang w:val="en-AU"/>
        </w:rPr>
        <w:t> </w:t>
      </w:r>
      <w:r w:rsidRPr="00014438">
        <w:rPr>
          <w:snapToGrid w:val="0"/>
        </w:rPr>
        <w:t xml:space="preserve">30 June)  </w:t>
      </w:r>
    </w:p>
    <w:tbl>
      <w:tblPr>
        <w:tblW w:w="7803" w:type="dxa"/>
        <w:tblInd w:w="93" w:type="dxa"/>
        <w:tblLook w:val="04A0" w:firstRow="1" w:lastRow="0" w:firstColumn="1" w:lastColumn="0" w:noHBand="0" w:noVBand="1"/>
      </w:tblPr>
      <w:tblGrid>
        <w:gridCol w:w="2903"/>
        <w:gridCol w:w="980"/>
        <w:gridCol w:w="980"/>
        <w:gridCol w:w="980"/>
        <w:gridCol w:w="980"/>
        <w:gridCol w:w="980"/>
      </w:tblGrid>
      <w:tr w:rsidR="00987E68" w:rsidRPr="00987E68" w:rsidTr="001E280C">
        <w:trPr>
          <w:trHeight w:val="789"/>
          <w:tblHeader/>
        </w:trPr>
        <w:tc>
          <w:tcPr>
            <w:tcW w:w="2903" w:type="dxa"/>
            <w:tcBorders>
              <w:top w:val="single" w:sz="4" w:space="0" w:color="auto"/>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single" w:sz="4" w:space="0" w:color="auto"/>
              <w:left w:val="nil"/>
              <w:bottom w:val="nil"/>
              <w:right w:val="nil"/>
            </w:tcBorders>
            <w:shd w:val="clear" w:color="auto" w:fill="auto"/>
            <w:hideMark/>
          </w:tcPr>
          <w:p w:rsidR="00987E68" w:rsidRPr="00987E68" w:rsidRDefault="00987E68" w:rsidP="00987E68">
            <w:pPr>
              <w:spacing w:after="0" w:line="240" w:lineRule="auto"/>
              <w:jc w:val="right"/>
              <w:rPr>
                <w:rFonts w:ascii="Arial" w:hAnsi="Arial" w:cs="Arial"/>
                <w:sz w:val="16"/>
                <w:szCs w:val="16"/>
              </w:rPr>
            </w:pPr>
            <w:r w:rsidRPr="00987E68">
              <w:rPr>
                <w:rFonts w:ascii="Arial" w:hAnsi="Arial" w:cs="Arial"/>
                <w:sz w:val="16"/>
                <w:szCs w:val="16"/>
              </w:rPr>
              <w:t>2014–15</w:t>
            </w:r>
            <w:r w:rsidRPr="00987E68">
              <w:rPr>
                <w:rFonts w:ascii="Arial" w:hAnsi="Arial" w:cs="Arial"/>
                <w:sz w:val="16"/>
                <w:szCs w:val="16"/>
              </w:rPr>
              <w:br/>
              <w:t>Actual</w:t>
            </w:r>
            <w:r w:rsidRPr="00987E68">
              <w:rPr>
                <w:rFonts w:ascii="Arial" w:hAnsi="Arial" w:cs="Arial"/>
                <w:sz w:val="16"/>
                <w:szCs w:val="16"/>
              </w:rPr>
              <w:br/>
              <w:t>$'000</w:t>
            </w:r>
          </w:p>
        </w:tc>
        <w:tc>
          <w:tcPr>
            <w:tcW w:w="980" w:type="dxa"/>
            <w:tcBorders>
              <w:top w:val="single" w:sz="4" w:space="0" w:color="auto"/>
              <w:left w:val="nil"/>
              <w:bottom w:val="nil"/>
              <w:right w:val="nil"/>
            </w:tcBorders>
            <w:shd w:val="clear" w:color="000000" w:fill="E6E6E6"/>
            <w:hideMark/>
          </w:tcPr>
          <w:p w:rsidR="00987E68" w:rsidRPr="00987E68" w:rsidRDefault="00987E68" w:rsidP="00987E68">
            <w:pPr>
              <w:spacing w:after="0" w:line="240" w:lineRule="auto"/>
              <w:jc w:val="right"/>
              <w:rPr>
                <w:rFonts w:ascii="Arial" w:hAnsi="Arial" w:cs="Arial"/>
                <w:sz w:val="16"/>
                <w:szCs w:val="16"/>
              </w:rPr>
            </w:pPr>
            <w:r w:rsidRPr="00987E68">
              <w:rPr>
                <w:rFonts w:ascii="Arial" w:hAnsi="Arial" w:cs="Arial"/>
                <w:sz w:val="16"/>
                <w:szCs w:val="16"/>
              </w:rPr>
              <w:t>2015–16</w:t>
            </w:r>
            <w:r w:rsidRPr="00987E68">
              <w:rPr>
                <w:rFonts w:ascii="Arial" w:hAnsi="Arial" w:cs="Arial"/>
                <w:sz w:val="16"/>
                <w:szCs w:val="16"/>
              </w:rPr>
              <w:br/>
              <w:t>Revised budget</w:t>
            </w:r>
            <w:r w:rsidRPr="00987E68">
              <w:rPr>
                <w:rFonts w:ascii="Arial" w:hAnsi="Arial" w:cs="Arial"/>
                <w:sz w:val="16"/>
                <w:szCs w:val="16"/>
              </w:rPr>
              <w:br/>
              <w:t>$'000</w:t>
            </w:r>
          </w:p>
        </w:tc>
        <w:tc>
          <w:tcPr>
            <w:tcW w:w="980" w:type="dxa"/>
            <w:tcBorders>
              <w:top w:val="single" w:sz="4" w:space="0" w:color="auto"/>
              <w:left w:val="nil"/>
              <w:bottom w:val="nil"/>
              <w:right w:val="nil"/>
            </w:tcBorders>
            <w:shd w:val="clear" w:color="auto" w:fill="auto"/>
            <w:hideMark/>
          </w:tcPr>
          <w:p w:rsidR="00987E68" w:rsidRPr="00987E68" w:rsidRDefault="00987E68" w:rsidP="00987E68">
            <w:pPr>
              <w:spacing w:after="0" w:line="240" w:lineRule="auto"/>
              <w:jc w:val="right"/>
              <w:rPr>
                <w:rFonts w:ascii="Arial" w:hAnsi="Arial" w:cs="Arial"/>
                <w:sz w:val="16"/>
                <w:szCs w:val="16"/>
              </w:rPr>
            </w:pPr>
            <w:r w:rsidRPr="00987E68">
              <w:rPr>
                <w:rFonts w:ascii="Arial" w:hAnsi="Arial" w:cs="Arial"/>
                <w:sz w:val="16"/>
                <w:szCs w:val="16"/>
              </w:rPr>
              <w:t>2016–17</w:t>
            </w:r>
            <w:r w:rsidRPr="00987E68">
              <w:rPr>
                <w:rFonts w:ascii="Arial" w:hAnsi="Arial" w:cs="Arial"/>
                <w:sz w:val="16"/>
                <w:szCs w:val="16"/>
              </w:rPr>
              <w:br/>
              <w:t>Forward estimate</w:t>
            </w:r>
            <w:r w:rsidRPr="00987E68">
              <w:rPr>
                <w:rFonts w:ascii="Arial" w:hAnsi="Arial" w:cs="Arial"/>
                <w:sz w:val="16"/>
                <w:szCs w:val="16"/>
              </w:rPr>
              <w:br/>
              <w:t>$'000</w:t>
            </w:r>
          </w:p>
        </w:tc>
        <w:tc>
          <w:tcPr>
            <w:tcW w:w="980" w:type="dxa"/>
            <w:tcBorders>
              <w:top w:val="single" w:sz="4" w:space="0" w:color="auto"/>
              <w:left w:val="nil"/>
              <w:bottom w:val="nil"/>
              <w:right w:val="nil"/>
            </w:tcBorders>
            <w:shd w:val="clear" w:color="auto" w:fill="auto"/>
            <w:hideMark/>
          </w:tcPr>
          <w:p w:rsidR="00987E68" w:rsidRPr="00987E68" w:rsidRDefault="00987E68" w:rsidP="00987E68">
            <w:pPr>
              <w:spacing w:after="0" w:line="240" w:lineRule="auto"/>
              <w:jc w:val="right"/>
              <w:rPr>
                <w:rFonts w:ascii="Arial" w:hAnsi="Arial" w:cs="Arial"/>
                <w:sz w:val="16"/>
                <w:szCs w:val="16"/>
              </w:rPr>
            </w:pPr>
            <w:r w:rsidRPr="00987E68">
              <w:rPr>
                <w:rFonts w:ascii="Arial" w:hAnsi="Arial" w:cs="Arial"/>
                <w:sz w:val="16"/>
                <w:szCs w:val="16"/>
              </w:rPr>
              <w:t>2017–18</w:t>
            </w:r>
            <w:r w:rsidRPr="00987E68">
              <w:rPr>
                <w:rFonts w:ascii="Arial" w:hAnsi="Arial" w:cs="Arial"/>
                <w:sz w:val="16"/>
                <w:szCs w:val="16"/>
              </w:rPr>
              <w:br/>
              <w:t>Forward estimate</w:t>
            </w:r>
            <w:r w:rsidRPr="00987E68">
              <w:rPr>
                <w:rFonts w:ascii="Arial" w:hAnsi="Arial" w:cs="Arial"/>
                <w:sz w:val="16"/>
                <w:szCs w:val="16"/>
              </w:rPr>
              <w:br/>
              <w:t>$'000</w:t>
            </w:r>
          </w:p>
        </w:tc>
        <w:tc>
          <w:tcPr>
            <w:tcW w:w="980" w:type="dxa"/>
            <w:tcBorders>
              <w:top w:val="single" w:sz="4" w:space="0" w:color="auto"/>
              <w:left w:val="nil"/>
              <w:bottom w:val="nil"/>
              <w:right w:val="nil"/>
            </w:tcBorders>
            <w:shd w:val="clear" w:color="auto" w:fill="auto"/>
            <w:hideMark/>
          </w:tcPr>
          <w:p w:rsidR="00987E68" w:rsidRPr="00987E68" w:rsidRDefault="00987E68" w:rsidP="00987E68">
            <w:pPr>
              <w:spacing w:after="0" w:line="240" w:lineRule="auto"/>
              <w:jc w:val="right"/>
              <w:rPr>
                <w:rFonts w:ascii="Arial" w:hAnsi="Arial" w:cs="Arial"/>
                <w:sz w:val="16"/>
                <w:szCs w:val="16"/>
              </w:rPr>
            </w:pPr>
            <w:r w:rsidRPr="00987E68">
              <w:rPr>
                <w:rFonts w:ascii="Arial" w:hAnsi="Arial" w:cs="Arial"/>
                <w:sz w:val="16"/>
                <w:szCs w:val="16"/>
              </w:rPr>
              <w:t>2018–19</w:t>
            </w:r>
            <w:r w:rsidRPr="00987E68">
              <w:rPr>
                <w:rFonts w:ascii="Arial" w:hAnsi="Arial" w:cs="Arial"/>
                <w:sz w:val="16"/>
                <w:szCs w:val="16"/>
              </w:rPr>
              <w:br/>
              <w:t>Forward estimate</w:t>
            </w:r>
            <w:r w:rsidRPr="00987E68">
              <w:rPr>
                <w:rFonts w:ascii="Arial" w:hAnsi="Arial" w:cs="Arial"/>
                <w:sz w:val="16"/>
                <w:szCs w:val="16"/>
              </w:rPr>
              <w:br/>
              <w:t>$'000</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b/>
                <w:bCs/>
                <w:color w:val="000000"/>
                <w:sz w:val="16"/>
                <w:szCs w:val="16"/>
              </w:rPr>
            </w:pPr>
            <w:r w:rsidRPr="00987E68">
              <w:rPr>
                <w:rFonts w:ascii="Arial" w:hAnsi="Arial" w:cs="Arial"/>
                <w:b/>
                <w:bCs/>
                <w:color w:val="000000"/>
                <w:sz w:val="16"/>
                <w:szCs w:val="16"/>
              </w:rPr>
              <w:t>OPERATING ACTIVITIES</w:t>
            </w:r>
          </w:p>
        </w:tc>
        <w:tc>
          <w:tcPr>
            <w:tcW w:w="980" w:type="dxa"/>
            <w:tcBorders>
              <w:top w:val="single" w:sz="4" w:space="0" w:color="auto"/>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single" w:sz="4" w:space="0" w:color="auto"/>
              <w:left w:val="nil"/>
              <w:bottom w:val="nil"/>
              <w:right w:val="nil"/>
            </w:tcBorders>
            <w:shd w:val="clear" w:color="000000" w:fill="E6E6E6"/>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single" w:sz="4" w:space="0" w:color="auto"/>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single" w:sz="4" w:space="0" w:color="auto"/>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single" w:sz="4" w:space="0" w:color="auto"/>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b/>
                <w:bCs/>
                <w:color w:val="000000"/>
                <w:sz w:val="16"/>
                <w:szCs w:val="16"/>
              </w:rPr>
            </w:pPr>
            <w:r w:rsidRPr="00987E68">
              <w:rPr>
                <w:rFonts w:ascii="Arial" w:hAnsi="Arial" w:cs="Arial"/>
                <w:b/>
                <w:bCs/>
                <w:color w:val="000000"/>
                <w:sz w:val="16"/>
                <w:szCs w:val="16"/>
              </w:rPr>
              <w:t>Cash received</w:t>
            </w: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000000" w:fill="E6E6E6"/>
            <w:noWrap/>
            <w:vAlign w:val="center"/>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color w:val="000000"/>
                <w:sz w:val="16"/>
                <w:szCs w:val="16"/>
              </w:rPr>
            </w:pP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color w:val="000000"/>
                <w:sz w:val="16"/>
                <w:szCs w:val="16"/>
              </w:rPr>
            </w:pPr>
            <w:r w:rsidRPr="00987E68">
              <w:rPr>
                <w:rFonts w:ascii="Arial" w:hAnsi="Arial" w:cs="Arial"/>
                <w:color w:val="000000"/>
                <w:sz w:val="16"/>
                <w:szCs w:val="16"/>
              </w:rPr>
              <w:t>Interest</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20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Taxes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158,606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154,618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154,618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154,618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154,618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Net GST received</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111,982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126,105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134,085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126,290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128,030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color w:val="000000"/>
                <w:sz w:val="16"/>
                <w:szCs w:val="16"/>
              </w:rPr>
            </w:pPr>
            <w:r w:rsidRPr="00987E68">
              <w:rPr>
                <w:rFonts w:ascii="Arial" w:hAnsi="Arial" w:cs="Arial"/>
                <w:color w:val="000000"/>
                <w:sz w:val="16"/>
                <w:szCs w:val="16"/>
              </w:rPr>
              <w:t>Other</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28,982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30,385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30,385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30,385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30,385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b/>
                <w:bCs/>
                <w:i/>
                <w:iCs/>
                <w:color w:val="000000"/>
                <w:sz w:val="16"/>
                <w:szCs w:val="16"/>
              </w:rPr>
            </w:pPr>
            <w:r w:rsidRPr="00987E68">
              <w:rPr>
                <w:rFonts w:ascii="Arial" w:hAnsi="Arial" w:cs="Arial"/>
                <w:b/>
                <w:bCs/>
                <w:i/>
                <w:iCs/>
                <w:color w:val="000000"/>
                <w:sz w:val="16"/>
                <w:szCs w:val="16"/>
              </w:rPr>
              <w:t>Total cash received</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299,590 </w:t>
            </w:r>
          </w:p>
        </w:tc>
        <w:tc>
          <w:tcPr>
            <w:tcW w:w="980" w:type="dxa"/>
            <w:tcBorders>
              <w:top w:val="single" w:sz="4" w:space="0" w:color="auto"/>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311,108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319,088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311,293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313,033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b/>
                <w:bCs/>
                <w:color w:val="000000"/>
                <w:sz w:val="16"/>
                <w:szCs w:val="16"/>
              </w:rPr>
            </w:pPr>
            <w:r w:rsidRPr="00987E68">
              <w:rPr>
                <w:rFonts w:ascii="Arial" w:hAnsi="Arial" w:cs="Arial"/>
                <w:b/>
                <w:bCs/>
                <w:color w:val="000000"/>
                <w:sz w:val="16"/>
                <w:szCs w:val="16"/>
              </w:rPr>
              <w:t>Cash used</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Grants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71,792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79,756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98,649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99,783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89,962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Subsidies paid</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160,681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285,930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469,714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513,862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509,499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Personal benefits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387,719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296,522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317,001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317,126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317,974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sz w:val="16"/>
                <w:szCs w:val="16"/>
              </w:rPr>
            </w:pPr>
            <w:r w:rsidRPr="00987E68">
              <w:rPr>
                <w:rFonts w:ascii="Arial" w:hAnsi="Arial" w:cs="Arial"/>
                <w:sz w:val="16"/>
                <w:szCs w:val="16"/>
              </w:rPr>
              <w:t>Suppliers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1,308,506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1,309,832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1,459,145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1,383,077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1,402,917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100" w:firstLine="160"/>
              <w:jc w:val="left"/>
              <w:rPr>
                <w:rFonts w:ascii="Arial" w:hAnsi="Arial" w:cs="Arial"/>
                <w:color w:val="000000"/>
                <w:sz w:val="16"/>
                <w:szCs w:val="16"/>
              </w:rPr>
            </w:pPr>
            <w:r w:rsidRPr="00987E68">
              <w:rPr>
                <w:rFonts w:ascii="Arial" w:hAnsi="Arial" w:cs="Arial"/>
                <w:color w:val="000000"/>
                <w:sz w:val="16"/>
                <w:szCs w:val="16"/>
              </w:rPr>
              <w:t>Payments to corporate entities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7,563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7,727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6,133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6,168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6,206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left"/>
              <w:rPr>
                <w:rFonts w:ascii="Arial" w:hAnsi="Arial" w:cs="Arial"/>
                <w:b/>
                <w:bCs/>
                <w:i/>
                <w:iCs/>
                <w:color w:val="000000"/>
                <w:sz w:val="16"/>
                <w:szCs w:val="16"/>
              </w:rPr>
            </w:pPr>
            <w:r w:rsidRPr="00987E68">
              <w:rPr>
                <w:rFonts w:ascii="Arial" w:hAnsi="Arial" w:cs="Arial"/>
                <w:b/>
                <w:bCs/>
                <w:i/>
                <w:iCs/>
                <w:color w:val="000000"/>
                <w:sz w:val="16"/>
                <w:szCs w:val="16"/>
              </w:rPr>
              <w:t>Total cash used</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1,936,261 </w:t>
            </w:r>
          </w:p>
        </w:tc>
        <w:tc>
          <w:tcPr>
            <w:tcW w:w="980" w:type="dxa"/>
            <w:tcBorders>
              <w:top w:val="single" w:sz="4" w:space="0" w:color="auto"/>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1,979,767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2,350,642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2,320,016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z w:val="16"/>
                <w:szCs w:val="16"/>
              </w:rPr>
            </w:pPr>
            <w:r w:rsidRPr="00987E68">
              <w:rPr>
                <w:rFonts w:ascii="Arial" w:hAnsi="Arial" w:cs="Arial"/>
                <w:b/>
                <w:bCs/>
                <w:i/>
                <w:iCs/>
                <w:color w:val="000000"/>
                <w:sz w:val="16"/>
                <w:szCs w:val="16"/>
              </w:rPr>
              <w:t xml:space="preserve">2,326,558 </w:t>
            </w:r>
          </w:p>
        </w:tc>
      </w:tr>
      <w:tr w:rsidR="00987E68" w:rsidRPr="00987E68" w:rsidTr="002545E5">
        <w:trPr>
          <w:trHeight w:val="452"/>
        </w:trPr>
        <w:tc>
          <w:tcPr>
            <w:tcW w:w="2903" w:type="dxa"/>
            <w:tcBorders>
              <w:top w:val="nil"/>
              <w:left w:val="nil"/>
              <w:bottom w:val="nil"/>
              <w:right w:val="nil"/>
            </w:tcBorders>
            <w:shd w:val="clear" w:color="auto" w:fill="auto"/>
            <w:vAlign w:val="bottom"/>
            <w:hideMark/>
          </w:tcPr>
          <w:p w:rsidR="00987E68" w:rsidRPr="00987E68" w:rsidRDefault="00987E68" w:rsidP="00987E68">
            <w:pPr>
              <w:spacing w:after="0" w:line="240" w:lineRule="auto"/>
              <w:jc w:val="left"/>
              <w:rPr>
                <w:rFonts w:ascii="Arial" w:hAnsi="Arial" w:cs="Arial"/>
                <w:b/>
                <w:bCs/>
                <w:color w:val="000000"/>
                <w:sz w:val="16"/>
                <w:szCs w:val="16"/>
              </w:rPr>
            </w:pPr>
            <w:r w:rsidRPr="00987E68">
              <w:rPr>
                <w:rFonts w:ascii="Arial" w:hAnsi="Arial" w:cs="Arial"/>
                <w:b/>
                <w:bCs/>
                <w:color w:val="000000"/>
                <w:sz w:val="16"/>
                <w:szCs w:val="16"/>
              </w:rPr>
              <w:t>Net cash from/(used by) operating activities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pacing w:val="-5"/>
                <w:sz w:val="16"/>
                <w:szCs w:val="16"/>
              </w:rPr>
            </w:pPr>
            <w:r w:rsidRPr="00987E68">
              <w:rPr>
                <w:rFonts w:ascii="Arial" w:hAnsi="Arial" w:cs="Arial"/>
                <w:b/>
                <w:bCs/>
                <w:color w:val="000000"/>
                <w:spacing w:val="-5"/>
                <w:sz w:val="16"/>
                <w:szCs w:val="16"/>
              </w:rPr>
              <w:t>(1,636,671)</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b/>
                <w:bCs/>
                <w:color w:val="000000"/>
                <w:spacing w:val="-5"/>
                <w:sz w:val="16"/>
                <w:szCs w:val="16"/>
              </w:rPr>
            </w:pPr>
            <w:r w:rsidRPr="00987E68">
              <w:rPr>
                <w:rFonts w:ascii="Arial" w:hAnsi="Arial" w:cs="Arial"/>
                <w:b/>
                <w:bCs/>
                <w:color w:val="000000"/>
                <w:spacing w:val="-5"/>
                <w:sz w:val="16"/>
                <w:szCs w:val="16"/>
              </w:rPr>
              <w:t>(1,668,659)</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pacing w:val="-5"/>
                <w:sz w:val="16"/>
                <w:szCs w:val="16"/>
              </w:rPr>
            </w:pPr>
            <w:r w:rsidRPr="00987E68">
              <w:rPr>
                <w:rFonts w:ascii="Arial" w:hAnsi="Arial" w:cs="Arial"/>
                <w:b/>
                <w:bCs/>
                <w:color w:val="000000"/>
                <w:spacing w:val="-5"/>
                <w:sz w:val="16"/>
                <w:szCs w:val="16"/>
              </w:rPr>
              <w:t>(2,031,554)</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pacing w:val="-5"/>
                <w:sz w:val="16"/>
                <w:szCs w:val="16"/>
              </w:rPr>
            </w:pPr>
            <w:r w:rsidRPr="00987E68">
              <w:rPr>
                <w:rFonts w:ascii="Arial" w:hAnsi="Arial" w:cs="Arial"/>
                <w:b/>
                <w:bCs/>
                <w:color w:val="000000"/>
                <w:spacing w:val="-5"/>
                <w:sz w:val="16"/>
                <w:szCs w:val="16"/>
              </w:rPr>
              <w:t>(2,008,723)</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pacing w:val="-5"/>
                <w:sz w:val="16"/>
                <w:szCs w:val="16"/>
              </w:rPr>
            </w:pPr>
            <w:r w:rsidRPr="00987E68">
              <w:rPr>
                <w:rFonts w:ascii="Arial" w:hAnsi="Arial" w:cs="Arial"/>
                <w:b/>
                <w:bCs/>
                <w:color w:val="000000"/>
                <w:spacing w:val="-5"/>
                <w:sz w:val="16"/>
                <w:szCs w:val="16"/>
              </w:rPr>
              <w:t>(2,013,525)</w:t>
            </w:r>
          </w:p>
        </w:tc>
      </w:tr>
      <w:tr w:rsidR="00987E68" w:rsidRPr="00987E68" w:rsidTr="002545E5">
        <w:trPr>
          <w:trHeight w:val="482"/>
        </w:trPr>
        <w:tc>
          <w:tcPr>
            <w:tcW w:w="2903" w:type="dxa"/>
            <w:tcBorders>
              <w:top w:val="nil"/>
              <w:left w:val="nil"/>
              <w:bottom w:val="nil"/>
              <w:right w:val="nil"/>
            </w:tcBorders>
            <w:shd w:val="clear" w:color="auto" w:fill="auto"/>
            <w:vAlign w:val="bottom"/>
            <w:hideMark/>
          </w:tcPr>
          <w:p w:rsidR="00987E68" w:rsidRPr="00987E68" w:rsidRDefault="00987E68" w:rsidP="00987E68">
            <w:pPr>
              <w:spacing w:after="0" w:line="240" w:lineRule="auto"/>
              <w:jc w:val="left"/>
              <w:rPr>
                <w:rFonts w:ascii="Arial" w:hAnsi="Arial" w:cs="Arial"/>
                <w:b/>
                <w:bCs/>
                <w:i/>
                <w:iCs/>
                <w:color w:val="000000"/>
                <w:sz w:val="16"/>
                <w:szCs w:val="16"/>
              </w:rPr>
            </w:pPr>
            <w:r w:rsidRPr="00987E68">
              <w:rPr>
                <w:rFonts w:ascii="Arial" w:hAnsi="Arial" w:cs="Arial"/>
                <w:b/>
                <w:bCs/>
                <w:i/>
                <w:iCs/>
                <w:color w:val="000000"/>
                <w:sz w:val="16"/>
                <w:szCs w:val="16"/>
              </w:rPr>
              <w:t>Net increase/(decrease) in cash held</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pacing w:val="-5"/>
                <w:sz w:val="16"/>
                <w:szCs w:val="16"/>
              </w:rPr>
            </w:pPr>
            <w:r w:rsidRPr="00987E68">
              <w:rPr>
                <w:rFonts w:ascii="Arial" w:hAnsi="Arial" w:cs="Arial"/>
                <w:b/>
                <w:bCs/>
                <w:i/>
                <w:iCs/>
                <w:color w:val="000000"/>
                <w:spacing w:val="-5"/>
                <w:sz w:val="16"/>
                <w:szCs w:val="16"/>
              </w:rPr>
              <w:t>(1,636,671)</w:t>
            </w:r>
          </w:p>
        </w:tc>
        <w:tc>
          <w:tcPr>
            <w:tcW w:w="980" w:type="dxa"/>
            <w:tcBorders>
              <w:top w:val="single" w:sz="4" w:space="0" w:color="auto"/>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b/>
                <w:bCs/>
                <w:i/>
                <w:iCs/>
                <w:color w:val="000000"/>
                <w:spacing w:val="-5"/>
                <w:sz w:val="16"/>
                <w:szCs w:val="16"/>
              </w:rPr>
            </w:pPr>
            <w:r w:rsidRPr="00987E68">
              <w:rPr>
                <w:rFonts w:ascii="Arial" w:hAnsi="Arial" w:cs="Arial"/>
                <w:b/>
                <w:bCs/>
                <w:i/>
                <w:iCs/>
                <w:color w:val="000000"/>
                <w:spacing w:val="-5"/>
                <w:sz w:val="16"/>
                <w:szCs w:val="16"/>
              </w:rPr>
              <w:t>(1,668,659)</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pacing w:val="-5"/>
                <w:sz w:val="16"/>
                <w:szCs w:val="16"/>
              </w:rPr>
            </w:pPr>
            <w:r w:rsidRPr="00987E68">
              <w:rPr>
                <w:rFonts w:ascii="Arial" w:hAnsi="Arial" w:cs="Arial"/>
                <w:b/>
                <w:bCs/>
                <w:i/>
                <w:iCs/>
                <w:color w:val="000000"/>
                <w:spacing w:val="-5"/>
                <w:sz w:val="16"/>
                <w:szCs w:val="16"/>
              </w:rPr>
              <w:t>(2,031,554)</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pacing w:val="-5"/>
                <w:sz w:val="16"/>
                <w:szCs w:val="16"/>
              </w:rPr>
            </w:pPr>
            <w:r w:rsidRPr="00987E68">
              <w:rPr>
                <w:rFonts w:ascii="Arial" w:hAnsi="Arial" w:cs="Arial"/>
                <w:b/>
                <w:bCs/>
                <w:i/>
                <w:iCs/>
                <w:color w:val="000000"/>
                <w:spacing w:val="-5"/>
                <w:sz w:val="16"/>
                <w:szCs w:val="16"/>
              </w:rPr>
              <w:t>(2,008,723)</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i/>
                <w:iCs/>
                <w:color w:val="000000"/>
                <w:spacing w:val="-5"/>
                <w:sz w:val="16"/>
                <w:szCs w:val="16"/>
              </w:rPr>
            </w:pPr>
            <w:r w:rsidRPr="00987E68">
              <w:rPr>
                <w:rFonts w:ascii="Arial" w:hAnsi="Arial" w:cs="Arial"/>
                <w:b/>
                <w:bCs/>
                <w:i/>
                <w:iCs/>
                <w:color w:val="000000"/>
                <w:spacing w:val="-5"/>
                <w:sz w:val="16"/>
                <w:szCs w:val="16"/>
              </w:rPr>
              <w:t>(2,013,525)</w:t>
            </w:r>
          </w:p>
        </w:tc>
      </w:tr>
      <w:tr w:rsidR="00987E68" w:rsidRPr="00987E68" w:rsidTr="002545E5">
        <w:trPr>
          <w:trHeight w:val="452"/>
        </w:trPr>
        <w:tc>
          <w:tcPr>
            <w:tcW w:w="2903" w:type="dxa"/>
            <w:tcBorders>
              <w:top w:val="nil"/>
              <w:left w:val="nil"/>
              <w:bottom w:val="nil"/>
              <w:right w:val="nil"/>
            </w:tcBorders>
            <w:shd w:val="clear" w:color="auto" w:fill="auto"/>
            <w:vAlign w:val="center"/>
            <w:hideMark/>
          </w:tcPr>
          <w:p w:rsidR="00987E68" w:rsidRPr="00987E68" w:rsidRDefault="00987E68" w:rsidP="00987E68">
            <w:pPr>
              <w:spacing w:after="0" w:line="240" w:lineRule="auto"/>
              <w:ind w:left="191"/>
              <w:jc w:val="left"/>
              <w:rPr>
                <w:rFonts w:ascii="Arial" w:hAnsi="Arial" w:cs="Arial"/>
                <w:color w:val="000000"/>
                <w:sz w:val="16"/>
                <w:szCs w:val="16"/>
              </w:rPr>
            </w:pPr>
            <w:r w:rsidRPr="00987E68">
              <w:rPr>
                <w:rFonts w:ascii="Arial" w:hAnsi="Arial" w:cs="Arial"/>
                <w:color w:val="000000"/>
                <w:sz w:val="16"/>
                <w:szCs w:val="16"/>
              </w:rPr>
              <w:t>Cash and cash equivalents at beginning of reporting period</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104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 </w:t>
            </w:r>
          </w:p>
        </w:tc>
      </w:tr>
      <w:tr w:rsidR="00987E68" w:rsidRPr="00987E68" w:rsidTr="002545E5">
        <w:trPr>
          <w:trHeight w:val="506"/>
        </w:trPr>
        <w:tc>
          <w:tcPr>
            <w:tcW w:w="2903" w:type="dxa"/>
            <w:tcBorders>
              <w:top w:val="nil"/>
              <w:left w:val="nil"/>
              <w:bottom w:val="nil"/>
              <w:right w:val="nil"/>
            </w:tcBorders>
            <w:shd w:val="clear" w:color="auto" w:fill="auto"/>
            <w:vAlign w:val="center"/>
            <w:hideMark/>
          </w:tcPr>
          <w:p w:rsidR="00987E68" w:rsidRPr="00987E68" w:rsidRDefault="00987E68" w:rsidP="00987E68">
            <w:pPr>
              <w:spacing w:after="0" w:line="240" w:lineRule="auto"/>
              <w:ind w:left="191"/>
              <w:jc w:val="left"/>
              <w:rPr>
                <w:rFonts w:ascii="Arial" w:hAnsi="Arial" w:cs="Arial"/>
                <w:color w:val="000000"/>
                <w:sz w:val="16"/>
                <w:szCs w:val="16"/>
              </w:rPr>
            </w:pPr>
            <w:r w:rsidRPr="00987E68">
              <w:rPr>
                <w:rFonts w:ascii="Arial" w:hAnsi="Arial" w:cs="Arial"/>
                <w:color w:val="000000"/>
                <w:sz w:val="16"/>
                <w:szCs w:val="16"/>
              </w:rPr>
              <w:t>Cash from Official Public Account for:</w:t>
            </w: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right"/>
              <w:rPr>
                <w:rFonts w:ascii="Arial" w:hAnsi="Arial" w:cs="Arial"/>
                <w:color w:val="000000"/>
                <w:sz w:val="16"/>
                <w:szCs w:val="16"/>
              </w:rPr>
            </w:pPr>
          </w:p>
        </w:tc>
        <w:tc>
          <w:tcPr>
            <w:tcW w:w="980" w:type="dxa"/>
            <w:tcBorders>
              <w:top w:val="nil"/>
              <w:left w:val="nil"/>
              <w:bottom w:val="nil"/>
              <w:right w:val="nil"/>
            </w:tcBorders>
            <w:shd w:val="clear" w:color="000000" w:fill="E6E6E6"/>
            <w:noWrap/>
            <w:vAlign w:val="center"/>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w:t>
            </w: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right"/>
              <w:rPr>
                <w:rFonts w:ascii="Arial" w:hAnsi="Arial" w:cs="Arial"/>
                <w:color w:val="000000"/>
                <w:sz w:val="16"/>
                <w:szCs w:val="16"/>
              </w:rPr>
            </w:pP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right"/>
              <w:rPr>
                <w:rFonts w:ascii="Arial" w:hAnsi="Arial" w:cs="Arial"/>
                <w:color w:val="000000"/>
                <w:sz w:val="16"/>
                <w:szCs w:val="16"/>
              </w:rPr>
            </w:pPr>
          </w:p>
        </w:tc>
        <w:tc>
          <w:tcPr>
            <w:tcW w:w="980"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jc w:val="right"/>
              <w:rPr>
                <w:rFonts w:ascii="Arial" w:hAnsi="Arial" w:cs="Arial"/>
                <w:color w:val="000000"/>
                <w:sz w:val="16"/>
                <w:szCs w:val="16"/>
              </w:rPr>
            </w:pPr>
          </w:p>
        </w:tc>
      </w:tr>
      <w:tr w:rsidR="00987E68" w:rsidRPr="00987E68" w:rsidTr="002545E5">
        <w:trPr>
          <w:trHeight w:val="6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300" w:firstLine="480"/>
              <w:jc w:val="left"/>
              <w:rPr>
                <w:rFonts w:ascii="Arial" w:hAnsi="Arial" w:cs="Arial"/>
                <w:color w:val="000000"/>
                <w:sz w:val="16"/>
                <w:szCs w:val="16"/>
              </w:rPr>
            </w:pPr>
            <w:r w:rsidRPr="00987E68">
              <w:rPr>
                <w:rFonts w:ascii="Arial" w:hAnsi="Arial" w:cs="Arial"/>
                <w:color w:val="000000"/>
                <w:sz w:val="16"/>
                <w:szCs w:val="16"/>
              </w:rPr>
              <w:t>- Appropriations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1,945,259 </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1,979,693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2,350,672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2,320,046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 xml:space="preserve">2,326,588 </w:t>
            </w:r>
          </w:p>
        </w:tc>
      </w:tr>
      <w:tr w:rsidR="00987E68" w:rsidRPr="00987E68" w:rsidTr="002545E5">
        <w:trPr>
          <w:trHeight w:val="452"/>
        </w:trPr>
        <w:tc>
          <w:tcPr>
            <w:tcW w:w="2903" w:type="dxa"/>
            <w:tcBorders>
              <w:top w:val="nil"/>
              <w:left w:val="nil"/>
              <w:bottom w:val="nil"/>
              <w:right w:val="nil"/>
            </w:tcBorders>
            <w:shd w:val="clear" w:color="auto" w:fill="auto"/>
            <w:vAlign w:val="center"/>
            <w:hideMark/>
          </w:tcPr>
          <w:p w:rsidR="00987E68" w:rsidRPr="00987E68" w:rsidRDefault="00987E68" w:rsidP="00987E68">
            <w:pPr>
              <w:spacing w:after="0" w:line="240" w:lineRule="auto"/>
              <w:ind w:left="191"/>
              <w:jc w:val="left"/>
              <w:rPr>
                <w:rFonts w:ascii="Arial" w:hAnsi="Arial" w:cs="Arial"/>
                <w:i/>
                <w:iCs/>
                <w:color w:val="000000"/>
                <w:sz w:val="16"/>
                <w:szCs w:val="16"/>
              </w:rPr>
            </w:pPr>
            <w:r w:rsidRPr="00987E68">
              <w:rPr>
                <w:rFonts w:ascii="Arial" w:hAnsi="Arial" w:cs="Arial"/>
                <w:i/>
                <w:iCs/>
                <w:color w:val="000000"/>
                <w:sz w:val="16"/>
                <w:szCs w:val="16"/>
              </w:rPr>
              <w:t>Total cash from Official Public Account</w:t>
            </w:r>
          </w:p>
        </w:tc>
        <w:tc>
          <w:tcPr>
            <w:tcW w:w="980" w:type="dxa"/>
            <w:tcBorders>
              <w:top w:val="single" w:sz="4" w:space="0" w:color="auto"/>
              <w:left w:val="nil"/>
              <w:bottom w:val="single" w:sz="4" w:space="0" w:color="auto"/>
              <w:right w:val="nil"/>
            </w:tcBorders>
            <w:shd w:val="clear" w:color="000000" w:fill="FFFFFF"/>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 xml:space="preserve">1,945,259 </w:t>
            </w:r>
          </w:p>
        </w:tc>
        <w:tc>
          <w:tcPr>
            <w:tcW w:w="980" w:type="dxa"/>
            <w:tcBorders>
              <w:top w:val="single" w:sz="4" w:space="0" w:color="auto"/>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 xml:space="preserve">1,979,693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 xml:space="preserve">2,350,672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 xml:space="preserve">2,320,046 </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 xml:space="preserve">2,326,588 </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left="191"/>
              <w:jc w:val="left"/>
              <w:rPr>
                <w:rFonts w:ascii="Arial" w:hAnsi="Arial" w:cs="Arial"/>
                <w:color w:val="000000"/>
                <w:sz w:val="16"/>
                <w:szCs w:val="16"/>
              </w:rPr>
            </w:pPr>
            <w:r w:rsidRPr="00987E68">
              <w:rPr>
                <w:rFonts w:ascii="Arial" w:hAnsi="Arial" w:cs="Arial"/>
                <w:color w:val="000000"/>
                <w:sz w:val="16"/>
                <w:szCs w:val="16"/>
              </w:rPr>
              <w:t>Cash to Official Public Account for:</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left"/>
              <w:rPr>
                <w:rFonts w:ascii="Arial" w:hAnsi="Arial" w:cs="Arial"/>
                <w:color w:val="000000"/>
                <w:sz w:val="16"/>
                <w:szCs w:val="16"/>
              </w:rPr>
            </w:pPr>
            <w:r w:rsidRPr="00987E68">
              <w:rPr>
                <w:rFonts w:ascii="Arial" w:hAnsi="Arial" w:cs="Arial"/>
                <w:color w:val="000000"/>
                <w:sz w:val="16"/>
                <w:szCs w:val="16"/>
              </w:rPr>
              <w:t> </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left"/>
              <w:rPr>
                <w:rFonts w:ascii="Arial" w:hAnsi="Arial" w:cs="Arial"/>
                <w:color w:val="000000"/>
                <w:sz w:val="16"/>
                <w:szCs w:val="16"/>
              </w:rPr>
            </w:pP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300" w:firstLine="480"/>
              <w:jc w:val="left"/>
              <w:rPr>
                <w:rFonts w:ascii="Arial" w:hAnsi="Arial" w:cs="Arial"/>
                <w:color w:val="000000"/>
                <w:sz w:val="16"/>
                <w:szCs w:val="16"/>
              </w:rPr>
            </w:pPr>
            <w:r w:rsidRPr="00987E68">
              <w:rPr>
                <w:rFonts w:ascii="Arial" w:hAnsi="Arial" w:cs="Arial"/>
                <w:color w:val="000000"/>
                <w:sz w:val="16"/>
                <w:szCs w:val="16"/>
              </w:rPr>
              <w:t>- Appropriations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(185,741)</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(185,033)</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(185,033)</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(185,033)</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(185,033)</w:t>
            </w:r>
          </w:p>
        </w:tc>
      </w:tr>
      <w:tr w:rsidR="00987E68" w:rsidRPr="00987E68" w:rsidTr="002545E5">
        <w:trPr>
          <w:trHeight w:val="226"/>
        </w:trPr>
        <w:tc>
          <w:tcPr>
            <w:tcW w:w="2903" w:type="dxa"/>
            <w:tcBorders>
              <w:top w:val="nil"/>
              <w:left w:val="nil"/>
              <w:bottom w:val="nil"/>
              <w:right w:val="nil"/>
            </w:tcBorders>
            <w:shd w:val="clear" w:color="auto" w:fill="auto"/>
            <w:noWrap/>
            <w:vAlign w:val="center"/>
            <w:hideMark/>
          </w:tcPr>
          <w:p w:rsidR="00987E68" w:rsidRPr="00987E68" w:rsidRDefault="00987E68" w:rsidP="00987E68">
            <w:pPr>
              <w:spacing w:after="0" w:line="240" w:lineRule="auto"/>
              <w:ind w:firstLineChars="300" w:firstLine="480"/>
              <w:jc w:val="left"/>
              <w:rPr>
                <w:rFonts w:ascii="Arial" w:hAnsi="Arial" w:cs="Arial"/>
                <w:color w:val="000000"/>
                <w:sz w:val="16"/>
                <w:szCs w:val="16"/>
              </w:rPr>
            </w:pPr>
            <w:r w:rsidRPr="00987E68">
              <w:rPr>
                <w:rFonts w:ascii="Arial" w:hAnsi="Arial" w:cs="Arial"/>
                <w:color w:val="000000"/>
                <w:sz w:val="16"/>
                <w:szCs w:val="16"/>
              </w:rPr>
              <w:t>- Return of GST appropriations</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(122,743)</w:t>
            </w:r>
          </w:p>
        </w:tc>
        <w:tc>
          <w:tcPr>
            <w:tcW w:w="980" w:type="dxa"/>
            <w:tcBorders>
              <w:top w:val="nil"/>
              <w:left w:val="nil"/>
              <w:bottom w:val="nil"/>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(126,105)</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(134,085)</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(126,290)</w:t>
            </w:r>
          </w:p>
        </w:tc>
        <w:tc>
          <w:tcPr>
            <w:tcW w:w="980" w:type="dxa"/>
            <w:tcBorders>
              <w:top w:val="nil"/>
              <w:left w:val="nil"/>
              <w:bottom w:val="nil"/>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color w:val="000000"/>
                <w:sz w:val="16"/>
                <w:szCs w:val="16"/>
              </w:rPr>
            </w:pPr>
            <w:r w:rsidRPr="00987E68">
              <w:rPr>
                <w:rFonts w:ascii="Arial" w:hAnsi="Arial" w:cs="Arial"/>
                <w:color w:val="000000"/>
                <w:sz w:val="16"/>
                <w:szCs w:val="16"/>
              </w:rPr>
              <w:t>(128,030)</w:t>
            </w:r>
          </w:p>
        </w:tc>
      </w:tr>
      <w:tr w:rsidR="00987E68" w:rsidRPr="00987E68" w:rsidTr="002545E5">
        <w:trPr>
          <w:trHeight w:val="467"/>
        </w:trPr>
        <w:tc>
          <w:tcPr>
            <w:tcW w:w="2903" w:type="dxa"/>
            <w:tcBorders>
              <w:top w:val="nil"/>
              <w:left w:val="nil"/>
              <w:bottom w:val="nil"/>
              <w:right w:val="nil"/>
            </w:tcBorders>
            <w:shd w:val="clear" w:color="auto" w:fill="auto"/>
            <w:vAlign w:val="center"/>
            <w:hideMark/>
          </w:tcPr>
          <w:p w:rsidR="00987E68" w:rsidRPr="00987E68" w:rsidRDefault="00987E68" w:rsidP="00987E68">
            <w:pPr>
              <w:spacing w:after="0" w:line="240" w:lineRule="auto"/>
              <w:ind w:left="191"/>
              <w:jc w:val="left"/>
              <w:rPr>
                <w:rFonts w:ascii="Arial" w:hAnsi="Arial" w:cs="Arial"/>
                <w:i/>
                <w:iCs/>
                <w:color w:val="000000"/>
                <w:sz w:val="16"/>
                <w:szCs w:val="16"/>
              </w:rPr>
            </w:pPr>
            <w:r w:rsidRPr="00987E68">
              <w:rPr>
                <w:rFonts w:ascii="Arial" w:hAnsi="Arial" w:cs="Arial"/>
                <w:i/>
                <w:iCs/>
                <w:color w:val="000000"/>
                <w:sz w:val="16"/>
                <w:szCs w:val="16"/>
              </w:rPr>
              <w:t>Total cash to Official Public Account</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(308,484)</w:t>
            </w:r>
          </w:p>
        </w:tc>
        <w:tc>
          <w:tcPr>
            <w:tcW w:w="980" w:type="dxa"/>
            <w:tcBorders>
              <w:top w:val="single" w:sz="4" w:space="0" w:color="auto"/>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(311,138)</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(319,118)</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(311,323)</w:t>
            </w:r>
          </w:p>
        </w:tc>
        <w:tc>
          <w:tcPr>
            <w:tcW w:w="980" w:type="dxa"/>
            <w:tcBorders>
              <w:top w:val="single" w:sz="4" w:space="0" w:color="auto"/>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i/>
                <w:iCs/>
                <w:color w:val="000000"/>
                <w:sz w:val="16"/>
                <w:szCs w:val="16"/>
              </w:rPr>
            </w:pPr>
            <w:r w:rsidRPr="00987E68">
              <w:rPr>
                <w:rFonts w:ascii="Arial" w:hAnsi="Arial" w:cs="Arial"/>
                <w:i/>
                <w:iCs/>
                <w:color w:val="000000"/>
                <w:sz w:val="16"/>
                <w:szCs w:val="16"/>
              </w:rPr>
              <w:t>(313,063)</w:t>
            </w:r>
          </w:p>
        </w:tc>
      </w:tr>
      <w:tr w:rsidR="00987E68" w:rsidRPr="00987E68" w:rsidTr="002545E5">
        <w:trPr>
          <w:trHeight w:val="498"/>
        </w:trPr>
        <w:tc>
          <w:tcPr>
            <w:tcW w:w="2903" w:type="dxa"/>
            <w:tcBorders>
              <w:top w:val="nil"/>
              <w:left w:val="nil"/>
              <w:bottom w:val="single" w:sz="4" w:space="0" w:color="auto"/>
              <w:right w:val="nil"/>
            </w:tcBorders>
            <w:shd w:val="clear" w:color="auto" w:fill="auto"/>
            <w:vAlign w:val="center"/>
            <w:hideMark/>
          </w:tcPr>
          <w:p w:rsidR="00987E68" w:rsidRPr="00987E68" w:rsidRDefault="00987E68" w:rsidP="00987E68">
            <w:pPr>
              <w:spacing w:after="0" w:line="240" w:lineRule="auto"/>
              <w:jc w:val="left"/>
              <w:rPr>
                <w:rFonts w:ascii="Arial" w:hAnsi="Arial" w:cs="Arial"/>
                <w:b/>
                <w:bCs/>
                <w:color w:val="000000"/>
                <w:sz w:val="16"/>
                <w:szCs w:val="16"/>
              </w:rPr>
            </w:pPr>
            <w:r w:rsidRPr="00987E68">
              <w:rPr>
                <w:rFonts w:ascii="Arial" w:hAnsi="Arial" w:cs="Arial"/>
                <w:b/>
                <w:bCs/>
                <w:color w:val="000000"/>
                <w:sz w:val="16"/>
                <w:szCs w:val="16"/>
              </w:rPr>
              <w:t>Cash and cash equivalents at end of reporting period</w:t>
            </w:r>
          </w:p>
        </w:tc>
        <w:tc>
          <w:tcPr>
            <w:tcW w:w="980" w:type="dxa"/>
            <w:tcBorders>
              <w:top w:val="nil"/>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z w:val="16"/>
                <w:szCs w:val="16"/>
              </w:rPr>
            </w:pPr>
            <w:r w:rsidRPr="00987E68">
              <w:rPr>
                <w:rFonts w:ascii="Arial" w:hAnsi="Arial" w:cs="Arial"/>
                <w:b/>
                <w:bCs/>
                <w:color w:val="000000"/>
                <w:sz w:val="16"/>
                <w:szCs w:val="16"/>
              </w:rPr>
              <w:t xml:space="preserve">104 </w:t>
            </w:r>
          </w:p>
        </w:tc>
        <w:tc>
          <w:tcPr>
            <w:tcW w:w="980" w:type="dxa"/>
            <w:tcBorders>
              <w:top w:val="nil"/>
              <w:left w:val="nil"/>
              <w:bottom w:val="single" w:sz="4" w:space="0" w:color="auto"/>
              <w:right w:val="nil"/>
            </w:tcBorders>
            <w:shd w:val="clear" w:color="000000" w:fill="E6E6E6"/>
            <w:noWrap/>
            <w:vAlign w:val="bottom"/>
            <w:hideMark/>
          </w:tcPr>
          <w:p w:rsidR="00987E68" w:rsidRPr="00987E68" w:rsidRDefault="00987E68" w:rsidP="00987E68">
            <w:pPr>
              <w:spacing w:after="0" w:line="240" w:lineRule="auto"/>
              <w:jc w:val="right"/>
              <w:rPr>
                <w:rFonts w:ascii="Arial" w:hAnsi="Arial" w:cs="Arial"/>
                <w:b/>
                <w:bCs/>
                <w:color w:val="000000"/>
                <w:sz w:val="16"/>
                <w:szCs w:val="16"/>
              </w:rPr>
            </w:pPr>
            <w:r w:rsidRPr="00987E68">
              <w:rPr>
                <w:rFonts w:ascii="Arial" w:hAnsi="Arial" w:cs="Arial"/>
                <w:b/>
                <w:bCs/>
                <w:color w:val="000000"/>
                <w:sz w:val="16"/>
                <w:szCs w:val="16"/>
              </w:rPr>
              <w:t xml:space="preserve">- </w:t>
            </w:r>
          </w:p>
        </w:tc>
        <w:tc>
          <w:tcPr>
            <w:tcW w:w="980" w:type="dxa"/>
            <w:tcBorders>
              <w:top w:val="nil"/>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z w:val="16"/>
                <w:szCs w:val="16"/>
              </w:rPr>
            </w:pPr>
            <w:r w:rsidRPr="00987E68">
              <w:rPr>
                <w:rFonts w:ascii="Arial" w:hAnsi="Arial" w:cs="Arial"/>
                <w:b/>
                <w:bCs/>
                <w:color w:val="000000"/>
                <w:sz w:val="16"/>
                <w:szCs w:val="16"/>
              </w:rPr>
              <w:t xml:space="preserve">- </w:t>
            </w:r>
          </w:p>
        </w:tc>
        <w:tc>
          <w:tcPr>
            <w:tcW w:w="980" w:type="dxa"/>
            <w:tcBorders>
              <w:top w:val="nil"/>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z w:val="16"/>
                <w:szCs w:val="16"/>
              </w:rPr>
            </w:pPr>
            <w:r w:rsidRPr="00987E68">
              <w:rPr>
                <w:rFonts w:ascii="Arial" w:hAnsi="Arial" w:cs="Arial"/>
                <w:b/>
                <w:bCs/>
                <w:color w:val="000000"/>
                <w:sz w:val="16"/>
                <w:szCs w:val="16"/>
              </w:rPr>
              <w:t xml:space="preserve">- </w:t>
            </w:r>
          </w:p>
        </w:tc>
        <w:tc>
          <w:tcPr>
            <w:tcW w:w="980" w:type="dxa"/>
            <w:tcBorders>
              <w:top w:val="nil"/>
              <w:left w:val="nil"/>
              <w:bottom w:val="single" w:sz="4" w:space="0" w:color="auto"/>
              <w:right w:val="nil"/>
            </w:tcBorders>
            <w:shd w:val="clear" w:color="auto" w:fill="auto"/>
            <w:noWrap/>
            <w:vAlign w:val="bottom"/>
            <w:hideMark/>
          </w:tcPr>
          <w:p w:rsidR="00987E68" w:rsidRPr="00987E68" w:rsidRDefault="00987E68" w:rsidP="00987E68">
            <w:pPr>
              <w:spacing w:after="0" w:line="240" w:lineRule="auto"/>
              <w:jc w:val="right"/>
              <w:rPr>
                <w:rFonts w:ascii="Arial" w:hAnsi="Arial" w:cs="Arial"/>
                <w:b/>
                <w:bCs/>
                <w:color w:val="000000"/>
                <w:sz w:val="16"/>
                <w:szCs w:val="16"/>
              </w:rPr>
            </w:pPr>
            <w:r w:rsidRPr="00987E68">
              <w:rPr>
                <w:rFonts w:ascii="Arial" w:hAnsi="Arial" w:cs="Arial"/>
                <w:b/>
                <w:bCs/>
                <w:color w:val="000000"/>
                <w:sz w:val="16"/>
                <w:szCs w:val="16"/>
              </w:rPr>
              <w:t xml:space="preserve">- </w:t>
            </w:r>
          </w:p>
        </w:tc>
      </w:tr>
    </w:tbl>
    <w:p w:rsidR="00FD2224" w:rsidRDefault="00FD2224" w:rsidP="00391F8E">
      <w:pPr>
        <w:pStyle w:val="Source"/>
      </w:pPr>
    </w:p>
    <w:p w:rsidR="00391F8E" w:rsidRDefault="00391F8E" w:rsidP="00391F8E">
      <w:pPr>
        <w:pStyle w:val="Source"/>
      </w:pPr>
      <w:proofErr w:type="gramStart"/>
      <w:r>
        <w:t>Prepared on Australian Accounting Standards basis.</w:t>
      </w:r>
      <w:proofErr w:type="gramEnd"/>
    </w:p>
    <w:p w:rsidR="00391F8E" w:rsidRDefault="00391F8E" w:rsidP="00391F8E">
      <w:pPr>
        <w:pStyle w:val="Source"/>
      </w:pPr>
    </w:p>
    <w:p w:rsidR="00242187" w:rsidRDefault="00242187">
      <w:pPr>
        <w:spacing w:after="0" w:line="240" w:lineRule="auto"/>
        <w:jc w:val="left"/>
        <w:rPr>
          <w:rFonts w:ascii="Arial" w:hAnsi="Arial"/>
          <w:sz w:val="16"/>
        </w:rPr>
      </w:pPr>
      <w:r>
        <w:br w:type="page"/>
      </w:r>
    </w:p>
    <w:p w:rsidR="00391F8E" w:rsidRPr="00327424" w:rsidRDefault="00391F8E" w:rsidP="00391F8E">
      <w:pPr>
        <w:pStyle w:val="TableHeading"/>
        <w:spacing w:before="0"/>
        <w:rPr>
          <w:snapToGrid w:val="0"/>
          <w:lang w:val="en-AU"/>
        </w:rPr>
      </w:pPr>
      <w:r>
        <w:rPr>
          <w:snapToGrid w:val="0"/>
        </w:rPr>
        <w:lastRenderedPageBreak/>
        <w:t>Table 3.2.10</w:t>
      </w:r>
      <w:r w:rsidRPr="00014438">
        <w:rPr>
          <w:snapToGrid w:val="0"/>
        </w:rPr>
        <w:t>: Schedule of administered capital budget</w:t>
      </w:r>
      <w:r>
        <w:rPr>
          <w:snapToGrid w:val="0"/>
          <w:lang w:val="en-AU"/>
        </w:rPr>
        <w:t xml:space="preserve"> (for the period ended 30 June)</w:t>
      </w:r>
    </w:p>
    <w:p w:rsidR="00391F8E" w:rsidRPr="00B72C06" w:rsidRDefault="00391F8E" w:rsidP="00391F8E">
      <w:pPr>
        <w:jc w:val="left"/>
      </w:pPr>
      <w:r>
        <w:t xml:space="preserve">The Department of Employment has no administered capital purchases to report. For this reason Table 3.2.10 is not presented. </w:t>
      </w:r>
    </w:p>
    <w:p w:rsidR="00F63D27" w:rsidRPr="00014438" w:rsidRDefault="00F63D27" w:rsidP="00F63D27">
      <w:pPr>
        <w:pStyle w:val="TableHeading"/>
        <w:spacing w:before="0"/>
        <w:rPr>
          <w:snapToGrid w:val="0"/>
        </w:rPr>
      </w:pPr>
      <w:r>
        <w:rPr>
          <w:snapToGrid w:val="0"/>
        </w:rPr>
        <w:t xml:space="preserve">Table 3.2.11: </w:t>
      </w:r>
      <w:r w:rsidRPr="00014438">
        <w:rPr>
          <w:snapToGrid w:val="0"/>
        </w:rPr>
        <w:t>Statement of administered asset movements (</w:t>
      </w:r>
      <w:r>
        <w:rPr>
          <w:snapToGrid w:val="0"/>
        </w:rPr>
        <w:t>201</w:t>
      </w:r>
      <w:r>
        <w:rPr>
          <w:snapToGrid w:val="0"/>
          <w:lang w:val="en-AU"/>
        </w:rPr>
        <w:t>5</w:t>
      </w:r>
      <w:r w:rsidR="005347BF">
        <w:rPr>
          <w:snapToGrid w:val="0"/>
          <w:lang w:val="en-AU"/>
        </w:rPr>
        <w:t>–</w:t>
      </w:r>
      <w:r>
        <w:rPr>
          <w:snapToGrid w:val="0"/>
        </w:rPr>
        <w:t>1</w:t>
      </w:r>
      <w:r>
        <w:rPr>
          <w:snapToGrid w:val="0"/>
          <w:lang w:val="en-AU"/>
        </w:rPr>
        <w:t>6 Budget year</w:t>
      </w:r>
      <w:r w:rsidRPr="00014438">
        <w:rPr>
          <w:snapToGrid w:val="0"/>
        </w:rPr>
        <w:t>)</w:t>
      </w:r>
    </w:p>
    <w:p w:rsidR="00F63D27" w:rsidRDefault="00F63D27" w:rsidP="00F63D27">
      <w:pPr>
        <w:jc w:val="left"/>
        <w:sectPr w:rsidR="00F63D27" w:rsidSect="00994862">
          <w:headerReference w:type="even" r:id="rId39"/>
          <w:headerReference w:type="default" r:id="rId40"/>
          <w:headerReference w:type="first" r:id="rId41"/>
          <w:footerReference w:type="first" r:id="rId42"/>
          <w:type w:val="oddPage"/>
          <w:pgSz w:w="11907" w:h="16840" w:code="9"/>
          <w:pgMar w:top="2466" w:right="2098" w:bottom="2466" w:left="2098" w:header="1899" w:footer="1899" w:gutter="0"/>
          <w:cols w:space="708"/>
          <w:docGrid w:linePitch="360"/>
        </w:sectPr>
      </w:pPr>
      <w:r>
        <w:t>The Department of Employment has no administered non-financial assets to report. For this reason Table 3.2.11 is not presented</w:t>
      </w:r>
      <w:r w:rsidR="00315697">
        <w:t>.</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86"/>
    <w:bookmarkEnd w:id="387"/>
    <w:bookmarkEnd w:id="388"/>
    <w:p w:rsidR="00F63D27" w:rsidRDefault="00F63D27" w:rsidP="00F63D27"/>
    <w:sectPr w:rsidR="00F63D27" w:rsidSect="00484CB3">
      <w:headerReference w:type="even" r:id="rId43"/>
      <w:headerReference w:type="default" r:id="rId44"/>
      <w:headerReference w:type="first" r:id="rId45"/>
      <w:type w:val="oddPage"/>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68" w:rsidRDefault="00133268" w:rsidP="00F51DAC">
      <w:pPr>
        <w:spacing w:after="0" w:line="240" w:lineRule="auto"/>
      </w:pPr>
      <w:r>
        <w:separator/>
      </w:r>
    </w:p>
  </w:endnote>
  <w:endnote w:type="continuationSeparator" w:id="0">
    <w:p w:rsidR="00133268" w:rsidRDefault="00133268"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sidR="00163902">
      <w:rPr>
        <w:rStyle w:val="PageNumber"/>
        <w:noProof/>
      </w:rPr>
      <w:t>iv</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F33D2A" w:rsidRDefault="00133268" w:rsidP="004C04CB">
    <w:pPr>
      <w:pStyle w:val="Footer"/>
    </w:pPr>
    <w:r>
      <w:fldChar w:fldCharType="begin"/>
    </w:r>
    <w:r>
      <w:instrText xml:space="preserve"> PAGE   \* MERGEFORMAT </w:instrText>
    </w:r>
    <w:r>
      <w:fldChar w:fldCharType="separate"/>
    </w:r>
    <w:r w:rsidR="00A16856">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F63D27" w:rsidRDefault="00133268" w:rsidP="004C04CB">
    <w:pPr>
      <w:pStyle w:val="Footer"/>
      <w:rPr>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sidR="00A16856">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CA" w:rsidRDefault="00CE41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Footer"/>
    </w:pPr>
    <w:r>
      <w:fldChar w:fldCharType="begin"/>
    </w:r>
    <w:r>
      <w:instrText xml:space="preserve"> PAGE   \* MERGEFORMAT </w:instrText>
    </w:r>
    <w:r>
      <w:fldChar w:fldCharType="separate"/>
    </w:r>
    <w:r w:rsidR="00A16856">
      <w:rPr>
        <w:noProof/>
      </w:rPr>
      <w:t>viii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Footer"/>
    </w:pPr>
    <w:r>
      <w:rPr>
        <w:rStyle w:val="PageNumber"/>
      </w:rPr>
      <w:fldChar w:fldCharType="begin"/>
    </w:r>
    <w:r>
      <w:rPr>
        <w:rStyle w:val="PageNumber"/>
      </w:rPr>
      <w:instrText xml:space="preserve"> PAGE </w:instrText>
    </w:r>
    <w:r>
      <w:rPr>
        <w:rStyle w:val="PageNumber"/>
      </w:rPr>
      <w:fldChar w:fldCharType="separate"/>
    </w:r>
    <w:r w:rsidR="00A16856">
      <w:rPr>
        <w:rStyle w:val="PageNumber"/>
        <w:noProof/>
      </w:rPr>
      <w:t>vii</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994862" w:rsidRDefault="00133268">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A16856">
      <w:rPr>
        <w:rStyle w:val="PageNumber"/>
        <w:noProof/>
      </w:rPr>
      <w:t>iv</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994862" w:rsidRDefault="00133268">
    <w:pPr>
      <w:pStyle w:val="Footer"/>
      <w:rPr>
        <w:lang w:val="en-AU"/>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B766AA" w:rsidRDefault="00133268" w:rsidP="004C04CB">
    <w:pPr>
      <w:pStyle w:val="Footer"/>
    </w:pPr>
    <w:r>
      <w:fldChar w:fldCharType="begin"/>
    </w:r>
    <w:r>
      <w:instrText xml:space="preserve"> PAGE   \* MERGEFORMAT </w:instrText>
    </w:r>
    <w:r>
      <w:fldChar w:fldCharType="separate"/>
    </w:r>
    <w:r w:rsidR="00A1685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68" w:rsidRDefault="00133268" w:rsidP="00F51DAC">
      <w:pPr>
        <w:spacing w:after="0" w:line="240" w:lineRule="auto"/>
      </w:pPr>
      <w:r>
        <w:separator/>
      </w:r>
    </w:p>
  </w:footnote>
  <w:footnote w:type="continuationSeparator" w:id="0">
    <w:p w:rsidR="00133268" w:rsidRDefault="00133268" w:rsidP="00F5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Even"/>
    </w:pPr>
    <w:r>
      <w:t xml:space="preserve">Part C:  Agency Additional Estimates Statements — Agency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r>
      <w:t>Portfolio Overview</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rsidP="004C04CB">
    <w:pPr>
      <w:pStyle w:val="HeaderOdd"/>
    </w:pPr>
    <w:r>
      <w:t>Portfolio Overview</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B541AE" w:rsidRDefault="00133268">
    <w:pPr>
      <w:pStyle w:val="Header"/>
      <w:rPr>
        <w:lang w:val="en-AU"/>
      </w:rPr>
    </w:pPr>
    <w:r>
      <w:t>Additional Estimates Statements</w:t>
    </w:r>
    <w:r>
      <w:rPr>
        <w:lang w:val="en-AU"/>
      </w:rPr>
      <w:t>—Department of Employment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rsidP="004C04CB">
    <w:pPr>
      <w:pStyle w:val="HeaderOdd"/>
    </w:pPr>
    <w:r>
      <w:t>Additional Estimates Statements—Department of Employment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r>
      <w:t>Index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rsidP="004C04CB">
    <w:pPr>
      <w:pStyle w:val="HeaderOdd"/>
    </w:pPr>
    <w:r>
      <w:t>Index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484CB3" w:rsidRDefault="00133268" w:rsidP="00484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framePr w:wrap="around" w:vAnchor="page" w:hAnchor="margin" w:x="14460" w:y="7939" w:anchorLock="1"/>
    </w:pPr>
    <w:r>
      <w:fldChar w:fldCharType="begin"/>
    </w:r>
    <w:r>
      <w:instrText xml:space="preserve"> TITLE  \* MERGEFORMAT </w:instrText>
    </w:r>
    <w:r>
      <w:fldChar w:fldCharType="end"/>
    </w:r>
  </w:p>
  <w:p w:rsidR="00133268" w:rsidRDefault="00133268">
    <w:pPr>
      <w:pStyle w:val="HeaderOd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CA" w:rsidRDefault="00CE41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F53464" w:rsidRDefault="00133268" w:rsidP="00F53464">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Pr="00F53464" w:rsidRDefault="00133268" w:rsidP="00F534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68" w:rsidRDefault="0013326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2">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3">
    <w:nsid w:val="2CCB12CB"/>
    <w:multiLevelType w:val="multilevel"/>
    <w:tmpl w:val="5A247E4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5">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9">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F3619CB"/>
    <w:multiLevelType w:val="hybridMultilevel"/>
    <w:tmpl w:val="5886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8"/>
  </w:num>
  <w:num w:numId="5">
    <w:abstractNumId w:val="8"/>
    <w:lvlOverride w:ilvl="0">
      <w:startOverride w:val="1"/>
    </w:lvlOverride>
  </w:num>
  <w:num w:numId="6">
    <w:abstractNumId w:val="5"/>
  </w:num>
  <w:num w:numId="7">
    <w:abstractNumId w:val="8"/>
    <w:lvlOverride w:ilvl="0">
      <w:startOverride w:val="1"/>
    </w:lvlOverride>
  </w:num>
  <w:num w:numId="8">
    <w:abstractNumId w:val="6"/>
  </w:num>
  <w:num w:numId="9">
    <w:abstractNumId w:val="7"/>
  </w:num>
  <w:num w:numId="10">
    <w:abstractNumId w:val="1"/>
  </w:num>
  <w:num w:numId="11">
    <w:abstractNumId w:val="4"/>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cb2868a-ab74-4a10-9b6a-ac357c120166"/>
  </w:docVars>
  <w:rsids>
    <w:rsidRoot w:val="00F51DAC"/>
    <w:rsid w:val="000005BD"/>
    <w:rsid w:val="000049BF"/>
    <w:rsid w:val="00004CE4"/>
    <w:rsid w:val="00004D9C"/>
    <w:rsid w:val="00005E29"/>
    <w:rsid w:val="00007854"/>
    <w:rsid w:val="000267FC"/>
    <w:rsid w:val="000349FE"/>
    <w:rsid w:val="00037677"/>
    <w:rsid w:val="0004015F"/>
    <w:rsid w:val="00065897"/>
    <w:rsid w:val="000663E4"/>
    <w:rsid w:val="00066C8B"/>
    <w:rsid w:val="00066E98"/>
    <w:rsid w:val="00070E92"/>
    <w:rsid w:val="0007721A"/>
    <w:rsid w:val="00084EF4"/>
    <w:rsid w:val="0008550D"/>
    <w:rsid w:val="0009010F"/>
    <w:rsid w:val="000B5844"/>
    <w:rsid w:val="000B6127"/>
    <w:rsid w:val="000C03DE"/>
    <w:rsid w:val="000C0433"/>
    <w:rsid w:val="000D06B5"/>
    <w:rsid w:val="000D7280"/>
    <w:rsid w:val="000E33CD"/>
    <w:rsid w:val="000E70F0"/>
    <w:rsid w:val="000F6716"/>
    <w:rsid w:val="00101FFF"/>
    <w:rsid w:val="00106558"/>
    <w:rsid w:val="001079C4"/>
    <w:rsid w:val="00107F3E"/>
    <w:rsid w:val="001130AC"/>
    <w:rsid w:val="00114E90"/>
    <w:rsid w:val="00123BFB"/>
    <w:rsid w:val="00126251"/>
    <w:rsid w:val="001268F7"/>
    <w:rsid w:val="00133268"/>
    <w:rsid w:val="00135C33"/>
    <w:rsid w:val="0013756B"/>
    <w:rsid w:val="001436E5"/>
    <w:rsid w:val="00145709"/>
    <w:rsid w:val="00147274"/>
    <w:rsid w:val="00163902"/>
    <w:rsid w:val="00165D31"/>
    <w:rsid w:val="00166AB8"/>
    <w:rsid w:val="001779AF"/>
    <w:rsid w:val="00182DFC"/>
    <w:rsid w:val="00195563"/>
    <w:rsid w:val="001A186D"/>
    <w:rsid w:val="001A1C55"/>
    <w:rsid w:val="001B1E37"/>
    <w:rsid w:val="001B7583"/>
    <w:rsid w:val="001C188E"/>
    <w:rsid w:val="001C53F2"/>
    <w:rsid w:val="001C7715"/>
    <w:rsid w:val="001D1D26"/>
    <w:rsid w:val="001D491D"/>
    <w:rsid w:val="001D594B"/>
    <w:rsid w:val="001D6710"/>
    <w:rsid w:val="001E2260"/>
    <w:rsid w:val="001E280C"/>
    <w:rsid w:val="001E4A2D"/>
    <w:rsid w:val="001F0092"/>
    <w:rsid w:val="001F3C45"/>
    <w:rsid w:val="001F70C2"/>
    <w:rsid w:val="001F766E"/>
    <w:rsid w:val="00213A28"/>
    <w:rsid w:val="002214C8"/>
    <w:rsid w:val="00221A5A"/>
    <w:rsid w:val="0022327D"/>
    <w:rsid w:val="00230083"/>
    <w:rsid w:val="002322E9"/>
    <w:rsid w:val="00233AE8"/>
    <w:rsid w:val="002354AC"/>
    <w:rsid w:val="002406AD"/>
    <w:rsid w:val="00242187"/>
    <w:rsid w:val="0024247A"/>
    <w:rsid w:val="00243A1A"/>
    <w:rsid w:val="00244E40"/>
    <w:rsid w:val="00252DC2"/>
    <w:rsid w:val="002545E5"/>
    <w:rsid w:val="00272B20"/>
    <w:rsid w:val="00273E70"/>
    <w:rsid w:val="00274EB3"/>
    <w:rsid w:val="00286697"/>
    <w:rsid w:val="00294BCA"/>
    <w:rsid w:val="002A14ED"/>
    <w:rsid w:val="002A70ED"/>
    <w:rsid w:val="002A7B73"/>
    <w:rsid w:val="002C2651"/>
    <w:rsid w:val="002C48C5"/>
    <w:rsid w:val="002C505F"/>
    <w:rsid w:val="002D5545"/>
    <w:rsid w:val="002D69C3"/>
    <w:rsid w:val="002E474B"/>
    <w:rsid w:val="002E5E71"/>
    <w:rsid w:val="002F36D9"/>
    <w:rsid w:val="00305C14"/>
    <w:rsid w:val="00306FF4"/>
    <w:rsid w:val="00307A5C"/>
    <w:rsid w:val="00315697"/>
    <w:rsid w:val="003203F2"/>
    <w:rsid w:val="0032322C"/>
    <w:rsid w:val="00323672"/>
    <w:rsid w:val="00327424"/>
    <w:rsid w:val="0033071D"/>
    <w:rsid w:val="0033317A"/>
    <w:rsid w:val="00336EAC"/>
    <w:rsid w:val="00337149"/>
    <w:rsid w:val="0034347C"/>
    <w:rsid w:val="003437E2"/>
    <w:rsid w:val="00351674"/>
    <w:rsid w:val="003553EB"/>
    <w:rsid w:val="0036285B"/>
    <w:rsid w:val="0036637F"/>
    <w:rsid w:val="00370629"/>
    <w:rsid w:val="00371CA8"/>
    <w:rsid w:val="003756BD"/>
    <w:rsid w:val="003829CC"/>
    <w:rsid w:val="00390354"/>
    <w:rsid w:val="00391CDB"/>
    <w:rsid w:val="00391F8E"/>
    <w:rsid w:val="0039259E"/>
    <w:rsid w:val="003962BF"/>
    <w:rsid w:val="003C0E26"/>
    <w:rsid w:val="003C5C6A"/>
    <w:rsid w:val="003E364D"/>
    <w:rsid w:val="003E4BAB"/>
    <w:rsid w:val="003E5422"/>
    <w:rsid w:val="003F28A4"/>
    <w:rsid w:val="003F68EC"/>
    <w:rsid w:val="00401D29"/>
    <w:rsid w:val="00420013"/>
    <w:rsid w:val="00422025"/>
    <w:rsid w:val="004249BD"/>
    <w:rsid w:val="00426F29"/>
    <w:rsid w:val="00427BFF"/>
    <w:rsid w:val="00430179"/>
    <w:rsid w:val="004328C9"/>
    <w:rsid w:val="00447FEF"/>
    <w:rsid w:val="004503FA"/>
    <w:rsid w:val="00456A63"/>
    <w:rsid w:val="004600AE"/>
    <w:rsid w:val="004726ED"/>
    <w:rsid w:val="00477797"/>
    <w:rsid w:val="00484590"/>
    <w:rsid w:val="00484CB3"/>
    <w:rsid w:val="0048620D"/>
    <w:rsid w:val="004A4685"/>
    <w:rsid w:val="004A5D4C"/>
    <w:rsid w:val="004B25FE"/>
    <w:rsid w:val="004B31C5"/>
    <w:rsid w:val="004C04CB"/>
    <w:rsid w:val="004D70FE"/>
    <w:rsid w:val="004D7F3A"/>
    <w:rsid w:val="004E017C"/>
    <w:rsid w:val="004E1872"/>
    <w:rsid w:val="004E4187"/>
    <w:rsid w:val="004E7B47"/>
    <w:rsid w:val="004F14E4"/>
    <w:rsid w:val="00501077"/>
    <w:rsid w:val="00501D17"/>
    <w:rsid w:val="00502B76"/>
    <w:rsid w:val="00504C19"/>
    <w:rsid w:val="00512831"/>
    <w:rsid w:val="0051350D"/>
    <w:rsid w:val="005151B0"/>
    <w:rsid w:val="0052227C"/>
    <w:rsid w:val="00523531"/>
    <w:rsid w:val="005269F0"/>
    <w:rsid w:val="005347BF"/>
    <w:rsid w:val="005459F9"/>
    <w:rsid w:val="00547016"/>
    <w:rsid w:val="00550253"/>
    <w:rsid w:val="00552630"/>
    <w:rsid w:val="00557137"/>
    <w:rsid w:val="00564C0F"/>
    <w:rsid w:val="005724F4"/>
    <w:rsid w:val="00574D0D"/>
    <w:rsid w:val="005762FE"/>
    <w:rsid w:val="005831FF"/>
    <w:rsid w:val="00584EEB"/>
    <w:rsid w:val="00593B0B"/>
    <w:rsid w:val="00596C82"/>
    <w:rsid w:val="00596DD9"/>
    <w:rsid w:val="00596E54"/>
    <w:rsid w:val="005A0A5D"/>
    <w:rsid w:val="005A62FC"/>
    <w:rsid w:val="005B0F69"/>
    <w:rsid w:val="005B1F84"/>
    <w:rsid w:val="005B2491"/>
    <w:rsid w:val="005B2FBA"/>
    <w:rsid w:val="005B3016"/>
    <w:rsid w:val="005B3EA0"/>
    <w:rsid w:val="005B574A"/>
    <w:rsid w:val="005D78DB"/>
    <w:rsid w:val="005F2824"/>
    <w:rsid w:val="005F384B"/>
    <w:rsid w:val="005F3DC1"/>
    <w:rsid w:val="005F6D5F"/>
    <w:rsid w:val="00601A87"/>
    <w:rsid w:val="00622A38"/>
    <w:rsid w:val="00623714"/>
    <w:rsid w:val="00626AFD"/>
    <w:rsid w:val="0063528A"/>
    <w:rsid w:val="0064123B"/>
    <w:rsid w:val="00642EC1"/>
    <w:rsid w:val="00643B7D"/>
    <w:rsid w:val="00647C03"/>
    <w:rsid w:val="00650545"/>
    <w:rsid w:val="00656420"/>
    <w:rsid w:val="006641EE"/>
    <w:rsid w:val="006665FC"/>
    <w:rsid w:val="00673F16"/>
    <w:rsid w:val="00674FF1"/>
    <w:rsid w:val="00682961"/>
    <w:rsid w:val="00686F5C"/>
    <w:rsid w:val="006930EB"/>
    <w:rsid w:val="006A0DB5"/>
    <w:rsid w:val="006A30D7"/>
    <w:rsid w:val="006C3071"/>
    <w:rsid w:val="006C4D86"/>
    <w:rsid w:val="006E26A4"/>
    <w:rsid w:val="006E3CB6"/>
    <w:rsid w:val="006E4CE9"/>
    <w:rsid w:val="006E7940"/>
    <w:rsid w:val="006F4FF8"/>
    <w:rsid w:val="00701B3C"/>
    <w:rsid w:val="00705DF7"/>
    <w:rsid w:val="0071086F"/>
    <w:rsid w:val="00715FCA"/>
    <w:rsid w:val="00726A60"/>
    <w:rsid w:val="00733403"/>
    <w:rsid w:val="0073762B"/>
    <w:rsid w:val="00742CB6"/>
    <w:rsid w:val="00750030"/>
    <w:rsid w:val="00754E60"/>
    <w:rsid w:val="00755EB5"/>
    <w:rsid w:val="0076466B"/>
    <w:rsid w:val="007963D7"/>
    <w:rsid w:val="00797BBD"/>
    <w:rsid w:val="00797E8B"/>
    <w:rsid w:val="007A1FE7"/>
    <w:rsid w:val="007A29F8"/>
    <w:rsid w:val="007A369D"/>
    <w:rsid w:val="007A46ED"/>
    <w:rsid w:val="007A741B"/>
    <w:rsid w:val="007B1343"/>
    <w:rsid w:val="007B258B"/>
    <w:rsid w:val="007B4EA6"/>
    <w:rsid w:val="007B59FB"/>
    <w:rsid w:val="007C3727"/>
    <w:rsid w:val="007C521E"/>
    <w:rsid w:val="007D18F8"/>
    <w:rsid w:val="007E2009"/>
    <w:rsid w:val="007F1B6A"/>
    <w:rsid w:val="007F7756"/>
    <w:rsid w:val="00805D3A"/>
    <w:rsid w:val="00813025"/>
    <w:rsid w:val="00815915"/>
    <w:rsid w:val="00816A9D"/>
    <w:rsid w:val="008252CB"/>
    <w:rsid w:val="00827369"/>
    <w:rsid w:val="0083015C"/>
    <w:rsid w:val="00830F17"/>
    <w:rsid w:val="00835DDC"/>
    <w:rsid w:val="00845E3E"/>
    <w:rsid w:val="0085098A"/>
    <w:rsid w:val="00852F42"/>
    <w:rsid w:val="00863373"/>
    <w:rsid w:val="00871C50"/>
    <w:rsid w:val="008808D8"/>
    <w:rsid w:val="00880C93"/>
    <w:rsid w:val="008846DB"/>
    <w:rsid w:val="008A0393"/>
    <w:rsid w:val="008A43F2"/>
    <w:rsid w:val="008A5F47"/>
    <w:rsid w:val="008B24F3"/>
    <w:rsid w:val="008C1260"/>
    <w:rsid w:val="008C521E"/>
    <w:rsid w:val="008D30B9"/>
    <w:rsid w:val="008D344A"/>
    <w:rsid w:val="008D43FC"/>
    <w:rsid w:val="008D4F88"/>
    <w:rsid w:val="008E0B53"/>
    <w:rsid w:val="008E1C29"/>
    <w:rsid w:val="008F16DB"/>
    <w:rsid w:val="008F2BCF"/>
    <w:rsid w:val="00900701"/>
    <w:rsid w:val="0090206F"/>
    <w:rsid w:val="00905F2D"/>
    <w:rsid w:val="009111C4"/>
    <w:rsid w:val="009138A0"/>
    <w:rsid w:val="009223F8"/>
    <w:rsid w:val="009238B1"/>
    <w:rsid w:val="0092657C"/>
    <w:rsid w:val="009335FC"/>
    <w:rsid w:val="00941438"/>
    <w:rsid w:val="00945357"/>
    <w:rsid w:val="009516D1"/>
    <w:rsid w:val="0095283F"/>
    <w:rsid w:val="00953929"/>
    <w:rsid w:val="00954B7B"/>
    <w:rsid w:val="00956411"/>
    <w:rsid w:val="00960353"/>
    <w:rsid w:val="00966AA9"/>
    <w:rsid w:val="0096764F"/>
    <w:rsid w:val="009758F8"/>
    <w:rsid w:val="00976C31"/>
    <w:rsid w:val="00980B2C"/>
    <w:rsid w:val="00980F8F"/>
    <w:rsid w:val="00987E68"/>
    <w:rsid w:val="00994862"/>
    <w:rsid w:val="009A79C1"/>
    <w:rsid w:val="009D2566"/>
    <w:rsid w:val="009D34D6"/>
    <w:rsid w:val="009D4599"/>
    <w:rsid w:val="009D4B20"/>
    <w:rsid w:val="009D54F9"/>
    <w:rsid w:val="009D5FE2"/>
    <w:rsid w:val="009E35FD"/>
    <w:rsid w:val="009E5300"/>
    <w:rsid w:val="009F363C"/>
    <w:rsid w:val="009F448B"/>
    <w:rsid w:val="00A110CB"/>
    <w:rsid w:val="00A1234B"/>
    <w:rsid w:val="00A15B54"/>
    <w:rsid w:val="00A16856"/>
    <w:rsid w:val="00A25E7B"/>
    <w:rsid w:val="00A32C0D"/>
    <w:rsid w:val="00A357EB"/>
    <w:rsid w:val="00A40962"/>
    <w:rsid w:val="00A40EBD"/>
    <w:rsid w:val="00A4644A"/>
    <w:rsid w:val="00A55F1D"/>
    <w:rsid w:val="00A577E7"/>
    <w:rsid w:val="00A61DFC"/>
    <w:rsid w:val="00A64635"/>
    <w:rsid w:val="00A71B28"/>
    <w:rsid w:val="00A804ED"/>
    <w:rsid w:val="00A9394D"/>
    <w:rsid w:val="00A942F5"/>
    <w:rsid w:val="00A94F3F"/>
    <w:rsid w:val="00AA5656"/>
    <w:rsid w:val="00AB2F5F"/>
    <w:rsid w:val="00AC32A4"/>
    <w:rsid w:val="00AC331E"/>
    <w:rsid w:val="00AD1826"/>
    <w:rsid w:val="00AD1935"/>
    <w:rsid w:val="00AD77B7"/>
    <w:rsid w:val="00AE22AB"/>
    <w:rsid w:val="00AE6133"/>
    <w:rsid w:val="00AE7172"/>
    <w:rsid w:val="00AF0FFC"/>
    <w:rsid w:val="00AF18AD"/>
    <w:rsid w:val="00AF2DC9"/>
    <w:rsid w:val="00AF309F"/>
    <w:rsid w:val="00B13D65"/>
    <w:rsid w:val="00B22435"/>
    <w:rsid w:val="00B3505B"/>
    <w:rsid w:val="00B43532"/>
    <w:rsid w:val="00B50972"/>
    <w:rsid w:val="00B541AE"/>
    <w:rsid w:val="00B55D66"/>
    <w:rsid w:val="00B567F0"/>
    <w:rsid w:val="00B62847"/>
    <w:rsid w:val="00B64E47"/>
    <w:rsid w:val="00B7550E"/>
    <w:rsid w:val="00B808E9"/>
    <w:rsid w:val="00B80993"/>
    <w:rsid w:val="00B908BF"/>
    <w:rsid w:val="00B94BE6"/>
    <w:rsid w:val="00BA2B66"/>
    <w:rsid w:val="00BD3FDE"/>
    <w:rsid w:val="00BD48EE"/>
    <w:rsid w:val="00BD507F"/>
    <w:rsid w:val="00BE0F28"/>
    <w:rsid w:val="00BF478F"/>
    <w:rsid w:val="00BF5E8A"/>
    <w:rsid w:val="00BF696F"/>
    <w:rsid w:val="00C05D7E"/>
    <w:rsid w:val="00C10DE5"/>
    <w:rsid w:val="00C12CE2"/>
    <w:rsid w:val="00C20167"/>
    <w:rsid w:val="00C2199C"/>
    <w:rsid w:val="00C22EF2"/>
    <w:rsid w:val="00C24F1D"/>
    <w:rsid w:val="00C264AC"/>
    <w:rsid w:val="00C33583"/>
    <w:rsid w:val="00C42434"/>
    <w:rsid w:val="00C44913"/>
    <w:rsid w:val="00C46874"/>
    <w:rsid w:val="00C55E86"/>
    <w:rsid w:val="00C61E74"/>
    <w:rsid w:val="00C67609"/>
    <w:rsid w:val="00C7148E"/>
    <w:rsid w:val="00C71726"/>
    <w:rsid w:val="00C80E36"/>
    <w:rsid w:val="00C81AD1"/>
    <w:rsid w:val="00C8459D"/>
    <w:rsid w:val="00C97848"/>
    <w:rsid w:val="00CA4ACB"/>
    <w:rsid w:val="00CA4D0A"/>
    <w:rsid w:val="00CB0C07"/>
    <w:rsid w:val="00CB3F14"/>
    <w:rsid w:val="00CC1331"/>
    <w:rsid w:val="00CC7FF7"/>
    <w:rsid w:val="00CE41CA"/>
    <w:rsid w:val="00CE7428"/>
    <w:rsid w:val="00CF751C"/>
    <w:rsid w:val="00D04FFC"/>
    <w:rsid w:val="00D1390F"/>
    <w:rsid w:val="00D15D18"/>
    <w:rsid w:val="00D20281"/>
    <w:rsid w:val="00D32D05"/>
    <w:rsid w:val="00D333D3"/>
    <w:rsid w:val="00D35707"/>
    <w:rsid w:val="00D500EF"/>
    <w:rsid w:val="00D52F41"/>
    <w:rsid w:val="00D542E7"/>
    <w:rsid w:val="00D57F9F"/>
    <w:rsid w:val="00D62BC6"/>
    <w:rsid w:val="00D71773"/>
    <w:rsid w:val="00D71AEE"/>
    <w:rsid w:val="00D72565"/>
    <w:rsid w:val="00D776E6"/>
    <w:rsid w:val="00D84145"/>
    <w:rsid w:val="00DB2C89"/>
    <w:rsid w:val="00DB3B0D"/>
    <w:rsid w:val="00DB60BB"/>
    <w:rsid w:val="00DC46F5"/>
    <w:rsid w:val="00DD3FDE"/>
    <w:rsid w:val="00DD5B0C"/>
    <w:rsid w:val="00DD667D"/>
    <w:rsid w:val="00DE2037"/>
    <w:rsid w:val="00DE30DD"/>
    <w:rsid w:val="00DE4051"/>
    <w:rsid w:val="00DE4BDD"/>
    <w:rsid w:val="00E040C1"/>
    <w:rsid w:val="00E05750"/>
    <w:rsid w:val="00E137DD"/>
    <w:rsid w:val="00E14944"/>
    <w:rsid w:val="00E15CF3"/>
    <w:rsid w:val="00E2105B"/>
    <w:rsid w:val="00E25360"/>
    <w:rsid w:val="00E26676"/>
    <w:rsid w:val="00E26BFA"/>
    <w:rsid w:val="00E34971"/>
    <w:rsid w:val="00E47A5C"/>
    <w:rsid w:val="00E6008A"/>
    <w:rsid w:val="00E65AAB"/>
    <w:rsid w:val="00E73A27"/>
    <w:rsid w:val="00E81CE6"/>
    <w:rsid w:val="00E9083B"/>
    <w:rsid w:val="00E95167"/>
    <w:rsid w:val="00EA3FDB"/>
    <w:rsid w:val="00EA64B7"/>
    <w:rsid w:val="00EB228D"/>
    <w:rsid w:val="00EC4790"/>
    <w:rsid w:val="00ED0235"/>
    <w:rsid w:val="00ED3041"/>
    <w:rsid w:val="00ED5898"/>
    <w:rsid w:val="00EE4E08"/>
    <w:rsid w:val="00F01873"/>
    <w:rsid w:val="00F02340"/>
    <w:rsid w:val="00F0296E"/>
    <w:rsid w:val="00F0602F"/>
    <w:rsid w:val="00F0682F"/>
    <w:rsid w:val="00F11EF2"/>
    <w:rsid w:val="00F14437"/>
    <w:rsid w:val="00F21894"/>
    <w:rsid w:val="00F46C93"/>
    <w:rsid w:val="00F47771"/>
    <w:rsid w:val="00F50B89"/>
    <w:rsid w:val="00F51A3E"/>
    <w:rsid w:val="00F51DAC"/>
    <w:rsid w:val="00F53464"/>
    <w:rsid w:val="00F535F1"/>
    <w:rsid w:val="00F63D27"/>
    <w:rsid w:val="00F76AB0"/>
    <w:rsid w:val="00F82D79"/>
    <w:rsid w:val="00F84592"/>
    <w:rsid w:val="00F84A3C"/>
    <w:rsid w:val="00F8568F"/>
    <w:rsid w:val="00F8636B"/>
    <w:rsid w:val="00F95F5E"/>
    <w:rsid w:val="00FA4915"/>
    <w:rsid w:val="00FB47DF"/>
    <w:rsid w:val="00FC21D2"/>
    <w:rsid w:val="00FC3D02"/>
    <w:rsid w:val="00FC5CDE"/>
    <w:rsid w:val="00FC7A62"/>
    <w:rsid w:val="00FD1569"/>
    <w:rsid w:val="00FD2224"/>
    <w:rsid w:val="00FD351B"/>
    <w:rsid w:val="00FE4A38"/>
    <w:rsid w:val="00FE6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86"/>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A64635"/>
    <w:pPr>
      <w:tabs>
        <w:tab w:val="center" w:pos="4153"/>
        <w:tab w:val="right" w:pos="8306"/>
      </w:tabs>
      <w:spacing w:after="0" w:line="240" w:lineRule="auto"/>
      <w:jc w:val="left"/>
    </w:pPr>
    <w:rPr>
      <w:i/>
      <w:lang w:val="x-none"/>
    </w:rPr>
  </w:style>
  <w:style w:type="character" w:customStyle="1" w:styleId="HeaderChar">
    <w:name w:val="Header Char"/>
    <w:link w:val="Header"/>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rsid w:val="00A64635"/>
    <w:pPr>
      <w:tabs>
        <w:tab w:val="left" w:pos="284"/>
      </w:tabs>
      <w:spacing w:after="0" w:line="240" w:lineRule="auto"/>
      <w:ind w:left="284" w:hanging="28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Heading1"/>
    <w:rsid w:val="00163902"/>
    <w:pPr>
      <w:spacing w:after="0"/>
      <w:ind w:left="1418"/>
      <w:jc w:val="left"/>
    </w:pPr>
    <w:rPr>
      <w:rFonts w:ascii="Garamond" w:hAnsi="Garamond" w:cs="Arial"/>
      <w:b w:val="0"/>
      <w:smallCaps w:val="0"/>
      <w:sz w:val="56"/>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Normal"/>
    <w:rsid w:val="00163902"/>
    <w:rPr>
      <w:rFonts w:ascii="Garamond" w:hAnsi="Garamond"/>
      <w:sz w:val="28"/>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Revision">
    <w:name w:val="Revision"/>
    <w:hidden/>
    <w:uiPriority w:val="99"/>
    <w:semiHidden/>
    <w:rsid w:val="00ED5898"/>
    <w:rPr>
      <w:rFonts w:ascii="Book Antiqua" w:hAnsi="Book Antiqua"/>
    </w:rPr>
  </w:style>
  <w:style w:type="paragraph" w:customStyle="1" w:styleId="TableTextBase">
    <w:name w:val="Table Text Base"/>
    <w:basedOn w:val="Normal"/>
    <w:link w:val="TableTextBaseChar"/>
    <w:rsid w:val="00C67609"/>
    <w:pPr>
      <w:spacing w:before="60" w:after="60" w:line="240" w:lineRule="auto"/>
      <w:jc w:val="left"/>
    </w:pPr>
    <w:rPr>
      <w:sz w:val="18"/>
    </w:rPr>
  </w:style>
  <w:style w:type="character" w:customStyle="1" w:styleId="TableTextBaseChar">
    <w:name w:val="Table Text Base Char"/>
    <w:link w:val="TableTextBase"/>
    <w:rsid w:val="00C67609"/>
    <w:rPr>
      <w:rFonts w:ascii="Book Antiqua" w:hAnsi="Book Antiqua"/>
      <w:sz w:val="18"/>
    </w:rPr>
  </w:style>
  <w:style w:type="paragraph" w:styleId="NoSpacing">
    <w:name w:val="No Spacing"/>
    <w:link w:val="NoSpacingChar"/>
    <w:uiPriority w:val="1"/>
    <w:qFormat/>
    <w:rsid w:val="009E35F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9E35FD"/>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B541AE"/>
    <w:pPr>
      <w:ind w:left="720"/>
      <w:contextualSpacing/>
    </w:pPr>
  </w:style>
  <w:style w:type="paragraph" w:customStyle="1" w:styleId="ProgramHeading">
    <w:name w:val="Program Heading"/>
    <w:basedOn w:val="Normal"/>
    <w:rsid w:val="008E1C29"/>
    <w:pPr>
      <w:keepNext/>
      <w:pBdr>
        <w:top w:val="single" w:sz="2" w:space="3" w:color="auto"/>
        <w:left w:val="single" w:sz="2" w:space="4" w:color="auto"/>
        <w:bottom w:val="single" w:sz="2" w:space="3" w:color="auto"/>
        <w:right w:val="single" w:sz="2" w:space="4" w:color="auto"/>
      </w:pBdr>
      <w:shd w:val="clear" w:color="auto" w:fill="E6E6E6"/>
      <w:spacing w:after="120" w:line="280" w:lineRule="exact"/>
      <w:jc w:val="left"/>
    </w:pPr>
    <w:rPr>
      <w:rFonts w:ascii="Arial" w:hAnsi="Arial"/>
      <w:b/>
    </w:rPr>
  </w:style>
  <w:style w:type="paragraph" w:customStyle="1" w:styleId="Bold">
    <w:name w:val="Bold"/>
    <w:basedOn w:val="Normal"/>
    <w:qFormat/>
    <w:rsid w:val="0032322C"/>
    <w:pPr>
      <w:jc w:val="lef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86"/>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A64635"/>
    <w:pPr>
      <w:tabs>
        <w:tab w:val="center" w:pos="4153"/>
        <w:tab w:val="right" w:pos="8306"/>
      </w:tabs>
      <w:spacing w:after="0" w:line="240" w:lineRule="auto"/>
      <w:jc w:val="left"/>
    </w:pPr>
    <w:rPr>
      <w:i/>
      <w:lang w:val="x-none"/>
    </w:rPr>
  </w:style>
  <w:style w:type="character" w:customStyle="1" w:styleId="HeaderChar">
    <w:name w:val="Header Char"/>
    <w:link w:val="Header"/>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rsid w:val="00A64635"/>
    <w:pPr>
      <w:tabs>
        <w:tab w:val="left" w:pos="284"/>
      </w:tabs>
      <w:spacing w:after="0" w:line="240" w:lineRule="auto"/>
      <w:ind w:left="284" w:hanging="28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Heading1"/>
    <w:rsid w:val="00163902"/>
    <w:pPr>
      <w:spacing w:after="0"/>
      <w:ind w:left="1418"/>
      <w:jc w:val="left"/>
    </w:pPr>
    <w:rPr>
      <w:rFonts w:ascii="Garamond" w:hAnsi="Garamond" w:cs="Arial"/>
      <w:b w:val="0"/>
      <w:smallCaps w:val="0"/>
      <w:sz w:val="56"/>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Normal"/>
    <w:rsid w:val="00163902"/>
    <w:rPr>
      <w:rFonts w:ascii="Garamond" w:hAnsi="Garamond"/>
      <w:sz w:val="28"/>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Revision">
    <w:name w:val="Revision"/>
    <w:hidden/>
    <w:uiPriority w:val="99"/>
    <w:semiHidden/>
    <w:rsid w:val="00ED5898"/>
    <w:rPr>
      <w:rFonts w:ascii="Book Antiqua" w:hAnsi="Book Antiqua"/>
    </w:rPr>
  </w:style>
  <w:style w:type="paragraph" w:customStyle="1" w:styleId="TableTextBase">
    <w:name w:val="Table Text Base"/>
    <w:basedOn w:val="Normal"/>
    <w:link w:val="TableTextBaseChar"/>
    <w:rsid w:val="00C67609"/>
    <w:pPr>
      <w:spacing w:before="60" w:after="60" w:line="240" w:lineRule="auto"/>
      <w:jc w:val="left"/>
    </w:pPr>
    <w:rPr>
      <w:sz w:val="18"/>
    </w:rPr>
  </w:style>
  <w:style w:type="character" w:customStyle="1" w:styleId="TableTextBaseChar">
    <w:name w:val="Table Text Base Char"/>
    <w:link w:val="TableTextBase"/>
    <w:rsid w:val="00C67609"/>
    <w:rPr>
      <w:rFonts w:ascii="Book Antiqua" w:hAnsi="Book Antiqua"/>
      <w:sz w:val="18"/>
    </w:rPr>
  </w:style>
  <w:style w:type="paragraph" w:styleId="NoSpacing">
    <w:name w:val="No Spacing"/>
    <w:link w:val="NoSpacingChar"/>
    <w:uiPriority w:val="1"/>
    <w:qFormat/>
    <w:rsid w:val="009E35F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9E35FD"/>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B541AE"/>
    <w:pPr>
      <w:ind w:left="720"/>
      <w:contextualSpacing/>
    </w:pPr>
  </w:style>
  <w:style w:type="paragraph" w:customStyle="1" w:styleId="ProgramHeading">
    <w:name w:val="Program Heading"/>
    <w:basedOn w:val="Normal"/>
    <w:rsid w:val="008E1C29"/>
    <w:pPr>
      <w:keepNext/>
      <w:pBdr>
        <w:top w:val="single" w:sz="2" w:space="3" w:color="auto"/>
        <w:left w:val="single" w:sz="2" w:space="4" w:color="auto"/>
        <w:bottom w:val="single" w:sz="2" w:space="3" w:color="auto"/>
        <w:right w:val="single" w:sz="2" w:space="4" w:color="auto"/>
      </w:pBdr>
      <w:shd w:val="clear" w:color="auto" w:fill="E6E6E6"/>
      <w:spacing w:after="120" w:line="280" w:lineRule="exact"/>
      <w:jc w:val="left"/>
    </w:pPr>
    <w:rPr>
      <w:rFonts w:ascii="Arial" w:hAnsi="Arial"/>
      <w:b/>
    </w:rPr>
  </w:style>
  <w:style w:type="paragraph" w:customStyle="1" w:styleId="Bold">
    <w:name w:val="Bold"/>
    <w:basedOn w:val="Normal"/>
    <w:qFormat/>
    <w:rsid w:val="0032322C"/>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2157">
      <w:bodyDiv w:val="1"/>
      <w:marLeft w:val="0"/>
      <w:marRight w:val="0"/>
      <w:marTop w:val="0"/>
      <w:marBottom w:val="0"/>
      <w:divBdr>
        <w:top w:val="none" w:sz="0" w:space="0" w:color="auto"/>
        <w:left w:val="none" w:sz="0" w:space="0" w:color="auto"/>
        <w:bottom w:val="none" w:sz="0" w:space="0" w:color="auto"/>
        <w:right w:val="none" w:sz="0" w:space="0" w:color="auto"/>
      </w:divBdr>
    </w:div>
    <w:div w:id="67312022">
      <w:bodyDiv w:val="1"/>
      <w:marLeft w:val="0"/>
      <w:marRight w:val="0"/>
      <w:marTop w:val="0"/>
      <w:marBottom w:val="0"/>
      <w:divBdr>
        <w:top w:val="none" w:sz="0" w:space="0" w:color="auto"/>
        <w:left w:val="none" w:sz="0" w:space="0" w:color="auto"/>
        <w:bottom w:val="none" w:sz="0" w:space="0" w:color="auto"/>
        <w:right w:val="none" w:sz="0" w:space="0" w:color="auto"/>
      </w:divBdr>
    </w:div>
    <w:div w:id="72821112">
      <w:bodyDiv w:val="1"/>
      <w:marLeft w:val="0"/>
      <w:marRight w:val="0"/>
      <w:marTop w:val="0"/>
      <w:marBottom w:val="0"/>
      <w:divBdr>
        <w:top w:val="none" w:sz="0" w:space="0" w:color="auto"/>
        <w:left w:val="none" w:sz="0" w:space="0" w:color="auto"/>
        <w:bottom w:val="none" w:sz="0" w:space="0" w:color="auto"/>
        <w:right w:val="none" w:sz="0" w:space="0" w:color="auto"/>
      </w:divBdr>
    </w:div>
    <w:div w:id="103160836">
      <w:bodyDiv w:val="1"/>
      <w:marLeft w:val="0"/>
      <w:marRight w:val="0"/>
      <w:marTop w:val="0"/>
      <w:marBottom w:val="0"/>
      <w:divBdr>
        <w:top w:val="none" w:sz="0" w:space="0" w:color="auto"/>
        <w:left w:val="none" w:sz="0" w:space="0" w:color="auto"/>
        <w:bottom w:val="none" w:sz="0" w:space="0" w:color="auto"/>
        <w:right w:val="none" w:sz="0" w:space="0" w:color="auto"/>
      </w:divBdr>
    </w:div>
    <w:div w:id="115491246">
      <w:bodyDiv w:val="1"/>
      <w:marLeft w:val="0"/>
      <w:marRight w:val="0"/>
      <w:marTop w:val="0"/>
      <w:marBottom w:val="0"/>
      <w:divBdr>
        <w:top w:val="none" w:sz="0" w:space="0" w:color="auto"/>
        <w:left w:val="none" w:sz="0" w:space="0" w:color="auto"/>
        <w:bottom w:val="none" w:sz="0" w:space="0" w:color="auto"/>
        <w:right w:val="none" w:sz="0" w:space="0" w:color="auto"/>
      </w:divBdr>
    </w:div>
    <w:div w:id="130372048">
      <w:bodyDiv w:val="1"/>
      <w:marLeft w:val="0"/>
      <w:marRight w:val="0"/>
      <w:marTop w:val="0"/>
      <w:marBottom w:val="0"/>
      <w:divBdr>
        <w:top w:val="none" w:sz="0" w:space="0" w:color="auto"/>
        <w:left w:val="none" w:sz="0" w:space="0" w:color="auto"/>
        <w:bottom w:val="none" w:sz="0" w:space="0" w:color="auto"/>
        <w:right w:val="none" w:sz="0" w:space="0" w:color="auto"/>
      </w:divBdr>
    </w:div>
    <w:div w:id="132453617">
      <w:bodyDiv w:val="1"/>
      <w:marLeft w:val="0"/>
      <w:marRight w:val="0"/>
      <w:marTop w:val="0"/>
      <w:marBottom w:val="0"/>
      <w:divBdr>
        <w:top w:val="none" w:sz="0" w:space="0" w:color="auto"/>
        <w:left w:val="none" w:sz="0" w:space="0" w:color="auto"/>
        <w:bottom w:val="none" w:sz="0" w:space="0" w:color="auto"/>
        <w:right w:val="none" w:sz="0" w:space="0" w:color="auto"/>
      </w:divBdr>
    </w:div>
    <w:div w:id="136384862">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222958131">
      <w:bodyDiv w:val="1"/>
      <w:marLeft w:val="0"/>
      <w:marRight w:val="0"/>
      <w:marTop w:val="0"/>
      <w:marBottom w:val="0"/>
      <w:divBdr>
        <w:top w:val="none" w:sz="0" w:space="0" w:color="auto"/>
        <w:left w:val="none" w:sz="0" w:space="0" w:color="auto"/>
        <w:bottom w:val="none" w:sz="0" w:space="0" w:color="auto"/>
        <w:right w:val="none" w:sz="0" w:space="0" w:color="auto"/>
      </w:divBdr>
    </w:div>
    <w:div w:id="304242481">
      <w:bodyDiv w:val="1"/>
      <w:marLeft w:val="0"/>
      <w:marRight w:val="0"/>
      <w:marTop w:val="0"/>
      <w:marBottom w:val="0"/>
      <w:divBdr>
        <w:top w:val="none" w:sz="0" w:space="0" w:color="auto"/>
        <w:left w:val="none" w:sz="0" w:space="0" w:color="auto"/>
        <w:bottom w:val="none" w:sz="0" w:space="0" w:color="auto"/>
        <w:right w:val="none" w:sz="0" w:space="0" w:color="auto"/>
      </w:divBdr>
    </w:div>
    <w:div w:id="355237729">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92117328">
      <w:bodyDiv w:val="1"/>
      <w:marLeft w:val="0"/>
      <w:marRight w:val="0"/>
      <w:marTop w:val="0"/>
      <w:marBottom w:val="0"/>
      <w:divBdr>
        <w:top w:val="none" w:sz="0" w:space="0" w:color="auto"/>
        <w:left w:val="none" w:sz="0" w:space="0" w:color="auto"/>
        <w:bottom w:val="none" w:sz="0" w:space="0" w:color="auto"/>
        <w:right w:val="none" w:sz="0" w:space="0" w:color="auto"/>
      </w:divBdr>
    </w:div>
    <w:div w:id="423720293">
      <w:bodyDiv w:val="1"/>
      <w:marLeft w:val="0"/>
      <w:marRight w:val="0"/>
      <w:marTop w:val="0"/>
      <w:marBottom w:val="0"/>
      <w:divBdr>
        <w:top w:val="none" w:sz="0" w:space="0" w:color="auto"/>
        <w:left w:val="none" w:sz="0" w:space="0" w:color="auto"/>
        <w:bottom w:val="none" w:sz="0" w:space="0" w:color="auto"/>
        <w:right w:val="none" w:sz="0" w:space="0" w:color="auto"/>
      </w:divBdr>
    </w:div>
    <w:div w:id="426120385">
      <w:bodyDiv w:val="1"/>
      <w:marLeft w:val="0"/>
      <w:marRight w:val="0"/>
      <w:marTop w:val="0"/>
      <w:marBottom w:val="0"/>
      <w:divBdr>
        <w:top w:val="none" w:sz="0" w:space="0" w:color="auto"/>
        <w:left w:val="none" w:sz="0" w:space="0" w:color="auto"/>
        <w:bottom w:val="none" w:sz="0" w:space="0" w:color="auto"/>
        <w:right w:val="none" w:sz="0" w:space="0" w:color="auto"/>
      </w:divBdr>
    </w:div>
    <w:div w:id="459957278">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77233686">
      <w:bodyDiv w:val="1"/>
      <w:marLeft w:val="0"/>
      <w:marRight w:val="0"/>
      <w:marTop w:val="0"/>
      <w:marBottom w:val="0"/>
      <w:divBdr>
        <w:top w:val="none" w:sz="0" w:space="0" w:color="auto"/>
        <w:left w:val="none" w:sz="0" w:space="0" w:color="auto"/>
        <w:bottom w:val="none" w:sz="0" w:space="0" w:color="auto"/>
        <w:right w:val="none" w:sz="0" w:space="0" w:color="auto"/>
      </w:divBdr>
    </w:div>
    <w:div w:id="536236169">
      <w:bodyDiv w:val="1"/>
      <w:marLeft w:val="0"/>
      <w:marRight w:val="0"/>
      <w:marTop w:val="0"/>
      <w:marBottom w:val="0"/>
      <w:divBdr>
        <w:top w:val="none" w:sz="0" w:space="0" w:color="auto"/>
        <w:left w:val="none" w:sz="0" w:space="0" w:color="auto"/>
        <w:bottom w:val="none" w:sz="0" w:space="0" w:color="auto"/>
        <w:right w:val="none" w:sz="0" w:space="0" w:color="auto"/>
      </w:divBdr>
    </w:div>
    <w:div w:id="555506893">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17953224">
      <w:bodyDiv w:val="1"/>
      <w:marLeft w:val="0"/>
      <w:marRight w:val="0"/>
      <w:marTop w:val="0"/>
      <w:marBottom w:val="0"/>
      <w:divBdr>
        <w:top w:val="none" w:sz="0" w:space="0" w:color="auto"/>
        <w:left w:val="none" w:sz="0" w:space="0" w:color="auto"/>
        <w:bottom w:val="none" w:sz="0" w:space="0" w:color="auto"/>
        <w:right w:val="none" w:sz="0" w:space="0" w:color="auto"/>
      </w:divBdr>
    </w:div>
    <w:div w:id="652681560">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64749840">
      <w:bodyDiv w:val="1"/>
      <w:marLeft w:val="0"/>
      <w:marRight w:val="0"/>
      <w:marTop w:val="0"/>
      <w:marBottom w:val="0"/>
      <w:divBdr>
        <w:top w:val="none" w:sz="0" w:space="0" w:color="auto"/>
        <w:left w:val="none" w:sz="0" w:space="0" w:color="auto"/>
        <w:bottom w:val="none" w:sz="0" w:space="0" w:color="auto"/>
        <w:right w:val="none" w:sz="0" w:space="0" w:color="auto"/>
      </w:divBdr>
    </w:div>
    <w:div w:id="673995269">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8670329">
      <w:bodyDiv w:val="1"/>
      <w:marLeft w:val="0"/>
      <w:marRight w:val="0"/>
      <w:marTop w:val="0"/>
      <w:marBottom w:val="0"/>
      <w:divBdr>
        <w:top w:val="none" w:sz="0" w:space="0" w:color="auto"/>
        <w:left w:val="none" w:sz="0" w:space="0" w:color="auto"/>
        <w:bottom w:val="none" w:sz="0" w:space="0" w:color="auto"/>
        <w:right w:val="none" w:sz="0" w:space="0" w:color="auto"/>
      </w:divBdr>
    </w:div>
    <w:div w:id="759839401">
      <w:bodyDiv w:val="1"/>
      <w:marLeft w:val="0"/>
      <w:marRight w:val="0"/>
      <w:marTop w:val="0"/>
      <w:marBottom w:val="0"/>
      <w:divBdr>
        <w:top w:val="none" w:sz="0" w:space="0" w:color="auto"/>
        <w:left w:val="none" w:sz="0" w:space="0" w:color="auto"/>
        <w:bottom w:val="none" w:sz="0" w:space="0" w:color="auto"/>
        <w:right w:val="none" w:sz="0" w:space="0" w:color="auto"/>
      </w:divBdr>
    </w:div>
    <w:div w:id="761683818">
      <w:bodyDiv w:val="1"/>
      <w:marLeft w:val="0"/>
      <w:marRight w:val="0"/>
      <w:marTop w:val="0"/>
      <w:marBottom w:val="0"/>
      <w:divBdr>
        <w:top w:val="none" w:sz="0" w:space="0" w:color="auto"/>
        <w:left w:val="none" w:sz="0" w:space="0" w:color="auto"/>
        <w:bottom w:val="none" w:sz="0" w:space="0" w:color="auto"/>
        <w:right w:val="none" w:sz="0" w:space="0" w:color="auto"/>
      </w:divBdr>
    </w:div>
    <w:div w:id="818500052">
      <w:bodyDiv w:val="1"/>
      <w:marLeft w:val="0"/>
      <w:marRight w:val="0"/>
      <w:marTop w:val="0"/>
      <w:marBottom w:val="0"/>
      <w:divBdr>
        <w:top w:val="none" w:sz="0" w:space="0" w:color="auto"/>
        <w:left w:val="none" w:sz="0" w:space="0" w:color="auto"/>
        <w:bottom w:val="none" w:sz="0" w:space="0" w:color="auto"/>
        <w:right w:val="none" w:sz="0" w:space="0" w:color="auto"/>
      </w:divBdr>
    </w:div>
    <w:div w:id="873542538">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69555681">
      <w:bodyDiv w:val="1"/>
      <w:marLeft w:val="0"/>
      <w:marRight w:val="0"/>
      <w:marTop w:val="0"/>
      <w:marBottom w:val="0"/>
      <w:divBdr>
        <w:top w:val="none" w:sz="0" w:space="0" w:color="auto"/>
        <w:left w:val="none" w:sz="0" w:space="0" w:color="auto"/>
        <w:bottom w:val="none" w:sz="0" w:space="0" w:color="auto"/>
        <w:right w:val="none" w:sz="0" w:space="0" w:color="auto"/>
      </w:divBdr>
    </w:div>
    <w:div w:id="1091124488">
      <w:bodyDiv w:val="1"/>
      <w:marLeft w:val="0"/>
      <w:marRight w:val="0"/>
      <w:marTop w:val="0"/>
      <w:marBottom w:val="0"/>
      <w:divBdr>
        <w:top w:val="none" w:sz="0" w:space="0" w:color="auto"/>
        <w:left w:val="none" w:sz="0" w:space="0" w:color="auto"/>
        <w:bottom w:val="none" w:sz="0" w:space="0" w:color="auto"/>
        <w:right w:val="none" w:sz="0" w:space="0" w:color="auto"/>
      </w:divBdr>
    </w:div>
    <w:div w:id="1101610922">
      <w:bodyDiv w:val="1"/>
      <w:marLeft w:val="0"/>
      <w:marRight w:val="0"/>
      <w:marTop w:val="0"/>
      <w:marBottom w:val="0"/>
      <w:divBdr>
        <w:top w:val="none" w:sz="0" w:space="0" w:color="auto"/>
        <w:left w:val="none" w:sz="0" w:space="0" w:color="auto"/>
        <w:bottom w:val="none" w:sz="0" w:space="0" w:color="auto"/>
        <w:right w:val="none" w:sz="0" w:space="0" w:color="auto"/>
      </w:divBdr>
    </w:div>
    <w:div w:id="1123959374">
      <w:bodyDiv w:val="1"/>
      <w:marLeft w:val="0"/>
      <w:marRight w:val="0"/>
      <w:marTop w:val="0"/>
      <w:marBottom w:val="0"/>
      <w:divBdr>
        <w:top w:val="none" w:sz="0" w:space="0" w:color="auto"/>
        <w:left w:val="none" w:sz="0" w:space="0" w:color="auto"/>
        <w:bottom w:val="none" w:sz="0" w:space="0" w:color="auto"/>
        <w:right w:val="none" w:sz="0" w:space="0" w:color="auto"/>
      </w:divBdr>
    </w:div>
    <w:div w:id="1159266622">
      <w:bodyDiv w:val="1"/>
      <w:marLeft w:val="0"/>
      <w:marRight w:val="0"/>
      <w:marTop w:val="0"/>
      <w:marBottom w:val="0"/>
      <w:divBdr>
        <w:top w:val="none" w:sz="0" w:space="0" w:color="auto"/>
        <w:left w:val="none" w:sz="0" w:space="0" w:color="auto"/>
        <w:bottom w:val="none" w:sz="0" w:space="0" w:color="auto"/>
        <w:right w:val="none" w:sz="0" w:space="0" w:color="auto"/>
      </w:divBdr>
    </w:div>
    <w:div w:id="1212109064">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61723004">
      <w:bodyDiv w:val="1"/>
      <w:marLeft w:val="0"/>
      <w:marRight w:val="0"/>
      <w:marTop w:val="0"/>
      <w:marBottom w:val="0"/>
      <w:divBdr>
        <w:top w:val="none" w:sz="0" w:space="0" w:color="auto"/>
        <w:left w:val="none" w:sz="0" w:space="0" w:color="auto"/>
        <w:bottom w:val="none" w:sz="0" w:space="0" w:color="auto"/>
        <w:right w:val="none" w:sz="0" w:space="0" w:color="auto"/>
      </w:divBdr>
    </w:div>
    <w:div w:id="1276132459">
      <w:bodyDiv w:val="1"/>
      <w:marLeft w:val="0"/>
      <w:marRight w:val="0"/>
      <w:marTop w:val="0"/>
      <w:marBottom w:val="0"/>
      <w:divBdr>
        <w:top w:val="none" w:sz="0" w:space="0" w:color="auto"/>
        <w:left w:val="none" w:sz="0" w:space="0" w:color="auto"/>
        <w:bottom w:val="none" w:sz="0" w:space="0" w:color="auto"/>
        <w:right w:val="none" w:sz="0" w:space="0" w:color="auto"/>
      </w:divBdr>
    </w:div>
    <w:div w:id="1395158228">
      <w:bodyDiv w:val="1"/>
      <w:marLeft w:val="0"/>
      <w:marRight w:val="0"/>
      <w:marTop w:val="0"/>
      <w:marBottom w:val="0"/>
      <w:divBdr>
        <w:top w:val="none" w:sz="0" w:space="0" w:color="auto"/>
        <w:left w:val="none" w:sz="0" w:space="0" w:color="auto"/>
        <w:bottom w:val="none" w:sz="0" w:space="0" w:color="auto"/>
        <w:right w:val="none" w:sz="0" w:space="0" w:color="auto"/>
      </w:divBdr>
    </w:div>
    <w:div w:id="1397972451">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91946019">
      <w:bodyDiv w:val="1"/>
      <w:marLeft w:val="0"/>
      <w:marRight w:val="0"/>
      <w:marTop w:val="0"/>
      <w:marBottom w:val="0"/>
      <w:divBdr>
        <w:top w:val="none" w:sz="0" w:space="0" w:color="auto"/>
        <w:left w:val="none" w:sz="0" w:space="0" w:color="auto"/>
        <w:bottom w:val="none" w:sz="0" w:space="0" w:color="auto"/>
        <w:right w:val="none" w:sz="0" w:space="0" w:color="auto"/>
      </w:divBdr>
    </w:div>
    <w:div w:id="1496996743">
      <w:bodyDiv w:val="1"/>
      <w:marLeft w:val="0"/>
      <w:marRight w:val="0"/>
      <w:marTop w:val="0"/>
      <w:marBottom w:val="0"/>
      <w:divBdr>
        <w:top w:val="none" w:sz="0" w:space="0" w:color="auto"/>
        <w:left w:val="none" w:sz="0" w:space="0" w:color="auto"/>
        <w:bottom w:val="none" w:sz="0" w:space="0" w:color="auto"/>
        <w:right w:val="none" w:sz="0" w:space="0" w:color="auto"/>
      </w:divBdr>
    </w:div>
    <w:div w:id="1638295193">
      <w:bodyDiv w:val="1"/>
      <w:marLeft w:val="0"/>
      <w:marRight w:val="0"/>
      <w:marTop w:val="0"/>
      <w:marBottom w:val="0"/>
      <w:divBdr>
        <w:top w:val="none" w:sz="0" w:space="0" w:color="auto"/>
        <w:left w:val="none" w:sz="0" w:space="0" w:color="auto"/>
        <w:bottom w:val="none" w:sz="0" w:space="0" w:color="auto"/>
        <w:right w:val="none" w:sz="0" w:space="0" w:color="auto"/>
      </w:divBdr>
    </w:div>
    <w:div w:id="1678845554">
      <w:bodyDiv w:val="1"/>
      <w:marLeft w:val="0"/>
      <w:marRight w:val="0"/>
      <w:marTop w:val="0"/>
      <w:marBottom w:val="0"/>
      <w:divBdr>
        <w:top w:val="none" w:sz="0" w:space="0" w:color="auto"/>
        <w:left w:val="none" w:sz="0" w:space="0" w:color="auto"/>
        <w:bottom w:val="none" w:sz="0" w:space="0" w:color="auto"/>
        <w:right w:val="none" w:sz="0" w:space="0" w:color="auto"/>
      </w:divBdr>
    </w:div>
    <w:div w:id="1719088220">
      <w:bodyDiv w:val="1"/>
      <w:marLeft w:val="0"/>
      <w:marRight w:val="0"/>
      <w:marTop w:val="0"/>
      <w:marBottom w:val="0"/>
      <w:divBdr>
        <w:top w:val="none" w:sz="0" w:space="0" w:color="auto"/>
        <w:left w:val="none" w:sz="0" w:space="0" w:color="auto"/>
        <w:bottom w:val="none" w:sz="0" w:space="0" w:color="auto"/>
        <w:right w:val="none" w:sz="0" w:space="0" w:color="auto"/>
      </w:divBdr>
    </w:div>
    <w:div w:id="1752391320">
      <w:bodyDiv w:val="1"/>
      <w:marLeft w:val="0"/>
      <w:marRight w:val="0"/>
      <w:marTop w:val="0"/>
      <w:marBottom w:val="0"/>
      <w:divBdr>
        <w:top w:val="none" w:sz="0" w:space="0" w:color="auto"/>
        <w:left w:val="none" w:sz="0" w:space="0" w:color="auto"/>
        <w:bottom w:val="none" w:sz="0" w:space="0" w:color="auto"/>
        <w:right w:val="none" w:sz="0" w:space="0" w:color="auto"/>
      </w:divBdr>
    </w:div>
    <w:div w:id="1834027318">
      <w:bodyDiv w:val="1"/>
      <w:marLeft w:val="0"/>
      <w:marRight w:val="0"/>
      <w:marTop w:val="0"/>
      <w:marBottom w:val="0"/>
      <w:divBdr>
        <w:top w:val="none" w:sz="0" w:space="0" w:color="auto"/>
        <w:left w:val="none" w:sz="0" w:space="0" w:color="auto"/>
        <w:bottom w:val="none" w:sz="0" w:space="0" w:color="auto"/>
        <w:right w:val="none" w:sz="0" w:space="0" w:color="auto"/>
      </w:divBdr>
    </w:div>
    <w:div w:id="1846506639">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90413321">
      <w:bodyDiv w:val="1"/>
      <w:marLeft w:val="0"/>
      <w:marRight w:val="0"/>
      <w:marTop w:val="0"/>
      <w:marBottom w:val="0"/>
      <w:divBdr>
        <w:top w:val="none" w:sz="0" w:space="0" w:color="auto"/>
        <w:left w:val="none" w:sz="0" w:space="0" w:color="auto"/>
        <w:bottom w:val="none" w:sz="0" w:space="0" w:color="auto"/>
        <w:right w:val="none" w:sz="0" w:space="0" w:color="auto"/>
      </w:divBdr>
    </w:div>
    <w:div w:id="1979409016">
      <w:bodyDiv w:val="1"/>
      <w:marLeft w:val="0"/>
      <w:marRight w:val="0"/>
      <w:marTop w:val="0"/>
      <w:marBottom w:val="0"/>
      <w:divBdr>
        <w:top w:val="none" w:sz="0" w:space="0" w:color="auto"/>
        <w:left w:val="none" w:sz="0" w:space="0" w:color="auto"/>
        <w:bottom w:val="none" w:sz="0" w:space="0" w:color="auto"/>
        <w:right w:val="none" w:sz="0" w:space="0" w:color="auto"/>
      </w:divBdr>
    </w:div>
    <w:div w:id="2010325423">
      <w:bodyDiv w:val="1"/>
      <w:marLeft w:val="0"/>
      <w:marRight w:val="0"/>
      <w:marTop w:val="0"/>
      <w:marBottom w:val="0"/>
      <w:divBdr>
        <w:top w:val="none" w:sz="0" w:space="0" w:color="auto"/>
        <w:left w:val="none" w:sz="0" w:space="0" w:color="auto"/>
        <w:bottom w:val="none" w:sz="0" w:space="0" w:color="auto"/>
        <w:right w:val="none" w:sz="0" w:space="0" w:color="auto"/>
      </w:divBdr>
    </w:div>
    <w:div w:id="2021006596">
      <w:bodyDiv w:val="1"/>
      <w:marLeft w:val="0"/>
      <w:marRight w:val="0"/>
      <w:marTop w:val="0"/>
      <w:marBottom w:val="0"/>
      <w:divBdr>
        <w:top w:val="none" w:sz="0" w:space="0" w:color="auto"/>
        <w:left w:val="none" w:sz="0" w:space="0" w:color="auto"/>
        <w:bottom w:val="none" w:sz="0" w:space="0" w:color="auto"/>
        <w:right w:val="none" w:sz="0" w:space="0" w:color="auto"/>
      </w:divBdr>
    </w:div>
    <w:div w:id="20847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wmf"/><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header" Target="header11.xml"/><Relationship Id="rId42" Type="http://schemas.openxmlformats.org/officeDocument/2006/relationships/footer" Target="footer11.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creativecommons.org/licenses/by/3.0/au/legalcode" TargetMode="Externa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footer" Target="footer1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image" Target="media/image2.jpeg"/><Relationship Id="rId29" Type="http://schemas.openxmlformats.org/officeDocument/2006/relationships/footer" Target="footer6.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creativecommons.org/licenses/by/3.0/au/deed.en" TargetMode="External"/><Relationship Id="rId31" Type="http://schemas.openxmlformats.org/officeDocument/2006/relationships/footer" Target="footer7.xml"/><Relationship Id="rId44" Type="http://schemas.openxmlformats.org/officeDocument/2006/relationships/header" Target="header1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D29A-A976-426C-8109-33C8A30C48FD}">
  <ds:schemaRefs>
    <ds:schemaRef ds:uri="http://schemas.microsoft.com/office/2006/metadata/longProperties"/>
  </ds:schemaRefs>
</ds:datastoreItem>
</file>

<file path=customXml/itemProps2.xml><?xml version="1.0" encoding="utf-8"?>
<ds:datastoreItem xmlns:ds="http://schemas.openxmlformats.org/officeDocument/2006/customXml" ds:itemID="{6116CE94-58CB-43CB-BF53-50027EB1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265850A2.dotm</Template>
  <TotalTime>0</TotalTime>
  <Pages>45</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48827</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2016-02-01T04:45:00Z</dcterms:created>
  <dcterms:modified xsi:type="dcterms:W3CDTF">2016-02-01T04:46:00Z</dcterms:modified>
</cp:coreProperties>
</file>