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73" w:rsidRDefault="005A3973" w:rsidP="005A3973">
      <w:pPr>
        <w:pStyle w:val="Department"/>
      </w:pPr>
    </w:p>
    <w:p w:rsidR="005A3973" w:rsidRDefault="005A3973" w:rsidP="005A3973">
      <w:pPr>
        <w:pStyle w:val="Department"/>
        <w:spacing w:before="1320"/>
      </w:pPr>
      <w:bookmarkStart w:id="0" w:name="_Toc448134586"/>
      <w:r>
        <w:t>Fair Work Commission</w:t>
      </w:r>
      <w:bookmarkEnd w:id="0"/>
    </w:p>
    <w:p w:rsidR="005A3973" w:rsidRDefault="005A3973" w:rsidP="005A3973">
      <w:pPr>
        <w:pStyle w:val="DepartmentSubtitle"/>
        <w:spacing w:before="2080"/>
      </w:pPr>
      <w:r>
        <w:t>Entity resources and planned performance</w:t>
      </w:r>
    </w:p>
    <w:p w:rsidR="005A3973" w:rsidRDefault="005A3973" w:rsidP="005A3973">
      <w:pPr>
        <w:pStyle w:val="ContentsHeading"/>
        <w:sectPr w:rsidR="005A3973" w:rsidSect="005A3973">
          <w:headerReference w:type="even" r:id="rId8"/>
          <w:headerReference w:type="default" r:id="rId9"/>
          <w:footerReference w:type="even" r:id="rId10"/>
          <w:footerReference w:type="default" r:id="rId11"/>
          <w:footerReference w:type="first" r:id="rId12"/>
          <w:pgSz w:w="11907" w:h="16839" w:code="9"/>
          <w:pgMar w:top="2466" w:right="2098" w:bottom="2466" w:left="2098" w:header="1899" w:footer="1899" w:gutter="0"/>
          <w:pgNumType w:start="97"/>
          <w:cols w:space="708"/>
          <w:titlePg/>
          <w:docGrid w:linePitch="360"/>
        </w:sectPr>
      </w:pPr>
    </w:p>
    <w:p w:rsidR="005A3973" w:rsidRDefault="005A3973" w:rsidP="005A3973">
      <w:pPr>
        <w:pStyle w:val="ContentsHeading"/>
        <w:rPr>
          <w:rFonts w:asciiTheme="minorHAnsi" w:eastAsiaTheme="minorEastAsia" w:hAnsiTheme="minorHAnsi" w:cstheme="minorBidi"/>
          <w:noProof/>
          <w:sz w:val="22"/>
          <w:szCs w:val="22"/>
        </w:rPr>
      </w:pPr>
      <w:r>
        <w:lastRenderedPageBreak/>
        <w:t>Fair Work Commission</w:t>
      </w:r>
      <w:r>
        <w:fldChar w:fldCharType="begin"/>
      </w:r>
      <w:r>
        <w:instrText xml:space="preserve"> TOC \h \z \t "Heading 2,1,Heading 3,2" </w:instrText>
      </w:r>
      <w:r>
        <w:fldChar w:fldCharType="separate"/>
      </w:r>
    </w:p>
    <w:p w:rsidR="005A3973" w:rsidRDefault="005A3973" w:rsidP="005A3973">
      <w:pPr>
        <w:pStyle w:val="TOC1"/>
        <w:rPr>
          <w:rFonts w:asciiTheme="minorHAnsi" w:eastAsiaTheme="minorEastAsia" w:hAnsiTheme="minorHAnsi" w:cstheme="minorBidi"/>
          <w:b w:val="0"/>
          <w:noProof/>
          <w:sz w:val="22"/>
          <w:szCs w:val="22"/>
        </w:rPr>
      </w:pPr>
      <w:hyperlink w:anchor="_Toc447116728" w:history="1">
        <w:r w:rsidRPr="005E436C">
          <w:rPr>
            <w:rStyle w:val="Hyperlink"/>
            <w:noProof/>
          </w:rPr>
          <w:t>Section 1: Entity overview and resources</w:t>
        </w:r>
        <w:r>
          <w:rPr>
            <w:noProof/>
            <w:webHidden/>
          </w:rPr>
          <w:tab/>
        </w:r>
        <w:r>
          <w:rPr>
            <w:noProof/>
            <w:webHidden/>
          </w:rPr>
          <w:fldChar w:fldCharType="begin"/>
        </w:r>
        <w:r>
          <w:rPr>
            <w:noProof/>
            <w:webHidden/>
          </w:rPr>
          <w:instrText xml:space="preserve"> PAGEREF _Toc447116728 \h </w:instrText>
        </w:r>
        <w:r>
          <w:rPr>
            <w:noProof/>
            <w:webHidden/>
          </w:rPr>
        </w:r>
        <w:r>
          <w:rPr>
            <w:noProof/>
            <w:webHidden/>
          </w:rPr>
          <w:fldChar w:fldCharType="separate"/>
        </w:r>
        <w:r>
          <w:rPr>
            <w:noProof/>
            <w:webHidden/>
          </w:rPr>
          <w:t>101</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29" w:history="1">
        <w:r w:rsidRPr="005E436C">
          <w:rPr>
            <w:rStyle w:val="Hyperlink"/>
            <w:noProof/>
          </w:rPr>
          <w:t>1.1</w:t>
        </w:r>
        <w:r>
          <w:rPr>
            <w:rFonts w:asciiTheme="minorHAnsi" w:eastAsiaTheme="minorEastAsia" w:hAnsiTheme="minorHAnsi" w:cstheme="minorBidi"/>
            <w:noProof/>
            <w:sz w:val="22"/>
            <w:szCs w:val="22"/>
          </w:rPr>
          <w:tab/>
        </w:r>
        <w:r w:rsidRPr="005E436C">
          <w:rPr>
            <w:rStyle w:val="Hyperlink"/>
            <w:noProof/>
          </w:rPr>
          <w:t>Strategic direction statement</w:t>
        </w:r>
        <w:r>
          <w:rPr>
            <w:noProof/>
            <w:webHidden/>
          </w:rPr>
          <w:tab/>
        </w:r>
        <w:r>
          <w:rPr>
            <w:noProof/>
            <w:webHidden/>
          </w:rPr>
          <w:fldChar w:fldCharType="begin"/>
        </w:r>
        <w:r>
          <w:rPr>
            <w:noProof/>
            <w:webHidden/>
          </w:rPr>
          <w:instrText xml:space="preserve"> PAGEREF _Toc447116729 \h </w:instrText>
        </w:r>
        <w:r>
          <w:rPr>
            <w:noProof/>
            <w:webHidden/>
          </w:rPr>
        </w:r>
        <w:r>
          <w:rPr>
            <w:noProof/>
            <w:webHidden/>
          </w:rPr>
          <w:fldChar w:fldCharType="separate"/>
        </w:r>
        <w:r>
          <w:rPr>
            <w:noProof/>
            <w:webHidden/>
          </w:rPr>
          <w:t>101</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30" w:history="1">
        <w:r w:rsidRPr="005E436C">
          <w:rPr>
            <w:rStyle w:val="Hyperlink"/>
            <w:noProof/>
          </w:rPr>
          <w:t>1.2</w:t>
        </w:r>
        <w:r>
          <w:rPr>
            <w:rFonts w:asciiTheme="minorHAnsi" w:eastAsiaTheme="minorEastAsia" w:hAnsiTheme="minorHAnsi" w:cstheme="minorBidi"/>
            <w:noProof/>
            <w:sz w:val="22"/>
            <w:szCs w:val="22"/>
          </w:rPr>
          <w:tab/>
        </w:r>
        <w:r w:rsidRPr="005E436C">
          <w:rPr>
            <w:rStyle w:val="Hyperlink"/>
            <w:noProof/>
          </w:rPr>
          <w:t>Entity resource statement</w:t>
        </w:r>
        <w:r>
          <w:rPr>
            <w:noProof/>
            <w:webHidden/>
          </w:rPr>
          <w:tab/>
        </w:r>
        <w:r>
          <w:rPr>
            <w:noProof/>
            <w:webHidden/>
          </w:rPr>
          <w:fldChar w:fldCharType="begin"/>
        </w:r>
        <w:r>
          <w:rPr>
            <w:noProof/>
            <w:webHidden/>
          </w:rPr>
          <w:instrText xml:space="preserve"> PAGEREF _Toc447116730 \h </w:instrText>
        </w:r>
        <w:r>
          <w:rPr>
            <w:noProof/>
            <w:webHidden/>
          </w:rPr>
        </w:r>
        <w:r>
          <w:rPr>
            <w:noProof/>
            <w:webHidden/>
          </w:rPr>
          <w:fldChar w:fldCharType="separate"/>
        </w:r>
        <w:r>
          <w:rPr>
            <w:noProof/>
            <w:webHidden/>
          </w:rPr>
          <w:t>102</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31" w:history="1">
        <w:r w:rsidRPr="005E436C">
          <w:rPr>
            <w:rStyle w:val="Hyperlink"/>
            <w:noProof/>
          </w:rPr>
          <w:t>1.3</w:t>
        </w:r>
        <w:r>
          <w:rPr>
            <w:rFonts w:asciiTheme="minorHAnsi" w:eastAsiaTheme="minorEastAsia" w:hAnsiTheme="minorHAnsi" w:cstheme="minorBidi"/>
            <w:noProof/>
            <w:sz w:val="22"/>
            <w:szCs w:val="22"/>
          </w:rPr>
          <w:tab/>
        </w:r>
        <w:r w:rsidRPr="005E436C">
          <w:rPr>
            <w:rStyle w:val="Hyperlink"/>
            <w:noProof/>
          </w:rPr>
          <w:t>Budget measures</w:t>
        </w:r>
        <w:r>
          <w:rPr>
            <w:noProof/>
            <w:webHidden/>
          </w:rPr>
          <w:tab/>
        </w:r>
        <w:r>
          <w:rPr>
            <w:noProof/>
            <w:webHidden/>
          </w:rPr>
          <w:fldChar w:fldCharType="begin"/>
        </w:r>
        <w:r>
          <w:rPr>
            <w:noProof/>
            <w:webHidden/>
          </w:rPr>
          <w:instrText xml:space="preserve"> PAGEREF _Toc447116731 \h </w:instrText>
        </w:r>
        <w:r>
          <w:rPr>
            <w:noProof/>
            <w:webHidden/>
          </w:rPr>
        </w:r>
        <w:r>
          <w:rPr>
            <w:noProof/>
            <w:webHidden/>
          </w:rPr>
          <w:fldChar w:fldCharType="separate"/>
        </w:r>
        <w:r>
          <w:rPr>
            <w:noProof/>
            <w:webHidden/>
          </w:rPr>
          <w:t>104</w:t>
        </w:r>
        <w:r>
          <w:rPr>
            <w:noProof/>
            <w:webHidden/>
          </w:rPr>
          <w:fldChar w:fldCharType="end"/>
        </w:r>
      </w:hyperlink>
    </w:p>
    <w:p w:rsidR="005A3973" w:rsidRDefault="005A3973" w:rsidP="005A3973">
      <w:pPr>
        <w:pStyle w:val="TOC1"/>
        <w:rPr>
          <w:rFonts w:asciiTheme="minorHAnsi" w:eastAsiaTheme="minorEastAsia" w:hAnsiTheme="minorHAnsi" w:cstheme="minorBidi"/>
          <w:b w:val="0"/>
          <w:noProof/>
          <w:sz w:val="22"/>
          <w:szCs w:val="22"/>
        </w:rPr>
      </w:pPr>
      <w:hyperlink w:anchor="_Toc447116732" w:history="1">
        <w:r w:rsidRPr="005E436C">
          <w:rPr>
            <w:rStyle w:val="Hyperlink"/>
            <w:noProof/>
          </w:rPr>
          <w:t>Section 2: Outcomes and planned performance</w:t>
        </w:r>
        <w:r>
          <w:rPr>
            <w:noProof/>
            <w:webHidden/>
          </w:rPr>
          <w:tab/>
        </w:r>
        <w:r>
          <w:rPr>
            <w:noProof/>
            <w:webHidden/>
          </w:rPr>
          <w:fldChar w:fldCharType="begin"/>
        </w:r>
        <w:r>
          <w:rPr>
            <w:noProof/>
            <w:webHidden/>
          </w:rPr>
          <w:instrText xml:space="preserve"> PAGEREF _Toc447116732 \h </w:instrText>
        </w:r>
        <w:r>
          <w:rPr>
            <w:noProof/>
            <w:webHidden/>
          </w:rPr>
        </w:r>
        <w:r>
          <w:rPr>
            <w:noProof/>
            <w:webHidden/>
          </w:rPr>
          <w:fldChar w:fldCharType="separate"/>
        </w:r>
        <w:r>
          <w:rPr>
            <w:noProof/>
            <w:webHidden/>
          </w:rPr>
          <w:t>105</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33" w:history="1">
        <w:r w:rsidRPr="005E436C">
          <w:rPr>
            <w:rStyle w:val="Hyperlink"/>
            <w:noProof/>
          </w:rPr>
          <w:t xml:space="preserve">2.1 </w:t>
        </w:r>
        <w:r>
          <w:rPr>
            <w:rFonts w:asciiTheme="minorHAnsi" w:eastAsiaTheme="minorEastAsia" w:hAnsiTheme="minorHAnsi" w:cstheme="minorBidi"/>
            <w:noProof/>
            <w:sz w:val="22"/>
            <w:szCs w:val="22"/>
          </w:rPr>
          <w:tab/>
        </w:r>
        <w:r w:rsidRPr="005E436C">
          <w:rPr>
            <w:rStyle w:val="Hyperlink"/>
            <w:noProof/>
          </w:rPr>
          <w:t>Budgeted expenses and performance for Outcome 1</w:t>
        </w:r>
        <w:r>
          <w:rPr>
            <w:noProof/>
            <w:webHidden/>
          </w:rPr>
          <w:tab/>
        </w:r>
        <w:r>
          <w:rPr>
            <w:noProof/>
            <w:webHidden/>
          </w:rPr>
          <w:fldChar w:fldCharType="begin"/>
        </w:r>
        <w:r>
          <w:rPr>
            <w:noProof/>
            <w:webHidden/>
          </w:rPr>
          <w:instrText xml:space="preserve"> PAGEREF _Toc447116733 \h </w:instrText>
        </w:r>
        <w:r>
          <w:rPr>
            <w:noProof/>
            <w:webHidden/>
          </w:rPr>
        </w:r>
        <w:r>
          <w:rPr>
            <w:noProof/>
            <w:webHidden/>
          </w:rPr>
          <w:fldChar w:fldCharType="separate"/>
        </w:r>
        <w:r>
          <w:rPr>
            <w:noProof/>
            <w:webHidden/>
          </w:rPr>
          <w:t>105</w:t>
        </w:r>
        <w:r>
          <w:rPr>
            <w:noProof/>
            <w:webHidden/>
          </w:rPr>
          <w:fldChar w:fldCharType="end"/>
        </w:r>
      </w:hyperlink>
    </w:p>
    <w:p w:rsidR="005A3973" w:rsidRDefault="005A3973" w:rsidP="005A3973">
      <w:pPr>
        <w:pStyle w:val="TOC1"/>
        <w:rPr>
          <w:rFonts w:asciiTheme="minorHAnsi" w:eastAsiaTheme="minorEastAsia" w:hAnsiTheme="minorHAnsi" w:cstheme="minorBidi"/>
          <w:b w:val="0"/>
          <w:noProof/>
          <w:sz w:val="22"/>
          <w:szCs w:val="22"/>
        </w:rPr>
      </w:pPr>
      <w:hyperlink w:anchor="_Toc447116734" w:history="1">
        <w:r w:rsidRPr="005E436C">
          <w:rPr>
            <w:rStyle w:val="Hyperlink"/>
            <w:noProof/>
          </w:rPr>
          <w:t>Section 3: Budgeted financial statements</w:t>
        </w:r>
        <w:r>
          <w:rPr>
            <w:noProof/>
            <w:webHidden/>
          </w:rPr>
          <w:tab/>
        </w:r>
        <w:r>
          <w:rPr>
            <w:noProof/>
            <w:webHidden/>
          </w:rPr>
          <w:fldChar w:fldCharType="begin"/>
        </w:r>
        <w:r>
          <w:rPr>
            <w:noProof/>
            <w:webHidden/>
          </w:rPr>
          <w:instrText xml:space="preserve"> PAGEREF _Toc447116734 \h </w:instrText>
        </w:r>
        <w:r>
          <w:rPr>
            <w:noProof/>
            <w:webHidden/>
          </w:rPr>
        </w:r>
        <w:r>
          <w:rPr>
            <w:noProof/>
            <w:webHidden/>
          </w:rPr>
          <w:fldChar w:fldCharType="separate"/>
        </w:r>
        <w:r>
          <w:rPr>
            <w:noProof/>
            <w:webHidden/>
          </w:rPr>
          <w:t>109</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35" w:history="1">
        <w:r w:rsidRPr="005E436C">
          <w:rPr>
            <w:rStyle w:val="Hyperlink"/>
            <w:noProof/>
          </w:rPr>
          <w:t>3.1</w:t>
        </w:r>
        <w:r>
          <w:rPr>
            <w:rFonts w:asciiTheme="minorHAnsi" w:eastAsiaTheme="minorEastAsia" w:hAnsiTheme="minorHAnsi" w:cstheme="minorBidi"/>
            <w:noProof/>
            <w:sz w:val="22"/>
            <w:szCs w:val="22"/>
          </w:rPr>
          <w:tab/>
        </w:r>
        <w:r w:rsidRPr="005E436C">
          <w:rPr>
            <w:rStyle w:val="Hyperlink"/>
            <w:noProof/>
          </w:rPr>
          <w:t>Budgeted financial statements</w:t>
        </w:r>
        <w:r>
          <w:rPr>
            <w:noProof/>
            <w:webHidden/>
          </w:rPr>
          <w:tab/>
        </w:r>
        <w:r>
          <w:rPr>
            <w:noProof/>
            <w:webHidden/>
          </w:rPr>
          <w:fldChar w:fldCharType="begin"/>
        </w:r>
        <w:r>
          <w:rPr>
            <w:noProof/>
            <w:webHidden/>
          </w:rPr>
          <w:instrText xml:space="preserve"> PAGEREF _Toc447116735 \h </w:instrText>
        </w:r>
        <w:r>
          <w:rPr>
            <w:noProof/>
            <w:webHidden/>
          </w:rPr>
        </w:r>
        <w:r>
          <w:rPr>
            <w:noProof/>
            <w:webHidden/>
          </w:rPr>
          <w:fldChar w:fldCharType="separate"/>
        </w:r>
        <w:r>
          <w:rPr>
            <w:noProof/>
            <w:webHidden/>
          </w:rPr>
          <w:t>109</w:t>
        </w:r>
        <w:r>
          <w:rPr>
            <w:noProof/>
            <w:webHidden/>
          </w:rPr>
          <w:fldChar w:fldCharType="end"/>
        </w:r>
      </w:hyperlink>
    </w:p>
    <w:p w:rsidR="005A3973" w:rsidRDefault="005A3973" w:rsidP="005A3973">
      <w:pPr>
        <w:pStyle w:val="TOC2"/>
        <w:tabs>
          <w:tab w:val="left" w:pos="800"/>
        </w:tabs>
        <w:rPr>
          <w:rFonts w:asciiTheme="minorHAnsi" w:eastAsiaTheme="minorEastAsia" w:hAnsiTheme="minorHAnsi" w:cstheme="minorBidi"/>
          <w:noProof/>
          <w:sz w:val="22"/>
          <w:szCs w:val="22"/>
        </w:rPr>
      </w:pPr>
      <w:hyperlink w:anchor="_Toc447116736" w:history="1">
        <w:r w:rsidRPr="005E436C">
          <w:rPr>
            <w:rStyle w:val="Hyperlink"/>
            <w:noProof/>
          </w:rPr>
          <w:t>3.2.1</w:t>
        </w:r>
        <w:r>
          <w:rPr>
            <w:rFonts w:asciiTheme="minorHAnsi" w:eastAsiaTheme="minorEastAsia" w:hAnsiTheme="minorHAnsi" w:cstheme="minorBidi"/>
            <w:noProof/>
            <w:sz w:val="22"/>
            <w:szCs w:val="22"/>
          </w:rPr>
          <w:tab/>
        </w:r>
        <w:r w:rsidRPr="005E436C">
          <w:rPr>
            <w:rStyle w:val="Hyperlink"/>
            <w:noProof/>
          </w:rPr>
          <w:t>Budgeted financial statements tables</w:t>
        </w:r>
        <w:r>
          <w:rPr>
            <w:noProof/>
            <w:webHidden/>
          </w:rPr>
          <w:tab/>
        </w:r>
        <w:r>
          <w:rPr>
            <w:noProof/>
            <w:webHidden/>
          </w:rPr>
          <w:fldChar w:fldCharType="begin"/>
        </w:r>
        <w:r>
          <w:rPr>
            <w:noProof/>
            <w:webHidden/>
          </w:rPr>
          <w:instrText xml:space="preserve"> PAGEREF _Toc447116736 \h </w:instrText>
        </w:r>
        <w:r>
          <w:rPr>
            <w:noProof/>
            <w:webHidden/>
          </w:rPr>
        </w:r>
        <w:r>
          <w:rPr>
            <w:noProof/>
            <w:webHidden/>
          </w:rPr>
          <w:fldChar w:fldCharType="separate"/>
        </w:r>
        <w:r>
          <w:rPr>
            <w:noProof/>
            <w:webHidden/>
          </w:rPr>
          <w:t>110</w:t>
        </w:r>
        <w:r>
          <w:rPr>
            <w:noProof/>
            <w:webHidden/>
          </w:rPr>
          <w:fldChar w:fldCharType="end"/>
        </w:r>
      </w:hyperlink>
    </w:p>
    <w:p w:rsidR="005A3973" w:rsidRDefault="005A3973" w:rsidP="005A3973">
      <w:pPr>
        <w:pStyle w:val="TOC1"/>
      </w:pPr>
      <w:r>
        <w:fldChar w:fldCharType="end"/>
      </w:r>
    </w:p>
    <w:p w:rsidR="005A3973" w:rsidRPr="008B5AFD" w:rsidRDefault="005A3973" w:rsidP="005A3973"/>
    <w:p w:rsidR="005A3973" w:rsidRDefault="005A3973" w:rsidP="005A3973">
      <w:pPr>
        <w:pStyle w:val="Heading1"/>
        <w:sectPr w:rsidR="005A3973" w:rsidSect="00503D00">
          <w:type w:val="oddPage"/>
          <w:pgSz w:w="11907" w:h="16839" w:code="9"/>
          <w:pgMar w:top="2466" w:right="2098" w:bottom="2466" w:left="2098" w:header="1899" w:footer="1899" w:gutter="0"/>
          <w:cols w:space="708"/>
          <w:docGrid w:linePitch="360"/>
        </w:sectPr>
      </w:pPr>
      <w:bookmarkStart w:id="1" w:name="_Toc447611889"/>
    </w:p>
    <w:p w:rsidR="005A3973" w:rsidRDefault="005A3973" w:rsidP="005A3973">
      <w:pPr>
        <w:pStyle w:val="Heading1"/>
      </w:pPr>
      <w:r>
        <w:lastRenderedPageBreak/>
        <w:t>Fair Work Commission</w:t>
      </w:r>
      <w:bookmarkEnd w:id="1"/>
    </w:p>
    <w:p w:rsidR="005A3973" w:rsidRPr="002C4D41" w:rsidRDefault="005A3973" w:rsidP="005A3973">
      <w:pPr>
        <w:pStyle w:val="Heading2"/>
      </w:pPr>
      <w:bookmarkStart w:id="2" w:name="_Toc447006816"/>
      <w:bookmarkStart w:id="3" w:name="_Toc447007154"/>
      <w:bookmarkStart w:id="4" w:name="_Toc447007397"/>
      <w:bookmarkStart w:id="5" w:name="_Toc447008921"/>
      <w:bookmarkStart w:id="6" w:name="_Toc447012778"/>
      <w:bookmarkStart w:id="7" w:name="_Toc447013774"/>
      <w:bookmarkStart w:id="8" w:name="_Toc447016747"/>
      <w:bookmarkStart w:id="9" w:name="_Toc447115172"/>
      <w:bookmarkStart w:id="10" w:name="_Toc447115255"/>
      <w:bookmarkStart w:id="11" w:name="_Toc447115435"/>
      <w:bookmarkStart w:id="12" w:name="_Toc447116728"/>
      <w:bookmarkStart w:id="13" w:name="_Toc447117959"/>
      <w:bookmarkStart w:id="14" w:name="_Toc447119394"/>
      <w:bookmarkStart w:id="15" w:name="_Toc447709897"/>
      <w:bookmarkStart w:id="16" w:name="_Toc449100222"/>
      <w:bookmarkStart w:id="17" w:name="_Toc449623599"/>
      <w:r w:rsidRPr="002C4D41">
        <w:t>Section 1: Entity overview and resources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5A3973" w:rsidRDefault="005A3973" w:rsidP="005A3973">
      <w:pPr>
        <w:pStyle w:val="Heading3"/>
      </w:pPr>
      <w:bookmarkStart w:id="18" w:name="_Toc447006817"/>
      <w:bookmarkStart w:id="19" w:name="_Toc447007155"/>
      <w:bookmarkStart w:id="20" w:name="_Toc447007398"/>
      <w:bookmarkStart w:id="21" w:name="_Toc447008922"/>
      <w:bookmarkStart w:id="22" w:name="_Toc447012779"/>
      <w:bookmarkStart w:id="23" w:name="_Toc447013775"/>
      <w:bookmarkStart w:id="24" w:name="_Toc447016748"/>
      <w:bookmarkStart w:id="25" w:name="_Toc447115173"/>
      <w:bookmarkStart w:id="26" w:name="_Toc447115256"/>
      <w:bookmarkStart w:id="27" w:name="_Toc447115436"/>
      <w:bookmarkStart w:id="28" w:name="_Toc447116729"/>
      <w:bookmarkStart w:id="29" w:name="_Toc447117960"/>
      <w:bookmarkStart w:id="30" w:name="_Toc447119395"/>
      <w:bookmarkStart w:id="31" w:name="_Toc447709898"/>
      <w:bookmarkStart w:id="32" w:name="_Toc449100223"/>
      <w:bookmarkStart w:id="33" w:name="_Toc449623600"/>
      <w:r>
        <w:t>1.1</w:t>
      </w:r>
      <w:r>
        <w:tab/>
        <w:t>Strategic direction statement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3973" w:rsidRDefault="005A3973" w:rsidP="005A3973">
      <w:r>
        <w:t xml:space="preserve">The Fair Work Commission was established by the </w:t>
      </w:r>
      <w:r>
        <w:rPr>
          <w:i/>
        </w:rPr>
        <w:t>Fair Work Act 2009</w:t>
      </w:r>
      <w:r>
        <w:t xml:space="preserve"> (FW Act). The Commission is the independent national workplace relations tribunal responsible for administering provisions of the FW Act. The Commission also has responsibilities in relation to the registration, recognition and accountability of unions and employer organisations under the </w:t>
      </w:r>
      <w:r>
        <w:rPr>
          <w:i/>
        </w:rPr>
        <w:t>Fair Work (Registered Organisations) Act 2009</w:t>
      </w:r>
      <w:r>
        <w:t>.</w:t>
      </w:r>
    </w:p>
    <w:p w:rsidR="005A3973" w:rsidRDefault="005A3973" w:rsidP="005A3973">
      <w:r>
        <w:t>The Fair Work Commission consists of a President, Vice Presidents, Deputy Presidents, Commissioners and Expert Panel Members. The Fair Work Commission also has a General Manager and administrative staff.</w:t>
      </w:r>
    </w:p>
    <w:p w:rsidR="005A3973" w:rsidRDefault="005A3973" w:rsidP="005A3973">
      <w:r>
        <w:t xml:space="preserve">The Fair Work Commission has the power to make and vary awards, make minimum wage orders, approve agreements, resolve workplace and other disputes, determine unfair dismissal claims, deal with applications for orders to stop or prevent workplace bullying and make orders in relation to matters such as good faith bargaining and industrial action.  </w:t>
      </w:r>
    </w:p>
    <w:p w:rsidR="005A3973" w:rsidRDefault="005A3973" w:rsidP="005A3973">
      <w:r>
        <w:t>The</w:t>
      </w:r>
      <w:r>
        <w:rPr>
          <w:i/>
        </w:rPr>
        <w:t xml:space="preserve"> </w:t>
      </w:r>
      <w:r>
        <w:t xml:space="preserve">Fair Work Commission is implementing initiatives aimed at further improving fairness and access to justice; accountability; innovation and efficiency; and productivity and engagement with industry. These initiatives are set out in the publication </w:t>
      </w:r>
      <w:r>
        <w:rPr>
          <w:i/>
        </w:rPr>
        <w:t xml:space="preserve">Future Directions II, </w:t>
      </w:r>
      <w:r>
        <w:t>which is available on the Commission’s website (www.fwc.gov.au).</w:t>
      </w:r>
    </w:p>
    <w:p w:rsidR="005A3973" w:rsidRDefault="005A3973" w:rsidP="005A3973">
      <w:pPr>
        <w:pStyle w:val="Heading3"/>
      </w:pPr>
      <w:r>
        <w:br w:type="page"/>
      </w:r>
      <w:bookmarkStart w:id="34" w:name="_Toc447006818"/>
      <w:bookmarkStart w:id="35" w:name="_Toc447007156"/>
      <w:bookmarkStart w:id="36" w:name="_Toc447007399"/>
      <w:bookmarkStart w:id="37" w:name="_Toc447008923"/>
      <w:bookmarkStart w:id="38" w:name="_Toc447012780"/>
      <w:bookmarkStart w:id="39" w:name="_Toc447013776"/>
      <w:bookmarkStart w:id="40" w:name="_Toc447016749"/>
      <w:bookmarkStart w:id="41" w:name="_Toc447115174"/>
      <w:bookmarkStart w:id="42" w:name="_Toc447115257"/>
      <w:bookmarkStart w:id="43" w:name="_Toc447115437"/>
      <w:bookmarkStart w:id="44" w:name="_Toc447116730"/>
      <w:bookmarkStart w:id="45" w:name="_Toc447117961"/>
      <w:bookmarkStart w:id="46" w:name="_Toc447119396"/>
      <w:bookmarkStart w:id="47" w:name="_Toc447709899"/>
      <w:bookmarkStart w:id="48" w:name="_Toc449100224"/>
      <w:bookmarkStart w:id="49" w:name="_Toc449623601"/>
      <w:r>
        <w:lastRenderedPageBreak/>
        <w:t>1.2</w:t>
      </w:r>
      <w:r>
        <w:tab/>
        <w:t>Entity resource statement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A3973" w:rsidRDefault="005A3973" w:rsidP="005A3973">
      <w:r>
        <w:t xml:space="preserve">Table 1.1 shows the total funding from all sources available to the entity for its operations and to deliver programs and services on behalf of the government. </w:t>
      </w:r>
    </w:p>
    <w:p w:rsidR="005A3973" w:rsidRDefault="005A3973" w:rsidP="005A3973">
      <w:r>
        <w:t>The table summarises how resources will be applied by outcome (government strategic policy objectives) and by administered (on behalf of the government or the public) and departmental (for the entity’s operations) classification.</w:t>
      </w:r>
    </w:p>
    <w:p w:rsidR="005A3973" w:rsidRDefault="005A3973" w:rsidP="005A3973">
      <w:r>
        <w:t xml:space="preserve">For more detailed information please refer to </w:t>
      </w:r>
      <w:r>
        <w:rPr>
          <w:i/>
        </w:rPr>
        <w:t>Budget Paper No. 4—</w:t>
      </w:r>
      <w:r w:rsidRPr="00412C0B">
        <w:rPr>
          <w:i/>
        </w:rPr>
        <w:t>Agency Resourcing</w:t>
      </w:r>
      <w:r>
        <w:t>.</w:t>
      </w:r>
    </w:p>
    <w:p w:rsidR="005A3973" w:rsidRDefault="005A3973" w:rsidP="005A3973">
      <w:r>
        <w:t xml:space="preserve">Information in this table is presented on a resourcing (i.e. appropriations/cash available) basis, whilst the ‘Budgeted expenses by Outcome 1’ tables in Section 2 and the financial statements in Section 3 are presented on an accrual basis. </w:t>
      </w:r>
    </w:p>
    <w:p w:rsidR="005A3973" w:rsidRDefault="005A3973" w:rsidP="005A3973">
      <w:pPr>
        <w:pStyle w:val="TableHeading"/>
      </w:pPr>
      <w:r>
        <w:br w:type="page"/>
      </w:r>
    </w:p>
    <w:p w:rsidR="005A3973" w:rsidRDefault="005A3973" w:rsidP="005A3973">
      <w:pPr>
        <w:pStyle w:val="TableHeading"/>
        <w:rPr>
          <w:lang w:val="en-AU"/>
        </w:rPr>
      </w:pPr>
      <w:r w:rsidRPr="005731D3">
        <w:lastRenderedPageBreak/>
        <w:t xml:space="preserve">Table 1.1: </w:t>
      </w:r>
      <w:r>
        <w:rPr>
          <w:lang w:val="en-AU"/>
        </w:rPr>
        <w:t xml:space="preserve">Fair Work Commission </w:t>
      </w:r>
      <w:r>
        <w:t>resource statement</w:t>
      </w:r>
      <w:r>
        <w:rPr>
          <w:lang w:val="en-AU"/>
        </w:rPr>
        <w:t>—</w:t>
      </w:r>
      <w:r w:rsidRPr="005731D3">
        <w:t>Budget estimates for 2016</w:t>
      </w:r>
      <w:r>
        <w:rPr>
          <w:lang w:val="en-AU"/>
        </w:rPr>
        <w:t>–</w:t>
      </w:r>
      <w:r w:rsidRPr="005731D3">
        <w:t>17 as at Budget May 2016</w:t>
      </w:r>
    </w:p>
    <w:p w:rsidR="005A3973" w:rsidRDefault="005A3973" w:rsidP="005A3973">
      <w:pPr>
        <w:pStyle w:val="TableGraphic"/>
      </w:pPr>
      <w:r w:rsidRPr="009735CC">
        <w:rPr>
          <w:noProof/>
        </w:rPr>
        <w:drawing>
          <wp:inline distT="0" distB="0" distL="0" distR="0" wp14:anchorId="188032AD" wp14:editId="0924D93D">
            <wp:extent cx="4684143" cy="2845617"/>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4143" cy="2845617"/>
                    </a:xfrm>
                    <a:prstGeom prst="rect">
                      <a:avLst/>
                    </a:prstGeom>
                    <a:noFill/>
                    <a:ln>
                      <a:noFill/>
                    </a:ln>
                  </pic:spPr>
                </pic:pic>
              </a:graphicData>
            </a:graphic>
          </wp:inline>
        </w:drawing>
      </w:r>
    </w:p>
    <w:p w:rsidR="005A3973" w:rsidRDefault="005A3973" w:rsidP="005A3973">
      <w:pPr>
        <w:pStyle w:val="ChartandTableFootnote"/>
        <w:spacing w:before="120"/>
      </w:pPr>
      <w:r>
        <w:t>Prepared on a resourcing (i.e. appropriations available) basis.</w:t>
      </w:r>
    </w:p>
    <w:p w:rsidR="005A3973" w:rsidRDefault="005A3973" w:rsidP="005A3973">
      <w:pPr>
        <w:pStyle w:val="ChartandTableFootnote"/>
      </w:pPr>
      <w:r w:rsidRPr="008D3E19">
        <w:rPr>
          <w:u w:val="single"/>
        </w:rPr>
        <w:t>Please note</w:t>
      </w:r>
      <w:r>
        <w:t xml:space="preserve">: All figures shown above are GST exclusive – these may not match figures in the cash flow statement. </w:t>
      </w:r>
    </w:p>
    <w:p w:rsidR="005A3973" w:rsidRPr="005250EE" w:rsidRDefault="005A3973" w:rsidP="005A3973">
      <w:pPr>
        <w:pStyle w:val="ChartandTableFootnoteAlpha"/>
        <w:numPr>
          <w:ilvl w:val="0"/>
          <w:numId w:val="4"/>
        </w:numPr>
        <w:spacing w:before="120"/>
      </w:pPr>
      <w:r>
        <w:t>Appropriation Bill (</w:t>
      </w:r>
      <w:proofErr w:type="spellStart"/>
      <w:r>
        <w:t>No.1</w:t>
      </w:r>
      <w:proofErr w:type="spellEnd"/>
      <w:r>
        <w:t>) 2016–</w:t>
      </w:r>
      <w:r w:rsidRPr="005250EE">
        <w:t>17.</w:t>
      </w:r>
    </w:p>
    <w:p w:rsidR="005A3973" w:rsidRDefault="005A3973" w:rsidP="005A3973">
      <w:pPr>
        <w:pStyle w:val="ChartandTableFootnoteAlpha"/>
      </w:pPr>
      <w:r w:rsidRPr="005250EE">
        <w:t xml:space="preserve">Estimated </w:t>
      </w:r>
      <w:r>
        <w:t>adjusted balance carried forward from previous year</w:t>
      </w:r>
      <w:r w:rsidRPr="005250EE">
        <w:t>.</w:t>
      </w:r>
    </w:p>
    <w:p w:rsidR="005A3973" w:rsidRPr="0031087F" w:rsidRDefault="005A3973" w:rsidP="005A3973">
      <w:pPr>
        <w:pStyle w:val="ChartandTableFootnoteAlpha"/>
      </w:pPr>
      <w:r>
        <w:t xml:space="preserve">Estimated Retained revenue receipts under section 74 of the </w:t>
      </w:r>
      <w:r>
        <w:rPr>
          <w:i/>
        </w:rPr>
        <w:t>Public Governance, Performance and Accountability Act 2013</w:t>
      </w:r>
      <w:r>
        <w:t>.</w:t>
      </w:r>
    </w:p>
    <w:p w:rsidR="005A3973" w:rsidRDefault="005A3973" w:rsidP="005A3973">
      <w:pPr>
        <w:pStyle w:val="ChartandTableFootnoteAlpha"/>
      </w:pPr>
      <w:r w:rsidRPr="008D3E19">
        <w:t>Departmental capital budgets are not separately identified in Appropriation Bill (</w:t>
      </w:r>
      <w:proofErr w:type="spellStart"/>
      <w:r w:rsidRPr="008D3E19">
        <w:t>No.1</w:t>
      </w:r>
      <w:proofErr w:type="spellEnd"/>
      <w:r w:rsidRPr="008D3E19">
        <w:t>)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5A3973" w:rsidRPr="005250EE" w:rsidRDefault="005A3973" w:rsidP="005A3973">
      <w:pPr>
        <w:pStyle w:val="ChartandTableFootnoteAlpha"/>
      </w:pPr>
      <w:r>
        <w:t>Appropriation Bill (</w:t>
      </w:r>
      <w:proofErr w:type="spellStart"/>
      <w:r>
        <w:t>No.2</w:t>
      </w:r>
      <w:proofErr w:type="spellEnd"/>
      <w:r>
        <w:t>) 2016–</w:t>
      </w:r>
      <w:r w:rsidRPr="005250EE">
        <w:t>17.</w:t>
      </w:r>
    </w:p>
    <w:p w:rsidR="005A3973" w:rsidRDefault="005A3973" w:rsidP="005A3973">
      <w:pPr>
        <w:pStyle w:val="ChartandTableFootnoteAlpha"/>
      </w:pPr>
      <w:r w:rsidRPr="00945B1B">
        <w:t xml:space="preserve">Repayments not provided for under other appropriations. Amounts received on or before 30 June 2015 were repaid under section 28 of the </w:t>
      </w:r>
      <w:r w:rsidRPr="0031087F">
        <w:rPr>
          <w:i/>
        </w:rPr>
        <w:t>Financial Management and Accountability Act 1997</w:t>
      </w:r>
      <w:r>
        <w:t>.</w:t>
      </w:r>
    </w:p>
    <w:p w:rsidR="005A3973" w:rsidRDefault="005A3973" w:rsidP="005A3973">
      <w:pPr>
        <w:pStyle w:val="Heading3"/>
      </w:pPr>
      <w:r>
        <w:br w:type="page"/>
      </w:r>
      <w:bookmarkStart w:id="50" w:name="_Toc447006819"/>
      <w:bookmarkStart w:id="51" w:name="_Toc447007157"/>
      <w:bookmarkStart w:id="52" w:name="_Toc447007400"/>
      <w:bookmarkStart w:id="53" w:name="_Toc447008924"/>
      <w:bookmarkStart w:id="54" w:name="_Toc447012781"/>
      <w:bookmarkStart w:id="55" w:name="_Toc447013777"/>
      <w:bookmarkStart w:id="56" w:name="_Toc447016750"/>
      <w:bookmarkStart w:id="57" w:name="_Toc447115175"/>
      <w:bookmarkStart w:id="58" w:name="_Toc447115258"/>
      <w:bookmarkStart w:id="59" w:name="_Toc447115438"/>
      <w:bookmarkStart w:id="60" w:name="_Toc447116731"/>
      <w:bookmarkStart w:id="61" w:name="_Toc447117962"/>
      <w:bookmarkStart w:id="62" w:name="_Toc447119397"/>
      <w:bookmarkStart w:id="63" w:name="_Toc447709900"/>
      <w:bookmarkStart w:id="64" w:name="_Toc449100225"/>
      <w:bookmarkStart w:id="65" w:name="_Toc449623602"/>
      <w:r>
        <w:lastRenderedPageBreak/>
        <w:t>1.3</w:t>
      </w:r>
      <w:r>
        <w:tab/>
        <w:t>Budget measures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A3973" w:rsidRDefault="005A3973" w:rsidP="005A3973">
      <w:r w:rsidRPr="00DC32EC">
        <w:t xml:space="preserve">Budget measures </w:t>
      </w:r>
      <w:r>
        <w:t xml:space="preserve">in Part 1 </w:t>
      </w:r>
      <w:r w:rsidRPr="00DC32EC">
        <w:t>relating to</w:t>
      </w:r>
      <w:r>
        <w:t xml:space="preserve"> the Fair Work Commission</w:t>
      </w:r>
      <w:r w:rsidRPr="00DC32EC">
        <w:t xml:space="preserve"> </w:t>
      </w:r>
      <w:proofErr w:type="gramStart"/>
      <w:r w:rsidRPr="00DC32EC">
        <w:t>a</w:t>
      </w:r>
      <w:r>
        <w:t>re</w:t>
      </w:r>
      <w:proofErr w:type="gramEnd"/>
      <w:r>
        <w:t xml:space="preserve"> detailed in Budget Paper No. </w:t>
      </w:r>
      <w:r w:rsidRPr="00DC32EC">
        <w:t>2</w:t>
      </w:r>
      <w:r>
        <w:t xml:space="preserve"> and are summarised below. </w:t>
      </w:r>
    </w:p>
    <w:p w:rsidR="005A3973" w:rsidRPr="009A40DD" w:rsidRDefault="005A3973" w:rsidP="005A3973">
      <w:pPr>
        <w:pStyle w:val="TableHeading"/>
      </w:pPr>
      <w:r w:rsidRPr="009A40DD">
        <w:t>Table 1.2: Entity 2016</w:t>
      </w:r>
      <w:r>
        <w:rPr>
          <w:lang w:val="en-AU"/>
        </w:rPr>
        <w:t>–</w:t>
      </w:r>
      <w:r w:rsidRPr="009A40DD">
        <w:t>17 Budget measures</w:t>
      </w:r>
    </w:p>
    <w:p w:rsidR="005A3973" w:rsidRPr="009A40DD" w:rsidRDefault="005A3973" w:rsidP="005A3973">
      <w:pPr>
        <w:pStyle w:val="TableHeading"/>
      </w:pPr>
      <w:r w:rsidRPr="009A40DD">
        <w:t>Part 1: Measures announced since the 2015</w:t>
      </w:r>
      <w:r>
        <w:rPr>
          <w:lang w:val="en-AU"/>
        </w:rPr>
        <w:t>–</w:t>
      </w:r>
      <w:r w:rsidRPr="009A40DD">
        <w:t>16 Mid-Year Economic and Fiscal Outlook (</w:t>
      </w:r>
      <w:proofErr w:type="spellStart"/>
      <w:r w:rsidRPr="009A40DD">
        <w:t>MYEFO</w:t>
      </w:r>
      <w:proofErr w:type="spellEnd"/>
      <w:r w:rsidRPr="009A40DD">
        <w:t>)</w:t>
      </w:r>
    </w:p>
    <w:p w:rsidR="005A3973" w:rsidRDefault="005A3973" w:rsidP="005A3973">
      <w:pPr>
        <w:pStyle w:val="TableGraphic"/>
      </w:pPr>
      <w:r w:rsidRPr="00B55F40">
        <w:rPr>
          <w:noProof/>
        </w:rPr>
        <w:drawing>
          <wp:inline distT="0" distB="0" distL="0" distR="0" wp14:anchorId="432E68C0" wp14:editId="66757885">
            <wp:extent cx="4873625" cy="1802765"/>
            <wp:effectExtent l="0" t="0" r="3175" b="698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3625" cy="1802765"/>
                    </a:xfrm>
                    <a:prstGeom prst="rect">
                      <a:avLst/>
                    </a:prstGeom>
                    <a:noFill/>
                    <a:ln>
                      <a:noFill/>
                    </a:ln>
                  </pic:spPr>
                </pic:pic>
              </a:graphicData>
            </a:graphic>
          </wp:inline>
        </w:drawing>
      </w:r>
    </w:p>
    <w:p w:rsidR="005A3973" w:rsidRPr="001F3CEB" w:rsidRDefault="005A3973" w:rsidP="005A3973">
      <w:pPr>
        <w:pStyle w:val="ChartandTableFootnote"/>
        <w:spacing w:before="120"/>
        <w:rPr>
          <w:lang w:val="en-AU"/>
        </w:rPr>
      </w:pPr>
      <w:r w:rsidRPr="002B779E">
        <w:t>Pr</w:t>
      </w:r>
      <w:r>
        <w:t>epared on a Government Finance</w:t>
      </w:r>
      <w:r w:rsidRPr="002B779E">
        <w:t xml:space="preserve"> Statistics </w:t>
      </w:r>
      <w:r>
        <w:t xml:space="preserve">(fiscal) </w:t>
      </w:r>
      <w:r w:rsidRPr="002B779E">
        <w:t>basis</w:t>
      </w:r>
      <w:r>
        <w:t>. Figures displayed as a negative (-) represent a decrease in funds and a positive (+) represent an increase in funds.</w:t>
      </w:r>
    </w:p>
    <w:p w:rsidR="005A3973" w:rsidRPr="005C4BEE" w:rsidRDefault="005A3973" w:rsidP="005A3973">
      <w:pPr>
        <w:pStyle w:val="TableHeadingcontinued"/>
        <w:spacing w:before="240"/>
        <w:rPr>
          <w:sz w:val="16"/>
        </w:rPr>
      </w:pPr>
      <w:r w:rsidRPr="005C4BEE">
        <w:t xml:space="preserve">Part 2: </w:t>
      </w:r>
      <w:r>
        <w:t>Other m</w:t>
      </w:r>
      <w:r w:rsidRPr="005C4BEE">
        <w:t>easures not previously reported in a portfolio statement</w:t>
      </w:r>
    </w:p>
    <w:p w:rsidR="005A3973" w:rsidRDefault="005A3973" w:rsidP="005A3973">
      <w:pPr>
        <w:pStyle w:val="TableGraphic"/>
      </w:pPr>
      <w:r w:rsidRPr="001F3CEB">
        <w:rPr>
          <w:noProof/>
        </w:rPr>
        <w:drawing>
          <wp:inline distT="0" distB="0" distL="0" distR="0" wp14:anchorId="4339C35E" wp14:editId="1A08D0BB">
            <wp:extent cx="4873625" cy="1776730"/>
            <wp:effectExtent l="0" t="0" r="3175"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3625" cy="1776730"/>
                    </a:xfrm>
                    <a:prstGeom prst="rect">
                      <a:avLst/>
                    </a:prstGeom>
                    <a:noFill/>
                    <a:ln>
                      <a:noFill/>
                    </a:ln>
                  </pic:spPr>
                </pic:pic>
              </a:graphicData>
            </a:graphic>
          </wp:inline>
        </w:drawing>
      </w:r>
    </w:p>
    <w:p w:rsidR="005A3973" w:rsidRPr="001F3CEB" w:rsidRDefault="005A3973" w:rsidP="005A3973">
      <w:pPr>
        <w:pStyle w:val="ChartandTableFootnoteAlpha"/>
        <w:numPr>
          <w:ilvl w:val="0"/>
          <w:numId w:val="8"/>
        </w:numPr>
        <w:spacing w:before="120"/>
      </w:pPr>
      <w:r w:rsidRPr="00945B1B">
        <w:t>This measure was first published in the 2015</w:t>
      </w:r>
      <w:r>
        <w:t>–</w:t>
      </w:r>
      <w:r w:rsidRPr="00945B1B">
        <w:t>16 Budget.</w:t>
      </w:r>
    </w:p>
    <w:p w:rsidR="005A3973" w:rsidRDefault="005A3973" w:rsidP="005A3973">
      <w:pPr>
        <w:pStyle w:val="ChartandTableFootnote"/>
        <w:spacing w:before="120"/>
      </w:pPr>
      <w:r w:rsidRPr="006C5EE1">
        <w:t xml:space="preserve">Prepared on a Government </w:t>
      </w:r>
      <w:r>
        <w:t>Finance</w:t>
      </w:r>
      <w:r w:rsidRPr="006C5EE1">
        <w:t xml:space="preserve"> Statistics (fiscal) basis</w:t>
      </w:r>
      <w:r>
        <w:t xml:space="preserve">. Figures displayed as a negative (-) represent a decrease in funds and a positive (+) represent an increase in funds. </w:t>
      </w:r>
    </w:p>
    <w:p w:rsidR="005A3973" w:rsidRPr="00810C6A" w:rsidRDefault="005A3973" w:rsidP="005A3973">
      <w:pPr>
        <w:pStyle w:val="Heading2"/>
      </w:pPr>
      <w:r>
        <w:br w:type="page"/>
      </w:r>
      <w:bookmarkStart w:id="66" w:name="_Toc447006820"/>
      <w:bookmarkStart w:id="67" w:name="_Toc447007158"/>
      <w:bookmarkStart w:id="68" w:name="_Toc447007401"/>
      <w:bookmarkStart w:id="69" w:name="_Toc447008925"/>
      <w:bookmarkStart w:id="70" w:name="_Toc447012782"/>
      <w:bookmarkStart w:id="71" w:name="_Toc447013778"/>
      <w:bookmarkStart w:id="72" w:name="_Toc447016751"/>
      <w:bookmarkStart w:id="73" w:name="_Toc447115176"/>
      <w:bookmarkStart w:id="74" w:name="_Toc447115259"/>
      <w:bookmarkStart w:id="75" w:name="_Toc447115439"/>
      <w:bookmarkStart w:id="76" w:name="_Toc447116732"/>
      <w:bookmarkStart w:id="77" w:name="_Toc447117963"/>
      <w:bookmarkStart w:id="78" w:name="_Toc447119398"/>
      <w:bookmarkStart w:id="79" w:name="_Toc447709901"/>
      <w:bookmarkStart w:id="80" w:name="_Toc449100226"/>
      <w:bookmarkStart w:id="81" w:name="_Toc449623603"/>
      <w:r w:rsidRPr="00810C6A">
        <w:lastRenderedPageBreak/>
        <w:t>Section 2: Outcomes and planned performance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5A3973" w:rsidRPr="005E6F2B" w:rsidRDefault="005A3973" w:rsidP="005A3973">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5A3973" w:rsidRPr="005E6F2B" w:rsidRDefault="005A3973" w:rsidP="005A3973">
      <w:r w:rsidRPr="005E6F2B">
        <w:t xml:space="preserve">Each outcome is described below together with its related programs. The following provides detailed information on expenses for each outcome and program, further broken down by funding source. </w:t>
      </w:r>
    </w:p>
    <w:p w:rsidR="005A3973" w:rsidRPr="006906E4" w:rsidRDefault="005A3973" w:rsidP="005A3973">
      <w:pPr>
        <w:pBdr>
          <w:top w:val="single" w:sz="2" w:space="6" w:color="auto"/>
          <w:left w:val="single" w:sz="2" w:space="4" w:color="auto"/>
          <w:bottom w:val="single" w:sz="2" w:space="6" w:color="auto"/>
          <w:right w:val="single" w:sz="2" w:space="4" w:color="auto"/>
        </w:pBdr>
        <w:rPr>
          <w:b/>
        </w:rPr>
      </w:pPr>
      <w:r w:rsidRPr="006906E4">
        <w:rPr>
          <w:b/>
        </w:rPr>
        <w:t>Note:</w:t>
      </w:r>
    </w:p>
    <w:p w:rsidR="005A3973" w:rsidRDefault="005A3973" w:rsidP="005A3973">
      <w:pPr>
        <w:pBdr>
          <w:top w:val="single" w:sz="2" w:space="6" w:color="auto"/>
          <w:left w:val="single" w:sz="2" w:space="4" w:color="auto"/>
          <w:bottom w:val="single" w:sz="2" w:space="6" w:color="auto"/>
          <w:right w:val="single" w:sz="2" w:space="4" w:color="auto"/>
        </w:pBdr>
        <w:rPr>
          <w:highlight w:val="yellow"/>
        </w:rP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5A3973" w:rsidRDefault="005A3973" w:rsidP="005A3973">
      <w:pPr>
        <w:rPr>
          <w:highlight w:val="yellow"/>
        </w:rPr>
      </w:pPr>
    </w:p>
    <w:p w:rsidR="005A3973" w:rsidRPr="005E6F2B" w:rsidRDefault="005A3973" w:rsidP="005A3973">
      <w:pPr>
        <w:pStyle w:val="Heading3"/>
      </w:pPr>
      <w:bookmarkStart w:id="82" w:name="_Toc447116733"/>
      <w:bookmarkStart w:id="83" w:name="_Toc447117964"/>
      <w:bookmarkStart w:id="84" w:name="_Toc447119399"/>
      <w:bookmarkStart w:id="85" w:name="_Toc447006821"/>
      <w:bookmarkStart w:id="86" w:name="_Toc447007159"/>
      <w:bookmarkStart w:id="87" w:name="_Toc447007402"/>
      <w:bookmarkStart w:id="88" w:name="_Toc447008926"/>
      <w:bookmarkStart w:id="89" w:name="_Toc447012783"/>
      <w:bookmarkStart w:id="90" w:name="_Toc447013779"/>
      <w:bookmarkStart w:id="91" w:name="_Toc447016752"/>
      <w:bookmarkStart w:id="92" w:name="_Toc447115177"/>
      <w:bookmarkStart w:id="93" w:name="_Toc447115260"/>
      <w:bookmarkStart w:id="94" w:name="_Toc447115440"/>
      <w:bookmarkStart w:id="95" w:name="_Toc447709902"/>
      <w:bookmarkStart w:id="96" w:name="_Toc449100227"/>
      <w:bookmarkStart w:id="97" w:name="_Toc449623604"/>
      <w:r w:rsidRPr="00F743D8">
        <w:t>2.</w:t>
      </w:r>
      <w:r>
        <w:t>1</w:t>
      </w:r>
      <w:r w:rsidRPr="00F743D8">
        <w:t xml:space="preserve"> </w:t>
      </w:r>
      <w:r w:rsidRPr="00F743D8">
        <w:tab/>
        <w:t xml:space="preserve">Budgeted expenses and performance for Outcome </w:t>
      </w:r>
      <w:r>
        <w:t>1</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E6F2B">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5A3973" w:rsidRPr="005E6F2B" w:rsidTr="00DC4D04">
        <w:tc>
          <w:tcPr>
            <w:tcW w:w="7713" w:type="dxa"/>
            <w:shd w:val="clear" w:color="auto" w:fill="E6E6E6"/>
          </w:tcPr>
          <w:p w:rsidR="005A3973" w:rsidRPr="005E6F2B" w:rsidRDefault="005A3973" w:rsidP="00DC4D04">
            <w:pPr>
              <w:pStyle w:val="TableColumnHeadingLeft"/>
            </w:pPr>
            <w:r w:rsidRPr="005E6F2B">
              <w:t xml:space="preserve">Outcome </w:t>
            </w:r>
            <w:r>
              <w:t>1</w:t>
            </w:r>
            <w:r w:rsidRPr="005E6F2B">
              <w:t xml:space="preserve">: </w:t>
            </w:r>
            <w:r>
              <w:t xml:space="preserve">Simple, fair and flexible workplace relations for employees and employers through the exercise of powers to set and vary minimum wages and modern awards, facilitate collective bargaining, approve agreements and deal with disputes. </w:t>
            </w:r>
          </w:p>
        </w:tc>
      </w:tr>
    </w:tbl>
    <w:p w:rsidR="005A3973" w:rsidRPr="00446612" w:rsidRDefault="005A3973" w:rsidP="005A3973">
      <w:pPr>
        <w:pStyle w:val="Heading5"/>
      </w:pPr>
      <w:r w:rsidRPr="00446612">
        <w:t xml:space="preserve">Budgeted expenses for Outcome </w:t>
      </w:r>
      <w:r>
        <w:t>1</w:t>
      </w:r>
    </w:p>
    <w:p w:rsidR="005A3973" w:rsidRDefault="005A3973" w:rsidP="005A3973">
      <w:r w:rsidRPr="00950281">
        <w:t xml:space="preserve">This table shows how much the entity intends to spend (on an accrual basis) on achieving the outcome, broken down by program, as well as by Administered and Departmental funding sources. </w:t>
      </w:r>
    </w:p>
    <w:p w:rsidR="005A3973" w:rsidRDefault="005A3973" w:rsidP="005A3973">
      <w:pPr>
        <w:spacing w:after="0"/>
        <w:rPr>
          <w:b/>
          <w:color w:val="000000"/>
          <w:lang w:val="x-none" w:eastAsia="x-none"/>
        </w:rPr>
      </w:pPr>
      <w:r>
        <w:br w:type="page"/>
      </w:r>
    </w:p>
    <w:p w:rsidR="005A3973" w:rsidRPr="001F6C49" w:rsidRDefault="005A3973" w:rsidP="005A3973">
      <w:pPr>
        <w:pStyle w:val="TableHeading"/>
        <w:rPr>
          <w:lang w:val="en-AU"/>
        </w:rPr>
      </w:pPr>
      <w:r>
        <w:lastRenderedPageBreak/>
        <w:t>Table 2.</w:t>
      </w:r>
      <w:r>
        <w:rPr>
          <w:lang w:val="en-AU"/>
        </w:rPr>
        <w:t>1</w:t>
      </w:r>
      <w:r>
        <w:t xml:space="preserve">.1: Budgeted expenses for Outcome </w:t>
      </w:r>
      <w:r>
        <w:rPr>
          <w:lang w:val="en-AU"/>
        </w:rPr>
        <w:t>1</w:t>
      </w:r>
    </w:p>
    <w:p w:rsidR="005A3973" w:rsidRDefault="005A3973" w:rsidP="005A3973">
      <w:pPr>
        <w:pStyle w:val="TableGraphic"/>
      </w:pPr>
      <w:r w:rsidRPr="006D7FB5">
        <w:rPr>
          <w:noProof/>
        </w:rPr>
        <w:drawing>
          <wp:inline distT="0" distB="0" distL="0" distR="0" wp14:anchorId="3E86324A" wp14:editId="3D441853">
            <wp:extent cx="4896485" cy="327853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485" cy="3278532"/>
                    </a:xfrm>
                    <a:prstGeom prst="rect">
                      <a:avLst/>
                    </a:prstGeom>
                    <a:noFill/>
                    <a:ln>
                      <a:noFill/>
                    </a:ln>
                  </pic:spPr>
                </pic:pic>
              </a:graphicData>
            </a:graphic>
          </wp:inline>
        </w:drawing>
      </w:r>
    </w:p>
    <w:p w:rsidR="005A3973" w:rsidRDefault="005A3973" w:rsidP="005A3973">
      <w:pPr>
        <w:pStyle w:val="ChartandTableFootnoteAlpha"/>
        <w:numPr>
          <w:ilvl w:val="0"/>
          <w:numId w:val="9"/>
        </w:numPr>
        <w:spacing w:before="120"/>
      </w:pPr>
      <w:r w:rsidRPr="00B10419">
        <w:t xml:space="preserve">Repayments not provided for under other appropriations. Amounts received on or before 30 June 2015 were repaid under section 28 of the </w:t>
      </w:r>
      <w:r w:rsidRPr="00DF511F">
        <w:rPr>
          <w:i/>
        </w:rPr>
        <w:t>Financial Management and Accountability Act 1997</w:t>
      </w:r>
      <w:r w:rsidRPr="00B10419">
        <w:t>.</w:t>
      </w:r>
    </w:p>
    <w:p w:rsidR="005A3973" w:rsidRDefault="005A3973" w:rsidP="005A3973">
      <w:pPr>
        <w:pStyle w:val="ChartandTableFootnoteAlpha"/>
        <w:numPr>
          <w:ilvl w:val="0"/>
          <w:numId w:val="9"/>
        </w:numPr>
      </w:pPr>
      <w:r w:rsidRPr="00B10419">
        <w:t>Estimated expenses incurred in relation to receipts retained under</w:t>
      </w:r>
      <w:r>
        <w:t xml:space="preserve"> section 74 of the </w:t>
      </w:r>
      <w:r w:rsidRPr="00DF511F">
        <w:rPr>
          <w:i/>
        </w:rPr>
        <w:t>Public Governance, Performance and Accountability Act 2013</w:t>
      </w:r>
      <w:r w:rsidRPr="00B10419">
        <w:t>.</w:t>
      </w:r>
    </w:p>
    <w:p w:rsidR="005A3973" w:rsidRPr="00B10419" w:rsidRDefault="005A3973" w:rsidP="005A3973">
      <w:pPr>
        <w:pStyle w:val="ChartandTableFootnoteAlpha"/>
        <w:numPr>
          <w:ilvl w:val="0"/>
          <w:numId w:val="9"/>
        </w:numPr>
      </w:pPr>
      <w:r w:rsidRPr="00B10419">
        <w:t xml:space="preserve">Expenses not requiring appropriation in the Budget year are made up of depreciation expenses, amortisation expenses, </w:t>
      </w:r>
      <w:r>
        <w:t xml:space="preserve">and </w:t>
      </w:r>
      <w:r w:rsidRPr="00B10419">
        <w:t>audit fees.</w:t>
      </w:r>
    </w:p>
    <w:p w:rsidR="005A3973" w:rsidRPr="006D1AA2" w:rsidRDefault="005A3973" w:rsidP="005A3973">
      <w:pPr>
        <w:pStyle w:val="ChartandTableFootnote"/>
        <w:spacing w:before="120"/>
      </w:pPr>
      <w:r w:rsidRPr="00446612">
        <w:t>Note: Departmental appropriation splits and totals are indicative estimates and may change in the course of the budget year as government priorities change.</w:t>
      </w:r>
      <w:r>
        <w:rPr>
          <w:highlight w:val="yellow"/>
        </w:rPr>
        <w:br w:type="page"/>
      </w:r>
    </w:p>
    <w:p w:rsidR="005A3973" w:rsidRPr="00F71634" w:rsidRDefault="005A3973" w:rsidP="005A3973">
      <w:pPr>
        <w:pStyle w:val="Heading5"/>
      </w:pPr>
      <w:r w:rsidRPr="00F71634">
        <w:lastRenderedPageBreak/>
        <w:t>Table 2.</w:t>
      </w:r>
      <w:r>
        <w:t>1.2</w:t>
      </w:r>
      <w:r w:rsidRPr="00F71634">
        <w:t xml:space="preserve">: Performance criteria for Outcome </w:t>
      </w:r>
      <w:r>
        <w:t>1</w:t>
      </w:r>
    </w:p>
    <w:p w:rsidR="005A3973" w:rsidRPr="00F71634" w:rsidRDefault="005A3973" w:rsidP="005A3973">
      <w:pPr>
        <w:tabs>
          <w:tab w:val="left" w:pos="709"/>
        </w:tabs>
      </w:pPr>
      <w:r w:rsidRPr="00F71634">
        <w:t>Table 2.</w:t>
      </w:r>
      <w:r>
        <w:t>1.2</w:t>
      </w:r>
      <w:r w:rsidRPr="00F71634">
        <w:t xml:space="preserve"> below details the performance criteria for each program associated with Outcome </w:t>
      </w:r>
      <w:r>
        <w:t>1</w:t>
      </w:r>
      <w:r w:rsidRPr="00F71634">
        <w:t>. It also summarises how each program is delivered and where 2016</w:t>
      </w:r>
      <w:r>
        <w:t>–</w:t>
      </w:r>
      <w:r w:rsidRPr="00F71634">
        <w:t>17 Budget measures have created new programs or materially changed existing programs.</w:t>
      </w:r>
      <w:r w:rsidRPr="009B011E">
        <w:rPr>
          <w:i/>
          <w:color w:val="FF0000"/>
        </w:rPr>
        <w:t xml:space="preserve"> </w:t>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663"/>
      </w:tblGrid>
      <w:tr w:rsidR="005A3973" w:rsidRPr="00F71634" w:rsidTr="00DC4D04">
        <w:trPr>
          <w:trHeight w:val="659"/>
          <w:tblHeader/>
        </w:trPr>
        <w:tc>
          <w:tcPr>
            <w:tcW w:w="7911" w:type="dxa"/>
            <w:gridSpan w:val="2"/>
            <w:shd w:val="clear" w:color="auto" w:fill="F2F2F2"/>
          </w:tcPr>
          <w:p w:rsidR="005A3973" w:rsidRPr="005D19DF" w:rsidRDefault="005A3973" w:rsidP="00DC4D04">
            <w:pPr>
              <w:pStyle w:val="TableTextLeft"/>
              <w:rPr>
                <w:b/>
              </w:rPr>
            </w:pPr>
            <w:r w:rsidRPr="005D19DF">
              <w:rPr>
                <w:b/>
              </w:rPr>
              <w:t>Outcome 1—Simple, fair and flexible workplace relations for employees and employers through the exercise of powers to set and vary minimum wages and modern awards, facilitate collective bargaining, approve agreements and deal with disputes.</w:t>
            </w:r>
          </w:p>
        </w:tc>
      </w:tr>
      <w:tr w:rsidR="005A3973" w:rsidRPr="00F71634" w:rsidTr="00DC4D04">
        <w:trPr>
          <w:trHeight w:val="1180"/>
        </w:trPr>
        <w:tc>
          <w:tcPr>
            <w:tcW w:w="7911" w:type="dxa"/>
            <w:gridSpan w:val="2"/>
            <w:shd w:val="clear" w:color="auto" w:fill="F2F2F2"/>
          </w:tcPr>
          <w:p w:rsidR="005A3973" w:rsidRPr="008E16E8" w:rsidRDefault="005A3973" w:rsidP="00DC4D04">
            <w:pPr>
              <w:pStyle w:val="TableTextLeft"/>
              <w:rPr>
                <w:rFonts w:cs="Arial"/>
                <w:szCs w:val="18"/>
              </w:rPr>
            </w:pPr>
            <w:r w:rsidRPr="008E16E8">
              <w:rPr>
                <w:rFonts w:cs="Arial"/>
                <w:b/>
                <w:szCs w:val="18"/>
              </w:rPr>
              <w:t>Program 1.1—Dispute resolution, minimum wage setting, orders and approval of agreements</w:t>
            </w:r>
            <w:r w:rsidRPr="008E16E8">
              <w:rPr>
                <w:rFonts w:cs="Arial"/>
                <w:szCs w:val="18"/>
              </w:rPr>
              <w:t xml:space="preserve">. </w:t>
            </w:r>
          </w:p>
          <w:p w:rsidR="005A3973" w:rsidRPr="0017313F" w:rsidRDefault="005A3973" w:rsidP="00DC4D04">
            <w:pPr>
              <w:pStyle w:val="TableTextLeft"/>
            </w:pPr>
            <w:r w:rsidRPr="008E16E8">
              <w:t xml:space="preserve">The Fair Work Commission exercises powers under the </w:t>
            </w:r>
            <w:r w:rsidRPr="008E16E8">
              <w:rPr>
                <w:i/>
              </w:rPr>
              <w:t>Fair Work Act 2009</w:t>
            </w:r>
            <w:r w:rsidRPr="008E16E8">
              <w:t xml:space="preserve"> in accordance with the objects of the Act and in a manner that is fair and just; is quick, informal and avoids unnecessary technicalities.</w:t>
            </w:r>
          </w:p>
        </w:tc>
      </w:tr>
      <w:tr w:rsidR="005A3973" w:rsidRPr="00F71634" w:rsidTr="00DC4D04">
        <w:trPr>
          <w:trHeight w:val="3209"/>
        </w:trPr>
        <w:tc>
          <w:tcPr>
            <w:tcW w:w="1248" w:type="dxa"/>
            <w:tcBorders>
              <w:bottom w:val="single" w:sz="4" w:space="0" w:color="auto"/>
            </w:tcBorders>
          </w:tcPr>
          <w:p w:rsidR="005A3973" w:rsidRPr="00AC5BF8" w:rsidRDefault="005A3973" w:rsidP="00DC4D04">
            <w:pPr>
              <w:pStyle w:val="TableTextLeft"/>
            </w:pPr>
            <w:r w:rsidRPr="00AC5BF8">
              <w:t>Purpose</w:t>
            </w:r>
          </w:p>
        </w:tc>
        <w:tc>
          <w:tcPr>
            <w:tcW w:w="6663" w:type="dxa"/>
            <w:tcBorders>
              <w:bottom w:val="single" w:sz="4" w:space="0" w:color="auto"/>
            </w:tcBorders>
          </w:tcPr>
          <w:p w:rsidR="005A3973" w:rsidRPr="00C008C8" w:rsidRDefault="005A3973" w:rsidP="00DC4D04">
            <w:pPr>
              <w:pStyle w:val="TableTextLeft"/>
            </w:pPr>
            <w:r>
              <w:t xml:space="preserve">The Fair Work Commission is Australia’s national workplace relations tribunal. </w:t>
            </w:r>
            <w:r w:rsidRPr="00C008C8">
              <w:t>The overarching purpose of the Fair Work Commission is to exercise powers and fu</w:t>
            </w:r>
            <w:r>
              <w:t xml:space="preserve">nctions under legislation. </w:t>
            </w:r>
            <w:r w:rsidRPr="00C008C8">
              <w:t>The Com</w:t>
            </w:r>
            <w:r>
              <w:t>mission is an independent body:</w:t>
            </w:r>
          </w:p>
          <w:p w:rsidR="005A3973" w:rsidRPr="00325F72" w:rsidRDefault="005A3973" w:rsidP="00DC4D04">
            <w:pPr>
              <w:pStyle w:val="TableTextBullet"/>
            </w:pPr>
            <w:r w:rsidRPr="00325F72">
              <w:t xml:space="preserve">providing a safety net of minimum conditions, including minimum wages, in awards </w:t>
            </w:r>
          </w:p>
          <w:p w:rsidR="005A3973" w:rsidRPr="00325F72" w:rsidRDefault="005A3973" w:rsidP="00DC4D04">
            <w:pPr>
              <w:pStyle w:val="TableTextBullet"/>
            </w:pPr>
            <w:r w:rsidRPr="00325F72">
              <w:t>facilitating good faith bargaining and the making of enterprise agreements</w:t>
            </w:r>
          </w:p>
          <w:p w:rsidR="005A3973" w:rsidRPr="00325F72" w:rsidRDefault="005A3973" w:rsidP="00DC4D04">
            <w:pPr>
              <w:pStyle w:val="TableTextBullet"/>
            </w:pPr>
            <w:r w:rsidRPr="00325F72">
              <w:t>granting remedies for unfair dismissal</w:t>
            </w:r>
          </w:p>
          <w:p w:rsidR="005A3973" w:rsidRPr="00325F72" w:rsidRDefault="005A3973" w:rsidP="00DC4D04">
            <w:pPr>
              <w:pStyle w:val="TableTextBullet"/>
            </w:pPr>
            <w:r w:rsidRPr="00325F72">
              <w:t>regulating the taking of industrial action</w:t>
            </w:r>
          </w:p>
          <w:p w:rsidR="005A3973" w:rsidRPr="00325F72" w:rsidRDefault="005A3973" w:rsidP="00DC4D04">
            <w:pPr>
              <w:pStyle w:val="TableTextBullet"/>
            </w:pPr>
            <w:r w:rsidRPr="00325F72">
              <w:t>resolving a range of collective and individual workplace disputes through conciliation, mediation and in some cases arbitration</w:t>
            </w:r>
          </w:p>
          <w:p w:rsidR="005A3973" w:rsidRPr="00325F72" w:rsidRDefault="005A3973" w:rsidP="00DC4D04">
            <w:pPr>
              <w:pStyle w:val="TableTextBullet"/>
            </w:pPr>
            <w:proofErr w:type="gramStart"/>
            <w:r w:rsidRPr="00893A1F">
              <w:t>function</w:t>
            </w:r>
            <w:r>
              <w:t>ing</w:t>
            </w:r>
            <w:proofErr w:type="gramEnd"/>
            <w:r w:rsidRPr="00893A1F">
              <w:t xml:space="preserve"> in connection with workplace determinations, equal remuneration, transfer of business, general workplace protections, </w:t>
            </w:r>
            <w:r>
              <w:t>right of entry and stand down.</w:t>
            </w:r>
          </w:p>
        </w:tc>
      </w:tr>
      <w:tr w:rsidR="005A3973" w:rsidRPr="00F71634" w:rsidTr="00DC4D04">
        <w:trPr>
          <w:trHeight w:val="1512"/>
        </w:trPr>
        <w:tc>
          <w:tcPr>
            <w:tcW w:w="1248" w:type="dxa"/>
          </w:tcPr>
          <w:p w:rsidR="005A3973" w:rsidRPr="00AC5BF8" w:rsidRDefault="005A3973" w:rsidP="00DC4D04">
            <w:pPr>
              <w:pStyle w:val="TableTextLeft"/>
            </w:pPr>
            <w:r w:rsidRPr="00AC5BF8">
              <w:t>Delivery</w:t>
            </w:r>
          </w:p>
        </w:tc>
        <w:tc>
          <w:tcPr>
            <w:tcW w:w="6663" w:type="dxa"/>
          </w:tcPr>
          <w:p w:rsidR="005A3973" w:rsidRDefault="005A3973" w:rsidP="00DC4D04">
            <w:pPr>
              <w:pStyle w:val="TableTextLeft"/>
            </w:pPr>
            <w:r>
              <w:t xml:space="preserve">The Fair Work Commission’s deliverables are: </w:t>
            </w:r>
          </w:p>
          <w:p w:rsidR="005A3973" w:rsidRDefault="005A3973" w:rsidP="00DC4D04">
            <w:pPr>
              <w:pStyle w:val="TableTextBullet"/>
            </w:pPr>
            <w:r>
              <w:t xml:space="preserve">promoting cooperative and productive workplace relations </w:t>
            </w:r>
          </w:p>
          <w:p w:rsidR="005A3973" w:rsidRDefault="005A3973" w:rsidP="00DC4D04">
            <w:pPr>
              <w:pStyle w:val="TableTextBullet"/>
            </w:pPr>
            <w:r>
              <w:t xml:space="preserve">resolving unfair dismissal claims </w:t>
            </w:r>
          </w:p>
          <w:p w:rsidR="005A3973" w:rsidRDefault="005A3973" w:rsidP="00DC4D04">
            <w:pPr>
              <w:pStyle w:val="TableTextBullet"/>
            </w:pPr>
            <w:r>
              <w:t xml:space="preserve">making stop orders to stop or prevent bullying at work </w:t>
            </w:r>
          </w:p>
          <w:p w:rsidR="005A3973" w:rsidRDefault="005A3973" w:rsidP="00DC4D04">
            <w:pPr>
              <w:pStyle w:val="TableTextBullet"/>
            </w:pPr>
            <w:r>
              <w:t xml:space="preserve">dealing with general protections claims </w:t>
            </w:r>
          </w:p>
          <w:p w:rsidR="005A3973" w:rsidRDefault="005A3973" w:rsidP="00DC4D04">
            <w:pPr>
              <w:pStyle w:val="TableTextBullet"/>
            </w:pPr>
            <w:r>
              <w:t xml:space="preserve">setting the national minimum wage </w:t>
            </w:r>
          </w:p>
          <w:p w:rsidR="005A3973" w:rsidRDefault="005A3973" w:rsidP="00DC4D04">
            <w:pPr>
              <w:pStyle w:val="TableTextBullet"/>
            </w:pPr>
            <w:r>
              <w:t xml:space="preserve">creating, reviewing and varying modern awards </w:t>
            </w:r>
          </w:p>
          <w:p w:rsidR="005A3973" w:rsidRDefault="005A3973" w:rsidP="00DC4D04">
            <w:pPr>
              <w:pStyle w:val="TableTextBullet"/>
            </w:pPr>
            <w:r>
              <w:t xml:space="preserve">approving enterprise agreements </w:t>
            </w:r>
          </w:p>
          <w:p w:rsidR="005A3973" w:rsidRDefault="005A3973" w:rsidP="00DC4D04">
            <w:pPr>
              <w:pStyle w:val="TableTextBullet"/>
            </w:pPr>
            <w:r>
              <w:t xml:space="preserve">assisting the bargaining process for enterprise agreements </w:t>
            </w:r>
          </w:p>
          <w:p w:rsidR="005A3973" w:rsidRDefault="005A3973" w:rsidP="00DC4D04">
            <w:pPr>
              <w:pStyle w:val="TableTextBullet"/>
            </w:pPr>
            <w:r>
              <w:t xml:space="preserve">assisting with the prevention and resolution of industrial disputes </w:t>
            </w:r>
          </w:p>
          <w:p w:rsidR="005A3973" w:rsidRDefault="005A3973" w:rsidP="00DC4D04">
            <w:pPr>
              <w:pStyle w:val="TableTextBullet"/>
            </w:pPr>
            <w:r>
              <w:t xml:space="preserve">determining applications for right of entry permits </w:t>
            </w:r>
          </w:p>
          <w:p w:rsidR="005A3973" w:rsidRPr="0017313F" w:rsidRDefault="005A3973" w:rsidP="00DC4D04">
            <w:pPr>
              <w:pStyle w:val="TableTextBullet"/>
            </w:pPr>
            <w:proofErr w:type="gramStart"/>
            <w:r>
              <w:t>regulation</w:t>
            </w:r>
            <w:proofErr w:type="gramEnd"/>
            <w:r>
              <w:t xml:space="preserve"> of federally registered organisations of employers and employees.</w:t>
            </w:r>
          </w:p>
        </w:tc>
      </w:tr>
    </w:tbl>
    <w:p w:rsidR="005A3973" w:rsidRDefault="005A3973" w:rsidP="005A3973"/>
    <w:p w:rsidR="005A3973" w:rsidRDefault="005A3973" w:rsidP="005A3973">
      <w:pPr>
        <w:spacing w:after="0"/>
      </w:pPr>
      <w:r>
        <w:br w:type="page"/>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828"/>
        <w:gridCol w:w="2820"/>
        <w:gridCol w:w="15"/>
      </w:tblGrid>
      <w:tr w:rsidR="005A3973" w:rsidRPr="00AC5BF8" w:rsidTr="00DC4D04">
        <w:trPr>
          <w:trHeight w:val="146"/>
        </w:trPr>
        <w:tc>
          <w:tcPr>
            <w:tcW w:w="7911" w:type="dxa"/>
            <w:gridSpan w:val="4"/>
            <w:tcBorders>
              <w:top w:val="double" w:sz="4" w:space="0" w:color="auto"/>
              <w:bottom w:val="double" w:sz="4" w:space="0" w:color="auto"/>
            </w:tcBorders>
          </w:tcPr>
          <w:p w:rsidR="005A3973" w:rsidRPr="005D19DF" w:rsidRDefault="005A3973" w:rsidP="00DC4D04">
            <w:pPr>
              <w:pStyle w:val="TableTextLeft"/>
              <w:rPr>
                <w:b/>
              </w:rPr>
            </w:pPr>
            <w:r w:rsidRPr="005D19DF">
              <w:rPr>
                <w:b/>
              </w:rPr>
              <w:lastRenderedPageBreak/>
              <w:t>Objective 1—The Fair Work Commission is accountable and transparent</w:t>
            </w:r>
          </w:p>
        </w:tc>
      </w:tr>
      <w:tr w:rsidR="005A3973" w:rsidRPr="00F633EA" w:rsidTr="00DC4D04">
        <w:trPr>
          <w:gridAfter w:val="1"/>
          <w:wAfter w:w="15" w:type="dxa"/>
        </w:trPr>
        <w:tc>
          <w:tcPr>
            <w:tcW w:w="7896" w:type="dxa"/>
            <w:gridSpan w:val="3"/>
            <w:tcBorders>
              <w:top w:val="double" w:sz="4" w:space="0" w:color="auto"/>
              <w:bottom w:val="double" w:sz="4" w:space="0" w:color="auto"/>
            </w:tcBorders>
          </w:tcPr>
          <w:p w:rsidR="005A3973" w:rsidRPr="00F633EA" w:rsidRDefault="005A3973" w:rsidP="00DC4D04">
            <w:pPr>
              <w:pStyle w:val="TableTextLeft"/>
              <w:rPr>
                <w:b/>
              </w:rPr>
            </w:pPr>
            <w:r w:rsidRPr="00F633EA">
              <w:rPr>
                <w:b/>
              </w:rPr>
              <w:t>Performance information</w:t>
            </w:r>
          </w:p>
        </w:tc>
      </w:tr>
      <w:tr w:rsidR="005A3973" w:rsidRPr="00F633EA" w:rsidTr="00DC4D04">
        <w:trPr>
          <w:gridAfter w:val="1"/>
          <w:wAfter w:w="15" w:type="dxa"/>
        </w:trPr>
        <w:tc>
          <w:tcPr>
            <w:tcW w:w="1248" w:type="dxa"/>
            <w:tcBorders>
              <w:top w:val="double" w:sz="4" w:space="0" w:color="auto"/>
              <w:bottom w:val="single" w:sz="4" w:space="0" w:color="auto"/>
              <w:right w:val="single" w:sz="4" w:space="0" w:color="auto"/>
            </w:tcBorders>
          </w:tcPr>
          <w:p w:rsidR="005A3973" w:rsidRPr="00F633EA" w:rsidRDefault="005A3973" w:rsidP="00DC4D04">
            <w:pPr>
              <w:pStyle w:val="TableTextLeft"/>
              <w:rPr>
                <w:b/>
              </w:rPr>
            </w:pPr>
            <w:r w:rsidRPr="00F633EA">
              <w:rPr>
                <w:b/>
              </w:rPr>
              <w:t>Year</w:t>
            </w:r>
          </w:p>
        </w:tc>
        <w:tc>
          <w:tcPr>
            <w:tcW w:w="3828" w:type="dxa"/>
            <w:tcBorders>
              <w:top w:val="double" w:sz="4" w:space="0" w:color="auto"/>
              <w:left w:val="single" w:sz="4" w:space="0" w:color="auto"/>
              <w:bottom w:val="single" w:sz="4" w:space="0" w:color="auto"/>
              <w:right w:val="single" w:sz="4" w:space="0" w:color="auto"/>
            </w:tcBorders>
          </w:tcPr>
          <w:p w:rsidR="005A3973" w:rsidRPr="00F633EA" w:rsidRDefault="005A3973" w:rsidP="00DC4D04">
            <w:pPr>
              <w:pStyle w:val="TableTextLeft"/>
              <w:rPr>
                <w:b/>
              </w:rPr>
            </w:pPr>
            <w:r w:rsidRPr="00F633EA">
              <w:rPr>
                <w:b/>
              </w:rPr>
              <w:t>Performance criteria</w:t>
            </w:r>
            <w:r w:rsidRPr="00F633EA">
              <w:t xml:space="preserve"> (a)</w:t>
            </w:r>
          </w:p>
        </w:tc>
        <w:tc>
          <w:tcPr>
            <w:tcW w:w="2820" w:type="dxa"/>
            <w:tcBorders>
              <w:top w:val="double" w:sz="4" w:space="0" w:color="auto"/>
              <w:left w:val="single" w:sz="4" w:space="0" w:color="auto"/>
              <w:bottom w:val="single" w:sz="4" w:space="0" w:color="auto"/>
            </w:tcBorders>
          </w:tcPr>
          <w:p w:rsidR="005A3973" w:rsidRPr="00F633EA" w:rsidRDefault="005A3973" w:rsidP="00DC4D04">
            <w:pPr>
              <w:pStyle w:val="TableTextLeft"/>
              <w:rPr>
                <w:b/>
              </w:rPr>
            </w:pPr>
            <w:r w:rsidRPr="00F633EA">
              <w:rPr>
                <w:b/>
              </w:rPr>
              <w:t>Targets</w:t>
            </w:r>
          </w:p>
        </w:tc>
      </w:tr>
      <w:tr w:rsidR="005A3973" w:rsidRPr="00F71634" w:rsidTr="00DC4D04">
        <w:trPr>
          <w:trHeight w:val="61"/>
        </w:trPr>
        <w:tc>
          <w:tcPr>
            <w:tcW w:w="1248" w:type="dxa"/>
            <w:tcBorders>
              <w:top w:val="single" w:sz="4" w:space="0" w:color="auto"/>
              <w:bottom w:val="dotted" w:sz="4" w:space="0" w:color="auto"/>
              <w:right w:val="single" w:sz="4" w:space="0" w:color="auto"/>
            </w:tcBorders>
          </w:tcPr>
          <w:p w:rsidR="005A3973" w:rsidRPr="006906E4" w:rsidRDefault="005A3973" w:rsidP="00DC4D04">
            <w:pPr>
              <w:pStyle w:val="TableTextLeft"/>
            </w:pPr>
            <w:r w:rsidRPr="006906E4">
              <w:t>2015</w:t>
            </w:r>
            <w:r>
              <w:t>–</w:t>
            </w:r>
            <w:r w:rsidRPr="006906E4">
              <w:t>16</w:t>
            </w:r>
          </w:p>
        </w:tc>
        <w:tc>
          <w:tcPr>
            <w:tcW w:w="3828" w:type="dxa"/>
            <w:tcBorders>
              <w:top w:val="single" w:sz="4" w:space="0" w:color="auto"/>
              <w:left w:val="single" w:sz="4" w:space="0" w:color="auto"/>
              <w:bottom w:val="dotted" w:sz="4" w:space="0" w:color="auto"/>
              <w:right w:val="single" w:sz="4" w:space="0" w:color="auto"/>
            </w:tcBorders>
          </w:tcPr>
          <w:p w:rsidR="005A3973" w:rsidRPr="00F261A8" w:rsidRDefault="005A3973" w:rsidP="00DC4D04">
            <w:pPr>
              <w:pStyle w:val="TableTextLeft"/>
            </w:pPr>
            <w:r>
              <w:t>Improve or maintain the time elapsed from lodging applications to finalising conciliations in unfair dismissal applications</w:t>
            </w:r>
          </w:p>
        </w:tc>
        <w:tc>
          <w:tcPr>
            <w:tcW w:w="2835" w:type="dxa"/>
            <w:gridSpan w:val="2"/>
            <w:tcBorders>
              <w:top w:val="single" w:sz="4" w:space="0" w:color="auto"/>
              <w:left w:val="single" w:sz="4" w:space="0" w:color="auto"/>
              <w:bottom w:val="dotted" w:sz="4" w:space="0" w:color="auto"/>
            </w:tcBorders>
          </w:tcPr>
          <w:p w:rsidR="005A3973" w:rsidRDefault="005A3973" w:rsidP="00DC4D04">
            <w:pPr>
              <w:pStyle w:val="TableTextLeft"/>
            </w:pPr>
            <w:r>
              <w:t>34 days</w:t>
            </w:r>
          </w:p>
          <w:p w:rsidR="005A3973" w:rsidRPr="006906E4" w:rsidRDefault="005A3973" w:rsidP="00DC4D04">
            <w:pPr>
              <w:pStyle w:val="TableTextLeft"/>
            </w:pPr>
            <w:r>
              <w:t xml:space="preserve">Assessment: </w:t>
            </w:r>
            <w:r w:rsidRPr="00325F72">
              <w:t>This performance target is expected to be achieved in 2015–16</w:t>
            </w:r>
          </w:p>
        </w:tc>
      </w:tr>
      <w:tr w:rsidR="005A3973" w:rsidRPr="00F71634" w:rsidTr="00DC4D04">
        <w:trPr>
          <w:trHeight w:val="146"/>
        </w:trPr>
        <w:tc>
          <w:tcPr>
            <w:tcW w:w="1248" w:type="dxa"/>
            <w:tcBorders>
              <w:top w:val="dotted" w:sz="4" w:space="0" w:color="auto"/>
              <w:bottom w:val="dotted" w:sz="4" w:space="0" w:color="auto"/>
              <w:right w:val="single" w:sz="4" w:space="0" w:color="auto"/>
            </w:tcBorders>
          </w:tcPr>
          <w:p w:rsidR="005A3973" w:rsidRPr="006906E4" w:rsidRDefault="005A3973" w:rsidP="00DC4D04">
            <w:pPr>
              <w:pStyle w:val="TableTextLeft"/>
            </w:pPr>
          </w:p>
        </w:tc>
        <w:tc>
          <w:tcPr>
            <w:tcW w:w="3828" w:type="dxa"/>
            <w:tcBorders>
              <w:top w:val="dotted" w:sz="4" w:space="0" w:color="auto"/>
              <w:left w:val="single" w:sz="4" w:space="0" w:color="auto"/>
              <w:bottom w:val="dotted" w:sz="4" w:space="0" w:color="auto"/>
              <w:right w:val="single" w:sz="4" w:space="0" w:color="auto"/>
            </w:tcBorders>
          </w:tcPr>
          <w:p w:rsidR="005A3973" w:rsidRPr="00F261A8" w:rsidRDefault="005A3973" w:rsidP="00DC4D04">
            <w:pPr>
              <w:pStyle w:val="TableTextLeft"/>
              <w:rPr>
                <w:rStyle w:val="BodyTextChar"/>
              </w:rPr>
            </w:pPr>
            <w:r>
              <w:t>Annual wage review to be completed to enable an operative date of 1 July</w:t>
            </w:r>
          </w:p>
        </w:tc>
        <w:tc>
          <w:tcPr>
            <w:tcW w:w="2835" w:type="dxa"/>
            <w:gridSpan w:val="2"/>
            <w:tcBorders>
              <w:top w:val="dotted" w:sz="4" w:space="0" w:color="auto"/>
              <w:left w:val="single" w:sz="4" w:space="0" w:color="auto"/>
              <w:bottom w:val="dotted" w:sz="4" w:space="0" w:color="auto"/>
            </w:tcBorders>
          </w:tcPr>
          <w:p w:rsidR="005A3973" w:rsidRDefault="005A3973" w:rsidP="00DC4D04">
            <w:pPr>
              <w:pStyle w:val="TableTextLeft"/>
            </w:pPr>
            <w:r>
              <w:t>By 30 June</w:t>
            </w:r>
          </w:p>
          <w:p w:rsidR="005A3973" w:rsidRPr="006906E4" w:rsidRDefault="005A3973" w:rsidP="00DC4D04">
            <w:pPr>
              <w:pStyle w:val="TableTextLeft"/>
            </w:pPr>
            <w:r>
              <w:t xml:space="preserve">Assessment: </w:t>
            </w:r>
            <w:r w:rsidRPr="00D76BC3">
              <w:t>This performance target is expected to be achieved in 2015–16</w:t>
            </w:r>
          </w:p>
        </w:tc>
      </w:tr>
      <w:tr w:rsidR="005A3973" w:rsidRPr="00F71634" w:rsidTr="00DC4D04">
        <w:trPr>
          <w:trHeight w:val="146"/>
        </w:trPr>
        <w:tc>
          <w:tcPr>
            <w:tcW w:w="1248" w:type="dxa"/>
            <w:tcBorders>
              <w:top w:val="dotted" w:sz="4" w:space="0" w:color="auto"/>
              <w:bottom w:val="dotted" w:sz="4" w:space="0" w:color="auto"/>
              <w:right w:val="single" w:sz="4" w:space="0" w:color="auto"/>
            </w:tcBorders>
          </w:tcPr>
          <w:p w:rsidR="005A3973" w:rsidRPr="006906E4" w:rsidRDefault="005A3973" w:rsidP="00DC4D04">
            <w:pPr>
              <w:pStyle w:val="TableTextLeft"/>
            </w:pPr>
          </w:p>
        </w:tc>
        <w:tc>
          <w:tcPr>
            <w:tcW w:w="3828" w:type="dxa"/>
            <w:tcBorders>
              <w:top w:val="dotted" w:sz="4" w:space="0" w:color="auto"/>
              <w:left w:val="single" w:sz="4" w:space="0" w:color="auto"/>
              <w:bottom w:val="dotted" w:sz="4" w:space="0" w:color="auto"/>
              <w:right w:val="single" w:sz="4" w:space="0" w:color="auto"/>
            </w:tcBorders>
          </w:tcPr>
          <w:p w:rsidR="005A3973" w:rsidRDefault="005A3973" w:rsidP="00DC4D04">
            <w:pPr>
              <w:pStyle w:val="TableTextLeft"/>
            </w:pPr>
            <w:r>
              <w:t>Improve or maintain the agreement approval time</w:t>
            </w:r>
          </w:p>
        </w:tc>
        <w:tc>
          <w:tcPr>
            <w:tcW w:w="2835" w:type="dxa"/>
            <w:gridSpan w:val="2"/>
            <w:tcBorders>
              <w:top w:val="dotted" w:sz="4" w:space="0" w:color="auto"/>
              <w:left w:val="single" w:sz="4" w:space="0" w:color="auto"/>
              <w:bottom w:val="dotted" w:sz="4" w:space="0" w:color="auto"/>
            </w:tcBorders>
          </w:tcPr>
          <w:p w:rsidR="005A3973" w:rsidRDefault="005A3973" w:rsidP="00DC4D04">
            <w:pPr>
              <w:pStyle w:val="TableTextLeft"/>
            </w:pPr>
            <w:r>
              <w:t>32 days</w:t>
            </w:r>
          </w:p>
          <w:p w:rsidR="005A3973" w:rsidRDefault="005A3973" w:rsidP="00DC4D04">
            <w:pPr>
              <w:pStyle w:val="TableTextLeft"/>
            </w:pPr>
            <w:r>
              <w:t xml:space="preserve">Assessment: </w:t>
            </w:r>
            <w:r w:rsidRPr="00D76BC3">
              <w:t>This performance target is expected to be achieved in 2015–16</w:t>
            </w:r>
          </w:p>
        </w:tc>
      </w:tr>
      <w:tr w:rsidR="005A3973" w:rsidRPr="00F71634" w:rsidTr="00DC4D04">
        <w:trPr>
          <w:trHeight w:val="146"/>
        </w:trPr>
        <w:tc>
          <w:tcPr>
            <w:tcW w:w="1248" w:type="dxa"/>
            <w:tcBorders>
              <w:top w:val="dotted" w:sz="4" w:space="0" w:color="auto"/>
              <w:bottom w:val="dotted" w:sz="4" w:space="0" w:color="auto"/>
              <w:right w:val="single" w:sz="4" w:space="0" w:color="auto"/>
            </w:tcBorders>
          </w:tcPr>
          <w:p w:rsidR="005A3973" w:rsidRPr="006906E4" w:rsidRDefault="005A3973" w:rsidP="00DC4D04">
            <w:pPr>
              <w:pStyle w:val="TableTextLeft"/>
            </w:pPr>
            <w:r w:rsidRPr="006906E4">
              <w:t>2016</w:t>
            </w:r>
            <w:r>
              <w:t>–</w:t>
            </w:r>
            <w:r w:rsidRPr="006906E4">
              <w:t>17</w:t>
            </w:r>
          </w:p>
        </w:tc>
        <w:tc>
          <w:tcPr>
            <w:tcW w:w="3828" w:type="dxa"/>
            <w:tcBorders>
              <w:top w:val="dotted" w:sz="4" w:space="0" w:color="auto"/>
              <w:left w:val="single" w:sz="4" w:space="0" w:color="auto"/>
              <w:bottom w:val="dotted" w:sz="4" w:space="0" w:color="auto"/>
              <w:right w:val="single" w:sz="4" w:space="0" w:color="auto"/>
            </w:tcBorders>
          </w:tcPr>
          <w:p w:rsidR="005A3973" w:rsidRPr="00DA5E25" w:rsidRDefault="005A3973" w:rsidP="00DC4D04">
            <w:pPr>
              <w:pStyle w:val="TableTextLeft"/>
            </w:pPr>
            <w:r w:rsidRPr="00DA5E25">
              <w:rPr>
                <w:rFonts w:eastAsia="Cambria"/>
              </w:rPr>
              <w:t>As per 2015–16</w:t>
            </w:r>
          </w:p>
        </w:tc>
        <w:tc>
          <w:tcPr>
            <w:tcW w:w="2835" w:type="dxa"/>
            <w:gridSpan w:val="2"/>
            <w:tcBorders>
              <w:top w:val="dotted" w:sz="4" w:space="0" w:color="auto"/>
              <w:left w:val="single" w:sz="4" w:space="0" w:color="auto"/>
              <w:bottom w:val="dotted" w:sz="4" w:space="0" w:color="auto"/>
            </w:tcBorders>
          </w:tcPr>
          <w:p w:rsidR="005A3973" w:rsidRPr="00F261A8" w:rsidRDefault="005A3973" w:rsidP="00DC4D04">
            <w:pPr>
              <w:pStyle w:val="TableTextLeft"/>
            </w:pPr>
            <w:r w:rsidRPr="00F261A8">
              <w:t>As per 2015–16</w:t>
            </w:r>
          </w:p>
        </w:tc>
      </w:tr>
      <w:tr w:rsidR="005A3973" w:rsidRPr="00F71634" w:rsidTr="00DC4D04">
        <w:trPr>
          <w:trHeight w:val="146"/>
        </w:trPr>
        <w:tc>
          <w:tcPr>
            <w:tcW w:w="1248" w:type="dxa"/>
            <w:tcBorders>
              <w:top w:val="dotted" w:sz="4" w:space="0" w:color="auto"/>
              <w:right w:val="single" w:sz="4" w:space="0" w:color="auto"/>
            </w:tcBorders>
          </w:tcPr>
          <w:p w:rsidR="005A3973" w:rsidRPr="006906E4" w:rsidRDefault="005A3973" w:rsidP="00DC4D04">
            <w:pPr>
              <w:pStyle w:val="TableTextLeft"/>
            </w:pPr>
            <w:r w:rsidRPr="006906E4">
              <w:t>2017</w:t>
            </w:r>
            <w:r>
              <w:t>–</w:t>
            </w:r>
            <w:r w:rsidRPr="006906E4">
              <w:t>18 and beyond</w:t>
            </w:r>
          </w:p>
        </w:tc>
        <w:tc>
          <w:tcPr>
            <w:tcW w:w="3828" w:type="dxa"/>
            <w:tcBorders>
              <w:top w:val="dotted" w:sz="4" w:space="0" w:color="auto"/>
              <w:left w:val="single" w:sz="4" w:space="0" w:color="auto"/>
              <w:right w:val="single" w:sz="4" w:space="0" w:color="auto"/>
            </w:tcBorders>
          </w:tcPr>
          <w:p w:rsidR="005A3973" w:rsidRPr="00DA5E25" w:rsidRDefault="005A3973" w:rsidP="00DC4D04">
            <w:pPr>
              <w:pStyle w:val="TableTextLeft"/>
            </w:pPr>
            <w:r w:rsidRPr="00DA5E25">
              <w:rPr>
                <w:rFonts w:eastAsia="Cambria"/>
              </w:rPr>
              <w:t>As per 2015–16</w:t>
            </w:r>
          </w:p>
        </w:tc>
        <w:tc>
          <w:tcPr>
            <w:tcW w:w="2835" w:type="dxa"/>
            <w:gridSpan w:val="2"/>
            <w:tcBorders>
              <w:top w:val="dotted" w:sz="4" w:space="0" w:color="auto"/>
              <w:left w:val="single" w:sz="4" w:space="0" w:color="auto"/>
            </w:tcBorders>
          </w:tcPr>
          <w:p w:rsidR="005A3973" w:rsidRPr="00F261A8" w:rsidRDefault="005A3973" w:rsidP="00DC4D04">
            <w:pPr>
              <w:pStyle w:val="TableTextLeft"/>
            </w:pPr>
            <w:r w:rsidRPr="00F261A8">
              <w:t>As per 2015–16</w:t>
            </w:r>
          </w:p>
        </w:tc>
      </w:tr>
      <w:tr w:rsidR="005A3973" w:rsidRPr="00AC5BF8" w:rsidTr="00DC4D04">
        <w:trPr>
          <w:cantSplit/>
          <w:trHeight w:val="146"/>
        </w:trPr>
        <w:tc>
          <w:tcPr>
            <w:tcW w:w="7911" w:type="dxa"/>
            <w:gridSpan w:val="4"/>
            <w:tcBorders>
              <w:top w:val="double" w:sz="4" w:space="0" w:color="auto"/>
              <w:bottom w:val="double" w:sz="4" w:space="0" w:color="auto"/>
            </w:tcBorders>
          </w:tcPr>
          <w:p w:rsidR="005A3973" w:rsidRPr="005D19DF" w:rsidRDefault="005A3973" w:rsidP="00DC4D04">
            <w:pPr>
              <w:pStyle w:val="TableTextLeft"/>
              <w:rPr>
                <w:b/>
              </w:rPr>
            </w:pPr>
            <w:r>
              <w:rPr>
                <w:b/>
              </w:rPr>
              <w:t>Objective 2</w:t>
            </w:r>
            <w:r w:rsidRPr="005D19DF">
              <w:rPr>
                <w:b/>
              </w:rPr>
              <w:t>—The General Manager’s powers and functions are exercised in accordance with the Fair Work (Registered Organisations) Act 2009</w:t>
            </w:r>
          </w:p>
        </w:tc>
      </w:tr>
      <w:tr w:rsidR="005A3973" w:rsidRPr="00F633EA" w:rsidTr="00DC4D04">
        <w:trPr>
          <w:gridAfter w:val="1"/>
          <w:wAfter w:w="15" w:type="dxa"/>
        </w:trPr>
        <w:tc>
          <w:tcPr>
            <w:tcW w:w="7896" w:type="dxa"/>
            <w:gridSpan w:val="3"/>
            <w:tcBorders>
              <w:top w:val="double" w:sz="4" w:space="0" w:color="auto"/>
              <w:bottom w:val="double" w:sz="4" w:space="0" w:color="auto"/>
            </w:tcBorders>
          </w:tcPr>
          <w:p w:rsidR="005A3973" w:rsidRPr="00F633EA" w:rsidRDefault="005A3973" w:rsidP="00DC4D04">
            <w:pPr>
              <w:pStyle w:val="TableTextLeft"/>
              <w:rPr>
                <w:b/>
              </w:rPr>
            </w:pPr>
            <w:r w:rsidRPr="00F633EA">
              <w:rPr>
                <w:b/>
              </w:rPr>
              <w:t>Performance information</w:t>
            </w:r>
          </w:p>
        </w:tc>
      </w:tr>
      <w:tr w:rsidR="005A3973" w:rsidRPr="00F633EA" w:rsidTr="00DC4D04">
        <w:trPr>
          <w:gridAfter w:val="1"/>
          <w:wAfter w:w="15" w:type="dxa"/>
        </w:trPr>
        <w:tc>
          <w:tcPr>
            <w:tcW w:w="1248" w:type="dxa"/>
            <w:tcBorders>
              <w:top w:val="double" w:sz="4" w:space="0" w:color="auto"/>
              <w:bottom w:val="single" w:sz="4" w:space="0" w:color="auto"/>
              <w:right w:val="single" w:sz="4" w:space="0" w:color="auto"/>
            </w:tcBorders>
          </w:tcPr>
          <w:p w:rsidR="005A3973" w:rsidRPr="00F633EA" w:rsidRDefault="005A3973" w:rsidP="00DC4D04">
            <w:pPr>
              <w:pStyle w:val="TableTextLeft"/>
              <w:rPr>
                <w:b/>
              </w:rPr>
            </w:pPr>
            <w:r w:rsidRPr="00F633EA">
              <w:rPr>
                <w:b/>
              </w:rPr>
              <w:t>Year</w:t>
            </w:r>
          </w:p>
        </w:tc>
        <w:tc>
          <w:tcPr>
            <w:tcW w:w="3828" w:type="dxa"/>
            <w:tcBorders>
              <w:top w:val="double" w:sz="4" w:space="0" w:color="auto"/>
              <w:left w:val="single" w:sz="4" w:space="0" w:color="auto"/>
              <w:bottom w:val="single" w:sz="4" w:space="0" w:color="auto"/>
              <w:right w:val="single" w:sz="4" w:space="0" w:color="auto"/>
            </w:tcBorders>
          </w:tcPr>
          <w:p w:rsidR="005A3973" w:rsidRPr="00F633EA" w:rsidRDefault="005A3973" w:rsidP="00DC4D04">
            <w:pPr>
              <w:pStyle w:val="TableTextLeft"/>
              <w:rPr>
                <w:b/>
              </w:rPr>
            </w:pPr>
            <w:r w:rsidRPr="00F633EA">
              <w:rPr>
                <w:b/>
              </w:rPr>
              <w:t>Performance criteria</w:t>
            </w:r>
            <w:r w:rsidRPr="00F633EA">
              <w:t xml:space="preserve"> (a)</w:t>
            </w:r>
          </w:p>
        </w:tc>
        <w:tc>
          <w:tcPr>
            <w:tcW w:w="2820" w:type="dxa"/>
            <w:tcBorders>
              <w:top w:val="double" w:sz="4" w:space="0" w:color="auto"/>
              <w:left w:val="single" w:sz="4" w:space="0" w:color="auto"/>
              <w:bottom w:val="single" w:sz="4" w:space="0" w:color="auto"/>
            </w:tcBorders>
          </w:tcPr>
          <w:p w:rsidR="005A3973" w:rsidRPr="00F633EA" w:rsidRDefault="005A3973" w:rsidP="00DC4D04">
            <w:pPr>
              <w:pStyle w:val="TableTextLeft"/>
              <w:rPr>
                <w:b/>
              </w:rPr>
            </w:pPr>
            <w:r w:rsidRPr="00F633EA">
              <w:rPr>
                <w:b/>
              </w:rPr>
              <w:t>Targets</w:t>
            </w:r>
          </w:p>
        </w:tc>
      </w:tr>
      <w:tr w:rsidR="005A3973" w:rsidRPr="00F71634" w:rsidTr="00DC4D04">
        <w:trPr>
          <w:trHeight w:val="61"/>
        </w:trPr>
        <w:tc>
          <w:tcPr>
            <w:tcW w:w="1248" w:type="dxa"/>
            <w:tcBorders>
              <w:top w:val="single" w:sz="4" w:space="0" w:color="auto"/>
              <w:bottom w:val="dotted" w:sz="4" w:space="0" w:color="auto"/>
              <w:right w:val="single" w:sz="4" w:space="0" w:color="auto"/>
            </w:tcBorders>
          </w:tcPr>
          <w:p w:rsidR="005A3973" w:rsidRPr="006906E4" w:rsidRDefault="005A3973" w:rsidP="00DC4D04">
            <w:pPr>
              <w:pStyle w:val="TableTextLeft"/>
            </w:pPr>
            <w:r w:rsidRPr="006906E4">
              <w:t>2015</w:t>
            </w:r>
            <w:r>
              <w:t>–</w:t>
            </w:r>
            <w:r w:rsidRPr="006906E4">
              <w:t>16</w:t>
            </w:r>
          </w:p>
        </w:tc>
        <w:tc>
          <w:tcPr>
            <w:tcW w:w="3828" w:type="dxa"/>
            <w:tcBorders>
              <w:top w:val="single" w:sz="4" w:space="0" w:color="auto"/>
              <w:left w:val="single" w:sz="4" w:space="0" w:color="auto"/>
              <w:bottom w:val="dotted" w:sz="4" w:space="0" w:color="auto"/>
              <w:right w:val="single" w:sz="4" w:space="0" w:color="auto"/>
            </w:tcBorders>
          </w:tcPr>
          <w:p w:rsidR="005A3973" w:rsidRPr="00F261A8" w:rsidRDefault="005A3973" w:rsidP="00DC4D04">
            <w:pPr>
              <w:pStyle w:val="TableTextLeft"/>
            </w:pPr>
            <w:r>
              <w:t xml:space="preserve">95 per cent of financial reports required to be lodged under the </w:t>
            </w:r>
            <w:r w:rsidRPr="00D76BC3">
              <w:rPr>
                <w:i/>
              </w:rPr>
              <w:t xml:space="preserve">Fair Work </w:t>
            </w:r>
            <w:r>
              <w:rPr>
                <w:i/>
              </w:rPr>
              <w:t xml:space="preserve">(Registered Organisations) Act </w:t>
            </w:r>
            <w:r w:rsidRPr="00D76BC3">
              <w:rPr>
                <w:i/>
              </w:rPr>
              <w:t>2009</w:t>
            </w:r>
            <w:r>
              <w:t xml:space="preserve"> are assessed for compliance within 40 days</w:t>
            </w:r>
          </w:p>
        </w:tc>
        <w:tc>
          <w:tcPr>
            <w:tcW w:w="2835" w:type="dxa"/>
            <w:gridSpan w:val="2"/>
            <w:tcBorders>
              <w:top w:val="single" w:sz="4" w:space="0" w:color="auto"/>
              <w:left w:val="single" w:sz="4" w:space="0" w:color="auto"/>
              <w:bottom w:val="dotted" w:sz="4" w:space="0" w:color="auto"/>
            </w:tcBorders>
          </w:tcPr>
          <w:p w:rsidR="005A3973" w:rsidRDefault="005A3973" w:rsidP="00DC4D04">
            <w:pPr>
              <w:pStyle w:val="TableTextLeft"/>
            </w:pPr>
            <w:r>
              <w:t>95% within 40 days</w:t>
            </w:r>
          </w:p>
          <w:p w:rsidR="005A3973" w:rsidRPr="00D76BC3" w:rsidRDefault="005A3973" w:rsidP="00DC4D04">
            <w:pPr>
              <w:pStyle w:val="TableTextLeft"/>
            </w:pPr>
            <w:r w:rsidRPr="00D76BC3">
              <w:t xml:space="preserve">Assessment: This performance target is </w:t>
            </w:r>
            <w:r>
              <w:t>on track for 2015–16</w:t>
            </w:r>
          </w:p>
        </w:tc>
      </w:tr>
      <w:tr w:rsidR="005A3973" w:rsidRPr="00F71634" w:rsidTr="00DC4D04">
        <w:trPr>
          <w:trHeight w:val="146"/>
        </w:trPr>
        <w:tc>
          <w:tcPr>
            <w:tcW w:w="1248" w:type="dxa"/>
            <w:tcBorders>
              <w:top w:val="dotted" w:sz="4" w:space="0" w:color="auto"/>
              <w:bottom w:val="dotted" w:sz="4" w:space="0" w:color="auto"/>
              <w:right w:val="single" w:sz="4" w:space="0" w:color="auto"/>
            </w:tcBorders>
          </w:tcPr>
          <w:p w:rsidR="005A3973" w:rsidRPr="006906E4" w:rsidRDefault="005A3973" w:rsidP="00DC4D04">
            <w:pPr>
              <w:pStyle w:val="TableTextLeft"/>
            </w:pPr>
            <w:r w:rsidRPr="006906E4">
              <w:t>2016</w:t>
            </w:r>
            <w:r>
              <w:t>–</w:t>
            </w:r>
            <w:r w:rsidRPr="006906E4">
              <w:t>17</w:t>
            </w:r>
          </w:p>
        </w:tc>
        <w:tc>
          <w:tcPr>
            <w:tcW w:w="3828" w:type="dxa"/>
            <w:tcBorders>
              <w:top w:val="dotted" w:sz="4" w:space="0" w:color="auto"/>
              <w:left w:val="single" w:sz="4" w:space="0" w:color="auto"/>
              <w:bottom w:val="dotted" w:sz="4" w:space="0" w:color="auto"/>
              <w:right w:val="single" w:sz="4" w:space="0" w:color="auto"/>
            </w:tcBorders>
          </w:tcPr>
          <w:p w:rsidR="005A3973" w:rsidRPr="00DA5E25" w:rsidRDefault="005A3973" w:rsidP="00DC4D04">
            <w:pPr>
              <w:pStyle w:val="TableTextLeft"/>
            </w:pPr>
            <w:r w:rsidRPr="00DA5E25">
              <w:rPr>
                <w:rFonts w:eastAsia="Cambria"/>
              </w:rPr>
              <w:t>As per 2015–16</w:t>
            </w:r>
          </w:p>
        </w:tc>
        <w:tc>
          <w:tcPr>
            <w:tcW w:w="2835" w:type="dxa"/>
            <w:gridSpan w:val="2"/>
            <w:tcBorders>
              <w:top w:val="dotted" w:sz="4" w:space="0" w:color="auto"/>
              <w:left w:val="single" w:sz="4" w:space="0" w:color="auto"/>
              <w:bottom w:val="dotted" w:sz="4" w:space="0" w:color="auto"/>
            </w:tcBorders>
          </w:tcPr>
          <w:p w:rsidR="005A3973" w:rsidRPr="00F261A8" w:rsidRDefault="005A3973" w:rsidP="00DC4D04">
            <w:pPr>
              <w:pStyle w:val="TableTextLeft"/>
            </w:pPr>
            <w:r w:rsidRPr="00F261A8">
              <w:t>As per 2015–16</w:t>
            </w:r>
          </w:p>
        </w:tc>
      </w:tr>
      <w:tr w:rsidR="005A3973" w:rsidRPr="00F71634" w:rsidTr="00DC4D04">
        <w:trPr>
          <w:trHeight w:val="146"/>
        </w:trPr>
        <w:tc>
          <w:tcPr>
            <w:tcW w:w="1248" w:type="dxa"/>
            <w:tcBorders>
              <w:top w:val="dotted" w:sz="4" w:space="0" w:color="auto"/>
              <w:right w:val="single" w:sz="4" w:space="0" w:color="auto"/>
            </w:tcBorders>
          </w:tcPr>
          <w:p w:rsidR="005A3973" w:rsidRPr="006906E4" w:rsidRDefault="005A3973" w:rsidP="00DC4D04">
            <w:pPr>
              <w:pStyle w:val="TableTextLeft"/>
            </w:pPr>
            <w:r w:rsidRPr="006906E4">
              <w:t>2017</w:t>
            </w:r>
            <w:r>
              <w:t>–</w:t>
            </w:r>
            <w:r w:rsidRPr="006906E4">
              <w:t>18 and beyond</w:t>
            </w:r>
          </w:p>
        </w:tc>
        <w:tc>
          <w:tcPr>
            <w:tcW w:w="3828" w:type="dxa"/>
            <w:tcBorders>
              <w:top w:val="dotted" w:sz="4" w:space="0" w:color="auto"/>
              <w:left w:val="single" w:sz="4" w:space="0" w:color="auto"/>
              <w:right w:val="single" w:sz="4" w:space="0" w:color="auto"/>
            </w:tcBorders>
          </w:tcPr>
          <w:p w:rsidR="005A3973" w:rsidRPr="00DA5E25" w:rsidRDefault="005A3973" w:rsidP="00DC4D04">
            <w:pPr>
              <w:pStyle w:val="TableTextLeft"/>
            </w:pPr>
            <w:r w:rsidRPr="00DA5E25">
              <w:rPr>
                <w:rFonts w:eastAsia="Cambria"/>
              </w:rPr>
              <w:t>As per 2015–16</w:t>
            </w:r>
          </w:p>
        </w:tc>
        <w:tc>
          <w:tcPr>
            <w:tcW w:w="2835" w:type="dxa"/>
            <w:gridSpan w:val="2"/>
            <w:tcBorders>
              <w:top w:val="dotted" w:sz="4" w:space="0" w:color="auto"/>
              <w:left w:val="single" w:sz="4" w:space="0" w:color="auto"/>
            </w:tcBorders>
          </w:tcPr>
          <w:p w:rsidR="005A3973" w:rsidRPr="00F261A8" w:rsidRDefault="005A3973" w:rsidP="00DC4D04">
            <w:pPr>
              <w:pStyle w:val="TableTextLeft"/>
            </w:pPr>
            <w:r w:rsidRPr="00F261A8">
              <w:t>As per 2015–16</w:t>
            </w:r>
          </w:p>
        </w:tc>
      </w:tr>
      <w:tr w:rsidR="005A3973" w:rsidRPr="00F71634" w:rsidTr="00DC4D04">
        <w:tc>
          <w:tcPr>
            <w:tcW w:w="7911" w:type="dxa"/>
            <w:gridSpan w:val="4"/>
            <w:shd w:val="clear" w:color="auto" w:fill="F2F2F2"/>
          </w:tcPr>
          <w:p w:rsidR="005A3973" w:rsidRPr="00DF511F" w:rsidRDefault="005A3973" w:rsidP="00DC4D04">
            <w:pPr>
              <w:pStyle w:val="TableTextLeft"/>
              <w:rPr>
                <w:rFonts w:eastAsia="Cambria"/>
                <w:b/>
              </w:rPr>
            </w:pPr>
            <w:r w:rsidRPr="00DF511F">
              <w:rPr>
                <w:rFonts w:eastAsia="Cambria"/>
                <w:b/>
              </w:rPr>
              <w:t>Material changes to Program 1.1 resulting from the following measures:</w:t>
            </w:r>
          </w:p>
          <w:p w:rsidR="005A3973" w:rsidRPr="00B10419" w:rsidRDefault="005A3973" w:rsidP="00DC4D04">
            <w:pPr>
              <w:pStyle w:val="TableTextLeft"/>
              <w:rPr>
                <w:b/>
              </w:rPr>
            </w:pPr>
            <w:r>
              <w:rPr>
                <w:rFonts w:eastAsia="Cambria"/>
              </w:rPr>
              <w:t xml:space="preserve">Material changes will result from the Road Safety Remuneration Tribunal—abolition measure. </w:t>
            </w:r>
          </w:p>
        </w:tc>
      </w:tr>
    </w:tbl>
    <w:p w:rsidR="005A3973" w:rsidRPr="00BE6D85" w:rsidRDefault="005A3973" w:rsidP="005A3973">
      <w:pPr>
        <w:pStyle w:val="Heading2"/>
      </w:pPr>
      <w:r w:rsidRPr="00C3303C">
        <w:rPr>
          <w:rFonts w:ascii="Book Antiqua" w:hAnsi="Book Antiqua"/>
          <w:i/>
          <w:color w:val="FF0000"/>
          <w:sz w:val="20"/>
        </w:rPr>
        <w:br w:type="page"/>
      </w:r>
      <w:bookmarkStart w:id="98" w:name="_Toc447006824"/>
      <w:bookmarkStart w:id="99" w:name="_Toc447007162"/>
      <w:bookmarkStart w:id="100" w:name="_Toc447007405"/>
      <w:bookmarkStart w:id="101" w:name="_Toc447008929"/>
      <w:bookmarkStart w:id="102" w:name="_Toc447012786"/>
      <w:bookmarkStart w:id="103" w:name="_Toc447013782"/>
      <w:bookmarkStart w:id="104" w:name="_Toc447016755"/>
      <w:bookmarkStart w:id="105" w:name="_Toc447115180"/>
      <w:bookmarkStart w:id="106" w:name="_Toc447115263"/>
      <w:bookmarkStart w:id="107" w:name="_Toc447115443"/>
      <w:bookmarkStart w:id="108" w:name="_Toc447116734"/>
      <w:bookmarkStart w:id="109" w:name="_Toc447117965"/>
      <w:bookmarkStart w:id="110" w:name="_Toc447119400"/>
      <w:bookmarkStart w:id="111" w:name="_Toc447709903"/>
      <w:bookmarkStart w:id="112" w:name="_Toc449100228"/>
      <w:bookmarkStart w:id="113" w:name="_Toc449623605"/>
      <w:r w:rsidRPr="00BE6D85">
        <w:lastRenderedPageBreak/>
        <w:t>Section 3: Budgeted financial statements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5A3973" w:rsidRDefault="005A3973" w:rsidP="005A3973">
      <w:r>
        <w:t>Section 3 presents budgeted financial statements which provide a comprehensive snapshot of entity finances for the 2016–17</w:t>
      </w:r>
      <w:r>
        <w:rPr>
          <w:color w:val="00B050"/>
        </w:rPr>
        <w:t xml:space="preserve"> </w:t>
      </w:r>
      <w:r>
        <w:t xml:space="preserve">budget </w:t>
      </w:r>
      <w:proofErr w:type="gramStart"/>
      <w:r>
        <w:t>year</w:t>
      </w:r>
      <w:proofErr w:type="gramEnd"/>
      <w:r>
        <w:t>, including the impact of budget measures and resourcing on financial statements.</w:t>
      </w:r>
    </w:p>
    <w:p w:rsidR="005A3973" w:rsidRDefault="005A3973" w:rsidP="005A3973">
      <w:pPr>
        <w:pStyle w:val="Heading3"/>
      </w:pPr>
      <w:bookmarkStart w:id="114" w:name="_Toc447006825"/>
      <w:bookmarkStart w:id="115" w:name="_Toc447007163"/>
      <w:bookmarkStart w:id="116" w:name="_Toc447007406"/>
      <w:bookmarkStart w:id="117" w:name="_Toc447008930"/>
      <w:bookmarkStart w:id="118" w:name="_Toc447012787"/>
      <w:bookmarkStart w:id="119" w:name="_Toc447013783"/>
      <w:bookmarkStart w:id="120" w:name="_Toc447016756"/>
      <w:bookmarkStart w:id="121" w:name="_Toc447115181"/>
      <w:bookmarkStart w:id="122" w:name="_Toc447115264"/>
      <w:bookmarkStart w:id="123" w:name="_Toc447115444"/>
      <w:bookmarkStart w:id="124" w:name="_Toc447116735"/>
      <w:bookmarkStart w:id="125" w:name="_Toc447117966"/>
      <w:bookmarkStart w:id="126" w:name="_Toc447119401"/>
      <w:bookmarkStart w:id="127" w:name="_Toc447709904"/>
      <w:bookmarkStart w:id="128" w:name="_Toc449100229"/>
      <w:bookmarkStart w:id="129" w:name="_Toc449623606"/>
      <w:r>
        <w:t>3.1</w:t>
      </w:r>
      <w:r>
        <w:tab/>
        <w:t>Budgeted financial statements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5A3973" w:rsidRDefault="005A3973" w:rsidP="005A3973">
      <w:pPr>
        <w:pStyle w:val="Heading4"/>
      </w:pPr>
      <w:r>
        <w:t>3.1.1</w:t>
      </w:r>
      <w:r>
        <w:tab/>
        <w:t>Differences between entity resourcing and financial statements</w:t>
      </w:r>
    </w:p>
    <w:p w:rsidR="005A3973" w:rsidRPr="00E50618" w:rsidRDefault="005A3973" w:rsidP="005A3973">
      <w:r>
        <w:t>The Fair Work Commission has nil differences to report.</w:t>
      </w:r>
    </w:p>
    <w:p w:rsidR="005A3973" w:rsidRDefault="005A3973" w:rsidP="005A3973">
      <w:pPr>
        <w:pStyle w:val="Heading4"/>
      </w:pPr>
      <w:r>
        <w:t>3.1.2</w:t>
      </w:r>
      <w:r>
        <w:tab/>
        <w:t>Explanatory notes and analysis of budgeted financial statements</w:t>
      </w:r>
    </w:p>
    <w:p w:rsidR="005A3973" w:rsidRPr="00AA533B" w:rsidRDefault="005A3973" w:rsidP="005A3973">
      <w:pPr>
        <w:rPr>
          <w:b/>
        </w:rPr>
      </w:pPr>
      <w:r w:rsidRPr="00AA533B">
        <w:rPr>
          <w:b/>
        </w:rPr>
        <w:t>Departmental financial statements</w:t>
      </w:r>
    </w:p>
    <w:p w:rsidR="005A3973" w:rsidRDefault="005A3973" w:rsidP="005A3973">
      <w:r>
        <w:t>The Fair Work Commission is budgeting for an operating deficit equal to the unappropriated depreciation and amortisation expense in 2016–17. Total revenues are estimated to be $78.5 million and total expenses $81.4 million.</w:t>
      </w:r>
    </w:p>
    <w:p w:rsidR="005A3973" w:rsidRDefault="005A3973" w:rsidP="005A3973">
      <w:r>
        <w:t xml:space="preserve">Total assets at the end of the 2016–17 financial </w:t>
      </w:r>
      <w:proofErr w:type="gramStart"/>
      <w:r>
        <w:t>year</w:t>
      </w:r>
      <w:proofErr w:type="gramEnd"/>
      <w:r>
        <w:t xml:space="preserve"> are estimated to be $69.4 million. The majority of the assets represent receivables (appropriations receivable) and office fit outs. The Fair Work Commission is planning asset acquisition in the 2016–17 year primarily relating to information technology equipment, software and minor office accommodation costs.</w:t>
      </w:r>
    </w:p>
    <w:p w:rsidR="005A3973" w:rsidRDefault="005A3973" w:rsidP="005A3973">
      <w:r>
        <w:t xml:space="preserve">Total liabilities for 2016–17 are estimated at $28.9 million. The largest liability </w:t>
      </w:r>
      <w:proofErr w:type="gramStart"/>
      <w:r>
        <w:t>item are</w:t>
      </w:r>
      <w:proofErr w:type="gramEnd"/>
      <w:r>
        <w:t xml:space="preserve"> accrued employee entitlements.</w:t>
      </w:r>
    </w:p>
    <w:p w:rsidR="005A3973" w:rsidRPr="00AA533B" w:rsidRDefault="005A3973" w:rsidP="005A3973">
      <w:pPr>
        <w:rPr>
          <w:b/>
        </w:rPr>
      </w:pPr>
      <w:r w:rsidRPr="00AA533B">
        <w:rPr>
          <w:b/>
        </w:rPr>
        <w:t>Administered financial statements</w:t>
      </w:r>
    </w:p>
    <w:p w:rsidR="005A3973" w:rsidRDefault="005A3973" w:rsidP="005A3973">
      <w:r>
        <w:t>Administered revenues in 2016–17 for the refund of application fees are estimated to be $0.5 million, consistent with the 2015–16 estimated actual.</w:t>
      </w:r>
    </w:p>
    <w:p w:rsidR="005A3973" w:rsidRDefault="005A3973" w:rsidP="005A3973">
      <w:pPr>
        <w:pStyle w:val="Heading3"/>
      </w:pPr>
      <w:r>
        <w:br w:type="page"/>
      </w:r>
      <w:bookmarkStart w:id="130" w:name="_Toc447006826"/>
      <w:bookmarkStart w:id="131" w:name="_Toc447007164"/>
      <w:bookmarkStart w:id="132" w:name="_Toc447007407"/>
      <w:bookmarkStart w:id="133" w:name="_Toc447008931"/>
      <w:bookmarkStart w:id="134" w:name="_Toc447012788"/>
      <w:bookmarkStart w:id="135" w:name="_Toc447013784"/>
      <w:bookmarkStart w:id="136" w:name="_Toc447016757"/>
      <w:bookmarkStart w:id="137" w:name="_Toc447115182"/>
      <w:bookmarkStart w:id="138" w:name="_Toc447115265"/>
      <w:bookmarkStart w:id="139" w:name="_Toc447115445"/>
      <w:bookmarkStart w:id="140" w:name="_Toc447116736"/>
      <w:bookmarkStart w:id="141" w:name="_Toc447117967"/>
      <w:bookmarkStart w:id="142" w:name="_Toc447119402"/>
      <w:bookmarkStart w:id="143" w:name="_Toc447709905"/>
      <w:bookmarkStart w:id="144" w:name="_Toc449100230"/>
      <w:bookmarkStart w:id="145" w:name="_Toc449623607"/>
      <w:r>
        <w:lastRenderedPageBreak/>
        <w:t>3.2.1</w:t>
      </w:r>
      <w:r>
        <w:tab/>
        <w:t>Budgeted financial statements tables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5A3973" w:rsidRDefault="005A3973" w:rsidP="005A3973">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5A3973" w:rsidRPr="00F626C2" w:rsidRDefault="005A3973" w:rsidP="005A3973">
      <w:pPr>
        <w:pStyle w:val="TableGraphic"/>
      </w:pPr>
      <w:r w:rsidRPr="00D45E8C">
        <w:rPr>
          <w:noProof/>
        </w:rPr>
        <w:drawing>
          <wp:inline distT="0" distB="0" distL="0" distR="0" wp14:anchorId="07803398" wp14:editId="5C47FC26">
            <wp:extent cx="4896485" cy="4472257"/>
            <wp:effectExtent l="0" t="0" r="0" b="508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6485" cy="4472257"/>
                    </a:xfrm>
                    <a:prstGeom prst="rect">
                      <a:avLst/>
                    </a:prstGeom>
                    <a:noFill/>
                    <a:ln>
                      <a:noFill/>
                    </a:ln>
                  </pic:spPr>
                </pic:pic>
              </a:graphicData>
            </a:graphic>
          </wp:inline>
        </w:drawing>
      </w:r>
    </w:p>
    <w:p w:rsidR="005A3973" w:rsidRDefault="005A3973" w:rsidP="005A3973">
      <w:r>
        <w:br w:type="page"/>
      </w:r>
    </w:p>
    <w:p w:rsidR="005A3973" w:rsidRDefault="005A3973" w:rsidP="005A3973">
      <w:pPr>
        <w:pStyle w:val="TableHeadingcontinued"/>
        <w:rPr>
          <w:snapToGrid w:val="0"/>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 (continued)</w:t>
      </w:r>
    </w:p>
    <w:p w:rsidR="005A3973" w:rsidRPr="002254F7" w:rsidRDefault="005A3973" w:rsidP="005A3973">
      <w:pPr>
        <w:pStyle w:val="TableGraphic"/>
      </w:pPr>
      <w:r>
        <w:t>Note: Impact of net cash appropriation arrangements</w:t>
      </w:r>
    </w:p>
    <w:p w:rsidR="005A3973" w:rsidRPr="00A965CD" w:rsidRDefault="005A3973" w:rsidP="005A3973">
      <w:pPr>
        <w:pStyle w:val="TableGraphic"/>
      </w:pPr>
      <w:r w:rsidRPr="00D45E8C">
        <w:rPr>
          <w:noProof/>
        </w:rPr>
        <w:drawing>
          <wp:inline distT="0" distB="0" distL="0" distR="0" wp14:anchorId="18B0E7B8" wp14:editId="55B64733">
            <wp:extent cx="4896485" cy="186735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6485" cy="1867357"/>
                    </a:xfrm>
                    <a:prstGeom prst="rect">
                      <a:avLst/>
                    </a:prstGeom>
                    <a:noFill/>
                    <a:ln>
                      <a:noFill/>
                    </a:ln>
                  </pic:spPr>
                </pic:pic>
              </a:graphicData>
            </a:graphic>
          </wp:inline>
        </w:drawing>
      </w:r>
    </w:p>
    <w:p w:rsidR="005A3973" w:rsidRPr="00096568" w:rsidRDefault="005A3973" w:rsidP="005A3973">
      <w:pPr>
        <w:pStyle w:val="ChartandTableFootnoteAlpha"/>
        <w:numPr>
          <w:ilvl w:val="0"/>
          <w:numId w:val="7"/>
        </w:numPr>
        <w:spacing w:before="120"/>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xml:space="preserve">, or </w:t>
      </w:r>
      <w:proofErr w:type="spellStart"/>
      <w:r>
        <w:t>DCB</w:t>
      </w:r>
      <w:proofErr w:type="spellEnd"/>
      <w:r>
        <w:t>) provided through Bill </w:t>
      </w:r>
      <w:r w:rsidRPr="003A3E7B">
        <w:t xml:space="preserve">1 equity appropriations. For information regarding </w:t>
      </w:r>
      <w:proofErr w:type="spellStart"/>
      <w:r w:rsidRPr="003A3E7B">
        <w:t>DCBs</w:t>
      </w:r>
      <w:proofErr w:type="spellEnd"/>
      <w:r w:rsidRPr="003A3E7B">
        <w:t>, please refer to Table</w:t>
      </w:r>
      <w:r>
        <w:t xml:space="preserve"> 3.</w:t>
      </w:r>
      <w:r w:rsidRPr="003A3E7B">
        <w:t>5 Departmental Capital Budget Statement.</w:t>
      </w:r>
      <w:r>
        <w:t xml:space="preserve"> </w:t>
      </w:r>
    </w:p>
    <w:p w:rsidR="005A3973" w:rsidRPr="00C70EC1" w:rsidRDefault="005A3973" w:rsidP="005A3973">
      <w:pPr>
        <w:pStyle w:val="ChartandTableFootnote"/>
        <w:spacing w:before="120"/>
        <w:rPr>
          <w:lang w:val="en-AU"/>
        </w:rPr>
      </w:pPr>
      <w:r w:rsidRPr="00E4582E">
        <w:t>Prepared on Australian Accounting Standards basis</w:t>
      </w:r>
      <w:r>
        <w:t xml:space="preserve">. </w:t>
      </w:r>
    </w:p>
    <w:p w:rsidR="005A3973" w:rsidRDefault="005A3973" w:rsidP="005A3973">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p w:rsidR="005A3973" w:rsidRDefault="005A3973" w:rsidP="005A3973">
      <w:pPr>
        <w:pStyle w:val="TableGraphic"/>
      </w:pPr>
      <w:r w:rsidRPr="00D45E8C">
        <w:rPr>
          <w:noProof/>
        </w:rPr>
        <w:drawing>
          <wp:inline distT="0" distB="0" distL="0" distR="0" wp14:anchorId="6FA02699" wp14:editId="6DF5A65A">
            <wp:extent cx="4896485" cy="533575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485" cy="5335752"/>
                    </a:xfrm>
                    <a:prstGeom prst="rect">
                      <a:avLst/>
                    </a:prstGeom>
                    <a:noFill/>
                    <a:ln>
                      <a:noFill/>
                    </a:ln>
                  </pic:spPr>
                </pic:pic>
              </a:graphicData>
            </a:graphic>
          </wp:inline>
        </w:drawing>
      </w:r>
    </w:p>
    <w:p w:rsidR="005A3973" w:rsidRDefault="005A3973" w:rsidP="005A3973">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5A3973" w:rsidRPr="00D45E8C" w:rsidRDefault="005A3973" w:rsidP="005A3973">
      <w:pPr>
        <w:pStyle w:val="ChartandTableFootnote"/>
        <w:spacing w:before="120"/>
        <w:rPr>
          <w:lang w:val="en-AU"/>
        </w:rPr>
      </w:pPr>
      <w:r>
        <w:t>Prepared on Australian Accounting Standards basis.</w:t>
      </w:r>
    </w:p>
    <w:p w:rsidR="005A3973" w:rsidRDefault="005A3973" w:rsidP="005A3973">
      <w:pPr>
        <w:pStyle w:val="TableHeading"/>
      </w:pPr>
      <w:r>
        <w:br w:type="page"/>
      </w:r>
      <w:r>
        <w:lastRenderedPageBreak/>
        <w:t>Table 3.3</w:t>
      </w:r>
      <w:r w:rsidRPr="00D30CBA">
        <w:t xml:space="preserve">: Departmental </w:t>
      </w:r>
      <w:r>
        <w:t>s</w:t>
      </w:r>
      <w:r w:rsidRPr="00D30CBA">
        <w:t xml:space="preserve">tatement of </w:t>
      </w:r>
      <w:r>
        <w:t>c</w:t>
      </w:r>
      <w:r w:rsidRPr="00D30CBA">
        <w:t xml:space="preserve">hanges in </w:t>
      </w:r>
      <w:r>
        <w:t>equity</w:t>
      </w:r>
      <w:r>
        <w:rPr>
          <w:lang w:val="en-AU"/>
        </w:rPr>
        <w:t>—</w:t>
      </w:r>
      <w:r>
        <w:t>s</w:t>
      </w:r>
      <w:r w:rsidRPr="00D30CBA">
        <w:t>ummar</w:t>
      </w:r>
      <w:r>
        <w:t>y of movement (Budget year 2016</w:t>
      </w:r>
      <w:r>
        <w:rPr>
          <w:lang w:val="en-AU"/>
        </w:rPr>
        <w:t>–</w:t>
      </w:r>
      <w:r>
        <w:t>17</w:t>
      </w:r>
      <w:r w:rsidRPr="00D30CBA">
        <w:t>)</w:t>
      </w:r>
    </w:p>
    <w:p w:rsidR="005A3973" w:rsidRPr="00F626C2" w:rsidRDefault="005A3973" w:rsidP="005A3973">
      <w:pPr>
        <w:pStyle w:val="TableGraphic"/>
      </w:pPr>
      <w:r w:rsidRPr="00D45E8C">
        <w:rPr>
          <w:noProof/>
        </w:rPr>
        <w:drawing>
          <wp:inline distT="0" distB="0" distL="0" distR="0" wp14:anchorId="730ED26A" wp14:editId="1AAB1CFA">
            <wp:extent cx="4896485" cy="2650963"/>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6485" cy="2650963"/>
                    </a:xfrm>
                    <a:prstGeom prst="rect">
                      <a:avLst/>
                    </a:prstGeom>
                    <a:noFill/>
                    <a:ln>
                      <a:noFill/>
                    </a:ln>
                  </pic:spPr>
                </pic:pic>
              </a:graphicData>
            </a:graphic>
          </wp:inline>
        </w:drawing>
      </w:r>
    </w:p>
    <w:p w:rsidR="005A3973" w:rsidRPr="00C70EC1" w:rsidRDefault="005A3973" w:rsidP="005A3973">
      <w:pPr>
        <w:pStyle w:val="ChartandTableFootnote"/>
        <w:spacing w:before="120"/>
        <w:rPr>
          <w:lang w:val="en-AU"/>
        </w:rPr>
      </w:pPr>
      <w:r>
        <w:t>Prepared on Australian Accounting Standards basis.</w:t>
      </w:r>
    </w:p>
    <w:p w:rsidR="005A3973" w:rsidRDefault="005A3973" w:rsidP="005A3973">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5A3973" w:rsidRPr="00F10305" w:rsidRDefault="005A3973" w:rsidP="005A3973">
      <w:pPr>
        <w:pStyle w:val="TableGraphic"/>
      </w:pPr>
      <w:r w:rsidRPr="00D45E8C">
        <w:rPr>
          <w:noProof/>
        </w:rPr>
        <w:drawing>
          <wp:inline distT="0" distB="0" distL="0" distR="0" wp14:anchorId="5A2CADFF" wp14:editId="7F1BF682">
            <wp:extent cx="4896485" cy="5241758"/>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485" cy="5241758"/>
                    </a:xfrm>
                    <a:prstGeom prst="rect">
                      <a:avLst/>
                    </a:prstGeom>
                    <a:noFill/>
                    <a:ln>
                      <a:noFill/>
                    </a:ln>
                  </pic:spPr>
                </pic:pic>
              </a:graphicData>
            </a:graphic>
          </wp:inline>
        </w:drawing>
      </w:r>
    </w:p>
    <w:p w:rsidR="005A3973" w:rsidRPr="00C70EC1" w:rsidRDefault="005A3973" w:rsidP="005A3973">
      <w:pPr>
        <w:pStyle w:val="ChartandTableFootnote"/>
        <w:spacing w:before="120"/>
        <w:rPr>
          <w:lang w:val="en-AU"/>
        </w:rPr>
      </w:pPr>
      <w:r>
        <w:t>Prepared on Australian Accounting Standards basis.</w:t>
      </w:r>
    </w:p>
    <w:p w:rsidR="005A3973" w:rsidRPr="0041404E" w:rsidRDefault="005A3973" w:rsidP="005A3973">
      <w:pPr>
        <w:pStyle w:val="TableHeading"/>
      </w:pPr>
      <w:r>
        <w:br w:type="page"/>
      </w:r>
      <w:r w:rsidRPr="00D30CBA">
        <w:lastRenderedPageBreak/>
        <w:t>Table</w:t>
      </w:r>
      <w:r>
        <w:t xml:space="preserve"> 3.5</w:t>
      </w:r>
      <w:r w:rsidRPr="00D30CBA">
        <w:t xml:space="preserve">: </w:t>
      </w:r>
      <w:r>
        <w:t>Departmental capital budget statement (for the period ended 30</w:t>
      </w:r>
      <w:r>
        <w:rPr>
          <w:lang w:val="en-AU"/>
        </w:rPr>
        <w:t> </w:t>
      </w:r>
      <w:r>
        <w:t>June)</w:t>
      </w:r>
    </w:p>
    <w:p w:rsidR="005A3973" w:rsidRPr="00F10305" w:rsidRDefault="005A3973" w:rsidP="005A3973">
      <w:pPr>
        <w:pStyle w:val="TableGraphic"/>
      </w:pPr>
      <w:r w:rsidRPr="00D45E8C">
        <w:rPr>
          <w:noProof/>
        </w:rPr>
        <w:drawing>
          <wp:inline distT="0" distB="0" distL="0" distR="0" wp14:anchorId="7EA3435F" wp14:editId="585C968F">
            <wp:extent cx="4896485" cy="3161974"/>
            <wp:effectExtent l="0" t="0" r="0" b="63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6485" cy="3161974"/>
                    </a:xfrm>
                    <a:prstGeom prst="rect">
                      <a:avLst/>
                    </a:prstGeom>
                    <a:noFill/>
                    <a:ln>
                      <a:noFill/>
                    </a:ln>
                  </pic:spPr>
                </pic:pic>
              </a:graphicData>
            </a:graphic>
          </wp:inline>
        </w:drawing>
      </w:r>
    </w:p>
    <w:p w:rsidR="005A3973" w:rsidRDefault="005A3973" w:rsidP="005A3973">
      <w:pPr>
        <w:pStyle w:val="ChartandTableFootnoteAlpha"/>
        <w:numPr>
          <w:ilvl w:val="0"/>
          <w:numId w:val="6"/>
        </w:numPr>
        <w:spacing w:before="120"/>
      </w:pPr>
      <w:r>
        <w:t>Includes both current Bill 2 and prior Act 2/4/6 appropriations and special capital appropriations.</w:t>
      </w:r>
    </w:p>
    <w:p w:rsidR="005A3973" w:rsidRDefault="005A3973" w:rsidP="005A3973">
      <w:pPr>
        <w:pStyle w:val="ChartandTableFootnoteAlpha"/>
        <w:numPr>
          <w:ilvl w:val="0"/>
          <w:numId w:val="3"/>
        </w:numPr>
      </w:pPr>
      <w:r>
        <w:t>Does not include annual finance lease costs. Includes purchases from current and previous years’ Departmental capital budgets (</w:t>
      </w:r>
      <w:proofErr w:type="spellStart"/>
      <w:r>
        <w:t>DCBs</w:t>
      </w:r>
      <w:proofErr w:type="spellEnd"/>
      <w:r>
        <w:t>).</w:t>
      </w:r>
    </w:p>
    <w:p w:rsidR="005A3973" w:rsidRDefault="005A3973" w:rsidP="005A3973">
      <w:pPr>
        <w:pStyle w:val="ChartandTableFootnote"/>
        <w:spacing w:before="120"/>
      </w:pPr>
      <w:r>
        <w:t>Prepared on Australian Accounting Standards basis.</w:t>
      </w:r>
    </w:p>
    <w:p w:rsidR="005A3973" w:rsidRDefault="005A3973" w:rsidP="005A3973"/>
    <w:p w:rsidR="005A3973" w:rsidRDefault="005A3973" w:rsidP="005A3973">
      <w:pPr>
        <w:pStyle w:val="ExampleText"/>
        <w:sectPr w:rsidR="005A3973" w:rsidSect="00503D00">
          <w:type w:val="oddPage"/>
          <w:pgSz w:w="11907" w:h="16839" w:code="9"/>
          <w:pgMar w:top="2466" w:right="2098" w:bottom="2466" w:left="2098" w:header="1899" w:footer="1899" w:gutter="0"/>
          <w:cols w:space="708"/>
          <w:docGrid w:linePitch="360"/>
        </w:sectPr>
      </w:pPr>
    </w:p>
    <w:p w:rsidR="005A3973" w:rsidRDefault="005A3973" w:rsidP="005A3973">
      <w:pPr>
        <w:pStyle w:val="TableHeading"/>
      </w:pPr>
      <w:r w:rsidRPr="00D30CBA">
        <w:lastRenderedPageBreak/>
        <w:t>Table</w:t>
      </w:r>
      <w:r>
        <w:t xml:space="preserve"> 3.6</w:t>
      </w:r>
      <w:r w:rsidRPr="00D30CBA">
        <w:t xml:space="preserve">: </w:t>
      </w:r>
      <w:r>
        <w:t>Statement of asset movements (Budget year 2016</w:t>
      </w:r>
      <w:r>
        <w:rPr>
          <w:lang w:val="en-AU"/>
        </w:rPr>
        <w:t>–</w:t>
      </w:r>
      <w:r>
        <w:t>17)</w:t>
      </w:r>
    </w:p>
    <w:p w:rsidR="005A3973" w:rsidRPr="008E7DCC" w:rsidRDefault="005A3973" w:rsidP="005A3973">
      <w:pPr>
        <w:pStyle w:val="TableGraphic"/>
      </w:pPr>
      <w:r w:rsidRPr="00D45E8C">
        <w:rPr>
          <w:noProof/>
        </w:rPr>
        <w:drawing>
          <wp:inline distT="0" distB="0" distL="0" distR="0" wp14:anchorId="77A545A4" wp14:editId="1A6DAD2D">
            <wp:extent cx="4896485" cy="3311993"/>
            <wp:effectExtent l="0" t="0" r="0" b="317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6485" cy="3311993"/>
                    </a:xfrm>
                    <a:prstGeom prst="rect">
                      <a:avLst/>
                    </a:prstGeom>
                    <a:noFill/>
                    <a:ln>
                      <a:noFill/>
                    </a:ln>
                  </pic:spPr>
                </pic:pic>
              </a:graphicData>
            </a:graphic>
          </wp:inline>
        </w:drawing>
      </w:r>
    </w:p>
    <w:p w:rsidR="005A3973" w:rsidRDefault="005A3973" w:rsidP="005A3973">
      <w:pPr>
        <w:pStyle w:val="ChartandTableFootnoteAlpha"/>
        <w:numPr>
          <w:ilvl w:val="0"/>
          <w:numId w:val="5"/>
        </w:numPr>
        <w:spacing w:before="120"/>
      </w:pPr>
      <w:r>
        <w:t xml:space="preserve">Appropriation equity refers to Appropriation Bill (No. 1) 2015–16 for depreciation/amortisation expenses, </w:t>
      </w:r>
      <w:proofErr w:type="spellStart"/>
      <w:r>
        <w:t>DCBs</w:t>
      </w:r>
      <w:proofErr w:type="spellEnd"/>
      <w:r>
        <w:t xml:space="preserve"> or other operational expenses and equity injections appropriations provided through Appropriation Bill (No. 2) 2015–16, including </w:t>
      </w:r>
      <w:proofErr w:type="spellStart"/>
      <w:r>
        <w:t>CDABs</w:t>
      </w:r>
      <w:proofErr w:type="spellEnd"/>
      <w:r>
        <w:t>.</w:t>
      </w:r>
    </w:p>
    <w:p w:rsidR="005A3973" w:rsidRPr="002B7D6F" w:rsidRDefault="005A3973" w:rsidP="005A3973">
      <w:pPr>
        <w:pStyle w:val="ChartandTableFootnote"/>
        <w:spacing w:before="120"/>
      </w:pPr>
      <w:r w:rsidRPr="003458E0">
        <w:t>Prepared on Australian Accounting Standards basis.</w:t>
      </w:r>
    </w:p>
    <w:p w:rsidR="005A3973" w:rsidRPr="002B7D6F" w:rsidRDefault="005A3973" w:rsidP="005A3973">
      <w:pPr>
        <w:spacing w:before="120"/>
        <w:sectPr w:rsidR="005A3973" w:rsidRPr="002B7D6F" w:rsidSect="00C46B04">
          <w:headerReference w:type="even" r:id="rId24"/>
          <w:headerReference w:type="default" r:id="rId25"/>
          <w:footerReference w:type="even" r:id="rId26"/>
          <w:headerReference w:type="first" r:id="rId27"/>
          <w:footerReference w:type="first" r:id="rId28"/>
          <w:pgSz w:w="11907" w:h="16839" w:code="9"/>
          <w:pgMar w:top="2466" w:right="2098" w:bottom="2466" w:left="2098" w:header="1899" w:footer="1899" w:gutter="0"/>
          <w:cols w:space="708"/>
          <w:titlePg/>
          <w:docGrid w:linePitch="360"/>
        </w:sectPr>
      </w:pPr>
    </w:p>
    <w:p w:rsidR="005A3973" w:rsidRDefault="005A3973" w:rsidP="005A3973">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5A3973" w:rsidRPr="00F10305" w:rsidRDefault="005A3973" w:rsidP="005A3973">
      <w:pPr>
        <w:pStyle w:val="TableGraphic"/>
      </w:pPr>
      <w:r w:rsidRPr="00D45E8C">
        <w:rPr>
          <w:noProof/>
        </w:rPr>
        <w:drawing>
          <wp:inline distT="0" distB="0" distL="0" distR="0" wp14:anchorId="61A3AEF0" wp14:editId="5F7B20BA">
            <wp:extent cx="4896485" cy="3946514"/>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6485" cy="3946514"/>
                    </a:xfrm>
                    <a:prstGeom prst="rect">
                      <a:avLst/>
                    </a:prstGeom>
                    <a:noFill/>
                    <a:ln>
                      <a:noFill/>
                    </a:ln>
                  </pic:spPr>
                </pic:pic>
              </a:graphicData>
            </a:graphic>
          </wp:inline>
        </w:drawing>
      </w:r>
    </w:p>
    <w:p w:rsidR="005A3973" w:rsidRDefault="005A3973" w:rsidP="005A3973">
      <w:pPr>
        <w:pStyle w:val="ChartandTableFootnote"/>
        <w:spacing w:before="120"/>
      </w:pPr>
      <w:r w:rsidRPr="00E4582E">
        <w:t>Prepared on Australian Accounting Standards basis</w:t>
      </w:r>
      <w:r>
        <w:t>.</w:t>
      </w:r>
    </w:p>
    <w:p w:rsidR="005A3973" w:rsidRDefault="005A3973" w:rsidP="005A3973">
      <w:pPr>
        <w:pStyle w:val="TableHeading"/>
        <w:rPr>
          <w:lang w:val="en-AU"/>
        </w:rPr>
      </w:pPr>
    </w:p>
    <w:p w:rsidR="005A3973" w:rsidRDefault="005A3973" w:rsidP="005A3973">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5A3973" w:rsidRDefault="005A3973" w:rsidP="005A3973">
      <w:r>
        <w:t>The F</w:t>
      </w:r>
      <w:r w:rsidRPr="00065E04">
        <w:t xml:space="preserve">air Work Commission has no administered assets and liabilities. For this reason </w:t>
      </w:r>
      <w:r>
        <w:t>T</w:t>
      </w:r>
      <w:r w:rsidRPr="00065E04">
        <w:t>able 3.8 is not presented</w:t>
      </w:r>
      <w:r>
        <w:t>.</w:t>
      </w:r>
    </w:p>
    <w:p w:rsidR="005A3973" w:rsidRDefault="005A3973" w:rsidP="005A3973">
      <w:pPr>
        <w:pStyle w:val="TableHeading"/>
      </w:pPr>
      <w:r>
        <w:br w:type="page"/>
      </w:r>
    </w:p>
    <w:p w:rsidR="005A3973" w:rsidRPr="00C719CA" w:rsidRDefault="005A3973" w:rsidP="005A3973">
      <w:pPr>
        <w:pStyle w:val="TableHeading"/>
        <w:rPr>
          <w:lang w:val="en-AU"/>
        </w:rPr>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p>
    <w:p w:rsidR="005A3973" w:rsidRPr="00C719CA" w:rsidRDefault="005A3973" w:rsidP="005A3973">
      <w:r w:rsidRPr="00C719CA">
        <w:rPr>
          <w:noProof/>
        </w:rPr>
        <w:drawing>
          <wp:inline distT="0" distB="0" distL="0" distR="0" wp14:anchorId="38F838A2" wp14:editId="25A1606A">
            <wp:extent cx="4896485" cy="52098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6485" cy="5209800"/>
                    </a:xfrm>
                    <a:prstGeom prst="rect">
                      <a:avLst/>
                    </a:prstGeom>
                    <a:noFill/>
                    <a:ln>
                      <a:noFill/>
                    </a:ln>
                  </pic:spPr>
                </pic:pic>
              </a:graphicData>
            </a:graphic>
          </wp:inline>
        </w:drawing>
      </w:r>
    </w:p>
    <w:p w:rsidR="005A3973" w:rsidRDefault="005A3973" w:rsidP="005A3973">
      <w:pPr>
        <w:pStyle w:val="ChartandTableFootnote"/>
        <w:spacing w:before="120"/>
      </w:pPr>
      <w:r>
        <w:t>Prepared on Australian Accounting Standards basis.</w:t>
      </w:r>
    </w:p>
    <w:p w:rsidR="005A3973" w:rsidRDefault="005A3973" w:rsidP="005A3973">
      <w:pPr>
        <w:pStyle w:val="TableHeading"/>
      </w:pPr>
      <w:r w:rsidRPr="00D30CBA">
        <w:t>Table</w:t>
      </w:r>
      <w:r>
        <w:t xml:space="preserve"> 3.10</w:t>
      </w:r>
      <w:r w:rsidRPr="00D30CBA">
        <w:t xml:space="preserve">: </w:t>
      </w:r>
      <w:r>
        <w:t>Administered capital budget statement (period end</w:t>
      </w:r>
      <w:r>
        <w:rPr>
          <w:lang w:val="en-AU"/>
        </w:rPr>
        <w:t>ed</w:t>
      </w:r>
      <w:r>
        <w:t xml:space="preserve"> 30</w:t>
      </w:r>
      <w:r>
        <w:rPr>
          <w:lang w:val="en-AU"/>
        </w:rPr>
        <w:t> </w:t>
      </w:r>
      <w:r>
        <w:t>June)</w:t>
      </w:r>
    </w:p>
    <w:p w:rsidR="005A3973" w:rsidRPr="00A20C5D" w:rsidRDefault="005A3973" w:rsidP="005A3973">
      <w:pPr>
        <w:pStyle w:val="TableGraphic"/>
      </w:pPr>
      <w:r>
        <w:rPr>
          <w:noProof/>
        </w:rPr>
        <w:t>The Fair Work Commission has no administered capital budget. For this reason Table 3.10 is not presented.</w:t>
      </w:r>
    </w:p>
    <w:p w:rsidR="005A3973" w:rsidRDefault="005A3973" w:rsidP="005A3973">
      <w:pPr>
        <w:pStyle w:val="TableHeading"/>
        <w:spacing w:after="0"/>
      </w:pPr>
      <w:r>
        <w:t xml:space="preserve">Table 3.11: Statement of administered asset movements (Budget year </w:t>
      </w:r>
      <w:r>
        <w:rPr>
          <w:lang w:val="en-AU"/>
        </w:rPr>
        <w:br/>
      </w:r>
      <w:r>
        <w:t>2016</w:t>
      </w:r>
      <w:r>
        <w:rPr>
          <w:lang w:val="en-AU"/>
        </w:rPr>
        <w:t>–</w:t>
      </w:r>
      <w:r>
        <w:t xml:space="preserve">17) </w:t>
      </w:r>
    </w:p>
    <w:p w:rsidR="00504A6D" w:rsidRDefault="005A3973" w:rsidP="005A3973">
      <w:r>
        <w:rPr>
          <w:noProof/>
        </w:rPr>
        <w:t>The Fair Work Commission has no administered assets and liabilities. For this reason Table 3.11 is not presented.</w:t>
      </w:r>
      <w:bookmarkStart w:id="146" w:name="_GoBack"/>
      <w:bookmarkEnd w:id="146"/>
    </w:p>
    <w:sectPr w:rsidR="00504A6D" w:rsidSect="005A3973">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73" w:rsidRDefault="005A3973" w:rsidP="005A3973">
      <w:pPr>
        <w:spacing w:after="0"/>
      </w:pPr>
      <w:r>
        <w:separator/>
      </w:r>
    </w:p>
  </w:endnote>
  <w:endnote w:type="continuationSeparator" w:id="0">
    <w:p w:rsidR="005A3973" w:rsidRDefault="005A3973" w:rsidP="005A3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149749"/>
      <w:docPartObj>
        <w:docPartGallery w:val="Page Numbers (Bottom of Page)"/>
        <w:docPartUnique/>
      </w:docPartObj>
    </w:sdtPr>
    <w:sdtEndPr>
      <w:rPr>
        <w:noProof/>
      </w:rPr>
    </w:sdtEndPr>
    <w:sdtContent>
      <w:p w:rsidR="005A3973" w:rsidRPr="005A3973" w:rsidRDefault="005A3973" w:rsidP="005A3973">
        <w:pPr>
          <w:pStyle w:val="Footer"/>
        </w:pPr>
        <w:r>
          <w:fldChar w:fldCharType="begin"/>
        </w:r>
        <w:r>
          <w:instrText xml:space="preserve"> PAGE   \* MERGEFORMAT </w:instrText>
        </w:r>
        <w:r>
          <w:fldChar w:fldCharType="separate"/>
        </w:r>
        <w:r w:rsidR="008D185C">
          <w:rPr>
            <w:noProof/>
          </w:rPr>
          <w:t>114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41481"/>
      <w:docPartObj>
        <w:docPartGallery w:val="Page Numbers (Bottom of Page)"/>
        <w:docPartUnique/>
      </w:docPartObj>
    </w:sdtPr>
    <w:sdtEndPr>
      <w:rPr>
        <w:noProof/>
      </w:rPr>
    </w:sdtEndPr>
    <w:sdtContent>
      <w:p w:rsidR="005A3973" w:rsidRPr="005A3973" w:rsidRDefault="005A3973" w:rsidP="005A3973">
        <w:pPr>
          <w:pStyle w:val="Footer"/>
        </w:pPr>
        <w:r>
          <w:fldChar w:fldCharType="begin"/>
        </w:r>
        <w:r>
          <w:instrText xml:space="preserve"> PAGE   \* MERGEFORMAT </w:instrText>
        </w:r>
        <w:r>
          <w:fldChar w:fldCharType="separate"/>
        </w:r>
        <w:r w:rsidR="008D185C">
          <w:rPr>
            <w:noProof/>
          </w:rPr>
          <w:t>115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73" w:rsidRDefault="005A3973">
    <w:pPr>
      <w:pStyle w:val="Footer"/>
    </w:pPr>
  </w:p>
  <w:p w:rsidR="00226CD4" w:rsidRPr="000009EE" w:rsidRDefault="008D185C" w:rsidP="00E425E5">
    <w:pPr>
      <w:pStyle w:val="Footer"/>
      <w:rPr>
        <w:lang w:val="en-A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8D185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97652"/>
      <w:docPartObj>
        <w:docPartGallery w:val="Page Numbers (Bottom of Page)"/>
        <w:docPartUnique/>
      </w:docPartObj>
    </w:sdtPr>
    <w:sdtEndPr>
      <w:rPr>
        <w:noProof/>
      </w:rPr>
    </w:sdtEndPr>
    <w:sdtContent>
      <w:p w:rsidR="00226CD4" w:rsidRDefault="008D185C">
        <w:pPr>
          <w:pStyle w:val="Footer"/>
        </w:pPr>
        <w:r>
          <w:fldChar w:fldCharType="begin"/>
        </w:r>
        <w:r>
          <w:instrText xml:space="preserve"> PAGE   \* MERGEFORMAT </w:instrText>
        </w:r>
        <w:r>
          <w:fldChar w:fldCharType="separate"/>
        </w:r>
        <w:r>
          <w:rPr>
            <w:noProof/>
          </w:rPr>
          <w:t>117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73" w:rsidRDefault="005A3973" w:rsidP="005A3973">
      <w:pPr>
        <w:spacing w:after="0"/>
      </w:pPr>
      <w:r>
        <w:separator/>
      </w:r>
    </w:p>
  </w:footnote>
  <w:footnote w:type="continuationSeparator" w:id="0">
    <w:p w:rsidR="005A3973" w:rsidRDefault="005A3973" w:rsidP="005A39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8D185C" w:rsidP="00017690">
    <w:pPr>
      <w:pStyle w:val="HeaderEven"/>
    </w:pPr>
    <w:proofErr w:type="spellStart"/>
    <w:r>
      <w:t>FWC</w:t>
    </w:r>
    <w:proofErr w:type="spellEnd"/>
    <w:r>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8D185C" w:rsidP="00B154DB">
    <w:pPr>
      <w:pStyle w:val="HeaderOdd"/>
    </w:pPr>
    <w:r>
      <w:rPr>
        <w:noProof/>
        <w:lang w:val="en-US" w:eastAsia="zh-TW"/>
      </w:rPr>
      <w:t>FWC</w:t>
    </w:r>
    <w:r>
      <w:t xml:space="preserve"> Budget Statements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5A3973" w:rsidRDefault="005A3973" w:rsidP="003364C1">
    <w:pPr>
      <w:pStyle w:val="Header"/>
      <w:rPr>
        <w:lang w:val="en-AU"/>
      </w:rPr>
    </w:pPr>
    <w:proofErr w:type="spellStart"/>
    <w:r>
      <w:rPr>
        <w:lang w:val="en-AU"/>
      </w:rPr>
      <w:t>FWC</w:t>
    </w:r>
    <w:proofErr w:type="spellEnd"/>
    <w:r>
      <w:rPr>
        <w:lang w:val="en-AU"/>
      </w:rPr>
      <w:t xml:space="preserve"> Budget Statements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Default="008D18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D4" w:rsidRPr="00080F4F" w:rsidRDefault="008D185C" w:rsidP="0026279C">
    <w:pPr>
      <w:framePr w:w="289" w:h="7681" w:hRule="exact" w:wrap="around" w:vAnchor="page" w:hAnchor="page" w:x="14626" w:y="2143" w:anchorLock="1"/>
      <w:spacing w:line="276" w:lineRule="auto"/>
      <w:textDirection w:val="tbRl"/>
      <w:rPr>
        <w:rStyle w:val="FramedHeader"/>
      </w:rPr>
    </w:pPr>
    <w:proofErr w:type="spellStart"/>
    <w:r>
      <w:rPr>
        <w:rStyle w:val="FramedHeader"/>
      </w:rPr>
      <w:t>FWC</w:t>
    </w:r>
    <w:proofErr w:type="spellEnd"/>
    <w:r>
      <w:rPr>
        <w:rStyle w:val="FramedHeader"/>
      </w:rPr>
      <w:t xml:space="preserve"> </w:t>
    </w:r>
    <w:r w:rsidRPr="00080F4F">
      <w:rPr>
        <w:rStyle w:val="FramedHeader"/>
      </w:rPr>
      <w:t>Budget Statements</w:t>
    </w:r>
    <w:r>
      <w:rPr>
        <w:rStyle w:val="FramedHeader"/>
      </w:rPr>
      <w:t xml:space="preserve"> </w:t>
    </w:r>
  </w:p>
  <w:p w:rsidR="00226CD4" w:rsidRPr="004337DF" w:rsidRDefault="008D185C" w:rsidP="005A3973">
    <w:pPr>
      <w:pStyle w:val="HeaderOdd"/>
    </w:pPr>
    <w:proofErr w:type="spellStart"/>
    <w:r>
      <w:t>FWC</w:t>
    </w:r>
    <w:proofErr w:type="spellEnd"/>
    <w:r>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num w:numId="1">
    <w:abstractNumId w:val="1"/>
    <w:lvlOverride w:ilvl="0">
      <w:startOverride w:val="1"/>
    </w:lvlOverride>
  </w:num>
  <w:num w:numId="2">
    <w:abstractNumId w:val="0"/>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73"/>
    <w:rsid w:val="004F6C10"/>
    <w:rsid w:val="00504A6D"/>
    <w:rsid w:val="00533004"/>
    <w:rsid w:val="005A3973"/>
    <w:rsid w:val="008D1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73"/>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5A3973"/>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5A3973"/>
    <w:pPr>
      <w:keepNext/>
      <w:spacing w:before="240" w:after="240"/>
      <w:outlineLvl w:val="1"/>
    </w:pPr>
    <w:rPr>
      <w:rFonts w:ascii="Arial" w:hAnsi="Arial"/>
      <w:sz w:val="30"/>
    </w:rPr>
  </w:style>
  <w:style w:type="paragraph" w:styleId="Heading3">
    <w:name w:val="heading 3"/>
    <w:basedOn w:val="Normal"/>
    <w:next w:val="Normal"/>
    <w:link w:val="Heading3Char"/>
    <w:qFormat/>
    <w:rsid w:val="005A3973"/>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5A3973"/>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5A3973"/>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973"/>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5A3973"/>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5A3973"/>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5A3973"/>
    <w:rPr>
      <w:rFonts w:ascii="Arial" w:eastAsia="Times New Roman" w:hAnsi="Arial" w:cs="Times New Roman"/>
      <w:b/>
      <w:szCs w:val="20"/>
      <w:lang w:eastAsia="en-AU"/>
    </w:rPr>
  </w:style>
  <w:style w:type="character" w:customStyle="1" w:styleId="Heading5Char">
    <w:name w:val="Heading 5 Char"/>
    <w:basedOn w:val="DefaultParagraphFont"/>
    <w:link w:val="Heading5"/>
    <w:rsid w:val="005A3973"/>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5A3973"/>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5A3973"/>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5A3973"/>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5A3973"/>
    <w:pPr>
      <w:keepNext/>
      <w:spacing w:after="360"/>
      <w:jc w:val="center"/>
    </w:pPr>
    <w:rPr>
      <w:rFonts w:ascii="Arial" w:hAnsi="Arial"/>
      <w:b/>
      <w:smallCaps/>
      <w:sz w:val="34"/>
    </w:rPr>
  </w:style>
  <w:style w:type="paragraph" w:customStyle="1" w:styleId="TableGraphic">
    <w:name w:val="Table Graphic"/>
    <w:basedOn w:val="Normal"/>
    <w:next w:val="Normal"/>
    <w:rsid w:val="005A3973"/>
    <w:pPr>
      <w:spacing w:after="0"/>
      <w:ind w:right="-113"/>
    </w:pPr>
  </w:style>
  <w:style w:type="paragraph" w:customStyle="1" w:styleId="TableTextLeft">
    <w:name w:val="Table Text Left"/>
    <w:basedOn w:val="Normal"/>
    <w:link w:val="TableTextLeftChar"/>
    <w:rsid w:val="005A3973"/>
    <w:pPr>
      <w:spacing w:before="60" w:after="60"/>
    </w:pPr>
    <w:rPr>
      <w:rFonts w:ascii="Arial" w:hAnsi="Arial"/>
      <w:sz w:val="18"/>
    </w:rPr>
  </w:style>
  <w:style w:type="paragraph" w:customStyle="1" w:styleId="TableColumnHeadingLeft">
    <w:name w:val="Table Column Heading Left"/>
    <w:basedOn w:val="Normal"/>
    <w:next w:val="TableTextLeft"/>
    <w:rsid w:val="005A3973"/>
    <w:pPr>
      <w:spacing w:before="60" w:after="60"/>
    </w:pPr>
    <w:rPr>
      <w:rFonts w:ascii="Arial" w:hAnsi="Arial"/>
      <w:b/>
      <w:sz w:val="20"/>
    </w:rPr>
  </w:style>
  <w:style w:type="paragraph" w:customStyle="1" w:styleId="TableHeadingcontinued">
    <w:name w:val="Table Heading continued"/>
    <w:basedOn w:val="Normal"/>
    <w:next w:val="TableGraphic"/>
    <w:rsid w:val="005A3973"/>
    <w:pPr>
      <w:keepNext/>
      <w:spacing w:before="120" w:after="20"/>
    </w:pPr>
    <w:rPr>
      <w:b/>
    </w:rPr>
  </w:style>
  <w:style w:type="paragraph" w:customStyle="1" w:styleId="HeaderEven">
    <w:name w:val="Header Even"/>
    <w:basedOn w:val="Normal"/>
    <w:rsid w:val="005A3973"/>
    <w:pPr>
      <w:spacing w:after="0"/>
    </w:pPr>
    <w:rPr>
      <w:i/>
      <w:sz w:val="20"/>
    </w:rPr>
  </w:style>
  <w:style w:type="paragraph" w:customStyle="1" w:styleId="HeaderOdd">
    <w:name w:val="Header Odd"/>
    <w:basedOn w:val="Normal"/>
    <w:rsid w:val="005A3973"/>
    <w:pPr>
      <w:spacing w:after="0"/>
      <w:jc w:val="right"/>
    </w:pPr>
    <w:rPr>
      <w:i/>
      <w:sz w:val="20"/>
    </w:rPr>
  </w:style>
  <w:style w:type="paragraph" w:styleId="Header">
    <w:name w:val="header"/>
    <w:basedOn w:val="Normal"/>
    <w:link w:val="HeaderChar"/>
    <w:uiPriority w:val="99"/>
    <w:rsid w:val="005A3973"/>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5A3973"/>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5A3973"/>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5A3973"/>
    <w:rPr>
      <w:rFonts w:ascii="Arial" w:eastAsia="Times New Roman" w:hAnsi="Arial" w:cs="Times New Roman"/>
      <w:sz w:val="20"/>
      <w:szCs w:val="20"/>
      <w:lang w:val="x-none" w:eastAsia="x-none"/>
    </w:rPr>
  </w:style>
  <w:style w:type="paragraph" w:styleId="TOC1">
    <w:name w:val="toc 1"/>
    <w:basedOn w:val="Normal"/>
    <w:next w:val="Normal"/>
    <w:uiPriority w:val="39"/>
    <w:rsid w:val="005A3973"/>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5A3973"/>
    <w:pPr>
      <w:keepNext/>
      <w:tabs>
        <w:tab w:val="right" w:leader="dot" w:pos="7700"/>
      </w:tabs>
      <w:spacing w:before="80" w:after="0"/>
      <w:ind w:right="851"/>
    </w:pPr>
    <w:rPr>
      <w:rFonts w:ascii="Arial" w:hAnsi="Arial"/>
      <w:sz w:val="20"/>
    </w:rPr>
  </w:style>
  <w:style w:type="character" w:styleId="PageNumber">
    <w:name w:val="page number"/>
    <w:rsid w:val="005A3973"/>
    <w:rPr>
      <w:rFonts w:ascii="Arial" w:hAnsi="Arial" w:cs="Arial"/>
    </w:rPr>
  </w:style>
  <w:style w:type="character" w:customStyle="1" w:styleId="FramedHeader">
    <w:name w:val="Framed Header"/>
    <w:rsid w:val="005A3973"/>
    <w:rPr>
      <w:rFonts w:ascii="Book Antiqua" w:hAnsi="Book Antiqua"/>
      <w:i/>
      <w:dstrike w:val="0"/>
      <w:color w:val="auto"/>
      <w:sz w:val="18"/>
      <w:vertAlign w:val="baseline"/>
    </w:rPr>
  </w:style>
  <w:style w:type="paragraph" w:customStyle="1" w:styleId="Department">
    <w:name w:val="Department"/>
    <w:basedOn w:val="Normal"/>
    <w:rsid w:val="005A3973"/>
    <w:pPr>
      <w:spacing w:after="0"/>
      <w:jc w:val="center"/>
    </w:pPr>
    <w:rPr>
      <w:rFonts w:ascii="Arial" w:hAnsi="Arial"/>
      <w:b/>
      <w:sz w:val="52"/>
    </w:rPr>
  </w:style>
  <w:style w:type="paragraph" w:customStyle="1" w:styleId="DepartmentSubtitle">
    <w:name w:val="Department Subtitle"/>
    <w:basedOn w:val="Department"/>
    <w:rsid w:val="005A3973"/>
    <w:rPr>
      <w:sz w:val="44"/>
    </w:rPr>
  </w:style>
  <w:style w:type="character" w:styleId="Hyperlink">
    <w:name w:val="Hyperlink"/>
    <w:uiPriority w:val="99"/>
    <w:rsid w:val="005A3973"/>
    <w:rPr>
      <w:color w:val="000000"/>
      <w:u w:val="none"/>
    </w:rPr>
  </w:style>
  <w:style w:type="paragraph" w:customStyle="1" w:styleId="TableTextBullet">
    <w:name w:val="Table Text Bullet"/>
    <w:basedOn w:val="Normal"/>
    <w:rsid w:val="005A3973"/>
    <w:pPr>
      <w:numPr>
        <w:numId w:val="2"/>
      </w:numPr>
      <w:spacing w:before="60" w:after="60"/>
    </w:pPr>
    <w:rPr>
      <w:rFonts w:ascii="Arial" w:hAnsi="Arial"/>
      <w:sz w:val="18"/>
    </w:rPr>
  </w:style>
  <w:style w:type="character" w:customStyle="1" w:styleId="TableHeadingChar">
    <w:name w:val="Table Heading Char"/>
    <w:link w:val="TableHeading"/>
    <w:rsid w:val="005A3973"/>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5A3973"/>
    <w:rPr>
      <w:rFonts w:ascii="Arial" w:eastAsia="Times New Roman" w:hAnsi="Arial" w:cs="Times New Roman"/>
      <w:sz w:val="18"/>
      <w:szCs w:val="20"/>
      <w:lang w:eastAsia="en-AU"/>
    </w:rPr>
  </w:style>
  <w:style w:type="paragraph" w:customStyle="1" w:styleId="TableTextDash">
    <w:name w:val="Table Text Dash"/>
    <w:basedOn w:val="Normal"/>
    <w:rsid w:val="005A3973"/>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5A3973"/>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5A3973"/>
    <w:rPr>
      <w:i/>
      <w:color w:val="FF0000"/>
    </w:rPr>
  </w:style>
  <w:style w:type="paragraph" w:styleId="BodyText">
    <w:name w:val="Body Text"/>
    <w:basedOn w:val="Normal"/>
    <w:link w:val="BodyTextChar"/>
    <w:qFormat/>
    <w:rsid w:val="005A3973"/>
    <w:rPr>
      <w:rFonts w:eastAsia="Cambria"/>
      <w:szCs w:val="22"/>
      <w:lang w:val="x-none" w:eastAsia="en-US"/>
    </w:rPr>
  </w:style>
  <w:style w:type="character" w:customStyle="1" w:styleId="BodyTextChar">
    <w:name w:val="Body Text Char"/>
    <w:basedOn w:val="DefaultParagraphFont"/>
    <w:link w:val="BodyText"/>
    <w:rsid w:val="005A3973"/>
    <w:rPr>
      <w:rFonts w:ascii="Book Antiqua" w:eastAsia="Cambria" w:hAnsi="Book Antiqua" w:cs="Times New Roman"/>
      <w:lang w:val="x-none"/>
    </w:rPr>
  </w:style>
  <w:style w:type="paragraph" w:styleId="BalloonText">
    <w:name w:val="Balloon Text"/>
    <w:basedOn w:val="Normal"/>
    <w:link w:val="BalloonTextChar"/>
    <w:uiPriority w:val="99"/>
    <w:semiHidden/>
    <w:unhideWhenUsed/>
    <w:rsid w:val="005A39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973"/>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73"/>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5A3973"/>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5A3973"/>
    <w:pPr>
      <w:keepNext/>
      <w:spacing w:before="240" w:after="240"/>
      <w:outlineLvl w:val="1"/>
    </w:pPr>
    <w:rPr>
      <w:rFonts w:ascii="Arial" w:hAnsi="Arial"/>
      <w:sz w:val="30"/>
    </w:rPr>
  </w:style>
  <w:style w:type="paragraph" w:styleId="Heading3">
    <w:name w:val="heading 3"/>
    <w:basedOn w:val="Normal"/>
    <w:next w:val="Normal"/>
    <w:link w:val="Heading3Char"/>
    <w:qFormat/>
    <w:rsid w:val="005A3973"/>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5A3973"/>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5A3973"/>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973"/>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5A3973"/>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5A3973"/>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5A3973"/>
    <w:rPr>
      <w:rFonts w:ascii="Arial" w:eastAsia="Times New Roman" w:hAnsi="Arial" w:cs="Times New Roman"/>
      <w:b/>
      <w:szCs w:val="20"/>
      <w:lang w:eastAsia="en-AU"/>
    </w:rPr>
  </w:style>
  <w:style w:type="character" w:customStyle="1" w:styleId="Heading5Char">
    <w:name w:val="Heading 5 Char"/>
    <w:basedOn w:val="DefaultParagraphFont"/>
    <w:link w:val="Heading5"/>
    <w:rsid w:val="005A3973"/>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5A3973"/>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5A3973"/>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5A3973"/>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5A3973"/>
    <w:pPr>
      <w:keepNext/>
      <w:spacing w:after="360"/>
      <w:jc w:val="center"/>
    </w:pPr>
    <w:rPr>
      <w:rFonts w:ascii="Arial" w:hAnsi="Arial"/>
      <w:b/>
      <w:smallCaps/>
      <w:sz w:val="34"/>
    </w:rPr>
  </w:style>
  <w:style w:type="paragraph" w:customStyle="1" w:styleId="TableGraphic">
    <w:name w:val="Table Graphic"/>
    <w:basedOn w:val="Normal"/>
    <w:next w:val="Normal"/>
    <w:rsid w:val="005A3973"/>
    <w:pPr>
      <w:spacing w:after="0"/>
      <w:ind w:right="-113"/>
    </w:pPr>
  </w:style>
  <w:style w:type="paragraph" w:customStyle="1" w:styleId="TableTextLeft">
    <w:name w:val="Table Text Left"/>
    <w:basedOn w:val="Normal"/>
    <w:link w:val="TableTextLeftChar"/>
    <w:rsid w:val="005A3973"/>
    <w:pPr>
      <w:spacing w:before="60" w:after="60"/>
    </w:pPr>
    <w:rPr>
      <w:rFonts w:ascii="Arial" w:hAnsi="Arial"/>
      <w:sz w:val="18"/>
    </w:rPr>
  </w:style>
  <w:style w:type="paragraph" w:customStyle="1" w:styleId="TableColumnHeadingLeft">
    <w:name w:val="Table Column Heading Left"/>
    <w:basedOn w:val="Normal"/>
    <w:next w:val="TableTextLeft"/>
    <w:rsid w:val="005A3973"/>
    <w:pPr>
      <w:spacing w:before="60" w:after="60"/>
    </w:pPr>
    <w:rPr>
      <w:rFonts w:ascii="Arial" w:hAnsi="Arial"/>
      <w:b/>
      <w:sz w:val="20"/>
    </w:rPr>
  </w:style>
  <w:style w:type="paragraph" w:customStyle="1" w:styleId="TableHeadingcontinued">
    <w:name w:val="Table Heading continued"/>
    <w:basedOn w:val="Normal"/>
    <w:next w:val="TableGraphic"/>
    <w:rsid w:val="005A3973"/>
    <w:pPr>
      <w:keepNext/>
      <w:spacing w:before="120" w:after="20"/>
    </w:pPr>
    <w:rPr>
      <w:b/>
    </w:rPr>
  </w:style>
  <w:style w:type="paragraph" w:customStyle="1" w:styleId="HeaderEven">
    <w:name w:val="Header Even"/>
    <w:basedOn w:val="Normal"/>
    <w:rsid w:val="005A3973"/>
    <w:pPr>
      <w:spacing w:after="0"/>
    </w:pPr>
    <w:rPr>
      <w:i/>
      <w:sz w:val="20"/>
    </w:rPr>
  </w:style>
  <w:style w:type="paragraph" w:customStyle="1" w:styleId="HeaderOdd">
    <w:name w:val="Header Odd"/>
    <w:basedOn w:val="Normal"/>
    <w:rsid w:val="005A3973"/>
    <w:pPr>
      <w:spacing w:after="0"/>
      <w:jc w:val="right"/>
    </w:pPr>
    <w:rPr>
      <w:i/>
      <w:sz w:val="20"/>
    </w:rPr>
  </w:style>
  <w:style w:type="paragraph" w:styleId="Header">
    <w:name w:val="header"/>
    <w:basedOn w:val="Normal"/>
    <w:link w:val="HeaderChar"/>
    <w:uiPriority w:val="99"/>
    <w:rsid w:val="005A3973"/>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5A3973"/>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5A3973"/>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5A3973"/>
    <w:rPr>
      <w:rFonts w:ascii="Arial" w:eastAsia="Times New Roman" w:hAnsi="Arial" w:cs="Times New Roman"/>
      <w:sz w:val="20"/>
      <w:szCs w:val="20"/>
      <w:lang w:val="x-none" w:eastAsia="x-none"/>
    </w:rPr>
  </w:style>
  <w:style w:type="paragraph" w:styleId="TOC1">
    <w:name w:val="toc 1"/>
    <w:basedOn w:val="Normal"/>
    <w:next w:val="Normal"/>
    <w:uiPriority w:val="39"/>
    <w:rsid w:val="005A3973"/>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5A3973"/>
    <w:pPr>
      <w:keepNext/>
      <w:tabs>
        <w:tab w:val="right" w:leader="dot" w:pos="7700"/>
      </w:tabs>
      <w:spacing w:before="80" w:after="0"/>
      <w:ind w:right="851"/>
    </w:pPr>
    <w:rPr>
      <w:rFonts w:ascii="Arial" w:hAnsi="Arial"/>
      <w:sz w:val="20"/>
    </w:rPr>
  </w:style>
  <w:style w:type="character" w:styleId="PageNumber">
    <w:name w:val="page number"/>
    <w:rsid w:val="005A3973"/>
    <w:rPr>
      <w:rFonts w:ascii="Arial" w:hAnsi="Arial" w:cs="Arial"/>
    </w:rPr>
  </w:style>
  <w:style w:type="character" w:customStyle="1" w:styleId="FramedHeader">
    <w:name w:val="Framed Header"/>
    <w:rsid w:val="005A3973"/>
    <w:rPr>
      <w:rFonts w:ascii="Book Antiqua" w:hAnsi="Book Antiqua"/>
      <w:i/>
      <w:dstrike w:val="0"/>
      <w:color w:val="auto"/>
      <w:sz w:val="18"/>
      <w:vertAlign w:val="baseline"/>
    </w:rPr>
  </w:style>
  <w:style w:type="paragraph" w:customStyle="1" w:styleId="Department">
    <w:name w:val="Department"/>
    <w:basedOn w:val="Normal"/>
    <w:rsid w:val="005A3973"/>
    <w:pPr>
      <w:spacing w:after="0"/>
      <w:jc w:val="center"/>
    </w:pPr>
    <w:rPr>
      <w:rFonts w:ascii="Arial" w:hAnsi="Arial"/>
      <w:b/>
      <w:sz w:val="52"/>
    </w:rPr>
  </w:style>
  <w:style w:type="paragraph" w:customStyle="1" w:styleId="DepartmentSubtitle">
    <w:name w:val="Department Subtitle"/>
    <w:basedOn w:val="Department"/>
    <w:rsid w:val="005A3973"/>
    <w:rPr>
      <w:sz w:val="44"/>
    </w:rPr>
  </w:style>
  <w:style w:type="character" w:styleId="Hyperlink">
    <w:name w:val="Hyperlink"/>
    <w:uiPriority w:val="99"/>
    <w:rsid w:val="005A3973"/>
    <w:rPr>
      <w:color w:val="000000"/>
      <w:u w:val="none"/>
    </w:rPr>
  </w:style>
  <w:style w:type="paragraph" w:customStyle="1" w:styleId="TableTextBullet">
    <w:name w:val="Table Text Bullet"/>
    <w:basedOn w:val="Normal"/>
    <w:rsid w:val="005A3973"/>
    <w:pPr>
      <w:numPr>
        <w:numId w:val="2"/>
      </w:numPr>
      <w:spacing w:before="60" w:after="60"/>
    </w:pPr>
    <w:rPr>
      <w:rFonts w:ascii="Arial" w:hAnsi="Arial"/>
      <w:sz w:val="18"/>
    </w:rPr>
  </w:style>
  <w:style w:type="character" w:customStyle="1" w:styleId="TableHeadingChar">
    <w:name w:val="Table Heading Char"/>
    <w:link w:val="TableHeading"/>
    <w:rsid w:val="005A3973"/>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5A3973"/>
    <w:rPr>
      <w:rFonts w:ascii="Arial" w:eastAsia="Times New Roman" w:hAnsi="Arial" w:cs="Times New Roman"/>
      <w:sz w:val="18"/>
      <w:szCs w:val="20"/>
      <w:lang w:eastAsia="en-AU"/>
    </w:rPr>
  </w:style>
  <w:style w:type="paragraph" w:customStyle="1" w:styleId="TableTextDash">
    <w:name w:val="Table Text Dash"/>
    <w:basedOn w:val="Normal"/>
    <w:rsid w:val="005A3973"/>
    <w:pPr>
      <w:numPr>
        <w:ilvl w:val="1"/>
        <w:numId w:val="2"/>
      </w:numPr>
      <w:spacing w:before="60" w:after="60"/>
    </w:pPr>
    <w:rPr>
      <w:rFonts w:ascii="Arial" w:hAnsi="Arial"/>
      <w:sz w:val="18"/>
    </w:rPr>
  </w:style>
  <w:style w:type="character" w:customStyle="1" w:styleId="ChartandTableFootnoteChar">
    <w:name w:val="Chart and Table Footnote Char"/>
    <w:link w:val="ChartandTableFootnote"/>
    <w:rsid w:val="005A3973"/>
    <w:rPr>
      <w:rFonts w:ascii="Arial" w:eastAsia="Times New Roman" w:hAnsi="Arial" w:cs="Times New Roman"/>
      <w:color w:val="000000"/>
      <w:sz w:val="16"/>
      <w:szCs w:val="20"/>
      <w:lang w:val="x-none" w:eastAsia="x-none"/>
    </w:rPr>
  </w:style>
  <w:style w:type="paragraph" w:customStyle="1" w:styleId="ExampleText">
    <w:name w:val="Example Text"/>
    <w:basedOn w:val="Normal"/>
    <w:semiHidden/>
    <w:rsid w:val="005A3973"/>
    <w:rPr>
      <w:i/>
      <w:color w:val="FF0000"/>
    </w:rPr>
  </w:style>
  <w:style w:type="paragraph" w:styleId="BodyText">
    <w:name w:val="Body Text"/>
    <w:basedOn w:val="Normal"/>
    <w:link w:val="BodyTextChar"/>
    <w:qFormat/>
    <w:rsid w:val="005A3973"/>
    <w:rPr>
      <w:rFonts w:eastAsia="Cambria"/>
      <w:szCs w:val="22"/>
      <w:lang w:val="x-none" w:eastAsia="en-US"/>
    </w:rPr>
  </w:style>
  <w:style w:type="character" w:customStyle="1" w:styleId="BodyTextChar">
    <w:name w:val="Body Text Char"/>
    <w:basedOn w:val="DefaultParagraphFont"/>
    <w:link w:val="BodyText"/>
    <w:rsid w:val="005A3973"/>
    <w:rPr>
      <w:rFonts w:ascii="Book Antiqua" w:eastAsia="Cambria" w:hAnsi="Book Antiqua" w:cs="Times New Roman"/>
      <w:lang w:val="x-none"/>
    </w:rPr>
  </w:style>
  <w:style w:type="paragraph" w:styleId="BalloonText">
    <w:name w:val="Balloon Text"/>
    <w:basedOn w:val="Normal"/>
    <w:link w:val="BalloonTextChar"/>
    <w:uiPriority w:val="99"/>
    <w:semiHidden/>
    <w:unhideWhenUsed/>
    <w:rsid w:val="005A39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973"/>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eader" Target="header5.xml"/><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3</TotalTime>
  <Pages>22</Pages>
  <Words>2282</Words>
  <Characters>13009</Characters>
  <Application>Microsoft Office Word</Application>
  <DocSecurity>0</DocSecurity>
  <Lines>108</Lines>
  <Paragraphs>30</Paragraphs>
  <ScaleCrop>false</ScaleCrop>
  <Company>Australian Government</Company>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2</cp:revision>
  <dcterms:created xsi:type="dcterms:W3CDTF">2016-05-02T04:32:00Z</dcterms:created>
  <dcterms:modified xsi:type="dcterms:W3CDTF">2016-05-02T04:35:00Z</dcterms:modified>
</cp:coreProperties>
</file>