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27" w:rsidRDefault="00925427" w:rsidP="00925427">
      <w:pPr>
        <w:pStyle w:val="Department"/>
      </w:pPr>
    </w:p>
    <w:p w:rsidR="00925427" w:rsidRDefault="00925427" w:rsidP="00925427">
      <w:pPr>
        <w:pStyle w:val="Department"/>
        <w:spacing w:before="1320"/>
      </w:pPr>
      <w:bookmarkStart w:id="0" w:name="_Toc448134589"/>
      <w:r>
        <w:t>Safe Work Australia</w:t>
      </w:r>
      <w:bookmarkEnd w:id="0"/>
    </w:p>
    <w:p w:rsidR="00925427" w:rsidRDefault="00925427" w:rsidP="00925427">
      <w:pPr>
        <w:pStyle w:val="DepartmentSubtitle"/>
        <w:spacing w:before="2080"/>
      </w:pPr>
      <w:r>
        <w:t>Entity resources and planned performance</w:t>
      </w:r>
    </w:p>
    <w:p w:rsidR="00925427" w:rsidRDefault="00925427" w:rsidP="00925427">
      <w:pPr>
        <w:sectPr w:rsidR="00925427" w:rsidSect="00925427">
          <w:footerReference w:type="default" r:id="rId8"/>
          <w:footerReference w:type="first" r:id="rId9"/>
          <w:pgSz w:w="11907" w:h="16839" w:code="9"/>
          <w:pgMar w:top="2466" w:right="2098" w:bottom="2466" w:left="2098" w:header="1899" w:footer="1899" w:gutter="0"/>
          <w:pgNumType w:start="161"/>
          <w:cols w:space="708"/>
          <w:titlePg/>
          <w:docGrid w:linePitch="360"/>
        </w:sectPr>
      </w:pPr>
    </w:p>
    <w:p w:rsidR="00925427" w:rsidRDefault="00925427" w:rsidP="00925427">
      <w:pPr>
        <w:pStyle w:val="ContentsHeading"/>
      </w:pPr>
      <w:r>
        <w:lastRenderedPageBreak/>
        <w:t>Safe Work Australia</w:t>
      </w:r>
    </w:p>
    <w:p w:rsidR="00925427" w:rsidRDefault="00925427" w:rsidP="00925427">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447013807" w:history="1">
        <w:r w:rsidRPr="00D96C94">
          <w:rPr>
            <w:rStyle w:val="Hyperlink"/>
            <w:noProof/>
          </w:rPr>
          <w:t>Section 1: Entity overview and resources</w:t>
        </w:r>
        <w:r>
          <w:rPr>
            <w:noProof/>
            <w:webHidden/>
          </w:rPr>
          <w:tab/>
        </w:r>
        <w:r>
          <w:rPr>
            <w:noProof/>
            <w:webHidden/>
          </w:rPr>
          <w:fldChar w:fldCharType="begin"/>
        </w:r>
        <w:r>
          <w:rPr>
            <w:noProof/>
            <w:webHidden/>
          </w:rPr>
          <w:instrText xml:space="preserve"> PAGEREF _Toc447013807 \h </w:instrText>
        </w:r>
        <w:r>
          <w:rPr>
            <w:noProof/>
            <w:webHidden/>
          </w:rPr>
        </w:r>
        <w:r>
          <w:rPr>
            <w:noProof/>
            <w:webHidden/>
          </w:rPr>
          <w:fldChar w:fldCharType="separate"/>
        </w:r>
        <w:r>
          <w:rPr>
            <w:noProof/>
            <w:webHidden/>
          </w:rPr>
          <w:t>165</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08" w:history="1">
        <w:r w:rsidRPr="00D96C94">
          <w:rPr>
            <w:rStyle w:val="Hyperlink"/>
            <w:noProof/>
          </w:rPr>
          <w:t>1.1</w:t>
        </w:r>
        <w:r>
          <w:rPr>
            <w:rFonts w:asciiTheme="minorHAnsi" w:eastAsiaTheme="minorEastAsia" w:hAnsiTheme="minorHAnsi" w:cstheme="minorBidi"/>
            <w:noProof/>
            <w:sz w:val="22"/>
            <w:szCs w:val="22"/>
          </w:rPr>
          <w:tab/>
        </w:r>
        <w:r w:rsidRPr="00D96C94">
          <w:rPr>
            <w:rStyle w:val="Hyperlink"/>
            <w:noProof/>
          </w:rPr>
          <w:t>Strategic direction statement</w:t>
        </w:r>
        <w:r>
          <w:rPr>
            <w:noProof/>
            <w:webHidden/>
          </w:rPr>
          <w:tab/>
        </w:r>
        <w:r>
          <w:rPr>
            <w:noProof/>
            <w:webHidden/>
          </w:rPr>
          <w:fldChar w:fldCharType="begin"/>
        </w:r>
        <w:r>
          <w:rPr>
            <w:noProof/>
            <w:webHidden/>
          </w:rPr>
          <w:instrText xml:space="preserve"> PAGEREF _Toc447013808 \h </w:instrText>
        </w:r>
        <w:r>
          <w:rPr>
            <w:noProof/>
            <w:webHidden/>
          </w:rPr>
        </w:r>
        <w:r>
          <w:rPr>
            <w:noProof/>
            <w:webHidden/>
          </w:rPr>
          <w:fldChar w:fldCharType="separate"/>
        </w:r>
        <w:r>
          <w:rPr>
            <w:noProof/>
            <w:webHidden/>
          </w:rPr>
          <w:t>165</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09" w:history="1">
        <w:r w:rsidRPr="00D96C94">
          <w:rPr>
            <w:rStyle w:val="Hyperlink"/>
            <w:noProof/>
          </w:rPr>
          <w:t>1.2</w:t>
        </w:r>
        <w:r>
          <w:rPr>
            <w:rFonts w:asciiTheme="minorHAnsi" w:eastAsiaTheme="minorEastAsia" w:hAnsiTheme="minorHAnsi" w:cstheme="minorBidi"/>
            <w:noProof/>
            <w:sz w:val="22"/>
            <w:szCs w:val="22"/>
          </w:rPr>
          <w:tab/>
        </w:r>
        <w:r w:rsidRPr="00D96C94">
          <w:rPr>
            <w:rStyle w:val="Hyperlink"/>
            <w:noProof/>
          </w:rPr>
          <w:t>Entity resource statement</w:t>
        </w:r>
        <w:r>
          <w:rPr>
            <w:noProof/>
            <w:webHidden/>
          </w:rPr>
          <w:tab/>
        </w:r>
        <w:r>
          <w:rPr>
            <w:noProof/>
            <w:webHidden/>
          </w:rPr>
          <w:fldChar w:fldCharType="begin"/>
        </w:r>
        <w:r>
          <w:rPr>
            <w:noProof/>
            <w:webHidden/>
          </w:rPr>
          <w:instrText xml:space="preserve"> PAGEREF _Toc447013809 \h </w:instrText>
        </w:r>
        <w:r>
          <w:rPr>
            <w:noProof/>
            <w:webHidden/>
          </w:rPr>
        </w:r>
        <w:r>
          <w:rPr>
            <w:noProof/>
            <w:webHidden/>
          </w:rPr>
          <w:fldChar w:fldCharType="separate"/>
        </w:r>
        <w:r>
          <w:rPr>
            <w:noProof/>
            <w:webHidden/>
          </w:rPr>
          <w:t>167</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10" w:history="1">
        <w:r w:rsidRPr="00D96C94">
          <w:rPr>
            <w:rStyle w:val="Hyperlink"/>
            <w:noProof/>
          </w:rPr>
          <w:t>1.3</w:t>
        </w:r>
        <w:r>
          <w:rPr>
            <w:rFonts w:asciiTheme="minorHAnsi" w:eastAsiaTheme="minorEastAsia" w:hAnsiTheme="minorHAnsi" w:cstheme="minorBidi"/>
            <w:noProof/>
            <w:sz w:val="22"/>
            <w:szCs w:val="22"/>
          </w:rPr>
          <w:tab/>
        </w:r>
        <w:r w:rsidRPr="00D96C94">
          <w:rPr>
            <w:rStyle w:val="Hyperlink"/>
            <w:noProof/>
          </w:rPr>
          <w:t>Budget measures</w:t>
        </w:r>
        <w:r>
          <w:rPr>
            <w:noProof/>
            <w:webHidden/>
          </w:rPr>
          <w:tab/>
        </w:r>
        <w:r>
          <w:rPr>
            <w:noProof/>
            <w:webHidden/>
          </w:rPr>
          <w:fldChar w:fldCharType="begin"/>
        </w:r>
        <w:r>
          <w:rPr>
            <w:noProof/>
            <w:webHidden/>
          </w:rPr>
          <w:instrText xml:space="preserve"> PAGEREF _Toc447013810 \h </w:instrText>
        </w:r>
        <w:r>
          <w:rPr>
            <w:noProof/>
            <w:webHidden/>
          </w:rPr>
        </w:r>
        <w:r>
          <w:rPr>
            <w:noProof/>
            <w:webHidden/>
          </w:rPr>
          <w:fldChar w:fldCharType="separate"/>
        </w:r>
        <w:r>
          <w:rPr>
            <w:noProof/>
            <w:webHidden/>
          </w:rPr>
          <w:t>168</w:t>
        </w:r>
        <w:r>
          <w:rPr>
            <w:noProof/>
            <w:webHidden/>
          </w:rPr>
          <w:fldChar w:fldCharType="end"/>
        </w:r>
      </w:hyperlink>
    </w:p>
    <w:p w:rsidR="00925427" w:rsidRDefault="00925427" w:rsidP="00925427">
      <w:pPr>
        <w:pStyle w:val="TOC1"/>
        <w:rPr>
          <w:rFonts w:asciiTheme="minorHAnsi" w:eastAsiaTheme="minorEastAsia" w:hAnsiTheme="minorHAnsi" w:cstheme="minorBidi"/>
          <w:b w:val="0"/>
          <w:noProof/>
          <w:sz w:val="22"/>
          <w:szCs w:val="22"/>
        </w:rPr>
      </w:pPr>
      <w:hyperlink w:anchor="_Toc447013811" w:history="1">
        <w:r w:rsidRPr="00D96C94">
          <w:rPr>
            <w:rStyle w:val="Hyperlink"/>
            <w:noProof/>
          </w:rPr>
          <w:t>Section 2: Outcomes and planned performance</w:t>
        </w:r>
        <w:r>
          <w:rPr>
            <w:noProof/>
            <w:webHidden/>
          </w:rPr>
          <w:tab/>
        </w:r>
        <w:r>
          <w:rPr>
            <w:noProof/>
            <w:webHidden/>
          </w:rPr>
          <w:fldChar w:fldCharType="begin"/>
        </w:r>
        <w:r>
          <w:rPr>
            <w:noProof/>
            <w:webHidden/>
          </w:rPr>
          <w:instrText xml:space="preserve"> PAGEREF _Toc447013811 \h </w:instrText>
        </w:r>
        <w:r>
          <w:rPr>
            <w:noProof/>
            <w:webHidden/>
          </w:rPr>
        </w:r>
        <w:r>
          <w:rPr>
            <w:noProof/>
            <w:webHidden/>
          </w:rPr>
          <w:fldChar w:fldCharType="separate"/>
        </w:r>
        <w:r>
          <w:rPr>
            <w:noProof/>
            <w:webHidden/>
          </w:rPr>
          <w:t>169</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12" w:history="1">
        <w:r>
          <w:rPr>
            <w:rStyle w:val="Hyperlink"/>
            <w:noProof/>
          </w:rPr>
          <w:t>2.1</w:t>
        </w:r>
        <w:r w:rsidRPr="00D96C94">
          <w:rPr>
            <w:rStyle w:val="Hyperlink"/>
            <w:noProof/>
          </w:rPr>
          <w:t xml:space="preserve"> </w:t>
        </w:r>
        <w:r>
          <w:rPr>
            <w:rFonts w:asciiTheme="minorHAnsi" w:eastAsiaTheme="minorEastAsia" w:hAnsiTheme="minorHAnsi" w:cstheme="minorBidi"/>
            <w:noProof/>
            <w:sz w:val="22"/>
            <w:szCs w:val="22"/>
          </w:rPr>
          <w:tab/>
        </w:r>
        <w:r w:rsidRPr="00D96C94">
          <w:rPr>
            <w:rStyle w:val="Hyperlink"/>
            <w:noProof/>
          </w:rPr>
          <w:t>Budgeted expens</w:t>
        </w:r>
        <w:r>
          <w:rPr>
            <w:rStyle w:val="Hyperlink"/>
            <w:noProof/>
          </w:rPr>
          <w:t>es and performance for Outcome 1</w:t>
        </w:r>
        <w:r>
          <w:rPr>
            <w:noProof/>
            <w:webHidden/>
          </w:rPr>
          <w:tab/>
        </w:r>
        <w:r>
          <w:rPr>
            <w:noProof/>
            <w:webHidden/>
          </w:rPr>
          <w:fldChar w:fldCharType="begin"/>
        </w:r>
        <w:r>
          <w:rPr>
            <w:noProof/>
            <w:webHidden/>
          </w:rPr>
          <w:instrText xml:space="preserve"> PAGEREF _Toc447013812 \h </w:instrText>
        </w:r>
        <w:r>
          <w:rPr>
            <w:noProof/>
            <w:webHidden/>
          </w:rPr>
        </w:r>
        <w:r>
          <w:rPr>
            <w:noProof/>
            <w:webHidden/>
          </w:rPr>
          <w:fldChar w:fldCharType="separate"/>
        </w:r>
        <w:r>
          <w:rPr>
            <w:noProof/>
            <w:webHidden/>
          </w:rPr>
          <w:t>170</w:t>
        </w:r>
        <w:r>
          <w:rPr>
            <w:noProof/>
            <w:webHidden/>
          </w:rPr>
          <w:fldChar w:fldCharType="end"/>
        </w:r>
      </w:hyperlink>
    </w:p>
    <w:p w:rsidR="00925427" w:rsidRDefault="00925427" w:rsidP="00925427">
      <w:pPr>
        <w:pStyle w:val="TOC1"/>
        <w:rPr>
          <w:rFonts w:asciiTheme="minorHAnsi" w:eastAsiaTheme="minorEastAsia" w:hAnsiTheme="minorHAnsi" w:cstheme="minorBidi"/>
          <w:b w:val="0"/>
          <w:noProof/>
          <w:sz w:val="22"/>
          <w:szCs w:val="22"/>
        </w:rPr>
      </w:pPr>
      <w:hyperlink w:anchor="_Toc447013815" w:history="1">
        <w:r w:rsidRPr="00D96C94">
          <w:rPr>
            <w:rStyle w:val="Hyperlink"/>
            <w:noProof/>
          </w:rPr>
          <w:t>Section 3: Budgeted financial statements</w:t>
        </w:r>
        <w:r>
          <w:rPr>
            <w:noProof/>
            <w:webHidden/>
          </w:rPr>
          <w:tab/>
        </w:r>
        <w:r>
          <w:rPr>
            <w:noProof/>
            <w:webHidden/>
          </w:rPr>
          <w:fldChar w:fldCharType="begin"/>
        </w:r>
        <w:r>
          <w:rPr>
            <w:noProof/>
            <w:webHidden/>
          </w:rPr>
          <w:instrText xml:space="preserve"> PAGEREF _Toc447013815 \h </w:instrText>
        </w:r>
        <w:r>
          <w:rPr>
            <w:noProof/>
            <w:webHidden/>
          </w:rPr>
        </w:r>
        <w:r>
          <w:rPr>
            <w:noProof/>
            <w:webHidden/>
          </w:rPr>
          <w:fldChar w:fldCharType="separate"/>
        </w:r>
        <w:r>
          <w:rPr>
            <w:noProof/>
            <w:webHidden/>
          </w:rPr>
          <w:t>174</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16" w:history="1">
        <w:r w:rsidRPr="00D96C94">
          <w:rPr>
            <w:rStyle w:val="Hyperlink"/>
            <w:noProof/>
          </w:rPr>
          <w:t>3.1</w:t>
        </w:r>
        <w:r>
          <w:rPr>
            <w:rFonts w:asciiTheme="minorHAnsi" w:eastAsiaTheme="minorEastAsia" w:hAnsiTheme="minorHAnsi" w:cstheme="minorBidi"/>
            <w:noProof/>
            <w:sz w:val="22"/>
            <w:szCs w:val="22"/>
          </w:rPr>
          <w:tab/>
        </w:r>
        <w:r w:rsidRPr="00D96C94">
          <w:rPr>
            <w:rStyle w:val="Hyperlink"/>
            <w:noProof/>
          </w:rPr>
          <w:t>Budgeted financial statements</w:t>
        </w:r>
        <w:r>
          <w:rPr>
            <w:noProof/>
            <w:webHidden/>
          </w:rPr>
          <w:tab/>
        </w:r>
        <w:r>
          <w:rPr>
            <w:noProof/>
            <w:webHidden/>
          </w:rPr>
          <w:fldChar w:fldCharType="begin"/>
        </w:r>
        <w:r>
          <w:rPr>
            <w:noProof/>
            <w:webHidden/>
          </w:rPr>
          <w:instrText xml:space="preserve"> PAGEREF _Toc447013816 \h </w:instrText>
        </w:r>
        <w:r>
          <w:rPr>
            <w:noProof/>
            <w:webHidden/>
          </w:rPr>
        </w:r>
        <w:r>
          <w:rPr>
            <w:noProof/>
            <w:webHidden/>
          </w:rPr>
          <w:fldChar w:fldCharType="separate"/>
        </w:r>
        <w:r>
          <w:rPr>
            <w:noProof/>
            <w:webHidden/>
          </w:rPr>
          <w:t>174</w:t>
        </w:r>
        <w:r>
          <w:rPr>
            <w:noProof/>
            <w:webHidden/>
          </w:rPr>
          <w:fldChar w:fldCharType="end"/>
        </w:r>
      </w:hyperlink>
    </w:p>
    <w:p w:rsidR="00925427" w:rsidRDefault="00925427" w:rsidP="00925427">
      <w:pPr>
        <w:pStyle w:val="TOC2"/>
        <w:tabs>
          <w:tab w:val="left" w:pos="800"/>
        </w:tabs>
        <w:rPr>
          <w:rFonts w:asciiTheme="minorHAnsi" w:eastAsiaTheme="minorEastAsia" w:hAnsiTheme="minorHAnsi" w:cstheme="minorBidi"/>
          <w:noProof/>
          <w:sz w:val="22"/>
          <w:szCs w:val="22"/>
        </w:rPr>
      </w:pPr>
      <w:hyperlink w:anchor="_Toc447013817" w:history="1">
        <w:r w:rsidRPr="00D96C94">
          <w:rPr>
            <w:rStyle w:val="Hyperlink"/>
            <w:noProof/>
          </w:rPr>
          <w:t>3.2.1</w:t>
        </w:r>
        <w:r>
          <w:rPr>
            <w:rFonts w:asciiTheme="minorHAnsi" w:eastAsiaTheme="minorEastAsia" w:hAnsiTheme="minorHAnsi" w:cstheme="minorBidi"/>
            <w:noProof/>
            <w:sz w:val="22"/>
            <w:szCs w:val="22"/>
          </w:rPr>
          <w:tab/>
        </w:r>
        <w:r w:rsidRPr="00D96C94">
          <w:rPr>
            <w:rStyle w:val="Hyperlink"/>
            <w:noProof/>
          </w:rPr>
          <w:t>Budgeted financial statements tables</w:t>
        </w:r>
        <w:r>
          <w:rPr>
            <w:noProof/>
            <w:webHidden/>
          </w:rPr>
          <w:tab/>
        </w:r>
        <w:r>
          <w:rPr>
            <w:noProof/>
            <w:webHidden/>
          </w:rPr>
          <w:fldChar w:fldCharType="begin"/>
        </w:r>
        <w:r>
          <w:rPr>
            <w:noProof/>
            <w:webHidden/>
          </w:rPr>
          <w:instrText xml:space="preserve"> PAGEREF _Toc447013817 \h </w:instrText>
        </w:r>
        <w:r>
          <w:rPr>
            <w:noProof/>
            <w:webHidden/>
          </w:rPr>
        </w:r>
        <w:r>
          <w:rPr>
            <w:noProof/>
            <w:webHidden/>
          </w:rPr>
          <w:fldChar w:fldCharType="separate"/>
        </w:r>
        <w:r>
          <w:rPr>
            <w:noProof/>
            <w:webHidden/>
          </w:rPr>
          <w:t>175</w:t>
        </w:r>
        <w:r>
          <w:rPr>
            <w:noProof/>
            <w:webHidden/>
          </w:rPr>
          <w:fldChar w:fldCharType="end"/>
        </w:r>
      </w:hyperlink>
    </w:p>
    <w:p w:rsidR="00925427" w:rsidRDefault="00925427" w:rsidP="00925427">
      <w:pPr>
        <w:pStyle w:val="TOC1"/>
      </w:pPr>
      <w:r>
        <w:fldChar w:fldCharType="end"/>
      </w:r>
    </w:p>
    <w:p w:rsidR="00925427" w:rsidRDefault="00925427" w:rsidP="00925427">
      <w:pPr>
        <w:sectPr w:rsidR="00925427" w:rsidSect="00C46B04">
          <w:headerReference w:type="first" r:id="rId10"/>
          <w:footerReference w:type="first" r:id="rId11"/>
          <w:type w:val="oddPage"/>
          <w:pgSz w:w="11907" w:h="16839" w:code="9"/>
          <w:pgMar w:top="2466" w:right="2098" w:bottom="2466" w:left="2098" w:header="1899" w:footer="1899" w:gutter="0"/>
          <w:cols w:space="708"/>
          <w:titlePg/>
          <w:docGrid w:linePitch="360"/>
        </w:sectPr>
      </w:pPr>
    </w:p>
    <w:p w:rsidR="00925427" w:rsidRDefault="00925427" w:rsidP="00925427">
      <w:pPr>
        <w:pStyle w:val="Heading1"/>
      </w:pPr>
      <w:bookmarkStart w:id="1" w:name="_Toc447611892"/>
      <w:r>
        <w:lastRenderedPageBreak/>
        <w:t>Safe Work Australia</w:t>
      </w:r>
      <w:bookmarkEnd w:id="1"/>
    </w:p>
    <w:p w:rsidR="00925427" w:rsidRPr="002C4D41" w:rsidRDefault="00925427" w:rsidP="00925427">
      <w:pPr>
        <w:pStyle w:val="Heading2"/>
      </w:pPr>
      <w:bookmarkStart w:id="2" w:name="_Toc447006849"/>
      <w:bookmarkStart w:id="3" w:name="_Toc447007187"/>
      <w:bookmarkStart w:id="4" w:name="_Toc447007430"/>
      <w:bookmarkStart w:id="5" w:name="_Toc447008308"/>
      <w:bookmarkStart w:id="6" w:name="_Toc447008954"/>
      <w:bookmarkStart w:id="7" w:name="_Toc447012811"/>
      <w:bookmarkStart w:id="8" w:name="_Toc447013807"/>
      <w:bookmarkStart w:id="9" w:name="_Toc447016780"/>
      <w:bookmarkStart w:id="10" w:name="_Toc447115205"/>
      <w:bookmarkStart w:id="11" w:name="_Toc447115288"/>
      <w:bookmarkStart w:id="12" w:name="_Toc447115468"/>
      <w:bookmarkStart w:id="13" w:name="_Toc447116759"/>
      <w:bookmarkStart w:id="14" w:name="_Toc447117988"/>
      <w:bookmarkStart w:id="15" w:name="_Toc447119421"/>
      <w:bookmarkStart w:id="16" w:name="_Toc447709924"/>
      <w:bookmarkStart w:id="17" w:name="_Toc449100249"/>
      <w:bookmarkStart w:id="18" w:name="_Toc449623626"/>
      <w:r w:rsidRPr="002C4D41">
        <w:t>Section 1: Entity overview and resources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25427" w:rsidRDefault="00925427" w:rsidP="00925427">
      <w:pPr>
        <w:pStyle w:val="Heading3"/>
      </w:pPr>
      <w:bookmarkStart w:id="19" w:name="_Toc447006850"/>
      <w:bookmarkStart w:id="20" w:name="_Toc447007188"/>
      <w:bookmarkStart w:id="21" w:name="_Toc447007431"/>
      <w:bookmarkStart w:id="22" w:name="_Toc447008309"/>
      <w:bookmarkStart w:id="23" w:name="_Toc447008955"/>
      <w:bookmarkStart w:id="24" w:name="_Toc447012812"/>
      <w:bookmarkStart w:id="25" w:name="_Toc447013808"/>
      <w:bookmarkStart w:id="26" w:name="_Toc447016781"/>
      <w:bookmarkStart w:id="27" w:name="_Toc447115206"/>
      <w:bookmarkStart w:id="28" w:name="_Toc447115289"/>
      <w:bookmarkStart w:id="29" w:name="_Toc447115469"/>
      <w:bookmarkStart w:id="30" w:name="_Toc447116760"/>
      <w:bookmarkStart w:id="31" w:name="_Toc447117989"/>
      <w:bookmarkStart w:id="32" w:name="_Toc447119422"/>
      <w:bookmarkStart w:id="33" w:name="_Toc447709925"/>
      <w:bookmarkStart w:id="34" w:name="_Toc449100250"/>
      <w:bookmarkStart w:id="35" w:name="_Toc449623627"/>
      <w:r>
        <w:t>1.1</w:t>
      </w:r>
      <w:r>
        <w:tab/>
        <w:t>Strategic direction statement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925427" w:rsidRPr="0050385F" w:rsidRDefault="00925427" w:rsidP="00925427">
      <w:r w:rsidRPr="0050385F">
        <w:t>Safe Work Australia was established on 1</w:t>
      </w:r>
      <w:r>
        <w:t> </w:t>
      </w:r>
      <w:r w:rsidRPr="0050385F">
        <w:t>November</w:t>
      </w:r>
      <w:r>
        <w:t> </w:t>
      </w:r>
      <w:r w:rsidRPr="0050385F">
        <w:t xml:space="preserve">2009 as a Statutory Agency under the </w:t>
      </w:r>
      <w:r w:rsidRPr="0050385F">
        <w:rPr>
          <w:i/>
          <w:iCs/>
        </w:rPr>
        <w:t xml:space="preserve">Safe Work Australia Act 2008 </w:t>
      </w:r>
      <w:r w:rsidRPr="0050385F">
        <w:t>(the Act). The agency operates under the Commonwealth Government's accountability and governance frameworks.</w:t>
      </w:r>
    </w:p>
    <w:p w:rsidR="00925427" w:rsidRPr="0050385F" w:rsidRDefault="00925427" w:rsidP="00925427">
      <w:r w:rsidRPr="0050385F">
        <w:t xml:space="preserve">Safe Work Australia is the body leading the development of national policy to improve work health and safety and workers’ compensation across Australia. Safe Work Australia works collaboratively with regulators, industry and worker associations and the community, to realise the national vision of </w:t>
      </w:r>
      <w:r w:rsidRPr="0050385F">
        <w:rPr>
          <w:i/>
        </w:rPr>
        <w:t>healthy, safe and productive working lives</w:t>
      </w:r>
      <w:r w:rsidRPr="0050385F">
        <w:t xml:space="preserve">. </w:t>
      </w:r>
    </w:p>
    <w:p w:rsidR="00925427" w:rsidRPr="0050385F" w:rsidRDefault="00925427" w:rsidP="00925427">
      <w:r w:rsidRPr="0050385F">
        <w:t>The future direction for Safe Work Australia</w:t>
      </w:r>
      <w:r>
        <w:t xml:space="preserve"> will continue</w:t>
      </w:r>
      <w:r w:rsidRPr="0050385F">
        <w:t xml:space="preserve"> the effective delivery of stra</w:t>
      </w:r>
      <w:r>
        <w:t>tegies articulated through the c</w:t>
      </w:r>
      <w:r w:rsidRPr="0050385F">
        <w:t xml:space="preserve">orporate </w:t>
      </w:r>
      <w:r>
        <w:t>p</w:t>
      </w:r>
      <w:r w:rsidRPr="0050385F">
        <w:t>lan so Australia can become a world leader in the delivery of work health and safety and workers’ compensation outcomes.</w:t>
      </w:r>
    </w:p>
    <w:p w:rsidR="00925427" w:rsidRPr="0050385F" w:rsidRDefault="00925427" w:rsidP="00925427">
      <w:r w:rsidRPr="0050385F">
        <w:t xml:space="preserve">The establishment of Safe Work Australia was provided for in the </w:t>
      </w:r>
      <w:r w:rsidRPr="000470EA">
        <w:t>Intergovernmental Agreement for Regulatory and Operational Reform in Occupational Health and Safety (IGA),</w:t>
      </w:r>
      <w:r w:rsidRPr="0050385F">
        <w:t xml:space="preserve"> agreed by the Council of Australian Governments (</w:t>
      </w:r>
      <w:proofErr w:type="spellStart"/>
      <w:r w:rsidRPr="0050385F">
        <w:t>COAG</w:t>
      </w:r>
      <w:proofErr w:type="spellEnd"/>
      <w:r w:rsidRPr="0050385F">
        <w:t xml:space="preserve">) on 3 July 2008. </w:t>
      </w:r>
    </w:p>
    <w:p w:rsidR="00925427" w:rsidRPr="0050385F" w:rsidRDefault="00925427" w:rsidP="00925427">
      <w:r w:rsidRPr="0050385F">
        <w:t>The agency is jointly funded by the Commonwealth, state and territory governments. This funding arrangement promotes collaboration with jurisdictions on policy development, implementation, compliance and enforcement, and communication activities.</w:t>
      </w:r>
    </w:p>
    <w:p w:rsidR="00925427" w:rsidRPr="0050385F" w:rsidRDefault="00925427" w:rsidP="00925427">
      <w:r w:rsidRPr="0050385F">
        <w:t>Safe Work Australia has 15 Members, including an independent Chair, nine Members representing the Commonwealth and each state and territory, two Members representing the interests of employers, two representing the interests of employees, and the Chief Executive Officer of Safe Work Australia (</w:t>
      </w:r>
      <w:proofErr w:type="spellStart"/>
      <w:r w:rsidRPr="0050385F">
        <w:t>CEO</w:t>
      </w:r>
      <w:proofErr w:type="spellEnd"/>
      <w:r w:rsidRPr="0050385F">
        <w:t>).</w:t>
      </w:r>
    </w:p>
    <w:p w:rsidR="00925427" w:rsidRPr="0050385F" w:rsidRDefault="00925427" w:rsidP="00925427">
      <w:r w:rsidRPr="0050385F">
        <w:t xml:space="preserve">The </w:t>
      </w:r>
      <w:proofErr w:type="spellStart"/>
      <w:r w:rsidRPr="0050385F">
        <w:t>CEO</w:t>
      </w:r>
      <w:proofErr w:type="spellEnd"/>
      <w:r w:rsidRPr="0050385F">
        <w:t xml:space="preserve"> manages the agency under section 45 of the Act and is the Accountable Authority in accordance with the </w:t>
      </w:r>
      <w:r w:rsidRPr="0050385F">
        <w:rPr>
          <w:i/>
        </w:rPr>
        <w:t>Public Governance, Performance and Accountability Act 2013</w:t>
      </w:r>
      <w:r w:rsidRPr="0050385F">
        <w:t>.</w:t>
      </w:r>
    </w:p>
    <w:p w:rsidR="00925427" w:rsidRPr="0050385F" w:rsidRDefault="00925427" w:rsidP="00925427">
      <w:r w:rsidRPr="0050385F">
        <w:t xml:space="preserve">Together, the Safe Work Australia Members and the agency work to </w:t>
      </w:r>
      <w:proofErr w:type="gramStart"/>
      <w:r w:rsidRPr="0050385F">
        <w:t>achieve</w:t>
      </w:r>
      <w:r>
        <w:t xml:space="preserve"> </w:t>
      </w:r>
      <w:r w:rsidRPr="0050385F">
        <w:t>:</w:t>
      </w:r>
      <w:proofErr w:type="gramEnd"/>
    </w:p>
    <w:p w:rsidR="00925427" w:rsidRPr="0050385F" w:rsidRDefault="00925427" w:rsidP="00925427">
      <w:pPr>
        <w:pStyle w:val="Bullets"/>
      </w:pPr>
      <w:r w:rsidRPr="0050385F">
        <w:t>significant and continued reductions in the incidence of work-related death, injury and illness through</w:t>
      </w:r>
      <w:r>
        <w:t>:</w:t>
      </w:r>
    </w:p>
    <w:p w:rsidR="00925427" w:rsidRPr="0050385F" w:rsidRDefault="00925427" w:rsidP="00925427">
      <w:pPr>
        <w:pStyle w:val="Dash"/>
      </w:pPr>
      <w:r w:rsidRPr="0050385F">
        <w:t xml:space="preserve">an improved and reformed work health and safety framework </w:t>
      </w:r>
    </w:p>
    <w:p w:rsidR="00925427" w:rsidRPr="0050385F" w:rsidRDefault="00925427" w:rsidP="00925427">
      <w:pPr>
        <w:pStyle w:val="Dash"/>
      </w:pPr>
      <w:r w:rsidRPr="0050385F">
        <w:lastRenderedPageBreak/>
        <w:t>increased work health and safety awareness and skills</w:t>
      </w:r>
    </w:p>
    <w:p w:rsidR="00925427" w:rsidRPr="0050385F" w:rsidRDefault="00925427" w:rsidP="00925427">
      <w:pPr>
        <w:pStyle w:val="Dash"/>
      </w:pPr>
      <w:r w:rsidRPr="0050385F">
        <w:t>an evidence base which informs policy and practice</w:t>
      </w:r>
    </w:p>
    <w:p w:rsidR="00925427" w:rsidRPr="0050385F" w:rsidRDefault="00925427" w:rsidP="00925427">
      <w:pPr>
        <w:pStyle w:val="Dash"/>
      </w:pPr>
      <w:r w:rsidRPr="0050385F">
        <w:t xml:space="preserve">reduced exposure to work-related hazards causing injury and illness </w:t>
      </w:r>
    </w:p>
    <w:p w:rsidR="00925427" w:rsidRPr="0050385F" w:rsidRDefault="00925427" w:rsidP="00925427">
      <w:pPr>
        <w:pStyle w:val="Dash"/>
      </w:pPr>
      <w:r w:rsidRPr="0050385F">
        <w:t>improved qu</w:t>
      </w:r>
      <w:r>
        <w:t>ality of workplace controls</w:t>
      </w:r>
    </w:p>
    <w:p w:rsidR="00925427" w:rsidRPr="0050385F" w:rsidRDefault="00925427" w:rsidP="00925427">
      <w:pPr>
        <w:pStyle w:val="Bullets"/>
      </w:pPr>
      <w:proofErr w:type="gramStart"/>
      <w:r w:rsidRPr="0050385F">
        <w:t>improved</w:t>
      </w:r>
      <w:proofErr w:type="gramEnd"/>
      <w:r w:rsidRPr="0050385F">
        <w:t xml:space="preserve"> outcomes for injured workers and their employers through more effective, efficient, clearly understood and sustainable workers’ compensation arrangements.</w:t>
      </w:r>
    </w:p>
    <w:p w:rsidR="00925427" w:rsidRPr="0050385F" w:rsidRDefault="00925427" w:rsidP="00925427">
      <w:pPr>
        <w:rPr>
          <w:lang w:eastAsia="en-US"/>
        </w:rPr>
      </w:pPr>
      <w:r w:rsidRPr="0050385F">
        <w:rPr>
          <w:lang w:eastAsia="en-US"/>
        </w:rPr>
        <w:t>During 2016–17, Safe Work Australia will continue to be a model for the innovative development of multi-stakeholder policy. We will do this by:</w:t>
      </w:r>
    </w:p>
    <w:p w:rsidR="00925427" w:rsidRPr="0050385F" w:rsidRDefault="00925427" w:rsidP="00925427">
      <w:pPr>
        <w:pStyle w:val="Bullets"/>
      </w:pPr>
      <w:r w:rsidRPr="0050385F">
        <w:t xml:space="preserve">bringing together and recognising varying views and interests to develop effective national policy to improve work health and safety and workers’ compensation outcomes </w:t>
      </w:r>
    </w:p>
    <w:p w:rsidR="00925427" w:rsidRPr="0050385F" w:rsidRDefault="00925427" w:rsidP="00925427">
      <w:pPr>
        <w:pStyle w:val="Bullets"/>
      </w:pPr>
      <w:r w:rsidRPr="0050385F">
        <w:t>using our influence and innovative technologies to increase health and safety knowledge and capability and to integrate work health and safety into normal business practices</w:t>
      </w:r>
    </w:p>
    <w:p w:rsidR="00925427" w:rsidRPr="0050385F" w:rsidRDefault="00925427" w:rsidP="00925427">
      <w:pPr>
        <w:pStyle w:val="Bullets"/>
      </w:pPr>
      <w:r w:rsidRPr="0050385F">
        <w:t>being a key source of work health and safety and workers’ compensation research and data</w:t>
      </w:r>
    </w:p>
    <w:p w:rsidR="00925427" w:rsidRPr="0050385F" w:rsidRDefault="00925427" w:rsidP="00925427">
      <w:pPr>
        <w:pStyle w:val="Bullets"/>
      </w:pPr>
      <w:r w:rsidRPr="0050385F">
        <w:t>improving workers’ compensation arrangements with a particular focus on return to work outcomes</w:t>
      </w:r>
    </w:p>
    <w:p w:rsidR="00925427" w:rsidRPr="0050385F" w:rsidRDefault="00925427" w:rsidP="00925427">
      <w:pPr>
        <w:pStyle w:val="Bullets"/>
      </w:pPr>
      <w:r w:rsidRPr="0050385F">
        <w:t>developing and progressing policy proposals that will lead to nationally consi</w:t>
      </w:r>
      <w:r>
        <w:t>stent explosives regulation</w:t>
      </w:r>
    </w:p>
    <w:p w:rsidR="00925427" w:rsidRPr="0050385F" w:rsidRDefault="00925427" w:rsidP="00925427">
      <w:pPr>
        <w:pStyle w:val="Bullets"/>
      </w:pPr>
      <w:proofErr w:type="gramStart"/>
      <w:r w:rsidRPr="0050385F">
        <w:t>working</w:t>
      </w:r>
      <w:proofErr w:type="gramEnd"/>
      <w:r w:rsidRPr="0050385F">
        <w:t xml:space="preserve"> with other countries or international organisations and representing Australia at relevant forums t</w:t>
      </w:r>
      <w:r>
        <w:t>o share data, information and</w:t>
      </w:r>
      <w:r w:rsidRPr="0050385F">
        <w:t xml:space="preserve"> knowledge on work health and safety and workers’ compensation matters to improve Australian outcomes.</w:t>
      </w:r>
    </w:p>
    <w:p w:rsidR="00925427" w:rsidRDefault="00925427" w:rsidP="00925427">
      <w:pPr>
        <w:pStyle w:val="Heading3"/>
      </w:pPr>
      <w:r>
        <w:br w:type="page"/>
      </w:r>
      <w:bookmarkStart w:id="36" w:name="_Toc447006851"/>
      <w:bookmarkStart w:id="37" w:name="_Toc447007189"/>
      <w:bookmarkStart w:id="38" w:name="_Toc447007432"/>
      <w:bookmarkStart w:id="39" w:name="_Toc447008310"/>
      <w:bookmarkStart w:id="40" w:name="_Toc447008956"/>
      <w:bookmarkStart w:id="41" w:name="_Toc447012813"/>
      <w:bookmarkStart w:id="42" w:name="_Toc447013809"/>
      <w:bookmarkStart w:id="43" w:name="_Toc447016782"/>
      <w:bookmarkStart w:id="44" w:name="_Toc447115207"/>
      <w:bookmarkStart w:id="45" w:name="_Toc447115290"/>
      <w:bookmarkStart w:id="46" w:name="_Toc447115470"/>
      <w:bookmarkStart w:id="47" w:name="_Toc447116761"/>
      <w:bookmarkStart w:id="48" w:name="_Toc447117990"/>
      <w:bookmarkStart w:id="49" w:name="_Toc447119423"/>
      <w:bookmarkStart w:id="50" w:name="_Toc447709926"/>
      <w:bookmarkStart w:id="51" w:name="_Toc449100251"/>
      <w:bookmarkStart w:id="52" w:name="_Toc449623628"/>
      <w:r>
        <w:lastRenderedPageBreak/>
        <w:t>1.2</w:t>
      </w:r>
      <w:r>
        <w:tab/>
        <w:t>Entity resource statement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925427" w:rsidRDefault="00925427" w:rsidP="00925427">
      <w:r>
        <w:t xml:space="preserve">Table 1.1 shows the total funding from all sources available to the entity for its operations and to deliver programs and services on behalf of the government. </w:t>
      </w:r>
    </w:p>
    <w:p w:rsidR="00925427" w:rsidRDefault="00925427" w:rsidP="00925427">
      <w:r>
        <w:t>The table summarises how resources will be applied by outcome (government strategic policy objectives) and by administered (on behalf of the government or the public) and departmental (for the entity’s operations) classification.</w:t>
      </w:r>
    </w:p>
    <w:p w:rsidR="00925427" w:rsidRDefault="00925427" w:rsidP="00925427">
      <w:r>
        <w:t xml:space="preserve">For more detailed information please refer to </w:t>
      </w:r>
      <w:r>
        <w:rPr>
          <w:i/>
        </w:rPr>
        <w:t>Budget Paper No. 4—</w:t>
      </w:r>
      <w:r w:rsidRPr="00412C0B">
        <w:rPr>
          <w:i/>
        </w:rPr>
        <w:t>Agency Resourcing</w:t>
      </w:r>
      <w:r>
        <w:t>.</w:t>
      </w:r>
    </w:p>
    <w:p w:rsidR="00925427" w:rsidRDefault="00925427" w:rsidP="00925427">
      <w:r>
        <w:t xml:space="preserve">Information in this table is presented on a resourcing (i.e. appropriations/cash available) basis, whilst the ‘Budgeted expenses by Outcome 1’ tables in Section 2 and the financial statements in Section 3 are presented on an accrual basis. </w:t>
      </w:r>
    </w:p>
    <w:p w:rsidR="00925427" w:rsidRPr="005731D3" w:rsidRDefault="00925427" w:rsidP="00925427">
      <w:pPr>
        <w:pStyle w:val="TableHeading"/>
      </w:pPr>
      <w:r w:rsidRPr="005731D3">
        <w:t xml:space="preserve">Table 1.1: </w:t>
      </w:r>
      <w:r>
        <w:rPr>
          <w:lang w:val="en-AU"/>
        </w:rPr>
        <w:t xml:space="preserve">Safe Work Australia </w:t>
      </w:r>
      <w:r w:rsidRPr="005731D3">
        <w:t>re</w:t>
      </w:r>
      <w:r>
        <w:t>source statement</w:t>
      </w:r>
      <w:r>
        <w:rPr>
          <w:lang w:val="en-AU"/>
        </w:rPr>
        <w:t>—B</w:t>
      </w:r>
      <w:proofErr w:type="spellStart"/>
      <w:r w:rsidRPr="005731D3">
        <w:t>udget</w:t>
      </w:r>
      <w:proofErr w:type="spellEnd"/>
      <w:r w:rsidRPr="005731D3">
        <w:t xml:space="preserve"> estimates for 2016</w:t>
      </w:r>
      <w:r>
        <w:rPr>
          <w:lang w:val="en-AU"/>
        </w:rPr>
        <w:t>–</w:t>
      </w:r>
      <w:r w:rsidRPr="005731D3">
        <w:t>17 as at Budget May 2016</w:t>
      </w:r>
    </w:p>
    <w:p w:rsidR="00925427" w:rsidRDefault="00925427" w:rsidP="00925427">
      <w:pPr>
        <w:pStyle w:val="TableGraphic"/>
        <w:jc w:val="both"/>
      </w:pPr>
      <w:r w:rsidRPr="00155F38">
        <w:rPr>
          <w:noProof/>
        </w:rPr>
        <w:drawing>
          <wp:inline distT="0" distB="0" distL="0" distR="0" wp14:anchorId="54F4A760" wp14:editId="48C5E877">
            <wp:extent cx="4935680" cy="31658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5511" cy="3165786"/>
                    </a:xfrm>
                    <a:prstGeom prst="rect">
                      <a:avLst/>
                    </a:prstGeom>
                    <a:noFill/>
                    <a:ln>
                      <a:noFill/>
                    </a:ln>
                  </pic:spPr>
                </pic:pic>
              </a:graphicData>
            </a:graphic>
          </wp:inline>
        </w:drawing>
      </w:r>
    </w:p>
    <w:p w:rsidR="00925427" w:rsidRDefault="00925427" w:rsidP="00925427">
      <w:pPr>
        <w:pStyle w:val="ChartandTableFootnote"/>
        <w:spacing w:before="120"/>
      </w:pPr>
      <w:r>
        <w:t>Prepared on a resourcing (i.e. appropriations available) basis.</w:t>
      </w:r>
    </w:p>
    <w:p w:rsidR="00925427" w:rsidRDefault="00925427" w:rsidP="00925427">
      <w:pPr>
        <w:pStyle w:val="ChartandTableFootnote"/>
      </w:pPr>
      <w:r w:rsidRPr="008D3E19">
        <w:rPr>
          <w:u w:val="single"/>
        </w:rPr>
        <w:t>Please note</w:t>
      </w:r>
      <w:r>
        <w:t>: All figures shown above are GST exclusive</w:t>
      </w:r>
      <w:r>
        <w:rPr>
          <w:lang w:val="en-AU"/>
        </w:rPr>
        <w:t>—</w:t>
      </w:r>
      <w:r>
        <w:t xml:space="preserve">these may not match figures in the cash flow statement. </w:t>
      </w:r>
    </w:p>
    <w:p w:rsidR="00925427" w:rsidRPr="005250EE" w:rsidRDefault="00925427" w:rsidP="00925427">
      <w:pPr>
        <w:pStyle w:val="ChartandTableFootnoteAlpha"/>
        <w:numPr>
          <w:ilvl w:val="0"/>
          <w:numId w:val="8"/>
        </w:numPr>
        <w:spacing w:before="120"/>
      </w:pPr>
      <w:r w:rsidRPr="005250EE">
        <w:t>Appro</w:t>
      </w:r>
      <w:r>
        <w:t>priation Bill (</w:t>
      </w:r>
      <w:proofErr w:type="spellStart"/>
      <w:r>
        <w:t>No.1</w:t>
      </w:r>
      <w:proofErr w:type="spellEnd"/>
      <w:r>
        <w:t>) 2016–</w:t>
      </w:r>
      <w:r w:rsidRPr="005250EE">
        <w:t>17.</w:t>
      </w:r>
    </w:p>
    <w:p w:rsidR="00925427" w:rsidRDefault="00925427" w:rsidP="00925427">
      <w:pPr>
        <w:pStyle w:val="ChartandTableFootnoteAlpha"/>
      </w:pPr>
      <w:r w:rsidRPr="008D3E19">
        <w:t>Departmental capital budgets are not separately identified in Appropriation Bill (</w:t>
      </w:r>
      <w:proofErr w:type="spellStart"/>
      <w:r w:rsidRPr="008D3E19">
        <w:t>No.1</w:t>
      </w:r>
      <w:proofErr w:type="spellEnd"/>
      <w:r w:rsidRPr="008D3E19">
        <w:t>)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925427" w:rsidRDefault="00925427" w:rsidP="00925427">
      <w:pPr>
        <w:pStyle w:val="ChartandTableFootnoteAlpha"/>
      </w:pPr>
      <w:r w:rsidRPr="00EC2948">
        <w:t>Excludes 'Special Public Money' held in accounts like Ot</w:t>
      </w:r>
      <w:r>
        <w:t>her Trust Monies accounts (</w:t>
      </w:r>
      <w:proofErr w:type="spellStart"/>
      <w:r>
        <w:t>OTM</w:t>
      </w:r>
      <w:proofErr w:type="spellEnd"/>
      <w:r>
        <w:t>).</w:t>
      </w:r>
    </w:p>
    <w:p w:rsidR="00925427" w:rsidRDefault="00925427" w:rsidP="00925427">
      <w:pPr>
        <w:pStyle w:val="ChartandTableFootnoteAlpha"/>
      </w:pPr>
      <w:r>
        <w:t>Amounts credited to the special account(s) from Safe Work Australia’s annual and special appropriations.</w:t>
      </w:r>
    </w:p>
    <w:p w:rsidR="00925427" w:rsidRDefault="00925427" w:rsidP="00925427">
      <w:pPr>
        <w:pStyle w:val="Heading3"/>
      </w:pPr>
      <w:r>
        <w:br w:type="page"/>
      </w:r>
      <w:bookmarkStart w:id="53" w:name="_Toc447006852"/>
      <w:bookmarkStart w:id="54" w:name="_Toc447007190"/>
      <w:bookmarkStart w:id="55" w:name="_Toc447007433"/>
      <w:bookmarkStart w:id="56" w:name="_Toc447008311"/>
      <w:bookmarkStart w:id="57" w:name="_Toc447008957"/>
      <w:bookmarkStart w:id="58" w:name="_Toc447012814"/>
      <w:bookmarkStart w:id="59" w:name="_Toc447013810"/>
      <w:bookmarkStart w:id="60" w:name="_Toc447016783"/>
      <w:bookmarkStart w:id="61" w:name="_Toc447115208"/>
      <w:bookmarkStart w:id="62" w:name="_Toc447115291"/>
      <w:bookmarkStart w:id="63" w:name="_Toc447115471"/>
      <w:bookmarkStart w:id="64" w:name="_Toc447116762"/>
      <w:bookmarkStart w:id="65" w:name="_Toc447117991"/>
      <w:bookmarkStart w:id="66" w:name="_Toc447119424"/>
      <w:bookmarkStart w:id="67" w:name="_Toc447709927"/>
      <w:bookmarkStart w:id="68" w:name="_Toc449100252"/>
      <w:bookmarkStart w:id="69" w:name="_Toc449623629"/>
      <w:r>
        <w:lastRenderedPageBreak/>
        <w:t>1.3</w:t>
      </w:r>
      <w:r>
        <w:tab/>
        <w:t>Budget measures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925427" w:rsidRDefault="00925427" w:rsidP="00925427">
      <w:r w:rsidRPr="00DC32EC">
        <w:t xml:space="preserve">Budget measures </w:t>
      </w:r>
      <w:r>
        <w:t xml:space="preserve">in Part 1 </w:t>
      </w:r>
      <w:r w:rsidRPr="00DC32EC">
        <w:t>relating to</w:t>
      </w:r>
      <w:r>
        <w:t xml:space="preserve"> Safe Work Australia </w:t>
      </w:r>
      <w:proofErr w:type="gramStart"/>
      <w:r w:rsidRPr="00DC32EC">
        <w:t>a</w:t>
      </w:r>
      <w:r>
        <w:t>re</w:t>
      </w:r>
      <w:proofErr w:type="gramEnd"/>
      <w:r>
        <w:t xml:space="preserve"> detailed in Budget Paper No. </w:t>
      </w:r>
      <w:r w:rsidRPr="00DC32EC">
        <w:t>2</w:t>
      </w:r>
      <w:r>
        <w:t xml:space="preserve"> and summarised below. </w:t>
      </w:r>
    </w:p>
    <w:p w:rsidR="00925427" w:rsidRPr="009A40DD" w:rsidRDefault="00925427" w:rsidP="00925427">
      <w:pPr>
        <w:pStyle w:val="Heading4"/>
      </w:pPr>
      <w:r w:rsidRPr="009A40DD">
        <w:t>Table 1.2: Entity 2016</w:t>
      </w:r>
      <w:r>
        <w:t>–</w:t>
      </w:r>
      <w:r w:rsidRPr="009A40DD">
        <w:t>17 Budget measures</w:t>
      </w:r>
    </w:p>
    <w:p w:rsidR="00925427" w:rsidRDefault="00925427" w:rsidP="00925427">
      <w:pPr>
        <w:pStyle w:val="TableHeading"/>
        <w:rPr>
          <w:lang w:val="en-AU"/>
        </w:rPr>
      </w:pPr>
      <w:r w:rsidRPr="009A40DD">
        <w:t>Part 1: Measures announced since the 2015</w:t>
      </w:r>
      <w:r>
        <w:rPr>
          <w:lang w:val="en-AU"/>
        </w:rPr>
        <w:t>–</w:t>
      </w:r>
      <w:r w:rsidRPr="009A40DD">
        <w:t>16 Mid-Year Economic and Fiscal Outlook (</w:t>
      </w:r>
      <w:proofErr w:type="spellStart"/>
      <w:r w:rsidRPr="009A40DD">
        <w:t>MYEFO</w:t>
      </w:r>
      <w:proofErr w:type="spellEnd"/>
      <w:r w:rsidRPr="009A40DD">
        <w:t>)</w:t>
      </w:r>
    </w:p>
    <w:p w:rsidR="00925427" w:rsidRDefault="00925427" w:rsidP="00925427">
      <w:r>
        <w:t xml:space="preserve">Safe Work Australia does not have any new measures since the 2015–16 </w:t>
      </w:r>
      <w:proofErr w:type="spellStart"/>
      <w:r>
        <w:t>MYEFO</w:t>
      </w:r>
      <w:proofErr w:type="spellEnd"/>
      <w:r>
        <w:t>. For this reason Part 1 of Table 1.2 is not presented.</w:t>
      </w:r>
    </w:p>
    <w:p w:rsidR="00925427" w:rsidRPr="007C7F92" w:rsidRDefault="00925427" w:rsidP="00925427">
      <w:pPr>
        <w:pStyle w:val="TableHeading"/>
        <w:rPr>
          <w:lang w:val="en-AU"/>
        </w:rPr>
      </w:pPr>
      <w:r>
        <w:t xml:space="preserve">Part </w:t>
      </w:r>
      <w:r>
        <w:rPr>
          <w:lang w:val="en-AU"/>
        </w:rPr>
        <w:t>2</w:t>
      </w:r>
      <w:r w:rsidRPr="009A40DD">
        <w:t xml:space="preserve">: </w:t>
      </w:r>
      <w:r>
        <w:rPr>
          <w:lang w:val="en-AU"/>
        </w:rPr>
        <w:t>Other m</w:t>
      </w:r>
      <w:proofErr w:type="spellStart"/>
      <w:r w:rsidRPr="009A40DD">
        <w:t>easures</w:t>
      </w:r>
      <w:proofErr w:type="spellEnd"/>
      <w:r w:rsidRPr="009A40DD">
        <w:t xml:space="preserve"> </w:t>
      </w:r>
      <w:r>
        <w:rPr>
          <w:lang w:val="en-AU"/>
        </w:rPr>
        <w:t>not previously reported in a portfolio statement</w:t>
      </w:r>
    </w:p>
    <w:p w:rsidR="00925427" w:rsidRDefault="00925427" w:rsidP="00925427">
      <w:pPr>
        <w:rPr>
          <w:lang w:eastAsia="x-none"/>
        </w:rPr>
      </w:pPr>
      <w:r w:rsidRPr="008F0527">
        <w:rPr>
          <w:noProof/>
        </w:rPr>
        <w:drawing>
          <wp:inline distT="0" distB="0" distL="0" distR="0" wp14:anchorId="774DF6F4" wp14:editId="0507E7F4">
            <wp:extent cx="4859689" cy="282892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9689" cy="2828925"/>
                    </a:xfrm>
                    <a:prstGeom prst="rect">
                      <a:avLst/>
                    </a:prstGeom>
                    <a:noFill/>
                    <a:ln>
                      <a:noFill/>
                    </a:ln>
                  </pic:spPr>
                </pic:pic>
              </a:graphicData>
            </a:graphic>
          </wp:inline>
        </w:drawing>
      </w:r>
    </w:p>
    <w:p w:rsidR="00925427" w:rsidRDefault="00925427" w:rsidP="00925427">
      <w:pPr>
        <w:pStyle w:val="ChartandTableFootnoteAlpha"/>
        <w:numPr>
          <w:ilvl w:val="0"/>
          <w:numId w:val="13"/>
        </w:numPr>
      </w:pPr>
      <w:r>
        <w:t>This measure was first published in the 2015–16 Mid-Year Economic and Fiscal Outlook.</w:t>
      </w:r>
    </w:p>
    <w:p w:rsidR="00925427" w:rsidRPr="008F0527" w:rsidRDefault="00925427" w:rsidP="00925427">
      <w:pPr>
        <w:pStyle w:val="ChartandTableFootnoteAlpha"/>
        <w:numPr>
          <w:ilvl w:val="0"/>
          <w:numId w:val="13"/>
        </w:numPr>
      </w:pPr>
      <w:r>
        <w:t>This measure was first published in the 2014–15 Mid-Year Economic and Fiscal Outlook.</w:t>
      </w:r>
    </w:p>
    <w:p w:rsidR="00925427" w:rsidRPr="00D83C0F" w:rsidRDefault="00925427" w:rsidP="00925427">
      <w:pPr>
        <w:pStyle w:val="ChartandTableFootnote"/>
        <w:spacing w:before="120"/>
        <w:rPr>
          <w:lang w:val="en-AU"/>
        </w:rPr>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rsidR="00925427" w:rsidRPr="00810C6A" w:rsidRDefault="00925427" w:rsidP="00925427">
      <w:pPr>
        <w:pStyle w:val="TableHeadingcontinued"/>
      </w:pPr>
      <w:r>
        <w:br w:type="page"/>
      </w:r>
      <w:bookmarkStart w:id="70" w:name="_Toc447006853"/>
      <w:bookmarkStart w:id="71" w:name="_Toc447007191"/>
      <w:bookmarkStart w:id="72" w:name="_Toc447007434"/>
      <w:bookmarkStart w:id="73" w:name="_Toc447008312"/>
      <w:bookmarkStart w:id="74" w:name="_Toc447008958"/>
      <w:bookmarkStart w:id="75" w:name="_Toc447012815"/>
      <w:bookmarkStart w:id="76" w:name="_Toc447013811"/>
      <w:bookmarkStart w:id="77" w:name="_Toc447016784"/>
      <w:bookmarkStart w:id="78" w:name="_Toc447115209"/>
      <w:bookmarkStart w:id="79" w:name="_Toc447115292"/>
      <w:bookmarkStart w:id="80" w:name="_Toc447115472"/>
      <w:bookmarkStart w:id="81" w:name="_Toc447116763"/>
      <w:bookmarkStart w:id="82" w:name="_Toc447117992"/>
      <w:bookmarkStart w:id="83" w:name="_Toc447119425"/>
      <w:bookmarkStart w:id="84" w:name="_Toc447709928"/>
    </w:p>
    <w:p w:rsidR="00925427" w:rsidRPr="00810C6A" w:rsidRDefault="00925427" w:rsidP="00925427">
      <w:pPr>
        <w:pStyle w:val="Heading2"/>
      </w:pPr>
      <w:bookmarkStart w:id="85" w:name="_Toc449100253"/>
      <w:bookmarkStart w:id="86" w:name="_Toc449623630"/>
      <w:r w:rsidRPr="00810C6A">
        <w:lastRenderedPageBreak/>
        <w:t>Section 2: Outcomes and planned performance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25427" w:rsidRPr="005E6F2B" w:rsidRDefault="00925427" w:rsidP="00925427">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925427" w:rsidRPr="005E6F2B" w:rsidRDefault="00925427" w:rsidP="00925427">
      <w:r w:rsidRPr="005E6F2B">
        <w:t xml:space="preserve">Each outcome is described below together with its related programs. The following provides detailed information on expenses for each outcome and program, further broken down by funding source. </w:t>
      </w:r>
    </w:p>
    <w:p w:rsidR="00925427" w:rsidRPr="006906E4" w:rsidRDefault="00925427" w:rsidP="00925427">
      <w:pPr>
        <w:pBdr>
          <w:top w:val="single" w:sz="2" w:space="6" w:color="auto"/>
          <w:left w:val="single" w:sz="2" w:space="4" w:color="auto"/>
          <w:bottom w:val="single" w:sz="2" w:space="6" w:color="auto"/>
          <w:right w:val="single" w:sz="2" w:space="4" w:color="auto"/>
        </w:pBdr>
        <w:rPr>
          <w:b/>
        </w:rPr>
      </w:pPr>
      <w:r w:rsidRPr="006906E4">
        <w:rPr>
          <w:b/>
        </w:rPr>
        <w:t>Note:</w:t>
      </w:r>
    </w:p>
    <w:p w:rsidR="00925427" w:rsidRDefault="00925427" w:rsidP="00925427">
      <w:pPr>
        <w:pBdr>
          <w:top w:val="single" w:sz="2" w:space="6" w:color="auto"/>
          <w:left w:val="single" w:sz="2" w:space="4" w:color="auto"/>
          <w:bottom w:val="single" w:sz="2" w:space="6" w:color="auto"/>
          <w:right w:val="single" w:sz="2" w:space="4" w:color="auto"/>
        </w:pBdr>
        <w:rPr>
          <w:highlight w:val="yellow"/>
        </w:rP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925427" w:rsidRDefault="00925427" w:rsidP="00925427">
      <w:pPr>
        <w:rPr>
          <w:highlight w:val="yellow"/>
        </w:rPr>
      </w:pPr>
    </w:p>
    <w:p w:rsidR="00925427" w:rsidRDefault="00925427" w:rsidP="00925427">
      <w:pPr>
        <w:pStyle w:val="Heading3"/>
        <w:sectPr w:rsidR="00925427" w:rsidSect="00C46B04">
          <w:headerReference w:type="even" r:id="rId14"/>
          <w:headerReference w:type="default" r:id="rId15"/>
          <w:headerReference w:type="first" r:id="rId16"/>
          <w:type w:val="oddPage"/>
          <w:pgSz w:w="11907" w:h="16839" w:code="9"/>
          <w:pgMar w:top="2466" w:right="2098" w:bottom="2466" w:left="2098" w:header="1899" w:footer="1899" w:gutter="0"/>
          <w:cols w:space="708"/>
          <w:docGrid w:linePitch="360"/>
        </w:sectPr>
      </w:pPr>
    </w:p>
    <w:p w:rsidR="00925427" w:rsidRPr="00C33B1C" w:rsidRDefault="00925427" w:rsidP="00925427">
      <w:pPr>
        <w:pStyle w:val="Heading3"/>
      </w:pPr>
      <w:bookmarkStart w:id="87" w:name="_Toc447006854"/>
      <w:bookmarkStart w:id="88" w:name="_Toc447007192"/>
      <w:bookmarkStart w:id="89" w:name="_Toc447007435"/>
      <w:bookmarkStart w:id="90" w:name="_Toc447008313"/>
      <w:bookmarkStart w:id="91" w:name="_Toc447008959"/>
      <w:bookmarkStart w:id="92" w:name="_Toc447012816"/>
      <w:bookmarkStart w:id="93" w:name="_Toc447013812"/>
      <w:bookmarkStart w:id="94" w:name="_Toc447016785"/>
      <w:bookmarkStart w:id="95" w:name="_Toc447115210"/>
      <w:bookmarkStart w:id="96" w:name="_Toc447115293"/>
      <w:bookmarkStart w:id="97" w:name="_Toc447115473"/>
      <w:bookmarkStart w:id="98" w:name="_Toc447116764"/>
      <w:bookmarkStart w:id="99" w:name="_Toc447117993"/>
      <w:bookmarkStart w:id="100" w:name="_Toc447119426"/>
      <w:bookmarkStart w:id="101" w:name="_Toc447709929"/>
      <w:bookmarkStart w:id="102" w:name="_Toc449100254"/>
      <w:bookmarkStart w:id="103" w:name="_Toc449623631"/>
      <w:r w:rsidRPr="00C33B1C">
        <w:lastRenderedPageBreak/>
        <w:t xml:space="preserve">2.1 </w:t>
      </w:r>
      <w:r w:rsidRPr="00C33B1C">
        <w:tab/>
        <w:t xml:space="preserve">Budgeted expenses and performance for Outcome </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33B1C">
        <w:t>1</w:t>
      </w:r>
      <w:bookmarkEnd w:id="101"/>
      <w:bookmarkEnd w:id="102"/>
      <w:bookmarkEnd w:id="103"/>
      <w:r w:rsidRPr="00C33B1C">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925427" w:rsidRPr="005E6F2B" w:rsidTr="00DC4D04">
        <w:tc>
          <w:tcPr>
            <w:tcW w:w="7713" w:type="dxa"/>
            <w:shd w:val="clear" w:color="auto" w:fill="E6E6E6"/>
          </w:tcPr>
          <w:p w:rsidR="00925427" w:rsidRPr="005E6F2B" w:rsidRDefault="00925427" w:rsidP="00DC4D04">
            <w:pPr>
              <w:pStyle w:val="TableColumnHeadingLeft"/>
            </w:pPr>
            <w:r w:rsidRPr="005E6F2B">
              <w:t xml:space="preserve">Outcome </w:t>
            </w:r>
            <w:r>
              <w:t>1: Healthier, safer and more productive workplaces through improvements to Australian work health and safety and workers’ compensation arrangements.</w:t>
            </w:r>
          </w:p>
        </w:tc>
      </w:tr>
    </w:tbl>
    <w:p w:rsidR="00925427" w:rsidRPr="00D72F01" w:rsidRDefault="00925427" w:rsidP="00925427">
      <w:pPr>
        <w:keepNext/>
        <w:tabs>
          <w:tab w:val="left" w:pos="709"/>
        </w:tabs>
        <w:spacing w:before="120"/>
        <w:outlineLvl w:val="3"/>
        <w:rPr>
          <w:rFonts w:ascii="Arial" w:hAnsi="Arial"/>
          <w:b/>
        </w:rPr>
      </w:pPr>
      <w:r w:rsidRPr="00D72F01">
        <w:rPr>
          <w:rFonts w:ascii="Arial" w:hAnsi="Arial"/>
          <w:b/>
        </w:rPr>
        <w:t xml:space="preserve">Linked programs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1"/>
      </w:tblGrid>
      <w:tr w:rsidR="00925427" w:rsidRPr="00D72F01" w:rsidTr="00DC4D04">
        <w:trPr>
          <w:trHeight w:val="113"/>
          <w:tblHeader/>
        </w:trPr>
        <w:tc>
          <w:tcPr>
            <w:tcW w:w="7711" w:type="dxa"/>
            <w:tcBorders>
              <w:bottom w:val="dotted" w:sz="4" w:space="0" w:color="auto"/>
            </w:tcBorders>
          </w:tcPr>
          <w:p w:rsidR="00925427" w:rsidRPr="00D72F01" w:rsidRDefault="00925427" w:rsidP="00DC4D04">
            <w:pPr>
              <w:spacing w:before="60" w:after="60"/>
              <w:rPr>
                <w:i/>
                <w:color w:val="FF0000"/>
                <w:sz w:val="20"/>
              </w:rPr>
            </w:pPr>
            <w:r w:rsidRPr="00D72F01">
              <w:rPr>
                <w:b/>
                <w:sz w:val="20"/>
              </w:rPr>
              <w:t>Department of Health</w:t>
            </w:r>
          </w:p>
        </w:tc>
      </w:tr>
      <w:tr w:rsidR="00925427" w:rsidRPr="00D72F01" w:rsidTr="00DC4D04">
        <w:trPr>
          <w:trHeight w:val="113"/>
        </w:trPr>
        <w:tc>
          <w:tcPr>
            <w:tcW w:w="7711" w:type="dxa"/>
            <w:tcBorders>
              <w:top w:val="dotted" w:sz="4" w:space="0" w:color="auto"/>
              <w:bottom w:val="single" w:sz="4" w:space="0" w:color="auto"/>
            </w:tcBorders>
          </w:tcPr>
          <w:p w:rsidR="00925427" w:rsidRPr="00D72F01" w:rsidRDefault="00925427" w:rsidP="00DC4D04">
            <w:pPr>
              <w:spacing w:before="60" w:after="60"/>
              <w:rPr>
                <w:b/>
                <w:sz w:val="20"/>
              </w:rPr>
            </w:pPr>
            <w:r w:rsidRPr="00D72F01">
              <w:rPr>
                <w:b/>
                <w:sz w:val="20"/>
              </w:rPr>
              <w:t>Programs</w:t>
            </w:r>
          </w:p>
          <w:p w:rsidR="00925427" w:rsidRPr="00D72F01" w:rsidRDefault="00925427" w:rsidP="00925427">
            <w:pPr>
              <w:numPr>
                <w:ilvl w:val="0"/>
                <w:numId w:val="5"/>
              </w:numPr>
              <w:spacing w:before="60" w:after="60"/>
              <w:ind w:left="601" w:hanging="241"/>
              <w:rPr>
                <w:i/>
                <w:color w:val="FF0000"/>
                <w:sz w:val="20"/>
              </w:rPr>
            </w:pPr>
            <w:r>
              <w:rPr>
                <w:sz w:val="20"/>
              </w:rPr>
              <w:t>Program 5.1—</w:t>
            </w:r>
            <w:r w:rsidRPr="00D72F01">
              <w:rPr>
                <w:sz w:val="20"/>
              </w:rPr>
              <w:t>Protect the Health and Safety of the Community through Regulation.</w:t>
            </w:r>
          </w:p>
        </w:tc>
      </w:tr>
      <w:tr w:rsidR="00925427" w:rsidRPr="00D72F01" w:rsidTr="00DC4D04">
        <w:trPr>
          <w:trHeight w:val="113"/>
        </w:trPr>
        <w:tc>
          <w:tcPr>
            <w:tcW w:w="7711" w:type="dxa"/>
            <w:tcBorders>
              <w:bottom w:val="single" w:sz="4" w:space="0" w:color="auto"/>
            </w:tcBorders>
          </w:tcPr>
          <w:p w:rsidR="00925427" w:rsidRPr="00D72F01" w:rsidRDefault="00925427" w:rsidP="00DC4D04">
            <w:pPr>
              <w:spacing w:before="60" w:after="60"/>
              <w:rPr>
                <w:b/>
                <w:sz w:val="20"/>
              </w:rPr>
            </w:pPr>
            <w:r w:rsidRPr="00D72F01">
              <w:rPr>
                <w:b/>
                <w:sz w:val="20"/>
              </w:rPr>
              <w:t>Contribution to Outcome 1 made by linked programs</w:t>
            </w:r>
          </w:p>
          <w:p w:rsidR="00925427" w:rsidRPr="00D72F01" w:rsidRDefault="00925427" w:rsidP="00DC4D04">
            <w:pPr>
              <w:spacing w:before="60" w:after="60"/>
              <w:rPr>
                <w:sz w:val="20"/>
              </w:rPr>
            </w:pPr>
            <w:r w:rsidRPr="00D72F01">
              <w:rPr>
                <w:sz w:val="20"/>
              </w:rPr>
              <w:t xml:space="preserve">Safe Work Australia contributes to the protection of the health and safety of the Australian Community through effective management of risks arising from industrial chemicals through Australian work health and safety and workers' compensation arrangements (5.1). </w:t>
            </w:r>
          </w:p>
        </w:tc>
      </w:tr>
    </w:tbl>
    <w:p w:rsidR="00925427" w:rsidRDefault="00925427" w:rsidP="00925427">
      <w:pPr>
        <w:pStyle w:val="Heading5"/>
      </w:pPr>
      <w:r>
        <w:br w:type="page"/>
      </w:r>
    </w:p>
    <w:p w:rsidR="00925427" w:rsidRPr="00446612" w:rsidRDefault="00925427" w:rsidP="00925427">
      <w:pPr>
        <w:pStyle w:val="Heading5"/>
      </w:pPr>
      <w:r>
        <w:lastRenderedPageBreak/>
        <w:t>Budgeted expenses for Outcome 1</w:t>
      </w:r>
    </w:p>
    <w:p w:rsidR="00925427" w:rsidRDefault="00925427" w:rsidP="00925427">
      <w:r w:rsidRPr="00950281">
        <w:t xml:space="preserve">This table shows how much the entity intends to spend (on an accrual basis) on achieving the outcome, broken down by program, as well as by Administered and Departmental funding sources. </w:t>
      </w:r>
    </w:p>
    <w:p w:rsidR="00925427" w:rsidRDefault="00925427" w:rsidP="00925427">
      <w:pPr>
        <w:pStyle w:val="TableHeading"/>
        <w:rPr>
          <w:lang w:val="en-AU"/>
        </w:rPr>
      </w:pPr>
      <w:r>
        <w:t>Table 2.</w:t>
      </w:r>
      <w:r>
        <w:rPr>
          <w:lang w:val="en-AU"/>
        </w:rPr>
        <w:t>1</w:t>
      </w:r>
      <w:r>
        <w:t xml:space="preserve">.1: Budgeted expenses for Outcome </w:t>
      </w:r>
      <w:r>
        <w:rPr>
          <w:lang w:val="en-AU"/>
        </w:rPr>
        <w:t>1</w:t>
      </w:r>
    </w:p>
    <w:p w:rsidR="00925427" w:rsidRPr="008D0922" w:rsidRDefault="00925427" w:rsidP="00925427">
      <w:pPr>
        <w:pStyle w:val="TableGraphic"/>
        <w:rPr>
          <w:lang w:eastAsia="x-none"/>
        </w:rPr>
      </w:pPr>
      <w:r w:rsidRPr="004A566A">
        <w:rPr>
          <w:noProof/>
        </w:rPr>
        <w:drawing>
          <wp:inline distT="0" distB="0" distL="0" distR="0" wp14:anchorId="69ACF691" wp14:editId="2B7C00E7">
            <wp:extent cx="4804913" cy="3976189"/>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5075" cy="3976323"/>
                    </a:xfrm>
                    <a:prstGeom prst="rect">
                      <a:avLst/>
                    </a:prstGeom>
                    <a:noFill/>
                    <a:ln>
                      <a:noFill/>
                    </a:ln>
                  </pic:spPr>
                </pic:pic>
              </a:graphicData>
            </a:graphic>
          </wp:inline>
        </w:drawing>
      </w:r>
    </w:p>
    <w:p w:rsidR="00925427" w:rsidRPr="00950281" w:rsidRDefault="00925427" w:rsidP="00925427">
      <w:pPr>
        <w:pStyle w:val="ChartandTableFootnote"/>
        <w:numPr>
          <w:ilvl w:val="0"/>
          <w:numId w:val="9"/>
        </w:numPr>
        <w:spacing w:before="120"/>
        <w:ind w:left="284" w:hanging="284"/>
      </w:pPr>
      <w:r w:rsidRPr="00950281">
        <w:t>E</w:t>
      </w:r>
      <w:r>
        <w:t>stimated e</w:t>
      </w:r>
      <w:r w:rsidRPr="00950281">
        <w:t xml:space="preserve">xpenses </w:t>
      </w:r>
      <w:r>
        <w:t xml:space="preserve">incurred in relation to receipts retained under section 74 of the </w:t>
      </w:r>
      <w:r>
        <w:rPr>
          <w:i/>
          <w:lang w:val="en-AU"/>
        </w:rPr>
        <w:t>Public Governance, Performance and Accountability Act 2013</w:t>
      </w:r>
      <w:r w:rsidRPr="006922DC">
        <w:t>.</w:t>
      </w:r>
    </w:p>
    <w:p w:rsidR="00925427" w:rsidRPr="00950281" w:rsidRDefault="00925427" w:rsidP="00925427">
      <w:pPr>
        <w:pStyle w:val="ChartandTableFootnote"/>
        <w:numPr>
          <w:ilvl w:val="0"/>
          <w:numId w:val="9"/>
        </w:numPr>
        <w:ind w:left="284" w:hanging="284"/>
      </w:pPr>
      <w:r w:rsidRPr="00950281">
        <w:t xml:space="preserve">Expenses not requiring appropriation in the Budget year are made up of depreciation </w:t>
      </w:r>
      <w:r>
        <w:t>expenses, amortisation expenses</w:t>
      </w:r>
      <w:r>
        <w:rPr>
          <w:lang w:val="en-AU"/>
        </w:rPr>
        <w:t xml:space="preserve"> and </w:t>
      </w:r>
      <w:r>
        <w:t>audit fee</w:t>
      </w:r>
      <w:r>
        <w:rPr>
          <w:lang w:val="en-AU"/>
        </w:rPr>
        <w:t>s</w:t>
      </w:r>
      <w:r w:rsidRPr="00950281">
        <w:t>.</w:t>
      </w:r>
    </w:p>
    <w:p w:rsidR="00925427" w:rsidRDefault="00925427" w:rsidP="00925427">
      <w:pPr>
        <w:pStyle w:val="ChartandTableFootnote"/>
        <w:spacing w:before="120"/>
      </w:pPr>
      <w:r w:rsidRPr="00446612">
        <w:t>Note: Departmental appropriation splits and totals are indicative estimates and may change in the course of the budget year as government priorities change.</w:t>
      </w:r>
      <w:r>
        <w:br w:type="page"/>
      </w:r>
    </w:p>
    <w:p w:rsidR="00925427" w:rsidRPr="00F71634" w:rsidRDefault="00925427" w:rsidP="00925427">
      <w:pPr>
        <w:pStyle w:val="Heading5"/>
      </w:pPr>
      <w:r w:rsidRPr="00F71634">
        <w:lastRenderedPageBreak/>
        <w:t>Table 2.</w:t>
      </w:r>
      <w:r>
        <w:t>1.2</w:t>
      </w:r>
      <w:r w:rsidRPr="00F71634">
        <w:t>: Pe</w:t>
      </w:r>
      <w:r>
        <w:t>rformance criteria for Outcome 1</w:t>
      </w:r>
    </w:p>
    <w:p w:rsidR="00925427" w:rsidRDefault="00925427" w:rsidP="00925427">
      <w:r>
        <w:t>Table 2.1.2</w:t>
      </w:r>
      <w:r w:rsidRPr="00F71634">
        <w:t xml:space="preserve"> below details the performance criteria for each program associated with Outcome </w:t>
      </w:r>
      <w:r>
        <w:t>1</w:t>
      </w:r>
      <w:r w:rsidRPr="00F71634">
        <w:t>. It also summarises how each prog</w:t>
      </w:r>
      <w:r>
        <w:t>ram is delivered and where 2016–</w:t>
      </w:r>
      <w:r w:rsidRPr="00F71634">
        <w:t>17 Budget measures have created new programs or materially changed existing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548"/>
      </w:tblGrid>
      <w:tr w:rsidR="00925427" w:rsidRPr="00D72F01" w:rsidTr="00DC4D04">
        <w:tc>
          <w:tcPr>
            <w:tcW w:w="7655" w:type="dxa"/>
            <w:gridSpan w:val="2"/>
            <w:shd w:val="clear" w:color="auto" w:fill="F2F2F2"/>
          </w:tcPr>
          <w:p w:rsidR="00925427" w:rsidRPr="00FE193A" w:rsidRDefault="00925427" w:rsidP="00DC4D04">
            <w:pPr>
              <w:pStyle w:val="TableTextLeft"/>
              <w:rPr>
                <w:b/>
              </w:rPr>
            </w:pPr>
            <w:r w:rsidRPr="00FE193A">
              <w:rPr>
                <w:b/>
              </w:rPr>
              <w:t>Outcome 1: Healthier, safer and more productive workplaces through improvements to Australian work health and safety and workers' compensation arrangements.</w:t>
            </w:r>
          </w:p>
        </w:tc>
      </w:tr>
      <w:tr w:rsidR="00925427" w:rsidRPr="00D72F01" w:rsidTr="00DC4D04">
        <w:trPr>
          <w:cantSplit/>
        </w:trPr>
        <w:tc>
          <w:tcPr>
            <w:tcW w:w="1107" w:type="dxa"/>
          </w:tcPr>
          <w:p w:rsidR="00925427" w:rsidRPr="00D72F01" w:rsidRDefault="00925427" w:rsidP="00DC4D04">
            <w:pPr>
              <w:tabs>
                <w:tab w:val="left" w:pos="709"/>
              </w:tabs>
              <w:spacing w:before="60" w:after="60"/>
              <w:rPr>
                <w:rFonts w:ascii="Arial" w:hAnsi="Arial" w:cs="Arial"/>
                <w:b/>
                <w:sz w:val="16"/>
                <w:szCs w:val="16"/>
              </w:rPr>
            </w:pPr>
            <w:r w:rsidRPr="00D72F01">
              <w:rPr>
                <w:rFonts w:ascii="Arial" w:hAnsi="Arial" w:cs="Arial"/>
                <w:b/>
                <w:sz w:val="16"/>
                <w:szCs w:val="16"/>
              </w:rPr>
              <w:t xml:space="preserve">Purpose </w:t>
            </w:r>
          </w:p>
        </w:tc>
        <w:tc>
          <w:tcPr>
            <w:tcW w:w="6548" w:type="dxa"/>
          </w:tcPr>
          <w:p w:rsidR="00925427" w:rsidRPr="00D72F01" w:rsidRDefault="00925427" w:rsidP="00DC4D04">
            <w:pPr>
              <w:pStyle w:val="TableTextLeft"/>
            </w:pPr>
            <w:r w:rsidRPr="00D72F01">
              <w:t>Safe Work Australia has an important national role to achieve significant and continual reductions in the incidence of work-related death, injury and illness and to improve outcomes for injured workers and their employers.</w:t>
            </w:r>
          </w:p>
          <w:p w:rsidR="00925427" w:rsidRPr="00D72F01" w:rsidRDefault="00925427" w:rsidP="00DC4D04">
            <w:pPr>
              <w:pStyle w:val="TableTextLeft"/>
              <w:rPr>
                <w:rFonts w:cs="Arial"/>
                <w:i/>
                <w:color w:val="FF0000"/>
                <w:sz w:val="16"/>
                <w:szCs w:val="16"/>
              </w:rPr>
            </w:pPr>
            <w:r w:rsidRPr="00D72F01">
              <w:t>To be able to meet its objectives Safe Work Australia works collaboratively with regulators, industry and employee associations and the community to achieve healthy, safe and productive working lives for all Australians.</w:t>
            </w:r>
          </w:p>
        </w:tc>
      </w:tr>
      <w:tr w:rsidR="00925427" w:rsidRPr="00D72F01" w:rsidTr="00DC4D04">
        <w:tc>
          <w:tcPr>
            <w:tcW w:w="7655" w:type="dxa"/>
            <w:gridSpan w:val="2"/>
            <w:shd w:val="clear" w:color="auto" w:fill="F2F2F2"/>
          </w:tcPr>
          <w:p w:rsidR="00925427" w:rsidRPr="00D72F01" w:rsidRDefault="00925427" w:rsidP="00DC4D04">
            <w:pPr>
              <w:pStyle w:val="TableTextLeft"/>
            </w:pPr>
            <w:r w:rsidRPr="00D72F01">
              <w:rPr>
                <w:b/>
              </w:rPr>
              <w:t>Program 1.1</w:t>
            </w:r>
            <w:r>
              <w:t xml:space="preserve">: </w:t>
            </w:r>
            <w:r w:rsidRPr="00D72F01">
              <w:rPr>
                <w:b/>
                <w:bCs/>
              </w:rPr>
              <w:t>Reform of and improvements to Australian work health and safety and workers' compensation arrangements</w:t>
            </w:r>
            <w:r w:rsidRPr="00D72F01">
              <w:rPr>
                <w:b/>
              </w:rPr>
              <w:t xml:space="preserve"> </w:t>
            </w:r>
            <w:r w:rsidRPr="00D72F01">
              <w:t>contribute to Outcome 1 by the innovative development of multi-stakeholder policy and being central to Australia becoming a world leader in the delivery of improved safety and compensation outcomes.</w:t>
            </w:r>
          </w:p>
        </w:tc>
      </w:tr>
      <w:tr w:rsidR="00925427" w:rsidRPr="00D72F01" w:rsidTr="00DC4D04">
        <w:tc>
          <w:tcPr>
            <w:tcW w:w="1107" w:type="dxa"/>
            <w:tcBorders>
              <w:bottom w:val="double" w:sz="4" w:space="0" w:color="auto"/>
            </w:tcBorders>
          </w:tcPr>
          <w:p w:rsidR="00925427" w:rsidRPr="00D72F01" w:rsidRDefault="00925427" w:rsidP="00DC4D04">
            <w:pPr>
              <w:pStyle w:val="TableTextLeft"/>
            </w:pPr>
            <w:r w:rsidRPr="00D72F01">
              <w:t>Delivery</w:t>
            </w:r>
          </w:p>
        </w:tc>
        <w:tc>
          <w:tcPr>
            <w:tcW w:w="6548" w:type="dxa"/>
            <w:tcBorders>
              <w:bottom w:val="double" w:sz="4" w:space="0" w:color="auto"/>
            </w:tcBorders>
          </w:tcPr>
          <w:p w:rsidR="00925427" w:rsidRPr="00D72F01" w:rsidRDefault="00925427" w:rsidP="00DC4D04">
            <w:pPr>
              <w:pStyle w:val="TableTextLeft"/>
              <w:rPr>
                <w:rFonts w:cs="Arial"/>
                <w:szCs w:val="16"/>
              </w:rPr>
            </w:pPr>
            <w:r w:rsidRPr="00D72F01">
              <w:t>The deliverables for Safe Work Australia are highlighted in its annual operational plan:</w:t>
            </w:r>
          </w:p>
          <w:p w:rsidR="00925427" w:rsidRPr="008D0922" w:rsidRDefault="00925427" w:rsidP="00DC4D04">
            <w:pPr>
              <w:pStyle w:val="TableTextBullet"/>
            </w:pPr>
            <w:r w:rsidRPr="008D0922">
              <w:t>Coordinate and report on the progress of national activities being implemented to assist in the achievement of the outcomes and targets outlined in the Australian Work Health and Safety Strategy 2012–2022.</w:t>
            </w:r>
          </w:p>
          <w:p w:rsidR="00925427" w:rsidRPr="008D0922" w:rsidRDefault="00925427" w:rsidP="00DC4D04">
            <w:pPr>
              <w:pStyle w:val="TableTextBullet"/>
            </w:pPr>
            <w:r w:rsidRPr="008D0922">
              <w:t>Develop and deliver high-quality, innovative and engaging material and undertake activities that</w:t>
            </w:r>
          </w:p>
          <w:p w:rsidR="00925427" w:rsidRPr="00D72F01" w:rsidRDefault="00925427" w:rsidP="00DC4D04">
            <w:pPr>
              <w:pStyle w:val="TableTextDash"/>
              <w:rPr>
                <w:lang w:eastAsia="en-US"/>
              </w:rPr>
            </w:pPr>
            <w:r w:rsidRPr="00D72F01">
              <w:rPr>
                <w:lang w:eastAsia="en-US"/>
              </w:rPr>
              <w:t>improve work h</w:t>
            </w:r>
            <w:r>
              <w:rPr>
                <w:lang w:eastAsia="en-US"/>
              </w:rPr>
              <w:t>ealth and safety capability</w:t>
            </w:r>
          </w:p>
          <w:p w:rsidR="00925427" w:rsidRPr="00D72F01" w:rsidRDefault="00925427" w:rsidP="00DC4D04">
            <w:pPr>
              <w:pStyle w:val="TableTextDash"/>
              <w:rPr>
                <w:lang w:eastAsia="en-US"/>
              </w:rPr>
            </w:pPr>
            <w:r w:rsidRPr="00D72F01">
              <w:rPr>
                <w:lang w:eastAsia="en-US"/>
              </w:rPr>
              <w:t>integrate work health and safety in</w:t>
            </w:r>
            <w:r>
              <w:rPr>
                <w:lang w:eastAsia="en-US"/>
              </w:rPr>
              <w:t>to normal business practices</w:t>
            </w:r>
          </w:p>
          <w:p w:rsidR="00925427" w:rsidRPr="00D72F01" w:rsidRDefault="00925427" w:rsidP="00DC4D04">
            <w:pPr>
              <w:pStyle w:val="TableTextDash"/>
              <w:rPr>
                <w:lang w:eastAsia="en-US"/>
              </w:rPr>
            </w:pPr>
            <w:proofErr w:type="gramStart"/>
            <w:r w:rsidRPr="00D72F01">
              <w:rPr>
                <w:lang w:eastAsia="en-US"/>
              </w:rPr>
              <w:t>provide</w:t>
            </w:r>
            <w:proofErr w:type="gramEnd"/>
            <w:r w:rsidRPr="00D72F01">
              <w:rPr>
                <w:lang w:eastAsia="en-US"/>
              </w:rPr>
              <w:t xml:space="preserve"> accessible, effective and practical information to aid understanding and compliance particularly for individuals and small business.</w:t>
            </w:r>
          </w:p>
          <w:p w:rsidR="00925427" w:rsidRDefault="00925427" w:rsidP="00DC4D04">
            <w:pPr>
              <w:pStyle w:val="TableTextBullet"/>
              <w:rPr>
                <w:lang w:eastAsia="en-US"/>
              </w:rPr>
            </w:pPr>
            <w:r w:rsidRPr="00D72F01">
              <w:rPr>
                <w:lang w:eastAsia="en-US"/>
              </w:rPr>
              <w:t>Collect, maintain, improve and report on national work health and safety and workers' compensation data.</w:t>
            </w:r>
          </w:p>
          <w:p w:rsidR="00925427" w:rsidRPr="00FE193A" w:rsidRDefault="00925427" w:rsidP="00DC4D04">
            <w:pPr>
              <w:pStyle w:val="TableTextBullet"/>
              <w:rPr>
                <w:lang w:eastAsia="en-US"/>
              </w:rPr>
            </w:pPr>
            <w:r w:rsidRPr="00FE193A">
              <w:rPr>
                <w:lang w:eastAsia="en-US"/>
              </w:rPr>
              <w:t xml:space="preserve">Undertake and disseminate research and analysis on emerging work health and safety and workers’ compensation issues to identify new priorities and areas for policy and program development. </w:t>
            </w:r>
          </w:p>
          <w:p w:rsidR="00925427" w:rsidRPr="00204282" w:rsidRDefault="00925427" w:rsidP="00DC4D04">
            <w:pPr>
              <w:pStyle w:val="TableTextBullet"/>
              <w:rPr>
                <w:lang w:eastAsia="en-US"/>
              </w:rPr>
            </w:pPr>
            <w:r w:rsidRPr="009E3C1A">
              <w:t>Monitor, evaluate and remove unnecessary regulation to enhance the model Work Health and Safety laws to improve safety outcomes and address issues impeding the effective and efficient operation of the laws</w:t>
            </w:r>
            <w:r w:rsidRPr="00204282">
              <w:rPr>
                <w:lang w:eastAsia="en-US"/>
              </w:rPr>
              <w:t>.</w:t>
            </w:r>
          </w:p>
          <w:p w:rsidR="00925427" w:rsidRPr="00D72F01" w:rsidRDefault="00925427" w:rsidP="00DC4D04">
            <w:pPr>
              <w:pStyle w:val="TableTextBullet"/>
              <w:rPr>
                <w:lang w:eastAsia="en-US"/>
              </w:rPr>
            </w:pPr>
            <w:r w:rsidRPr="00D72F01">
              <w:rPr>
                <w:lang w:eastAsia="en-US"/>
              </w:rPr>
              <w:t>Improve workers' compensation arrangements with a particular focus on improving return to work outcomes.</w:t>
            </w:r>
          </w:p>
          <w:p w:rsidR="00925427" w:rsidRPr="00D72F01" w:rsidRDefault="00925427" w:rsidP="00DC4D04">
            <w:pPr>
              <w:pStyle w:val="TableTextBullet"/>
              <w:rPr>
                <w:lang w:eastAsia="en-US"/>
              </w:rPr>
            </w:pPr>
            <w:r w:rsidRPr="00D72F01">
              <w:rPr>
                <w:lang w:eastAsia="en-US"/>
              </w:rPr>
              <w:t>Develop and progress policy proposals that will lead to nationally consistent explosives regulation.</w:t>
            </w:r>
          </w:p>
          <w:p w:rsidR="00925427" w:rsidRPr="00D72F01" w:rsidRDefault="00925427" w:rsidP="00DC4D04">
            <w:pPr>
              <w:pStyle w:val="TableTextBullet"/>
              <w:rPr>
                <w:i/>
                <w:lang w:eastAsia="en-US"/>
              </w:rPr>
            </w:pPr>
            <w:r w:rsidRPr="00D72F01">
              <w:rPr>
                <w:lang w:eastAsia="en-US"/>
              </w:rPr>
              <w:t>Work with other countries or international organisations and represent Australia at relevant forums (as appropriate) to share data, information and/or knowledge on work health and safety and workers' compensation matters.</w:t>
            </w:r>
          </w:p>
        </w:tc>
      </w:tr>
    </w:tbl>
    <w:p w:rsidR="00925427" w:rsidRDefault="00925427" w:rsidP="0092542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855"/>
        <w:gridCol w:w="2693"/>
      </w:tblGrid>
      <w:tr w:rsidR="00925427" w:rsidRPr="00D72F01" w:rsidTr="00DC4D04">
        <w:tc>
          <w:tcPr>
            <w:tcW w:w="7655" w:type="dxa"/>
            <w:gridSpan w:val="3"/>
            <w:tcBorders>
              <w:top w:val="double" w:sz="4" w:space="0" w:color="auto"/>
              <w:bottom w:val="double" w:sz="4" w:space="0" w:color="auto"/>
            </w:tcBorders>
          </w:tcPr>
          <w:p w:rsidR="00925427" w:rsidRPr="00D72F01" w:rsidRDefault="00925427" w:rsidP="00DC4D04">
            <w:pPr>
              <w:tabs>
                <w:tab w:val="left" w:pos="709"/>
              </w:tabs>
              <w:spacing w:before="60" w:after="60"/>
              <w:rPr>
                <w:rFonts w:ascii="Arial" w:hAnsi="Arial" w:cs="Arial"/>
                <w:b/>
                <w:sz w:val="16"/>
                <w:szCs w:val="16"/>
              </w:rPr>
            </w:pPr>
            <w:r w:rsidRPr="00D72F01">
              <w:rPr>
                <w:rFonts w:ascii="Arial" w:hAnsi="Arial" w:cs="Arial"/>
                <w:b/>
                <w:sz w:val="16"/>
                <w:szCs w:val="16"/>
              </w:rPr>
              <w:lastRenderedPageBreak/>
              <w:t>Performance information</w:t>
            </w:r>
          </w:p>
        </w:tc>
      </w:tr>
      <w:tr w:rsidR="00925427" w:rsidRPr="00D72F01" w:rsidTr="00DC4D04">
        <w:tc>
          <w:tcPr>
            <w:tcW w:w="1107" w:type="dxa"/>
            <w:tcBorders>
              <w:top w:val="double" w:sz="4" w:space="0" w:color="auto"/>
              <w:bottom w:val="single" w:sz="4" w:space="0" w:color="auto"/>
              <w:right w:val="single" w:sz="4" w:space="0" w:color="auto"/>
            </w:tcBorders>
          </w:tcPr>
          <w:p w:rsidR="00925427" w:rsidRPr="00D72F01" w:rsidRDefault="00925427" w:rsidP="00DC4D04">
            <w:pPr>
              <w:tabs>
                <w:tab w:val="left" w:pos="709"/>
              </w:tabs>
              <w:spacing w:before="60" w:after="60"/>
              <w:rPr>
                <w:rFonts w:ascii="Arial" w:hAnsi="Arial" w:cs="Arial"/>
                <w:b/>
                <w:sz w:val="16"/>
                <w:szCs w:val="16"/>
              </w:rPr>
            </w:pPr>
            <w:r w:rsidRPr="00D72F01">
              <w:rPr>
                <w:rFonts w:ascii="Arial" w:hAnsi="Arial" w:cs="Arial"/>
                <w:b/>
                <w:sz w:val="16"/>
                <w:szCs w:val="16"/>
              </w:rPr>
              <w:t>Year</w:t>
            </w:r>
          </w:p>
        </w:tc>
        <w:tc>
          <w:tcPr>
            <w:tcW w:w="3855" w:type="dxa"/>
            <w:tcBorders>
              <w:top w:val="double" w:sz="4" w:space="0" w:color="auto"/>
              <w:left w:val="single" w:sz="4" w:space="0" w:color="auto"/>
              <w:bottom w:val="single" w:sz="4" w:space="0" w:color="auto"/>
              <w:right w:val="single" w:sz="4" w:space="0" w:color="auto"/>
            </w:tcBorders>
          </w:tcPr>
          <w:p w:rsidR="00925427" w:rsidRPr="00D72F01" w:rsidRDefault="00925427" w:rsidP="00DC4D04">
            <w:pPr>
              <w:tabs>
                <w:tab w:val="left" w:pos="709"/>
              </w:tabs>
              <w:spacing w:before="60" w:after="60"/>
              <w:rPr>
                <w:rFonts w:ascii="Arial" w:hAnsi="Arial" w:cs="Arial"/>
                <w:b/>
                <w:sz w:val="16"/>
                <w:szCs w:val="16"/>
              </w:rPr>
            </w:pPr>
            <w:r w:rsidRPr="00D72F01">
              <w:rPr>
                <w:rFonts w:ascii="Arial" w:hAnsi="Arial" w:cs="Arial"/>
                <w:b/>
                <w:sz w:val="16"/>
                <w:szCs w:val="16"/>
              </w:rPr>
              <w:t>Performance criteria</w:t>
            </w:r>
            <w:r w:rsidRPr="00D72F01">
              <w:rPr>
                <w:rFonts w:ascii="Arial" w:hAnsi="Arial" w:cs="Arial"/>
                <w:sz w:val="16"/>
                <w:szCs w:val="16"/>
              </w:rPr>
              <w:t xml:space="preserve"> </w:t>
            </w:r>
          </w:p>
        </w:tc>
        <w:tc>
          <w:tcPr>
            <w:tcW w:w="2693" w:type="dxa"/>
            <w:tcBorders>
              <w:top w:val="double" w:sz="4" w:space="0" w:color="auto"/>
              <w:left w:val="single" w:sz="4" w:space="0" w:color="auto"/>
              <w:bottom w:val="single" w:sz="4" w:space="0" w:color="auto"/>
            </w:tcBorders>
          </w:tcPr>
          <w:p w:rsidR="00925427" w:rsidRPr="00D72F01" w:rsidRDefault="00925427" w:rsidP="00DC4D04">
            <w:pPr>
              <w:tabs>
                <w:tab w:val="left" w:pos="709"/>
              </w:tabs>
              <w:spacing w:before="60" w:after="60"/>
              <w:rPr>
                <w:rFonts w:ascii="Arial" w:hAnsi="Arial" w:cs="Arial"/>
                <w:b/>
                <w:sz w:val="16"/>
                <w:szCs w:val="16"/>
              </w:rPr>
            </w:pPr>
            <w:r w:rsidRPr="00D72F01">
              <w:rPr>
                <w:rFonts w:ascii="Arial" w:hAnsi="Arial" w:cs="Arial"/>
                <w:b/>
                <w:sz w:val="16"/>
                <w:szCs w:val="16"/>
              </w:rPr>
              <w:t>Targets</w:t>
            </w:r>
          </w:p>
        </w:tc>
      </w:tr>
      <w:tr w:rsidR="00925427" w:rsidRPr="00D72F01" w:rsidTr="00DC4D04">
        <w:trPr>
          <w:trHeight w:val="825"/>
        </w:trPr>
        <w:tc>
          <w:tcPr>
            <w:tcW w:w="1107" w:type="dxa"/>
            <w:tcBorders>
              <w:top w:val="single" w:sz="4" w:space="0" w:color="auto"/>
              <w:bottom w:val="dotted" w:sz="4" w:space="0" w:color="auto"/>
              <w:right w:val="single" w:sz="4" w:space="0" w:color="auto"/>
            </w:tcBorders>
          </w:tcPr>
          <w:p w:rsidR="00925427" w:rsidRPr="00D72F01" w:rsidRDefault="00925427" w:rsidP="00DC4D04">
            <w:pPr>
              <w:pStyle w:val="TableTextLeft"/>
            </w:pPr>
            <w:r>
              <w:t>2015–</w:t>
            </w:r>
            <w:r w:rsidRPr="00D72F01">
              <w:t>16</w:t>
            </w:r>
          </w:p>
        </w:tc>
        <w:tc>
          <w:tcPr>
            <w:tcW w:w="3855" w:type="dxa"/>
            <w:tcBorders>
              <w:top w:val="single" w:sz="4" w:space="0" w:color="auto"/>
              <w:left w:val="single" w:sz="4" w:space="0" w:color="auto"/>
              <w:bottom w:val="dotted" w:sz="4" w:space="0" w:color="auto"/>
              <w:right w:val="single" w:sz="4" w:space="0" w:color="auto"/>
            </w:tcBorders>
          </w:tcPr>
          <w:p w:rsidR="00925427" w:rsidRPr="00FE193A" w:rsidRDefault="00925427" w:rsidP="00DC4D04">
            <w:pPr>
              <w:pStyle w:val="TableTextLeft"/>
            </w:pPr>
            <w:r w:rsidRPr="00FE193A">
              <w:t xml:space="preserve">The work health and safety framework continues to be developed, implemented and reviewed in accordance with </w:t>
            </w:r>
            <w:proofErr w:type="spellStart"/>
            <w:r w:rsidRPr="00FE193A">
              <w:t>COAG</w:t>
            </w:r>
            <w:proofErr w:type="spellEnd"/>
            <w:r w:rsidRPr="00FE193A">
              <w:t xml:space="preserve"> requirements.</w:t>
            </w:r>
          </w:p>
        </w:tc>
        <w:tc>
          <w:tcPr>
            <w:tcW w:w="2693" w:type="dxa"/>
            <w:tcBorders>
              <w:top w:val="single" w:sz="4" w:space="0" w:color="auto"/>
              <w:left w:val="single" w:sz="4" w:space="0" w:color="auto"/>
              <w:bottom w:val="dotted" w:sz="4" w:space="0" w:color="auto"/>
            </w:tcBorders>
          </w:tcPr>
          <w:p w:rsidR="00925427" w:rsidRPr="00FE193A" w:rsidRDefault="00925427" w:rsidP="00DC4D04">
            <w:pPr>
              <w:pStyle w:val="TableTextLeft"/>
            </w:pPr>
            <w:proofErr w:type="spellStart"/>
            <w:r w:rsidRPr="00FE193A">
              <w:t>COAG</w:t>
            </w:r>
            <w:proofErr w:type="spellEnd"/>
            <w:r w:rsidRPr="00FE193A">
              <w:t xml:space="preserve"> requirements are met.</w:t>
            </w:r>
          </w:p>
        </w:tc>
      </w:tr>
      <w:tr w:rsidR="00925427" w:rsidRPr="00D72F01" w:rsidTr="00DC4D04">
        <w:trPr>
          <w:trHeight w:val="891"/>
        </w:trPr>
        <w:tc>
          <w:tcPr>
            <w:tcW w:w="1107" w:type="dxa"/>
            <w:vMerge w:val="restart"/>
            <w:tcBorders>
              <w:top w:val="dotted" w:sz="4" w:space="0" w:color="auto"/>
              <w:right w:val="single" w:sz="4" w:space="0" w:color="auto"/>
            </w:tcBorders>
          </w:tcPr>
          <w:p w:rsidR="00925427" w:rsidRDefault="00925427" w:rsidP="00DC4D04">
            <w:pPr>
              <w:pStyle w:val="TableTextLeft"/>
            </w:pPr>
          </w:p>
        </w:tc>
        <w:tc>
          <w:tcPr>
            <w:tcW w:w="3855" w:type="dxa"/>
            <w:tcBorders>
              <w:top w:val="dotted" w:sz="4" w:space="0" w:color="auto"/>
              <w:left w:val="single" w:sz="4" w:space="0" w:color="auto"/>
              <w:bottom w:val="dotted" w:sz="2" w:space="0" w:color="auto"/>
              <w:right w:val="single" w:sz="4" w:space="0" w:color="auto"/>
            </w:tcBorders>
          </w:tcPr>
          <w:p w:rsidR="00925427" w:rsidRPr="00FE193A" w:rsidRDefault="00925427" w:rsidP="00DC4D04">
            <w:pPr>
              <w:pStyle w:val="TableTextLeft"/>
            </w:pPr>
            <w:r w:rsidRPr="00FE193A">
              <w:t>Level of satisfaction of the Chair of Safe Work Australia with how the agency is achieving the deliverables of its operational plan.</w:t>
            </w:r>
          </w:p>
        </w:tc>
        <w:tc>
          <w:tcPr>
            <w:tcW w:w="2693" w:type="dxa"/>
            <w:tcBorders>
              <w:top w:val="dotted" w:sz="4" w:space="0" w:color="auto"/>
              <w:left w:val="single" w:sz="4" w:space="0" w:color="auto"/>
              <w:bottom w:val="dotted" w:sz="2" w:space="0" w:color="auto"/>
            </w:tcBorders>
          </w:tcPr>
          <w:p w:rsidR="00925427" w:rsidRPr="00FE193A" w:rsidRDefault="00925427" w:rsidP="00DC4D04">
            <w:pPr>
              <w:pStyle w:val="TableTextLeft"/>
            </w:pPr>
            <w:r w:rsidRPr="00FE193A">
              <w:t>Chair rates the performance of the agency as very good or above.</w:t>
            </w:r>
          </w:p>
        </w:tc>
      </w:tr>
      <w:tr w:rsidR="00925427" w:rsidRPr="00D72F01" w:rsidTr="00DC4D04">
        <w:trPr>
          <w:trHeight w:val="990"/>
        </w:trPr>
        <w:tc>
          <w:tcPr>
            <w:tcW w:w="1107" w:type="dxa"/>
            <w:vMerge/>
            <w:tcBorders>
              <w:bottom w:val="dotted" w:sz="4" w:space="0" w:color="auto"/>
              <w:right w:val="single" w:sz="4" w:space="0" w:color="auto"/>
            </w:tcBorders>
          </w:tcPr>
          <w:p w:rsidR="00925427" w:rsidRDefault="00925427" w:rsidP="00DC4D04">
            <w:pPr>
              <w:pStyle w:val="TableTextLeft"/>
            </w:pPr>
          </w:p>
        </w:tc>
        <w:tc>
          <w:tcPr>
            <w:tcW w:w="3855" w:type="dxa"/>
            <w:tcBorders>
              <w:top w:val="dotted" w:sz="2" w:space="0" w:color="auto"/>
              <w:left w:val="single" w:sz="4" w:space="0" w:color="auto"/>
              <w:bottom w:val="dotted" w:sz="4" w:space="0" w:color="auto"/>
              <w:right w:val="single" w:sz="4" w:space="0" w:color="auto"/>
            </w:tcBorders>
          </w:tcPr>
          <w:p w:rsidR="00925427" w:rsidRPr="00FE193A" w:rsidRDefault="00925427" w:rsidP="00DC4D04">
            <w:pPr>
              <w:pStyle w:val="TableTextLeft"/>
            </w:pPr>
            <w:r w:rsidRPr="00FE193A">
              <w:t>Level of satisfaction of the Members of Safe Work Australia with how the agency is achieving the deliverables of its operational plan.</w:t>
            </w:r>
          </w:p>
        </w:tc>
        <w:tc>
          <w:tcPr>
            <w:tcW w:w="2693" w:type="dxa"/>
            <w:tcBorders>
              <w:top w:val="dotted" w:sz="2" w:space="0" w:color="auto"/>
              <w:left w:val="single" w:sz="4" w:space="0" w:color="auto"/>
              <w:bottom w:val="dotted" w:sz="4" w:space="0" w:color="auto"/>
            </w:tcBorders>
          </w:tcPr>
          <w:p w:rsidR="00925427" w:rsidRPr="00FE193A" w:rsidRDefault="00925427" w:rsidP="00DC4D04">
            <w:pPr>
              <w:pStyle w:val="TableTextLeft"/>
            </w:pPr>
            <w:r w:rsidRPr="00FE193A">
              <w:t>80% of Members agree the agency is achieving the deliverables of its operational plan.</w:t>
            </w:r>
          </w:p>
        </w:tc>
      </w:tr>
      <w:tr w:rsidR="00925427" w:rsidRPr="00D72F01" w:rsidTr="00DC4D04">
        <w:tc>
          <w:tcPr>
            <w:tcW w:w="1107" w:type="dxa"/>
            <w:tcBorders>
              <w:top w:val="dotted" w:sz="4" w:space="0" w:color="auto"/>
              <w:bottom w:val="dotted" w:sz="4" w:space="0" w:color="auto"/>
              <w:right w:val="single" w:sz="4" w:space="0" w:color="auto"/>
            </w:tcBorders>
          </w:tcPr>
          <w:p w:rsidR="00925427" w:rsidRPr="00D72F01" w:rsidRDefault="00925427" w:rsidP="00DC4D04">
            <w:pPr>
              <w:pStyle w:val="TableTextLeft"/>
            </w:pPr>
            <w:r>
              <w:t>2016–</w:t>
            </w:r>
            <w:r w:rsidRPr="00D72F01">
              <w:t>17</w:t>
            </w:r>
          </w:p>
        </w:tc>
        <w:tc>
          <w:tcPr>
            <w:tcW w:w="3855" w:type="dxa"/>
            <w:tcBorders>
              <w:top w:val="dotted" w:sz="4" w:space="0" w:color="auto"/>
              <w:left w:val="single" w:sz="4" w:space="0" w:color="auto"/>
              <w:bottom w:val="dotted" w:sz="4" w:space="0" w:color="auto"/>
              <w:right w:val="single" w:sz="4" w:space="0" w:color="auto"/>
            </w:tcBorders>
          </w:tcPr>
          <w:p w:rsidR="00925427" w:rsidRPr="00D72F01" w:rsidRDefault="00925427" w:rsidP="00DC4D04">
            <w:pPr>
              <w:pStyle w:val="TableTextLeft"/>
            </w:pPr>
            <w:r w:rsidRPr="00D72F01">
              <w:t>Activities in the Operational Plan are delivered to the expected quality, on time and within budget</w:t>
            </w:r>
          </w:p>
          <w:p w:rsidR="00925427" w:rsidRPr="00D72F01" w:rsidRDefault="00925427" w:rsidP="00DC4D04">
            <w:pPr>
              <w:pStyle w:val="TableTextLeft"/>
            </w:pPr>
            <w:r w:rsidRPr="00D72F01">
              <w:t>Reductions in the incidence of work-related death, injury and illness through:</w:t>
            </w:r>
          </w:p>
          <w:p w:rsidR="00925427" w:rsidRPr="00D72F01" w:rsidRDefault="00925427" w:rsidP="00DC4D04">
            <w:pPr>
              <w:pStyle w:val="TableTextBullet"/>
            </w:pPr>
            <w:r w:rsidRPr="00D72F01">
              <w:t xml:space="preserve">an improved and reformed work health and safety framework </w:t>
            </w:r>
          </w:p>
          <w:p w:rsidR="00925427" w:rsidRPr="00D72F01" w:rsidRDefault="00925427" w:rsidP="00DC4D04">
            <w:pPr>
              <w:pStyle w:val="TableTextBullet"/>
            </w:pPr>
            <w:r w:rsidRPr="00D72F01">
              <w:t>increased work health and safety awareness and skills</w:t>
            </w:r>
          </w:p>
          <w:p w:rsidR="00925427" w:rsidRPr="00D72F01" w:rsidRDefault="00925427" w:rsidP="00DC4D04">
            <w:pPr>
              <w:pStyle w:val="TableTextBullet"/>
            </w:pPr>
            <w:r w:rsidRPr="00D72F01">
              <w:t>developing and maintaining an evidence base which informs policy and practice</w:t>
            </w:r>
          </w:p>
          <w:p w:rsidR="00925427" w:rsidRPr="00D72F01" w:rsidRDefault="00925427" w:rsidP="00DC4D04">
            <w:pPr>
              <w:pStyle w:val="TableTextBullet"/>
            </w:pPr>
            <w:r w:rsidRPr="00D72F01">
              <w:t xml:space="preserve">reduced exposure to work-related hazards causing injury and illness, and </w:t>
            </w:r>
          </w:p>
          <w:p w:rsidR="00925427" w:rsidRPr="00D72F01" w:rsidRDefault="00925427" w:rsidP="00DC4D04">
            <w:pPr>
              <w:pStyle w:val="TableTextBullet"/>
            </w:pPr>
            <w:proofErr w:type="gramStart"/>
            <w:r w:rsidRPr="00D72F01">
              <w:t>improved</w:t>
            </w:r>
            <w:proofErr w:type="gramEnd"/>
            <w:r w:rsidRPr="00D72F01">
              <w:t xml:space="preserve"> quality of workplace controls.</w:t>
            </w:r>
          </w:p>
        </w:tc>
        <w:tc>
          <w:tcPr>
            <w:tcW w:w="2693" w:type="dxa"/>
            <w:tcBorders>
              <w:top w:val="dotted" w:sz="4" w:space="0" w:color="auto"/>
              <w:left w:val="single" w:sz="4" w:space="0" w:color="auto"/>
              <w:bottom w:val="dotted" w:sz="4" w:space="0" w:color="auto"/>
            </w:tcBorders>
          </w:tcPr>
          <w:p w:rsidR="00925427" w:rsidRPr="00D72F01" w:rsidRDefault="00925427" w:rsidP="00DC4D04">
            <w:pPr>
              <w:pStyle w:val="TableTextLeft"/>
            </w:pPr>
            <w:r w:rsidRPr="00D72F01">
              <w:t>80% of Members and the Chair are satisfied with the agency achievements</w:t>
            </w:r>
          </w:p>
          <w:p w:rsidR="00925427" w:rsidRPr="00D72F01" w:rsidRDefault="00925427" w:rsidP="00DC4D04">
            <w:pPr>
              <w:pStyle w:val="TableTextLeft"/>
            </w:pPr>
            <w:r w:rsidRPr="00D72F01">
              <w:t>By 2022:</w:t>
            </w:r>
          </w:p>
          <w:p w:rsidR="00925427" w:rsidRPr="00D72F01" w:rsidRDefault="00925427" w:rsidP="00DC4D04">
            <w:pPr>
              <w:pStyle w:val="TableTextBullet"/>
            </w:pPr>
            <w:r w:rsidRPr="00D72F01">
              <w:t>reduce workplace fatalities due to injury by 20 per cent or more</w:t>
            </w:r>
          </w:p>
          <w:p w:rsidR="00925427" w:rsidRPr="00D72F01" w:rsidRDefault="00925427" w:rsidP="00DC4D04">
            <w:pPr>
              <w:pStyle w:val="TableTextBullet"/>
            </w:pPr>
            <w:r w:rsidRPr="00D72F01">
              <w:t>reduce the incidence rate of serious workers’ compensation claims by 30</w:t>
            </w:r>
            <w:r>
              <w:t> </w:t>
            </w:r>
            <w:r w:rsidRPr="00D72F01">
              <w:t>per cent or more, and</w:t>
            </w:r>
          </w:p>
          <w:p w:rsidR="00925427" w:rsidRPr="00D72F01" w:rsidRDefault="00925427" w:rsidP="00DC4D04">
            <w:pPr>
              <w:pStyle w:val="TableTextBullet"/>
            </w:pPr>
            <w:proofErr w:type="gramStart"/>
            <w:r w:rsidRPr="00D72F01">
              <w:t>reduce</w:t>
            </w:r>
            <w:proofErr w:type="gramEnd"/>
            <w:r w:rsidRPr="00D72F01">
              <w:t xml:space="preserve"> the incidence rate of serious workers’ compensation claims for musculoskeletal claims by 30 per cent or more.</w:t>
            </w:r>
          </w:p>
        </w:tc>
      </w:tr>
      <w:tr w:rsidR="00925427" w:rsidRPr="00D72F01" w:rsidTr="00DC4D04">
        <w:tc>
          <w:tcPr>
            <w:tcW w:w="1107" w:type="dxa"/>
            <w:tcBorders>
              <w:top w:val="dotted" w:sz="4" w:space="0" w:color="auto"/>
              <w:right w:val="single" w:sz="4" w:space="0" w:color="auto"/>
            </w:tcBorders>
          </w:tcPr>
          <w:p w:rsidR="00925427" w:rsidRPr="00D72F01" w:rsidRDefault="00925427" w:rsidP="00DC4D04">
            <w:pPr>
              <w:pStyle w:val="TableTextLeft"/>
            </w:pPr>
            <w:r>
              <w:t>2017–</w:t>
            </w:r>
            <w:r w:rsidRPr="00D72F01">
              <w:t>18 and beyond</w:t>
            </w:r>
          </w:p>
        </w:tc>
        <w:tc>
          <w:tcPr>
            <w:tcW w:w="3855" w:type="dxa"/>
            <w:tcBorders>
              <w:top w:val="dotted" w:sz="4" w:space="0" w:color="auto"/>
              <w:left w:val="single" w:sz="4" w:space="0" w:color="auto"/>
              <w:right w:val="single" w:sz="4" w:space="0" w:color="auto"/>
            </w:tcBorders>
          </w:tcPr>
          <w:p w:rsidR="00925427" w:rsidRPr="00D72F01" w:rsidRDefault="00925427" w:rsidP="00DC4D04">
            <w:pPr>
              <w:pStyle w:val="TableTextLeft"/>
            </w:pPr>
            <w:r>
              <w:t>As per 2016–17</w:t>
            </w:r>
          </w:p>
        </w:tc>
        <w:tc>
          <w:tcPr>
            <w:tcW w:w="2693" w:type="dxa"/>
            <w:tcBorders>
              <w:top w:val="dotted" w:sz="4" w:space="0" w:color="auto"/>
              <w:left w:val="single" w:sz="4" w:space="0" w:color="auto"/>
            </w:tcBorders>
          </w:tcPr>
          <w:p w:rsidR="00925427" w:rsidRPr="00D72F01" w:rsidRDefault="00925427" w:rsidP="00DC4D04">
            <w:pPr>
              <w:pStyle w:val="TableTextLeft"/>
            </w:pPr>
            <w:r>
              <w:t>As per 2016–17</w:t>
            </w:r>
          </w:p>
        </w:tc>
      </w:tr>
      <w:tr w:rsidR="00925427" w:rsidRPr="00D72F01" w:rsidTr="00DC4D04">
        <w:tc>
          <w:tcPr>
            <w:tcW w:w="7655" w:type="dxa"/>
            <w:gridSpan w:val="3"/>
            <w:shd w:val="clear" w:color="auto" w:fill="F2F2F2"/>
          </w:tcPr>
          <w:p w:rsidR="00925427" w:rsidRPr="009E6A36" w:rsidRDefault="00925427" w:rsidP="00DC4D04">
            <w:pPr>
              <w:pStyle w:val="TableTextLeft"/>
              <w:rPr>
                <w:rFonts w:eastAsia="Cambria"/>
                <w:b/>
                <w:lang w:eastAsia="en-US"/>
              </w:rPr>
            </w:pPr>
            <w:r w:rsidRPr="009E6A36">
              <w:rPr>
                <w:rFonts w:eastAsia="Cambria"/>
                <w:b/>
                <w:lang w:eastAsia="en-US"/>
              </w:rPr>
              <w:t>Material changes to Program 1.1 resulting from the following measures:</w:t>
            </w:r>
          </w:p>
          <w:p w:rsidR="00925427" w:rsidRPr="00D72F01" w:rsidRDefault="00925427" w:rsidP="00DC4D04">
            <w:pPr>
              <w:pStyle w:val="TableTextLeft"/>
            </w:pPr>
            <w:r>
              <w:t>Nil</w:t>
            </w:r>
          </w:p>
        </w:tc>
      </w:tr>
    </w:tbl>
    <w:p w:rsidR="00925427" w:rsidRPr="00BE6D85" w:rsidRDefault="00925427" w:rsidP="00925427">
      <w:pPr>
        <w:pStyle w:val="Heading2"/>
      </w:pPr>
      <w:r w:rsidRPr="00C3303C">
        <w:rPr>
          <w:rFonts w:ascii="Book Antiqua" w:hAnsi="Book Antiqua"/>
          <w:i/>
          <w:color w:val="FF0000"/>
          <w:sz w:val="20"/>
        </w:rPr>
        <w:br w:type="page"/>
      </w:r>
      <w:bookmarkStart w:id="104" w:name="_Toc447006857"/>
      <w:bookmarkStart w:id="105" w:name="_Toc447007195"/>
      <w:bookmarkStart w:id="106" w:name="_Toc447007438"/>
      <w:bookmarkStart w:id="107" w:name="_Toc447008316"/>
      <w:bookmarkStart w:id="108" w:name="_Toc447008962"/>
      <w:bookmarkStart w:id="109" w:name="_Toc447012819"/>
      <w:bookmarkStart w:id="110" w:name="_Toc447013815"/>
      <w:bookmarkStart w:id="111" w:name="_Toc447016788"/>
      <w:bookmarkStart w:id="112" w:name="_Toc447115213"/>
      <w:bookmarkStart w:id="113" w:name="_Toc447115296"/>
      <w:bookmarkStart w:id="114" w:name="_Toc447115476"/>
      <w:bookmarkStart w:id="115" w:name="_Toc447116767"/>
      <w:bookmarkStart w:id="116" w:name="_Toc447117996"/>
      <w:bookmarkStart w:id="117" w:name="_Toc447119429"/>
      <w:bookmarkStart w:id="118" w:name="_Toc447709930"/>
      <w:bookmarkStart w:id="119" w:name="_Toc449100255"/>
      <w:bookmarkStart w:id="120" w:name="_Toc449623632"/>
      <w:r w:rsidRPr="00BE6D85">
        <w:lastRenderedPageBreak/>
        <w:t>Section 3: Budgeted financial statements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925427" w:rsidRDefault="00925427" w:rsidP="00925427">
      <w:r>
        <w:t>Section 3 presents budgeted financial statements which provide a comprehensive snapshot of entity finances for the 2016–17</w:t>
      </w:r>
      <w:r>
        <w:rPr>
          <w:color w:val="00B050"/>
        </w:rPr>
        <w:t xml:space="preserve"> </w:t>
      </w:r>
      <w:r>
        <w:t xml:space="preserve">budget </w:t>
      </w:r>
      <w:proofErr w:type="gramStart"/>
      <w:r>
        <w:t>year</w:t>
      </w:r>
      <w:proofErr w:type="gramEnd"/>
      <w:r>
        <w:t>, including the impact of budget measures and resourcing on financial statements.</w:t>
      </w:r>
    </w:p>
    <w:p w:rsidR="00925427" w:rsidRDefault="00925427" w:rsidP="00925427">
      <w:pPr>
        <w:pStyle w:val="Heading3"/>
      </w:pPr>
      <w:bookmarkStart w:id="121" w:name="_Toc447006858"/>
      <w:bookmarkStart w:id="122" w:name="_Toc447007196"/>
      <w:bookmarkStart w:id="123" w:name="_Toc447007439"/>
      <w:bookmarkStart w:id="124" w:name="_Toc447008317"/>
      <w:bookmarkStart w:id="125" w:name="_Toc447008963"/>
      <w:bookmarkStart w:id="126" w:name="_Toc447012820"/>
      <w:bookmarkStart w:id="127" w:name="_Toc447013816"/>
      <w:bookmarkStart w:id="128" w:name="_Toc447016789"/>
      <w:bookmarkStart w:id="129" w:name="_Toc447115214"/>
      <w:bookmarkStart w:id="130" w:name="_Toc447115297"/>
      <w:bookmarkStart w:id="131" w:name="_Toc447115477"/>
      <w:bookmarkStart w:id="132" w:name="_Toc447116768"/>
      <w:bookmarkStart w:id="133" w:name="_Toc447117997"/>
      <w:bookmarkStart w:id="134" w:name="_Toc447119430"/>
      <w:bookmarkStart w:id="135" w:name="_Toc447709931"/>
      <w:bookmarkStart w:id="136" w:name="_Toc449100256"/>
      <w:bookmarkStart w:id="137" w:name="_Toc449623633"/>
      <w:r>
        <w:t>3.1</w:t>
      </w:r>
      <w:r>
        <w:tab/>
        <w:t>Budgeted financial statements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25427" w:rsidRPr="00D72F01" w:rsidRDefault="00925427" w:rsidP="00925427">
      <w:pPr>
        <w:keepNext/>
        <w:tabs>
          <w:tab w:val="left" w:pos="709"/>
        </w:tabs>
        <w:spacing w:before="120"/>
        <w:outlineLvl w:val="3"/>
        <w:rPr>
          <w:rFonts w:ascii="Arial" w:hAnsi="Arial"/>
          <w:b/>
        </w:rPr>
      </w:pPr>
      <w:r w:rsidRPr="00D72F01">
        <w:rPr>
          <w:rFonts w:ascii="Arial" w:hAnsi="Arial"/>
          <w:b/>
        </w:rPr>
        <w:t>3.1.1</w:t>
      </w:r>
      <w:r w:rsidRPr="00D72F01">
        <w:rPr>
          <w:rFonts w:ascii="Arial" w:hAnsi="Arial"/>
          <w:b/>
        </w:rPr>
        <w:tab/>
        <w:t>Differences between entity resourcing and financial statements</w:t>
      </w:r>
    </w:p>
    <w:p w:rsidR="00925427" w:rsidRPr="00D72F01" w:rsidRDefault="00925427" w:rsidP="00925427">
      <w:r w:rsidRPr="00D72F01">
        <w:t>Safe Work Australia receives funds from states and territories and matched appropriation funding from the Commonwealth as provided for in the IGA.</w:t>
      </w:r>
    </w:p>
    <w:p w:rsidR="00925427" w:rsidRPr="00D72F01" w:rsidRDefault="00925427" w:rsidP="00925427">
      <w:pPr>
        <w:keepNext/>
        <w:tabs>
          <w:tab w:val="left" w:pos="709"/>
        </w:tabs>
        <w:spacing w:before="120"/>
        <w:outlineLvl w:val="3"/>
        <w:rPr>
          <w:rFonts w:ascii="Arial" w:hAnsi="Arial"/>
          <w:b/>
        </w:rPr>
      </w:pPr>
      <w:r w:rsidRPr="00D72F01">
        <w:rPr>
          <w:rFonts w:ascii="Arial" w:hAnsi="Arial"/>
          <w:b/>
        </w:rPr>
        <w:t>3.1.2</w:t>
      </w:r>
      <w:r w:rsidRPr="00D72F01">
        <w:rPr>
          <w:rFonts w:ascii="Arial" w:hAnsi="Arial"/>
          <w:b/>
        </w:rPr>
        <w:tab/>
        <w:t>Explanatory notes and analysis of budgeted financial statements</w:t>
      </w:r>
    </w:p>
    <w:p w:rsidR="00925427" w:rsidRDefault="00925427" w:rsidP="00925427">
      <w:r w:rsidRPr="00D72F01">
        <w:t>The agency is not expecting any major changes in its operations from a financial perspective. Funding arrangements are provided for in the IGA.</w:t>
      </w:r>
    </w:p>
    <w:p w:rsidR="00925427" w:rsidRDefault="00925427" w:rsidP="00925427">
      <w:r>
        <w:t xml:space="preserve">Safe Work Australia is budgeting for an operating loss equal to the unappropriated depreciation and amortisation expense of $0.3 million for the 2016–17 financial </w:t>
      </w:r>
      <w:proofErr w:type="gramStart"/>
      <w:r>
        <w:t>year</w:t>
      </w:r>
      <w:proofErr w:type="gramEnd"/>
      <w:r>
        <w:t>.</w:t>
      </w:r>
    </w:p>
    <w:p w:rsidR="00925427" w:rsidRDefault="00925427" w:rsidP="00925427">
      <w:r>
        <w:t>Total revenues are estimated to be $19.9 million and total expenses $20.2</w:t>
      </w:r>
      <w:proofErr w:type="gramStart"/>
      <w:r>
        <w:t>  million</w:t>
      </w:r>
      <w:proofErr w:type="gramEnd"/>
      <w:r>
        <w:t>.</w:t>
      </w:r>
    </w:p>
    <w:p w:rsidR="00925427" w:rsidRDefault="00925427" w:rsidP="00925427">
      <w:r>
        <w:t xml:space="preserve">Total assets at the end of the 2016–17 financial </w:t>
      </w:r>
      <w:proofErr w:type="gramStart"/>
      <w:r>
        <w:t>year</w:t>
      </w:r>
      <w:proofErr w:type="gramEnd"/>
      <w:r>
        <w:t xml:space="preserve"> are estimated to be $13.2 million. The majority of the assets represent receivables (appropriations receivable).</w:t>
      </w:r>
    </w:p>
    <w:p w:rsidR="00925427" w:rsidRPr="00D72F01" w:rsidRDefault="00925427" w:rsidP="00925427">
      <w:r>
        <w:t>Total liabilities for 2016–17 are estimated at $5.8 million. The largest liability item is accrued employee entitlements.</w:t>
      </w:r>
    </w:p>
    <w:p w:rsidR="00925427" w:rsidRDefault="00925427" w:rsidP="00925427">
      <w:pPr>
        <w:pStyle w:val="Heading3"/>
      </w:pPr>
      <w:r>
        <w:br w:type="page"/>
      </w:r>
      <w:bookmarkStart w:id="138" w:name="_Toc447006859"/>
      <w:bookmarkStart w:id="139" w:name="_Toc447007197"/>
      <w:bookmarkStart w:id="140" w:name="_Toc447007440"/>
      <w:bookmarkStart w:id="141" w:name="_Toc447008318"/>
      <w:bookmarkStart w:id="142" w:name="_Toc447008964"/>
      <w:bookmarkStart w:id="143" w:name="_Toc447012821"/>
      <w:bookmarkStart w:id="144" w:name="_Toc447013817"/>
      <w:bookmarkStart w:id="145" w:name="_Toc447016790"/>
      <w:bookmarkStart w:id="146" w:name="_Toc447115215"/>
      <w:bookmarkStart w:id="147" w:name="_Toc447115298"/>
      <w:bookmarkStart w:id="148" w:name="_Toc447115478"/>
      <w:bookmarkStart w:id="149" w:name="_Toc447116769"/>
      <w:bookmarkStart w:id="150" w:name="_Toc447117998"/>
      <w:bookmarkStart w:id="151" w:name="_Toc447119431"/>
      <w:bookmarkStart w:id="152" w:name="_Toc447709932"/>
      <w:bookmarkStart w:id="153" w:name="_Toc449100257"/>
      <w:bookmarkStart w:id="154" w:name="_Toc449623634"/>
      <w:r>
        <w:lastRenderedPageBreak/>
        <w:t>3.2.1</w:t>
      </w:r>
      <w:r>
        <w:tab/>
        <w:t>Budgeted financial statements tables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925427" w:rsidRDefault="00925427" w:rsidP="00925427">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925427" w:rsidRPr="00F626C2" w:rsidRDefault="00925427" w:rsidP="00925427">
      <w:pPr>
        <w:pStyle w:val="TableGraphic"/>
      </w:pPr>
      <w:r w:rsidRPr="008F0527">
        <w:rPr>
          <w:noProof/>
        </w:rPr>
        <w:drawing>
          <wp:inline distT="0" distB="0" distL="0" distR="0" wp14:anchorId="20277356" wp14:editId="248069A2">
            <wp:extent cx="4867275" cy="452179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4521790"/>
                    </a:xfrm>
                    <a:prstGeom prst="rect">
                      <a:avLst/>
                    </a:prstGeom>
                    <a:noFill/>
                    <a:ln>
                      <a:noFill/>
                    </a:ln>
                  </pic:spPr>
                </pic:pic>
              </a:graphicData>
            </a:graphic>
          </wp:inline>
        </w:drawing>
      </w:r>
    </w:p>
    <w:p w:rsidR="00925427" w:rsidRDefault="00925427" w:rsidP="00925427">
      <w:r>
        <w:br w:type="page"/>
      </w:r>
    </w:p>
    <w:p w:rsidR="00925427" w:rsidRDefault="00925427" w:rsidP="00925427">
      <w:pPr>
        <w:pStyle w:val="TableHeading"/>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rsidR="00925427" w:rsidRPr="00715393" w:rsidRDefault="00925427" w:rsidP="00925427">
      <w:pPr>
        <w:pStyle w:val="TableGraphic"/>
      </w:pPr>
      <w:r w:rsidRPr="00715393">
        <w:t>Note: Impact of net cash appropriation arrangements</w:t>
      </w:r>
    </w:p>
    <w:p w:rsidR="00925427" w:rsidRPr="00715393" w:rsidRDefault="00925427" w:rsidP="00925427">
      <w:pPr>
        <w:pStyle w:val="TableGraphic"/>
      </w:pPr>
      <w:r w:rsidRPr="00D066DF">
        <w:t xml:space="preserve"> </w:t>
      </w:r>
      <w:r w:rsidRPr="00D066DF">
        <w:rPr>
          <w:noProof/>
        </w:rPr>
        <w:drawing>
          <wp:inline distT="0" distB="0" distL="0" distR="0" wp14:anchorId="4F996679" wp14:editId="4AFD07C6">
            <wp:extent cx="4838613" cy="1966823"/>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334" cy="1966710"/>
                    </a:xfrm>
                    <a:prstGeom prst="rect">
                      <a:avLst/>
                    </a:prstGeom>
                    <a:noFill/>
                    <a:ln>
                      <a:noFill/>
                    </a:ln>
                  </pic:spPr>
                </pic:pic>
              </a:graphicData>
            </a:graphic>
          </wp:inline>
        </w:drawing>
      </w:r>
    </w:p>
    <w:p w:rsidR="00925427" w:rsidRPr="00096568" w:rsidRDefault="00925427" w:rsidP="00925427">
      <w:pPr>
        <w:pStyle w:val="ChartandTableFootnoteAlpha"/>
        <w:numPr>
          <w:ilvl w:val="0"/>
          <w:numId w:val="10"/>
        </w:numPr>
        <w:spacing w:before="120"/>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xml:space="preserve">, or </w:t>
      </w:r>
      <w:proofErr w:type="spellStart"/>
      <w:r>
        <w:t>DCB</w:t>
      </w:r>
      <w:proofErr w:type="spellEnd"/>
      <w:r>
        <w:t>) provided through Bill </w:t>
      </w:r>
      <w:r w:rsidRPr="003A3E7B">
        <w:t xml:space="preserve">1 equity appropriations. For information regarding </w:t>
      </w:r>
      <w:proofErr w:type="spellStart"/>
      <w:r w:rsidRPr="003A3E7B">
        <w:t>DCBs</w:t>
      </w:r>
      <w:proofErr w:type="spellEnd"/>
      <w:r w:rsidRPr="003A3E7B">
        <w:t>, please refer to Table</w:t>
      </w:r>
      <w:r>
        <w:t xml:space="preserve"> 3.</w:t>
      </w:r>
      <w:r w:rsidRPr="003A3E7B">
        <w:t>5 Departmental Capital Budget Statement.</w:t>
      </w:r>
      <w:r>
        <w:t xml:space="preserve"> </w:t>
      </w:r>
    </w:p>
    <w:p w:rsidR="00925427" w:rsidRPr="00CB7275" w:rsidRDefault="00925427" w:rsidP="00925427">
      <w:pPr>
        <w:pStyle w:val="ChartandTableFootnote"/>
        <w:spacing w:before="120"/>
        <w:rPr>
          <w:lang w:val="en-AU"/>
        </w:rPr>
      </w:pPr>
      <w:r w:rsidRPr="00E4582E">
        <w:t>Prepared on Australian Accounting Standards basis</w:t>
      </w:r>
      <w:r>
        <w:t xml:space="preserve">. </w:t>
      </w:r>
    </w:p>
    <w:p w:rsidR="00925427" w:rsidRDefault="00925427" w:rsidP="00925427">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rsidR="00925427" w:rsidRPr="00F626C2" w:rsidRDefault="00925427" w:rsidP="00925427">
      <w:pPr>
        <w:pStyle w:val="TableGraphic"/>
      </w:pPr>
      <w:r w:rsidRPr="007157C1">
        <w:rPr>
          <w:noProof/>
        </w:rPr>
        <w:drawing>
          <wp:inline distT="0" distB="0" distL="0" distR="0" wp14:anchorId="6EAEC863" wp14:editId="424A78FF">
            <wp:extent cx="4684395" cy="4545965"/>
            <wp:effectExtent l="0" t="0" r="1905" b="698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4395" cy="4545965"/>
                    </a:xfrm>
                    <a:prstGeom prst="rect">
                      <a:avLst/>
                    </a:prstGeom>
                    <a:noFill/>
                    <a:ln>
                      <a:noFill/>
                    </a:ln>
                  </pic:spPr>
                </pic:pic>
              </a:graphicData>
            </a:graphic>
          </wp:inline>
        </w:drawing>
      </w:r>
    </w:p>
    <w:p w:rsidR="00925427" w:rsidRDefault="00925427" w:rsidP="00925427">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925427" w:rsidRDefault="00925427" w:rsidP="00925427">
      <w:pPr>
        <w:pStyle w:val="ChartandTableFootnote"/>
      </w:pPr>
    </w:p>
    <w:p w:rsidR="00925427" w:rsidRDefault="00925427" w:rsidP="00925427">
      <w:pPr>
        <w:pStyle w:val="ChartandTableFootnote"/>
      </w:pPr>
      <w:r>
        <w:t>Prepared on Australian Accounting Standards basis.</w:t>
      </w:r>
    </w:p>
    <w:p w:rsidR="00925427" w:rsidRDefault="00925427" w:rsidP="00925427">
      <w:pPr>
        <w:pStyle w:val="TableHeading"/>
      </w:pPr>
      <w:r>
        <w:br w:type="page"/>
      </w:r>
      <w:r>
        <w:lastRenderedPageBreak/>
        <w:t>Table 3.3</w:t>
      </w:r>
      <w:r w:rsidRPr="00D30CBA">
        <w:t xml:space="preserve">: Departmental </w:t>
      </w:r>
      <w:r>
        <w:t>s</w:t>
      </w:r>
      <w:r w:rsidRPr="00D30CBA">
        <w:t xml:space="preserve">tatement of </w:t>
      </w:r>
      <w:r>
        <w:t>c</w:t>
      </w:r>
      <w:r w:rsidRPr="00D30CBA">
        <w:t xml:space="preserve">hanges in </w:t>
      </w:r>
      <w:r>
        <w:t>equity</w:t>
      </w:r>
      <w:r>
        <w:rPr>
          <w:lang w:val="en-AU"/>
        </w:rPr>
        <w:t>—</w:t>
      </w:r>
      <w:r>
        <w:t>s</w:t>
      </w:r>
      <w:r w:rsidRPr="00D30CBA">
        <w:t>ummar</w:t>
      </w:r>
      <w:r>
        <w:t>y of movement (Budget year 2016</w:t>
      </w:r>
      <w:r>
        <w:rPr>
          <w:lang w:val="en-AU"/>
        </w:rPr>
        <w:t>–</w:t>
      </w:r>
      <w:r>
        <w:t>17</w:t>
      </w:r>
      <w:r w:rsidRPr="00D30CBA">
        <w:t>)</w:t>
      </w:r>
    </w:p>
    <w:p w:rsidR="00925427" w:rsidRDefault="00925427" w:rsidP="00925427">
      <w:pPr>
        <w:pStyle w:val="TableGraphic"/>
        <w:rPr>
          <w:noProof/>
        </w:rPr>
      </w:pPr>
      <w:r w:rsidRPr="00DC02B9">
        <w:rPr>
          <w:noProof/>
        </w:rPr>
        <w:drawing>
          <wp:inline distT="0" distB="0" distL="0" distR="0" wp14:anchorId="4F5B7FC9" wp14:editId="0442303E">
            <wp:extent cx="4896485" cy="2995489"/>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485" cy="2995489"/>
                    </a:xfrm>
                    <a:prstGeom prst="rect">
                      <a:avLst/>
                    </a:prstGeom>
                    <a:noFill/>
                    <a:ln>
                      <a:noFill/>
                    </a:ln>
                  </pic:spPr>
                </pic:pic>
              </a:graphicData>
            </a:graphic>
          </wp:inline>
        </w:drawing>
      </w:r>
    </w:p>
    <w:p w:rsidR="00925427" w:rsidRPr="002800C9" w:rsidRDefault="00925427" w:rsidP="00925427">
      <w:pPr>
        <w:pStyle w:val="ChartandTableFootnote"/>
        <w:spacing w:before="120"/>
        <w:rPr>
          <w:lang w:val="en-AU"/>
        </w:rPr>
      </w:pPr>
      <w:r>
        <w:t>Prepared on Australian Accounting Standards basis.</w:t>
      </w:r>
    </w:p>
    <w:p w:rsidR="00925427" w:rsidRDefault="00925427" w:rsidP="00925427">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925427" w:rsidRPr="00F10305" w:rsidRDefault="00925427" w:rsidP="00925427">
      <w:pPr>
        <w:pStyle w:val="TableGraphic"/>
      </w:pPr>
      <w:r w:rsidRPr="008F0527">
        <w:rPr>
          <w:noProof/>
        </w:rPr>
        <w:drawing>
          <wp:inline distT="0" distB="0" distL="0" distR="0" wp14:anchorId="47EA458B" wp14:editId="017AD020">
            <wp:extent cx="4867275" cy="6895306"/>
            <wp:effectExtent l="0" t="0" r="0" b="127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7275" cy="6895306"/>
                    </a:xfrm>
                    <a:prstGeom prst="rect">
                      <a:avLst/>
                    </a:prstGeom>
                    <a:noFill/>
                    <a:ln>
                      <a:noFill/>
                    </a:ln>
                  </pic:spPr>
                </pic:pic>
              </a:graphicData>
            </a:graphic>
          </wp:inline>
        </w:drawing>
      </w:r>
    </w:p>
    <w:p w:rsidR="00925427" w:rsidRPr="00246758" w:rsidRDefault="00925427" w:rsidP="00925427">
      <w:pPr>
        <w:pStyle w:val="ChartandTableFootnote"/>
        <w:spacing w:before="120"/>
        <w:rPr>
          <w:lang w:val="en-AU"/>
        </w:rPr>
      </w:pPr>
      <w:r>
        <w:t>Prepared on Australian Accounting Standards basis.</w:t>
      </w:r>
    </w:p>
    <w:p w:rsidR="00925427" w:rsidRPr="00246758" w:rsidRDefault="00925427" w:rsidP="00925427">
      <w:pPr>
        <w:pStyle w:val="TableHeading"/>
        <w:rPr>
          <w:lang w:val="en-AU"/>
        </w:rPr>
      </w:pPr>
      <w:r>
        <w:br w:type="page"/>
      </w:r>
      <w:r w:rsidRPr="00D30CBA">
        <w:lastRenderedPageBreak/>
        <w:t>Table</w:t>
      </w:r>
      <w:r>
        <w:t xml:space="preserve"> 3.5</w:t>
      </w:r>
      <w:r w:rsidRPr="00D30CBA">
        <w:t xml:space="preserve">: </w:t>
      </w:r>
      <w:r>
        <w:t>Departmental capital budget statement (for the period ended 30</w:t>
      </w:r>
      <w:r>
        <w:rPr>
          <w:lang w:val="en-AU"/>
        </w:rPr>
        <w:t> </w:t>
      </w:r>
      <w:r>
        <w:t>June)</w:t>
      </w:r>
    </w:p>
    <w:p w:rsidR="00925427" w:rsidRDefault="00925427" w:rsidP="00925427">
      <w:pPr>
        <w:pStyle w:val="TableGraphic"/>
      </w:pPr>
      <w:r w:rsidRPr="00DC02B9">
        <w:rPr>
          <w:noProof/>
        </w:rPr>
        <w:drawing>
          <wp:inline distT="0" distB="0" distL="0" distR="0" wp14:anchorId="2CBA5CC7" wp14:editId="048613F1">
            <wp:extent cx="4896485" cy="301462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6485" cy="3014620"/>
                    </a:xfrm>
                    <a:prstGeom prst="rect">
                      <a:avLst/>
                    </a:prstGeom>
                    <a:noFill/>
                    <a:ln>
                      <a:noFill/>
                    </a:ln>
                  </pic:spPr>
                </pic:pic>
              </a:graphicData>
            </a:graphic>
          </wp:inline>
        </w:drawing>
      </w:r>
    </w:p>
    <w:p w:rsidR="00925427" w:rsidRDefault="00925427" w:rsidP="00925427">
      <w:pPr>
        <w:pStyle w:val="ChartandTableFootnoteAlpha"/>
        <w:numPr>
          <w:ilvl w:val="0"/>
          <w:numId w:val="12"/>
        </w:numPr>
        <w:spacing w:before="120"/>
      </w:pPr>
      <w:r>
        <w:t>Does not include annual finance lease costs. Includes purchases from current and previous years’ Departmental capital budgets (</w:t>
      </w:r>
      <w:proofErr w:type="spellStart"/>
      <w:r>
        <w:t>DCBs</w:t>
      </w:r>
      <w:proofErr w:type="spellEnd"/>
      <w:r>
        <w:t>).</w:t>
      </w:r>
    </w:p>
    <w:p w:rsidR="00925427" w:rsidRDefault="00925427" w:rsidP="00925427">
      <w:pPr>
        <w:pStyle w:val="ChartandTableFootnoteAlpha"/>
        <w:numPr>
          <w:ilvl w:val="0"/>
          <w:numId w:val="4"/>
        </w:numPr>
      </w:pPr>
      <w:r>
        <w:t>Includes the following sources of funding:</w:t>
      </w:r>
    </w:p>
    <w:p w:rsidR="00925427" w:rsidRDefault="00925427" w:rsidP="00925427">
      <w:pPr>
        <w:pStyle w:val="ChartandTableFootnoteAlpha"/>
        <w:numPr>
          <w:ilvl w:val="0"/>
          <w:numId w:val="6"/>
        </w:numPr>
        <w:tabs>
          <w:tab w:val="left" w:pos="567"/>
        </w:tabs>
        <w:ind w:left="567" w:hanging="283"/>
      </w:pPr>
      <w:r>
        <w:t xml:space="preserve">current Bill 1 and prior year Act 1/3/5 appropriations (excluding amounts from the </w:t>
      </w:r>
      <w:proofErr w:type="spellStart"/>
      <w:r>
        <w:t>DCB</w:t>
      </w:r>
      <w:proofErr w:type="spellEnd"/>
      <w:r>
        <w:t>);</w:t>
      </w:r>
    </w:p>
    <w:p w:rsidR="00925427" w:rsidRDefault="00925427" w:rsidP="00925427">
      <w:pPr>
        <w:pStyle w:val="ChartandTableFootnoteAlpha"/>
        <w:numPr>
          <w:ilvl w:val="0"/>
          <w:numId w:val="6"/>
        </w:numPr>
        <w:tabs>
          <w:tab w:val="left" w:pos="567"/>
        </w:tabs>
        <w:ind w:left="567" w:hanging="283"/>
      </w:pPr>
      <w:r>
        <w:t>internally developed assets;</w:t>
      </w:r>
    </w:p>
    <w:p w:rsidR="00925427" w:rsidRDefault="00925427" w:rsidP="00925427">
      <w:pPr>
        <w:pStyle w:val="ChartandTableFootnoteAlpha"/>
        <w:numPr>
          <w:ilvl w:val="0"/>
          <w:numId w:val="6"/>
        </w:numPr>
        <w:tabs>
          <w:tab w:val="left" w:pos="567"/>
        </w:tabs>
        <w:ind w:left="567" w:hanging="283"/>
      </w:pPr>
      <w:r>
        <w:t>s 74 Retained revenue receipts; and</w:t>
      </w:r>
    </w:p>
    <w:p w:rsidR="00925427" w:rsidRDefault="00925427" w:rsidP="00925427">
      <w:pPr>
        <w:pStyle w:val="ChartandTableFootnoteAlpha"/>
        <w:numPr>
          <w:ilvl w:val="0"/>
          <w:numId w:val="6"/>
        </w:numPr>
        <w:tabs>
          <w:tab w:val="left" w:pos="567"/>
        </w:tabs>
        <w:ind w:left="567" w:hanging="283"/>
      </w:pPr>
      <w:proofErr w:type="gramStart"/>
      <w:r>
        <w:t>proceeds</w:t>
      </w:r>
      <w:proofErr w:type="gramEnd"/>
      <w:r>
        <w:t xml:space="preserve"> from the sale of assets.</w:t>
      </w:r>
    </w:p>
    <w:p w:rsidR="00925427" w:rsidRDefault="00925427" w:rsidP="00925427">
      <w:pPr>
        <w:pStyle w:val="ChartandTableFootnote"/>
        <w:spacing w:before="120"/>
      </w:pPr>
      <w:r>
        <w:t>Prepared on Australian Accounting Standards basis.</w:t>
      </w:r>
    </w:p>
    <w:p w:rsidR="00925427" w:rsidRDefault="00925427" w:rsidP="00925427"/>
    <w:p w:rsidR="00925427" w:rsidRDefault="00925427" w:rsidP="00925427">
      <w:pPr>
        <w:pStyle w:val="ExampleText"/>
        <w:sectPr w:rsidR="00925427" w:rsidSect="00C46B04">
          <w:headerReference w:type="first" r:id="rId24"/>
          <w:pgSz w:w="11907" w:h="16839" w:code="9"/>
          <w:pgMar w:top="2466" w:right="2098" w:bottom="2466" w:left="2098" w:header="1899" w:footer="1899" w:gutter="0"/>
          <w:cols w:space="708"/>
          <w:titlePg/>
          <w:docGrid w:linePitch="360"/>
        </w:sectPr>
      </w:pPr>
    </w:p>
    <w:p w:rsidR="00925427" w:rsidRDefault="00925427" w:rsidP="00925427">
      <w:pPr>
        <w:pStyle w:val="TableHeading"/>
      </w:pPr>
      <w:r w:rsidRPr="00D30CBA">
        <w:lastRenderedPageBreak/>
        <w:t>Table</w:t>
      </w:r>
      <w:r>
        <w:t xml:space="preserve"> 3.6</w:t>
      </w:r>
      <w:r w:rsidRPr="00D30CBA">
        <w:t xml:space="preserve">: </w:t>
      </w:r>
      <w:r>
        <w:t>Statement of asset movements (Budget year 2016</w:t>
      </w:r>
      <w:r>
        <w:rPr>
          <w:lang w:val="en-AU"/>
        </w:rPr>
        <w:t>–</w:t>
      </w:r>
      <w:r>
        <w:t>17)</w:t>
      </w:r>
    </w:p>
    <w:p w:rsidR="00925427" w:rsidRDefault="00925427" w:rsidP="00925427">
      <w:pPr>
        <w:pStyle w:val="TableGraphic"/>
        <w:rPr>
          <w:noProof/>
        </w:rPr>
      </w:pPr>
      <w:r w:rsidRPr="00DC02B9">
        <w:rPr>
          <w:noProof/>
        </w:rPr>
        <w:drawing>
          <wp:inline distT="0" distB="0" distL="0" distR="0" wp14:anchorId="0758A576" wp14:editId="6ED06579">
            <wp:extent cx="4896485" cy="3632070"/>
            <wp:effectExtent l="0" t="0" r="0" b="698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6485" cy="3632070"/>
                    </a:xfrm>
                    <a:prstGeom prst="rect">
                      <a:avLst/>
                    </a:prstGeom>
                    <a:noFill/>
                    <a:ln>
                      <a:noFill/>
                    </a:ln>
                  </pic:spPr>
                </pic:pic>
              </a:graphicData>
            </a:graphic>
          </wp:inline>
        </w:drawing>
      </w:r>
    </w:p>
    <w:p w:rsidR="00925427" w:rsidRDefault="00925427" w:rsidP="00925427">
      <w:pPr>
        <w:pStyle w:val="ChartandTableFootnoteAlpha"/>
        <w:numPr>
          <w:ilvl w:val="0"/>
          <w:numId w:val="11"/>
        </w:numPr>
        <w:spacing w:before="120"/>
      </w:pPr>
      <w:r>
        <w:t xml:space="preserve">Appropriation ordinary annual services’ refers to funding provided through Appropriation Bill (No. 1) 2015–16 for depreciation/amortisation expenses, </w:t>
      </w:r>
      <w:proofErr w:type="spellStart"/>
      <w:r>
        <w:t>DCBs</w:t>
      </w:r>
      <w:proofErr w:type="spellEnd"/>
      <w:r>
        <w:t xml:space="preserve"> or other operational expenses.</w:t>
      </w:r>
    </w:p>
    <w:p w:rsidR="00925427" w:rsidRPr="002B7D6F" w:rsidRDefault="00925427" w:rsidP="00925427">
      <w:pPr>
        <w:pStyle w:val="ChartandTableFootnote"/>
        <w:spacing w:before="120"/>
      </w:pPr>
      <w:r w:rsidRPr="003458E0">
        <w:t>Prepared on Australian Accounting Standards basis.</w:t>
      </w:r>
    </w:p>
    <w:p w:rsidR="00925427" w:rsidRPr="002B7D6F" w:rsidRDefault="00925427" w:rsidP="00925427">
      <w:pPr>
        <w:sectPr w:rsidR="00925427" w:rsidRPr="002B7D6F" w:rsidSect="00C46B04">
          <w:headerReference w:type="even" r:id="rId26"/>
          <w:headerReference w:type="default" r:id="rId27"/>
          <w:footerReference w:type="even" r:id="rId28"/>
          <w:headerReference w:type="first" r:id="rId29"/>
          <w:pgSz w:w="11907" w:h="16839" w:code="9"/>
          <w:pgMar w:top="2466" w:right="2098" w:bottom="2466" w:left="2098" w:header="1899" w:footer="1899" w:gutter="0"/>
          <w:cols w:space="708"/>
          <w:titlePg/>
          <w:docGrid w:linePitch="360"/>
        </w:sectPr>
      </w:pPr>
    </w:p>
    <w:p w:rsidR="00925427" w:rsidRDefault="00925427" w:rsidP="00925427">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925427" w:rsidRDefault="00925427" w:rsidP="00925427">
      <w:pPr>
        <w:pStyle w:val="TableGraphic"/>
      </w:pPr>
      <w:r>
        <w:t>Safe Work Australia has no budgeted administered income or expenses. For this reason Table 3.7 is not presented.</w:t>
      </w:r>
    </w:p>
    <w:p w:rsidR="00925427" w:rsidRDefault="00925427" w:rsidP="00925427">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925427" w:rsidRDefault="00925427" w:rsidP="00925427">
      <w:pPr>
        <w:pStyle w:val="TableGraphic"/>
      </w:pPr>
      <w:r>
        <w:t>Safe Work Australia has no budgeted administered assets or liabilities. For this reason Table 3.8 is not presented.</w:t>
      </w:r>
    </w:p>
    <w:p w:rsidR="00925427" w:rsidRDefault="00925427" w:rsidP="00925427">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rsidR="00925427" w:rsidRDefault="00925427" w:rsidP="00925427">
      <w:pPr>
        <w:pStyle w:val="TableGraphic"/>
      </w:pPr>
      <w:r>
        <w:t>Safe Work Australia has no budgeted administered cash flows. For this reason Table 3.9 is not presented.</w:t>
      </w:r>
    </w:p>
    <w:p w:rsidR="00925427" w:rsidRDefault="00925427" w:rsidP="00925427">
      <w:pPr>
        <w:pStyle w:val="TableHeading"/>
      </w:pPr>
      <w:r w:rsidRPr="00D30CBA">
        <w:t>Table</w:t>
      </w:r>
      <w:r>
        <w:t xml:space="preserve"> 3.10</w:t>
      </w:r>
      <w:r w:rsidRPr="00D30CBA">
        <w:t xml:space="preserve">: </w:t>
      </w:r>
      <w:r>
        <w:t xml:space="preserve">Administered capital budget statement (for the period ended 30 </w:t>
      </w:r>
      <w:r>
        <w:rPr>
          <w:lang w:val="en-AU"/>
        </w:rPr>
        <w:t> </w:t>
      </w:r>
      <w:r>
        <w:t>June)</w:t>
      </w:r>
    </w:p>
    <w:p w:rsidR="00925427" w:rsidRDefault="00925427" w:rsidP="00925427">
      <w:pPr>
        <w:pStyle w:val="TableGraphic"/>
      </w:pPr>
      <w:r>
        <w:t xml:space="preserve">Safe Work Australia has no administered capital budget. For this reason </w:t>
      </w:r>
      <w:proofErr w:type="gramStart"/>
      <w:r>
        <w:t>Table  3.10</w:t>
      </w:r>
      <w:proofErr w:type="gramEnd"/>
      <w:r>
        <w:t xml:space="preserve"> is not presented.</w:t>
      </w:r>
    </w:p>
    <w:p w:rsidR="00925427" w:rsidRDefault="00925427" w:rsidP="00925427">
      <w:pPr>
        <w:pStyle w:val="TableHeading"/>
        <w:spacing w:after="0"/>
      </w:pPr>
      <w:r>
        <w:t xml:space="preserve">Table 3.11: Statement of administered asset movements (Budget year </w:t>
      </w:r>
      <w:r>
        <w:rPr>
          <w:lang w:val="en-AU"/>
        </w:rPr>
        <w:br/>
      </w:r>
      <w:r>
        <w:t>2016</w:t>
      </w:r>
      <w:r>
        <w:rPr>
          <w:lang w:val="en-AU"/>
        </w:rPr>
        <w:t>–</w:t>
      </w:r>
      <w:r>
        <w:t xml:space="preserve">17) </w:t>
      </w:r>
    </w:p>
    <w:p w:rsidR="00504A6D" w:rsidRDefault="00925427" w:rsidP="00925427">
      <w:r>
        <w:t>Safe Work Australia has no administered non-financial assets. For this reason Table 3.11 is not presented.</w:t>
      </w:r>
      <w:bookmarkStart w:id="155" w:name="_GoBack"/>
      <w:bookmarkEnd w:id="155"/>
    </w:p>
    <w:sectPr w:rsidR="00504A6D" w:rsidSect="00925427">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27" w:rsidRDefault="00925427" w:rsidP="00925427">
      <w:pPr>
        <w:spacing w:after="0"/>
      </w:pPr>
      <w:r>
        <w:separator/>
      </w:r>
    </w:p>
  </w:endnote>
  <w:endnote w:type="continuationSeparator" w:id="0">
    <w:p w:rsidR="00925427" w:rsidRDefault="00925427" w:rsidP="009254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233122"/>
      <w:docPartObj>
        <w:docPartGallery w:val="Page Numbers (Bottom of Page)"/>
        <w:docPartUnique/>
      </w:docPartObj>
    </w:sdtPr>
    <w:sdtEndPr>
      <w:rPr>
        <w:noProof/>
      </w:rPr>
    </w:sdtEndPr>
    <w:sdtContent>
      <w:p w:rsidR="00925427" w:rsidRPr="00925427" w:rsidRDefault="00925427" w:rsidP="00925427">
        <w:pPr>
          <w:pStyle w:val="Footer"/>
        </w:pPr>
        <w:r>
          <w:fldChar w:fldCharType="begin"/>
        </w:r>
        <w:r>
          <w:instrText xml:space="preserve"> PAGE   \* MERGEFORMAT </w:instrText>
        </w:r>
        <w:r>
          <w:fldChar w:fldCharType="separate"/>
        </w:r>
        <w:r>
          <w:rPr>
            <w:noProof/>
          </w:rPr>
          <w:t>177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27" w:rsidRDefault="00925427">
    <w:pPr>
      <w:pStyle w:val="Footer"/>
    </w:pPr>
  </w:p>
  <w:p w:rsidR="00226CD4" w:rsidRPr="001808A4" w:rsidRDefault="00925427" w:rsidP="001808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E425E5" w:rsidRDefault="00925427" w:rsidP="00E425E5">
    <w:pPr>
      <w:pStyle w:val="Footer"/>
      <w:rPr>
        <w:lang w:val="en-AU"/>
      </w:rPr>
    </w:pPr>
    <w:r>
      <w:fldChar w:fldCharType="begin"/>
    </w:r>
    <w:r>
      <w:instrText xml:space="preserve"> KEYWORDS  \* MERGE</w:instrText>
    </w:r>
    <w:r>
      <w:instrText xml:space="preserve">FORMAT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181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92542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27" w:rsidRDefault="00925427" w:rsidP="00925427">
      <w:pPr>
        <w:spacing w:after="0"/>
      </w:pPr>
      <w:r>
        <w:separator/>
      </w:r>
    </w:p>
  </w:footnote>
  <w:footnote w:type="continuationSeparator" w:id="0">
    <w:p w:rsidR="00925427" w:rsidRDefault="00925427" w:rsidP="009254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5740E8" w:rsidRDefault="00925427" w:rsidP="005740E8">
    <w:pPr>
      <w:pStyle w:val="HeaderOdd"/>
    </w:pPr>
    <w:proofErr w:type="spellStart"/>
    <w:r>
      <w:t>SWA</w:t>
    </w:r>
    <w:proofErr w:type="spellEnd"/>
    <w:r>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925427" w:rsidP="00017690">
    <w:pPr>
      <w:pStyle w:val="HeaderEven"/>
    </w:pPr>
    <w:proofErr w:type="spellStart"/>
    <w:r>
      <w:t>SWA</w:t>
    </w:r>
    <w:proofErr w:type="spellEnd"/>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925427" w:rsidP="00017690">
    <w:pPr>
      <w:pStyle w:val="HeaderEven"/>
      <w:jc w:val="right"/>
    </w:pPr>
    <w:r>
      <w:rPr>
        <w:noProof/>
        <w:lang w:val="en-US" w:eastAsia="zh-TW"/>
      </w:rPr>
      <w:t>SWA</w:t>
    </w:r>
    <w: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950281" w:rsidRDefault="00925427" w:rsidP="00950281">
    <w:pPr>
      <w:pStyle w:val="HeaderEven"/>
      <w:jc w:val="right"/>
    </w:pPr>
    <w:r>
      <w:t>Department of Employment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950281" w:rsidRDefault="00925427" w:rsidP="00585229">
    <w:pPr>
      <w:pStyle w:val="HeaderEven"/>
    </w:pPr>
    <w:proofErr w:type="spellStart"/>
    <w:r>
      <w:t>SWA</w:t>
    </w:r>
    <w:proofErr w:type="spellEnd"/>
    <w:r>
      <w:t xml:space="preserve">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3364C1" w:rsidRDefault="00925427" w:rsidP="003364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92542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080F4F" w:rsidRDefault="00925427" w:rsidP="0026279C">
    <w:pPr>
      <w:framePr w:w="289" w:h="7681" w:hRule="exact" w:wrap="around" w:vAnchor="page" w:hAnchor="page" w:x="14626" w:y="2143" w:anchorLock="1"/>
      <w:spacing w:line="276" w:lineRule="auto"/>
      <w:textDirection w:val="tbRl"/>
      <w:rPr>
        <w:rStyle w:val="FramedHeader"/>
      </w:rPr>
    </w:pPr>
    <w:proofErr w:type="spellStart"/>
    <w:r>
      <w:rPr>
        <w:rStyle w:val="FramedHeader"/>
      </w:rPr>
      <w:t>SWA</w:t>
    </w:r>
    <w:proofErr w:type="spellEnd"/>
    <w:r>
      <w:rPr>
        <w:rStyle w:val="FramedHeader"/>
      </w:rPr>
      <w:t xml:space="preserve"> </w:t>
    </w:r>
    <w:r w:rsidRPr="00080F4F">
      <w:rPr>
        <w:rStyle w:val="FramedHeader"/>
      </w:rPr>
      <w:t>Budget Statements</w:t>
    </w:r>
    <w:r>
      <w:rPr>
        <w:rStyle w:val="FramedHeader"/>
      </w:rPr>
      <w:t xml:space="preserve"> </w:t>
    </w:r>
  </w:p>
  <w:p w:rsidR="00226CD4" w:rsidRDefault="00925427" w:rsidP="00D065F9">
    <w:pPr>
      <w:pStyle w:val="HeaderOdd"/>
    </w:pPr>
    <w:proofErr w:type="spellStart"/>
    <w:r>
      <w:t>SWA</w:t>
    </w:r>
    <w:proofErr w:type="spellEnd"/>
    <w: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D19"/>
    <w:multiLevelType w:val="hybridMultilevel"/>
    <w:tmpl w:val="87C8A5F8"/>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5">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1C6456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lvlOverride w:ilvl="0">
      <w:startOverride w:val="1"/>
    </w:lvlOverride>
  </w:num>
  <w:num w:numId="3">
    <w:abstractNumId w:val="2"/>
  </w:num>
  <w:num w:numId="4">
    <w:abstractNumId w:val="4"/>
    <w:lvlOverride w:ilvl="0">
      <w:startOverride w:val="1"/>
    </w:lvlOverride>
  </w:num>
  <w:num w:numId="5">
    <w:abstractNumId w:val="0"/>
  </w:num>
  <w:num w:numId="6">
    <w:abstractNumId w:val="5"/>
  </w:num>
  <w:num w:numId="7">
    <w:abstractNumId w:val="3"/>
  </w:num>
  <w:num w:numId="8">
    <w:abstractNumId w:val="4"/>
    <w:lvlOverride w:ilvl="0">
      <w:startOverride w:val="1"/>
    </w:lvlOverride>
  </w:num>
  <w:num w:numId="9">
    <w:abstractNumId w:val="6"/>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27"/>
    <w:rsid w:val="004F6C10"/>
    <w:rsid w:val="00504A6D"/>
    <w:rsid w:val="00533004"/>
    <w:rsid w:val="00925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27"/>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925427"/>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925427"/>
    <w:pPr>
      <w:keepNext/>
      <w:spacing w:before="240" w:after="240"/>
      <w:outlineLvl w:val="1"/>
    </w:pPr>
    <w:rPr>
      <w:rFonts w:ascii="Arial" w:hAnsi="Arial"/>
      <w:sz w:val="30"/>
    </w:rPr>
  </w:style>
  <w:style w:type="paragraph" w:styleId="Heading3">
    <w:name w:val="heading 3"/>
    <w:basedOn w:val="Normal"/>
    <w:next w:val="Normal"/>
    <w:link w:val="Heading3Char"/>
    <w:qFormat/>
    <w:rsid w:val="00925427"/>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925427"/>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925427"/>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427"/>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25427"/>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25427"/>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25427"/>
    <w:rPr>
      <w:rFonts w:ascii="Arial" w:eastAsia="Times New Roman" w:hAnsi="Arial" w:cs="Times New Roman"/>
      <w:b/>
      <w:szCs w:val="20"/>
      <w:lang w:eastAsia="en-AU"/>
    </w:rPr>
  </w:style>
  <w:style w:type="character" w:customStyle="1" w:styleId="Heading5Char">
    <w:name w:val="Heading 5 Char"/>
    <w:basedOn w:val="DefaultParagraphFont"/>
    <w:link w:val="Heading5"/>
    <w:rsid w:val="00925427"/>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925427"/>
    <w:pPr>
      <w:keepNext/>
      <w:spacing w:before="120" w:after="40"/>
    </w:pPr>
    <w:rPr>
      <w:b/>
      <w:color w:val="000000"/>
      <w:lang w:val="x-none" w:eastAsia="x-none"/>
    </w:rPr>
  </w:style>
  <w:style w:type="paragraph" w:customStyle="1" w:styleId="Bullet">
    <w:name w:val="Bullet"/>
    <w:basedOn w:val="Normal"/>
    <w:rsid w:val="00925427"/>
    <w:pPr>
      <w:numPr>
        <w:numId w:val="1"/>
      </w:numPr>
    </w:pPr>
    <w:rPr>
      <w:lang w:val="x-none" w:eastAsia="x-none"/>
    </w:rPr>
  </w:style>
  <w:style w:type="paragraph" w:customStyle="1" w:styleId="Dash">
    <w:name w:val="Dash"/>
    <w:basedOn w:val="Normal"/>
    <w:rsid w:val="00925427"/>
    <w:pPr>
      <w:numPr>
        <w:ilvl w:val="1"/>
        <w:numId w:val="1"/>
      </w:numPr>
    </w:pPr>
  </w:style>
  <w:style w:type="paragraph" w:customStyle="1" w:styleId="DoubleDot">
    <w:name w:val="Double Dot"/>
    <w:basedOn w:val="Normal"/>
    <w:rsid w:val="00925427"/>
    <w:pPr>
      <w:numPr>
        <w:ilvl w:val="2"/>
        <w:numId w:val="1"/>
      </w:numPr>
    </w:pPr>
  </w:style>
  <w:style w:type="paragraph" w:customStyle="1" w:styleId="ChartandTableFootnoteAlpha">
    <w:name w:val="Chart and Table Footnote Alpha"/>
    <w:basedOn w:val="Normal"/>
    <w:next w:val="Normal"/>
    <w:rsid w:val="00925427"/>
    <w:pPr>
      <w:numPr>
        <w:numId w:val="2"/>
      </w:numPr>
      <w:spacing w:after="0"/>
    </w:pPr>
    <w:rPr>
      <w:rFonts w:ascii="Arial" w:hAnsi="Arial"/>
      <w:sz w:val="16"/>
    </w:rPr>
  </w:style>
  <w:style w:type="paragraph" w:customStyle="1" w:styleId="ChartandTableFootnote">
    <w:name w:val="Chart and Table Footnote"/>
    <w:basedOn w:val="Normal"/>
    <w:next w:val="Normal"/>
    <w:link w:val="ChartandTableFootnoteChar"/>
    <w:rsid w:val="00925427"/>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925427"/>
    <w:pPr>
      <w:keepNext/>
      <w:spacing w:after="360"/>
      <w:jc w:val="center"/>
    </w:pPr>
    <w:rPr>
      <w:rFonts w:ascii="Arial" w:hAnsi="Arial"/>
      <w:b/>
      <w:smallCaps/>
      <w:sz w:val="34"/>
    </w:rPr>
  </w:style>
  <w:style w:type="paragraph" w:customStyle="1" w:styleId="TableGraphic">
    <w:name w:val="Table Graphic"/>
    <w:basedOn w:val="Normal"/>
    <w:next w:val="Normal"/>
    <w:rsid w:val="00925427"/>
    <w:pPr>
      <w:spacing w:after="0"/>
      <w:ind w:right="-113"/>
    </w:pPr>
  </w:style>
  <w:style w:type="paragraph" w:customStyle="1" w:styleId="TableTextLeft">
    <w:name w:val="Table Text Left"/>
    <w:basedOn w:val="Normal"/>
    <w:link w:val="TableTextLeftChar"/>
    <w:rsid w:val="00925427"/>
    <w:pPr>
      <w:spacing w:before="60" w:after="60"/>
    </w:pPr>
    <w:rPr>
      <w:rFonts w:ascii="Arial" w:hAnsi="Arial"/>
      <w:sz w:val="18"/>
    </w:rPr>
  </w:style>
  <w:style w:type="paragraph" w:customStyle="1" w:styleId="TableColumnHeadingLeft">
    <w:name w:val="Table Column Heading Left"/>
    <w:basedOn w:val="Normal"/>
    <w:next w:val="TableTextLeft"/>
    <w:rsid w:val="00925427"/>
    <w:pPr>
      <w:spacing w:before="60" w:after="60"/>
    </w:pPr>
    <w:rPr>
      <w:rFonts w:ascii="Arial" w:hAnsi="Arial"/>
      <w:b/>
      <w:sz w:val="20"/>
    </w:rPr>
  </w:style>
  <w:style w:type="paragraph" w:customStyle="1" w:styleId="TableHeadingcontinued">
    <w:name w:val="Table Heading continued"/>
    <w:basedOn w:val="Normal"/>
    <w:next w:val="TableGraphic"/>
    <w:rsid w:val="00925427"/>
    <w:pPr>
      <w:keepNext/>
      <w:spacing w:before="120" w:after="20"/>
    </w:pPr>
    <w:rPr>
      <w:b/>
    </w:rPr>
  </w:style>
  <w:style w:type="paragraph" w:customStyle="1" w:styleId="HeaderEven">
    <w:name w:val="Header Even"/>
    <w:basedOn w:val="Normal"/>
    <w:rsid w:val="00925427"/>
    <w:pPr>
      <w:spacing w:after="0"/>
    </w:pPr>
    <w:rPr>
      <w:i/>
      <w:sz w:val="20"/>
    </w:rPr>
  </w:style>
  <w:style w:type="paragraph" w:customStyle="1" w:styleId="HeaderOdd">
    <w:name w:val="Header Odd"/>
    <w:basedOn w:val="Normal"/>
    <w:rsid w:val="00925427"/>
    <w:pPr>
      <w:spacing w:after="0"/>
      <w:jc w:val="right"/>
    </w:pPr>
    <w:rPr>
      <w:i/>
      <w:sz w:val="20"/>
    </w:rPr>
  </w:style>
  <w:style w:type="paragraph" w:styleId="Header">
    <w:name w:val="header"/>
    <w:basedOn w:val="Normal"/>
    <w:link w:val="HeaderChar"/>
    <w:uiPriority w:val="99"/>
    <w:rsid w:val="00925427"/>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925427"/>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925427"/>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925427"/>
    <w:rPr>
      <w:rFonts w:ascii="Arial" w:eastAsia="Times New Roman" w:hAnsi="Arial" w:cs="Times New Roman"/>
      <w:sz w:val="20"/>
      <w:szCs w:val="20"/>
      <w:lang w:val="x-none" w:eastAsia="x-none"/>
    </w:rPr>
  </w:style>
  <w:style w:type="paragraph" w:styleId="TOC1">
    <w:name w:val="toc 1"/>
    <w:basedOn w:val="Normal"/>
    <w:next w:val="Normal"/>
    <w:uiPriority w:val="39"/>
    <w:rsid w:val="00925427"/>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925427"/>
    <w:pPr>
      <w:keepNext/>
      <w:tabs>
        <w:tab w:val="right" w:leader="dot" w:pos="7700"/>
      </w:tabs>
      <w:spacing w:before="80" w:after="0"/>
      <w:ind w:right="851"/>
    </w:pPr>
    <w:rPr>
      <w:rFonts w:ascii="Arial" w:hAnsi="Arial"/>
      <w:sz w:val="20"/>
    </w:rPr>
  </w:style>
  <w:style w:type="character" w:styleId="PageNumber">
    <w:name w:val="page number"/>
    <w:rsid w:val="00925427"/>
    <w:rPr>
      <w:rFonts w:ascii="Arial" w:hAnsi="Arial" w:cs="Arial"/>
    </w:rPr>
  </w:style>
  <w:style w:type="character" w:customStyle="1" w:styleId="FramedHeader">
    <w:name w:val="Framed Header"/>
    <w:rsid w:val="00925427"/>
    <w:rPr>
      <w:rFonts w:ascii="Book Antiqua" w:hAnsi="Book Antiqua"/>
      <w:i/>
      <w:dstrike w:val="0"/>
      <w:color w:val="auto"/>
      <w:sz w:val="18"/>
      <w:vertAlign w:val="baseline"/>
    </w:rPr>
  </w:style>
  <w:style w:type="paragraph" w:customStyle="1" w:styleId="Department">
    <w:name w:val="Department"/>
    <w:basedOn w:val="Normal"/>
    <w:rsid w:val="00925427"/>
    <w:pPr>
      <w:spacing w:after="0"/>
      <w:jc w:val="center"/>
    </w:pPr>
    <w:rPr>
      <w:rFonts w:ascii="Arial" w:hAnsi="Arial"/>
      <w:b/>
      <w:sz w:val="52"/>
    </w:rPr>
  </w:style>
  <w:style w:type="paragraph" w:customStyle="1" w:styleId="DepartmentSubtitle">
    <w:name w:val="Department Subtitle"/>
    <w:basedOn w:val="Department"/>
    <w:rsid w:val="00925427"/>
    <w:rPr>
      <w:sz w:val="44"/>
    </w:rPr>
  </w:style>
  <w:style w:type="character" w:styleId="Hyperlink">
    <w:name w:val="Hyperlink"/>
    <w:uiPriority w:val="99"/>
    <w:rsid w:val="00925427"/>
    <w:rPr>
      <w:color w:val="000000"/>
      <w:u w:val="none"/>
    </w:rPr>
  </w:style>
  <w:style w:type="paragraph" w:customStyle="1" w:styleId="TableTextBullet">
    <w:name w:val="Table Text Bullet"/>
    <w:basedOn w:val="Normal"/>
    <w:rsid w:val="00925427"/>
    <w:pPr>
      <w:numPr>
        <w:numId w:val="3"/>
      </w:numPr>
      <w:spacing w:before="60" w:after="60"/>
    </w:pPr>
    <w:rPr>
      <w:rFonts w:ascii="Arial" w:hAnsi="Arial"/>
      <w:sz w:val="18"/>
    </w:rPr>
  </w:style>
  <w:style w:type="character" w:customStyle="1" w:styleId="TableHeadingChar">
    <w:name w:val="Table Heading Char"/>
    <w:link w:val="TableHeading"/>
    <w:rsid w:val="00925427"/>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925427"/>
    <w:rPr>
      <w:rFonts w:ascii="Arial" w:eastAsia="Times New Roman" w:hAnsi="Arial" w:cs="Times New Roman"/>
      <w:sz w:val="18"/>
      <w:szCs w:val="20"/>
      <w:lang w:eastAsia="en-AU"/>
    </w:rPr>
  </w:style>
  <w:style w:type="paragraph" w:customStyle="1" w:styleId="TableTextDash">
    <w:name w:val="Table Text Dash"/>
    <w:basedOn w:val="Normal"/>
    <w:rsid w:val="00925427"/>
    <w:pPr>
      <w:numPr>
        <w:ilvl w:val="1"/>
        <w:numId w:val="3"/>
      </w:numPr>
      <w:spacing w:before="60" w:after="60"/>
    </w:pPr>
    <w:rPr>
      <w:rFonts w:ascii="Arial" w:hAnsi="Arial"/>
      <w:sz w:val="18"/>
    </w:rPr>
  </w:style>
  <w:style w:type="character" w:customStyle="1" w:styleId="ChartandTableFootnoteChar">
    <w:name w:val="Chart and Table Footnote Char"/>
    <w:link w:val="ChartandTableFootnote"/>
    <w:rsid w:val="00925427"/>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925427"/>
    <w:rPr>
      <w:i/>
      <w:color w:val="FF0000"/>
    </w:rPr>
  </w:style>
  <w:style w:type="paragraph" w:customStyle="1" w:styleId="Bullets">
    <w:name w:val="Bullets"/>
    <w:basedOn w:val="Normal"/>
    <w:link w:val="BulletsChar"/>
    <w:qFormat/>
    <w:rsid w:val="00925427"/>
    <w:pPr>
      <w:numPr>
        <w:numId w:val="7"/>
      </w:numPr>
      <w:spacing w:before="60" w:after="60"/>
    </w:pPr>
    <w:rPr>
      <w:rFonts w:cs="Arial"/>
      <w:color w:val="000000"/>
      <w:szCs w:val="16"/>
      <w:lang w:eastAsia="en-US"/>
    </w:rPr>
  </w:style>
  <w:style w:type="character" w:customStyle="1" w:styleId="BulletsChar">
    <w:name w:val="Bullets Char"/>
    <w:link w:val="Bullets"/>
    <w:locked/>
    <w:rsid w:val="00925427"/>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9254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27"/>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27"/>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925427"/>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925427"/>
    <w:pPr>
      <w:keepNext/>
      <w:spacing w:before="240" w:after="240"/>
      <w:outlineLvl w:val="1"/>
    </w:pPr>
    <w:rPr>
      <w:rFonts w:ascii="Arial" w:hAnsi="Arial"/>
      <w:sz w:val="30"/>
    </w:rPr>
  </w:style>
  <w:style w:type="paragraph" w:styleId="Heading3">
    <w:name w:val="heading 3"/>
    <w:basedOn w:val="Normal"/>
    <w:next w:val="Normal"/>
    <w:link w:val="Heading3Char"/>
    <w:qFormat/>
    <w:rsid w:val="00925427"/>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925427"/>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925427"/>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427"/>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25427"/>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25427"/>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25427"/>
    <w:rPr>
      <w:rFonts w:ascii="Arial" w:eastAsia="Times New Roman" w:hAnsi="Arial" w:cs="Times New Roman"/>
      <w:b/>
      <w:szCs w:val="20"/>
      <w:lang w:eastAsia="en-AU"/>
    </w:rPr>
  </w:style>
  <w:style w:type="character" w:customStyle="1" w:styleId="Heading5Char">
    <w:name w:val="Heading 5 Char"/>
    <w:basedOn w:val="DefaultParagraphFont"/>
    <w:link w:val="Heading5"/>
    <w:rsid w:val="00925427"/>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925427"/>
    <w:pPr>
      <w:keepNext/>
      <w:spacing w:before="120" w:after="40"/>
    </w:pPr>
    <w:rPr>
      <w:b/>
      <w:color w:val="000000"/>
      <w:lang w:val="x-none" w:eastAsia="x-none"/>
    </w:rPr>
  </w:style>
  <w:style w:type="paragraph" w:customStyle="1" w:styleId="Bullet">
    <w:name w:val="Bullet"/>
    <w:basedOn w:val="Normal"/>
    <w:rsid w:val="00925427"/>
    <w:pPr>
      <w:numPr>
        <w:numId w:val="1"/>
      </w:numPr>
    </w:pPr>
    <w:rPr>
      <w:lang w:val="x-none" w:eastAsia="x-none"/>
    </w:rPr>
  </w:style>
  <w:style w:type="paragraph" w:customStyle="1" w:styleId="Dash">
    <w:name w:val="Dash"/>
    <w:basedOn w:val="Normal"/>
    <w:rsid w:val="00925427"/>
    <w:pPr>
      <w:numPr>
        <w:ilvl w:val="1"/>
        <w:numId w:val="1"/>
      </w:numPr>
    </w:pPr>
  </w:style>
  <w:style w:type="paragraph" w:customStyle="1" w:styleId="DoubleDot">
    <w:name w:val="Double Dot"/>
    <w:basedOn w:val="Normal"/>
    <w:rsid w:val="00925427"/>
    <w:pPr>
      <w:numPr>
        <w:ilvl w:val="2"/>
        <w:numId w:val="1"/>
      </w:numPr>
    </w:pPr>
  </w:style>
  <w:style w:type="paragraph" w:customStyle="1" w:styleId="ChartandTableFootnoteAlpha">
    <w:name w:val="Chart and Table Footnote Alpha"/>
    <w:basedOn w:val="Normal"/>
    <w:next w:val="Normal"/>
    <w:rsid w:val="00925427"/>
    <w:pPr>
      <w:numPr>
        <w:numId w:val="2"/>
      </w:numPr>
      <w:spacing w:after="0"/>
    </w:pPr>
    <w:rPr>
      <w:rFonts w:ascii="Arial" w:hAnsi="Arial"/>
      <w:sz w:val="16"/>
    </w:rPr>
  </w:style>
  <w:style w:type="paragraph" w:customStyle="1" w:styleId="ChartandTableFootnote">
    <w:name w:val="Chart and Table Footnote"/>
    <w:basedOn w:val="Normal"/>
    <w:next w:val="Normal"/>
    <w:link w:val="ChartandTableFootnoteChar"/>
    <w:rsid w:val="00925427"/>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925427"/>
    <w:pPr>
      <w:keepNext/>
      <w:spacing w:after="360"/>
      <w:jc w:val="center"/>
    </w:pPr>
    <w:rPr>
      <w:rFonts w:ascii="Arial" w:hAnsi="Arial"/>
      <w:b/>
      <w:smallCaps/>
      <w:sz w:val="34"/>
    </w:rPr>
  </w:style>
  <w:style w:type="paragraph" w:customStyle="1" w:styleId="TableGraphic">
    <w:name w:val="Table Graphic"/>
    <w:basedOn w:val="Normal"/>
    <w:next w:val="Normal"/>
    <w:rsid w:val="00925427"/>
    <w:pPr>
      <w:spacing w:after="0"/>
      <w:ind w:right="-113"/>
    </w:pPr>
  </w:style>
  <w:style w:type="paragraph" w:customStyle="1" w:styleId="TableTextLeft">
    <w:name w:val="Table Text Left"/>
    <w:basedOn w:val="Normal"/>
    <w:link w:val="TableTextLeftChar"/>
    <w:rsid w:val="00925427"/>
    <w:pPr>
      <w:spacing w:before="60" w:after="60"/>
    </w:pPr>
    <w:rPr>
      <w:rFonts w:ascii="Arial" w:hAnsi="Arial"/>
      <w:sz w:val="18"/>
    </w:rPr>
  </w:style>
  <w:style w:type="paragraph" w:customStyle="1" w:styleId="TableColumnHeadingLeft">
    <w:name w:val="Table Column Heading Left"/>
    <w:basedOn w:val="Normal"/>
    <w:next w:val="TableTextLeft"/>
    <w:rsid w:val="00925427"/>
    <w:pPr>
      <w:spacing w:before="60" w:after="60"/>
    </w:pPr>
    <w:rPr>
      <w:rFonts w:ascii="Arial" w:hAnsi="Arial"/>
      <w:b/>
      <w:sz w:val="20"/>
    </w:rPr>
  </w:style>
  <w:style w:type="paragraph" w:customStyle="1" w:styleId="TableHeadingcontinued">
    <w:name w:val="Table Heading continued"/>
    <w:basedOn w:val="Normal"/>
    <w:next w:val="TableGraphic"/>
    <w:rsid w:val="00925427"/>
    <w:pPr>
      <w:keepNext/>
      <w:spacing w:before="120" w:after="20"/>
    </w:pPr>
    <w:rPr>
      <w:b/>
    </w:rPr>
  </w:style>
  <w:style w:type="paragraph" w:customStyle="1" w:styleId="HeaderEven">
    <w:name w:val="Header Even"/>
    <w:basedOn w:val="Normal"/>
    <w:rsid w:val="00925427"/>
    <w:pPr>
      <w:spacing w:after="0"/>
    </w:pPr>
    <w:rPr>
      <w:i/>
      <w:sz w:val="20"/>
    </w:rPr>
  </w:style>
  <w:style w:type="paragraph" w:customStyle="1" w:styleId="HeaderOdd">
    <w:name w:val="Header Odd"/>
    <w:basedOn w:val="Normal"/>
    <w:rsid w:val="00925427"/>
    <w:pPr>
      <w:spacing w:after="0"/>
      <w:jc w:val="right"/>
    </w:pPr>
    <w:rPr>
      <w:i/>
      <w:sz w:val="20"/>
    </w:rPr>
  </w:style>
  <w:style w:type="paragraph" w:styleId="Header">
    <w:name w:val="header"/>
    <w:basedOn w:val="Normal"/>
    <w:link w:val="HeaderChar"/>
    <w:uiPriority w:val="99"/>
    <w:rsid w:val="00925427"/>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925427"/>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925427"/>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925427"/>
    <w:rPr>
      <w:rFonts w:ascii="Arial" w:eastAsia="Times New Roman" w:hAnsi="Arial" w:cs="Times New Roman"/>
      <w:sz w:val="20"/>
      <w:szCs w:val="20"/>
      <w:lang w:val="x-none" w:eastAsia="x-none"/>
    </w:rPr>
  </w:style>
  <w:style w:type="paragraph" w:styleId="TOC1">
    <w:name w:val="toc 1"/>
    <w:basedOn w:val="Normal"/>
    <w:next w:val="Normal"/>
    <w:uiPriority w:val="39"/>
    <w:rsid w:val="00925427"/>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925427"/>
    <w:pPr>
      <w:keepNext/>
      <w:tabs>
        <w:tab w:val="right" w:leader="dot" w:pos="7700"/>
      </w:tabs>
      <w:spacing w:before="80" w:after="0"/>
      <w:ind w:right="851"/>
    </w:pPr>
    <w:rPr>
      <w:rFonts w:ascii="Arial" w:hAnsi="Arial"/>
      <w:sz w:val="20"/>
    </w:rPr>
  </w:style>
  <w:style w:type="character" w:styleId="PageNumber">
    <w:name w:val="page number"/>
    <w:rsid w:val="00925427"/>
    <w:rPr>
      <w:rFonts w:ascii="Arial" w:hAnsi="Arial" w:cs="Arial"/>
    </w:rPr>
  </w:style>
  <w:style w:type="character" w:customStyle="1" w:styleId="FramedHeader">
    <w:name w:val="Framed Header"/>
    <w:rsid w:val="00925427"/>
    <w:rPr>
      <w:rFonts w:ascii="Book Antiqua" w:hAnsi="Book Antiqua"/>
      <w:i/>
      <w:dstrike w:val="0"/>
      <w:color w:val="auto"/>
      <w:sz w:val="18"/>
      <w:vertAlign w:val="baseline"/>
    </w:rPr>
  </w:style>
  <w:style w:type="paragraph" w:customStyle="1" w:styleId="Department">
    <w:name w:val="Department"/>
    <w:basedOn w:val="Normal"/>
    <w:rsid w:val="00925427"/>
    <w:pPr>
      <w:spacing w:after="0"/>
      <w:jc w:val="center"/>
    </w:pPr>
    <w:rPr>
      <w:rFonts w:ascii="Arial" w:hAnsi="Arial"/>
      <w:b/>
      <w:sz w:val="52"/>
    </w:rPr>
  </w:style>
  <w:style w:type="paragraph" w:customStyle="1" w:styleId="DepartmentSubtitle">
    <w:name w:val="Department Subtitle"/>
    <w:basedOn w:val="Department"/>
    <w:rsid w:val="00925427"/>
    <w:rPr>
      <w:sz w:val="44"/>
    </w:rPr>
  </w:style>
  <w:style w:type="character" w:styleId="Hyperlink">
    <w:name w:val="Hyperlink"/>
    <w:uiPriority w:val="99"/>
    <w:rsid w:val="00925427"/>
    <w:rPr>
      <w:color w:val="000000"/>
      <w:u w:val="none"/>
    </w:rPr>
  </w:style>
  <w:style w:type="paragraph" w:customStyle="1" w:styleId="TableTextBullet">
    <w:name w:val="Table Text Bullet"/>
    <w:basedOn w:val="Normal"/>
    <w:rsid w:val="00925427"/>
    <w:pPr>
      <w:numPr>
        <w:numId w:val="3"/>
      </w:numPr>
      <w:spacing w:before="60" w:after="60"/>
    </w:pPr>
    <w:rPr>
      <w:rFonts w:ascii="Arial" w:hAnsi="Arial"/>
      <w:sz w:val="18"/>
    </w:rPr>
  </w:style>
  <w:style w:type="character" w:customStyle="1" w:styleId="TableHeadingChar">
    <w:name w:val="Table Heading Char"/>
    <w:link w:val="TableHeading"/>
    <w:rsid w:val="00925427"/>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925427"/>
    <w:rPr>
      <w:rFonts w:ascii="Arial" w:eastAsia="Times New Roman" w:hAnsi="Arial" w:cs="Times New Roman"/>
      <w:sz w:val="18"/>
      <w:szCs w:val="20"/>
      <w:lang w:eastAsia="en-AU"/>
    </w:rPr>
  </w:style>
  <w:style w:type="paragraph" w:customStyle="1" w:styleId="TableTextDash">
    <w:name w:val="Table Text Dash"/>
    <w:basedOn w:val="Normal"/>
    <w:rsid w:val="00925427"/>
    <w:pPr>
      <w:numPr>
        <w:ilvl w:val="1"/>
        <w:numId w:val="3"/>
      </w:numPr>
      <w:spacing w:before="60" w:after="60"/>
    </w:pPr>
    <w:rPr>
      <w:rFonts w:ascii="Arial" w:hAnsi="Arial"/>
      <w:sz w:val="18"/>
    </w:rPr>
  </w:style>
  <w:style w:type="character" w:customStyle="1" w:styleId="ChartandTableFootnoteChar">
    <w:name w:val="Chart and Table Footnote Char"/>
    <w:link w:val="ChartandTableFootnote"/>
    <w:rsid w:val="00925427"/>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925427"/>
    <w:rPr>
      <w:i/>
      <w:color w:val="FF0000"/>
    </w:rPr>
  </w:style>
  <w:style w:type="paragraph" w:customStyle="1" w:styleId="Bullets">
    <w:name w:val="Bullets"/>
    <w:basedOn w:val="Normal"/>
    <w:link w:val="BulletsChar"/>
    <w:qFormat/>
    <w:rsid w:val="00925427"/>
    <w:pPr>
      <w:numPr>
        <w:numId w:val="7"/>
      </w:numPr>
      <w:spacing w:before="60" w:after="60"/>
    </w:pPr>
    <w:rPr>
      <w:rFonts w:cs="Arial"/>
      <w:color w:val="000000"/>
      <w:szCs w:val="16"/>
      <w:lang w:eastAsia="en-US"/>
    </w:rPr>
  </w:style>
  <w:style w:type="character" w:customStyle="1" w:styleId="BulletsChar">
    <w:name w:val="Bullets Char"/>
    <w:link w:val="Bullets"/>
    <w:locked/>
    <w:rsid w:val="00925427"/>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9254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27"/>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6.emf"/><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emf"/><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image" Target="media/image8.emf"/><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2</TotalTime>
  <Pages>22</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1</cp:revision>
  <dcterms:created xsi:type="dcterms:W3CDTF">2016-05-02T04:24:00Z</dcterms:created>
  <dcterms:modified xsi:type="dcterms:W3CDTF">2016-05-02T04:26:00Z</dcterms:modified>
</cp:coreProperties>
</file>