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D2" w:rsidRPr="005A7C0B" w:rsidRDefault="005449D2" w:rsidP="005449D2">
      <w:pPr>
        <w:pStyle w:val="PartHeading"/>
      </w:pPr>
      <w:r>
        <w:t>Comcare, the Safety, Rehabilitation and Compensation Commission, and the Seafarers Safety, Rehabilitation and Compensation Authority</w:t>
      </w:r>
    </w:p>
    <w:p w:rsidR="005449D2" w:rsidRDefault="005449D2" w:rsidP="005449D2">
      <w:pPr>
        <w:pStyle w:val="PartHeading"/>
      </w:pPr>
    </w:p>
    <w:p w:rsidR="005449D2" w:rsidRDefault="005449D2" w:rsidP="005449D2">
      <w:pPr>
        <w:pStyle w:val="PartHeading"/>
      </w:pPr>
    </w:p>
    <w:p w:rsidR="005449D2" w:rsidRDefault="005449D2" w:rsidP="005449D2">
      <w:pPr>
        <w:pStyle w:val="PartHeading-TOC"/>
      </w:pPr>
      <w:bookmarkStart w:id="0" w:name="_Toc477521326"/>
      <w:bookmarkStart w:id="1" w:name="_Toc478042431"/>
      <w:bookmarkStart w:id="2" w:name="_Toc479766396"/>
      <w:bookmarkStart w:id="3" w:name="_Toc480465113"/>
      <w:bookmarkStart w:id="4" w:name="_Toc481406000"/>
      <w:bookmarkStart w:id="5" w:name="_Toc481863969"/>
      <w:bookmarkStart w:id="6" w:name="_Toc481938004"/>
      <w:r>
        <w:t>Entity resources and planned performance</w:t>
      </w:r>
      <w:bookmarkEnd w:id="0"/>
      <w:bookmarkEnd w:id="1"/>
      <w:bookmarkEnd w:id="2"/>
      <w:bookmarkEnd w:id="3"/>
      <w:bookmarkEnd w:id="4"/>
      <w:bookmarkEnd w:id="5"/>
      <w:bookmarkEnd w:id="6"/>
    </w:p>
    <w:p w:rsidR="005449D2" w:rsidRDefault="005449D2" w:rsidP="005449D2">
      <w:pPr>
        <w:pStyle w:val="ContentsHeading"/>
        <w:sectPr w:rsidR="005449D2" w:rsidSect="005449D2">
          <w:headerReference w:type="even" r:id="rId8"/>
          <w:footerReference w:type="even" r:id="rId9"/>
          <w:footerReference w:type="default" r:id="rId10"/>
          <w:footerReference w:type="first" r:id="rId11"/>
          <w:pgSz w:w="11906" w:h="16838" w:code="9"/>
          <w:pgMar w:top="4074" w:right="2098" w:bottom="2466" w:left="2098" w:header="1899" w:footer="1899" w:gutter="0"/>
          <w:pgNumType w:start="81"/>
          <w:cols w:space="708"/>
          <w:docGrid w:linePitch="360"/>
        </w:sectPr>
      </w:pPr>
    </w:p>
    <w:p w:rsidR="005449D2" w:rsidRPr="002A32FD" w:rsidRDefault="005449D2" w:rsidP="005449D2">
      <w:pPr>
        <w:pStyle w:val="ContentsHeading"/>
      </w:pPr>
      <w:r>
        <w:t xml:space="preserve">Comcare, the Safety, Rehabilitation and Compensation Commission, and the </w:t>
      </w:r>
      <w:r>
        <w:br/>
        <w:t>Seafarers Safety, Rehabilitation and Compensation Authority</w:t>
      </w:r>
    </w:p>
    <w:p w:rsidR="005449D2" w:rsidRPr="007E65A9" w:rsidRDefault="005449D2" w:rsidP="005449D2">
      <w:pPr>
        <w:pStyle w:val="TOC1"/>
        <w:rPr>
          <w:rFonts w:ascii="Calibri" w:hAnsi="Calibri"/>
          <w:b w:val="0"/>
          <w:caps w:val="0"/>
          <w:noProof/>
          <w:sz w:val="22"/>
          <w:szCs w:val="22"/>
        </w:rPr>
      </w:pPr>
      <w:r>
        <w:fldChar w:fldCharType="begin"/>
      </w:r>
      <w:r>
        <w:instrText xml:space="preserve"> TOC \h \z \t "Heading 2,1,Heading 3,2" </w:instrText>
      </w:r>
      <w:r>
        <w:fldChar w:fldCharType="separate"/>
      </w:r>
      <w:hyperlink w:anchor="_Toc480459393" w:history="1">
        <w:r w:rsidRPr="004C6F3E">
          <w:rPr>
            <w:rStyle w:val="Hyperlink"/>
            <w:noProof/>
          </w:rPr>
          <w:t>Section 1: Entity overview and resources</w:t>
        </w:r>
        <w:r>
          <w:rPr>
            <w:noProof/>
            <w:webHidden/>
          </w:rPr>
          <w:tab/>
        </w:r>
        <w:r>
          <w:rPr>
            <w:noProof/>
            <w:webHidden/>
          </w:rPr>
          <w:fldChar w:fldCharType="begin"/>
        </w:r>
        <w:r>
          <w:rPr>
            <w:noProof/>
            <w:webHidden/>
          </w:rPr>
          <w:instrText xml:space="preserve"> PAGEREF _Toc480459393 \h </w:instrText>
        </w:r>
        <w:r>
          <w:rPr>
            <w:noProof/>
            <w:webHidden/>
          </w:rPr>
        </w:r>
        <w:r>
          <w:rPr>
            <w:noProof/>
            <w:webHidden/>
          </w:rPr>
          <w:fldChar w:fldCharType="separate"/>
        </w:r>
        <w:r>
          <w:rPr>
            <w:noProof/>
            <w:webHidden/>
          </w:rPr>
          <w:t>85</w:t>
        </w:r>
        <w:r>
          <w:rPr>
            <w:noProof/>
            <w:webHidden/>
          </w:rPr>
          <w:fldChar w:fldCharType="end"/>
        </w:r>
      </w:hyperlink>
    </w:p>
    <w:p w:rsidR="005449D2" w:rsidRPr="007E65A9" w:rsidRDefault="000E0C06" w:rsidP="005449D2">
      <w:pPr>
        <w:pStyle w:val="TOC2"/>
        <w:tabs>
          <w:tab w:val="left" w:pos="800"/>
        </w:tabs>
        <w:rPr>
          <w:rFonts w:ascii="Calibri" w:hAnsi="Calibri"/>
          <w:noProof/>
          <w:sz w:val="22"/>
          <w:szCs w:val="22"/>
        </w:rPr>
      </w:pPr>
      <w:hyperlink w:anchor="_Toc480459394" w:history="1">
        <w:r w:rsidR="005449D2" w:rsidRPr="004C6F3E">
          <w:rPr>
            <w:rStyle w:val="Hyperlink"/>
            <w:noProof/>
          </w:rPr>
          <w:t>1.1</w:t>
        </w:r>
        <w:r w:rsidR="005449D2" w:rsidRPr="007E65A9">
          <w:rPr>
            <w:rFonts w:ascii="Calibri" w:hAnsi="Calibri"/>
            <w:noProof/>
            <w:sz w:val="22"/>
            <w:szCs w:val="22"/>
          </w:rPr>
          <w:tab/>
        </w:r>
        <w:r w:rsidR="005449D2" w:rsidRPr="004C6F3E">
          <w:rPr>
            <w:rStyle w:val="Hyperlink"/>
            <w:noProof/>
          </w:rPr>
          <w:t>Strategic direction statement</w:t>
        </w:r>
        <w:r w:rsidR="005449D2">
          <w:rPr>
            <w:noProof/>
            <w:webHidden/>
          </w:rPr>
          <w:tab/>
        </w:r>
        <w:r w:rsidR="005449D2">
          <w:rPr>
            <w:noProof/>
            <w:webHidden/>
          </w:rPr>
          <w:fldChar w:fldCharType="begin"/>
        </w:r>
        <w:r w:rsidR="005449D2">
          <w:rPr>
            <w:noProof/>
            <w:webHidden/>
          </w:rPr>
          <w:instrText xml:space="preserve"> PAGEREF _Toc480459394 \h </w:instrText>
        </w:r>
        <w:r w:rsidR="005449D2">
          <w:rPr>
            <w:noProof/>
            <w:webHidden/>
          </w:rPr>
        </w:r>
        <w:r w:rsidR="005449D2">
          <w:rPr>
            <w:noProof/>
            <w:webHidden/>
          </w:rPr>
          <w:fldChar w:fldCharType="separate"/>
        </w:r>
        <w:r w:rsidR="005449D2">
          <w:rPr>
            <w:noProof/>
            <w:webHidden/>
          </w:rPr>
          <w:t>85</w:t>
        </w:r>
        <w:r w:rsidR="005449D2">
          <w:rPr>
            <w:noProof/>
            <w:webHidden/>
          </w:rPr>
          <w:fldChar w:fldCharType="end"/>
        </w:r>
      </w:hyperlink>
    </w:p>
    <w:p w:rsidR="005449D2" w:rsidRPr="007E65A9" w:rsidRDefault="000E0C06" w:rsidP="005449D2">
      <w:pPr>
        <w:pStyle w:val="TOC2"/>
        <w:tabs>
          <w:tab w:val="left" w:pos="800"/>
        </w:tabs>
        <w:rPr>
          <w:rFonts w:ascii="Calibri" w:hAnsi="Calibri"/>
          <w:noProof/>
          <w:sz w:val="22"/>
          <w:szCs w:val="22"/>
        </w:rPr>
      </w:pPr>
      <w:hyperlink w:anchor="_Toc480459395" w:history="1">
        <w:r w:rsidR="005449D2" w:rsidRPr="004C6F3E">
          <w:rPr>
            <w:rStyle w:val="Hyperlink"/>
            <w:noProof/>
          </w:rPr>
          <w:t>1.2</w:t>
        </w:r>
        <w:r w:rsidR="005449D2" w:rsidRPr="007E65A9">
          <w:rPr>
            <w:rFonts w:ascii="Calibri" w:hAnsi="Calibri"/>
            <w:noProof/>
            <w:sz w:val="22"/>
            <w:szCs w:val="22"/>
          </w:rPr>
          <w:tab/>
        </w:r>
        <w:r w:rsidR="005449D2" w:rsidRPr="004C6F3E">
          <w:rPr>
            <w:rStyle w:val="Hyperlink"/>
            <w:noProof/>
          </w:rPr>
          <w:t>Entity resource statement</w:t>
        </w:r>
        <w:r w:rsidR="005449D2">
          <w:rPr>
            <w:noProof/>
            <w:webHidden/>
          </w:rPr>
          <w:tab/>
        </w:r>
        <w:r w:rsidR="005449D2">
          <w:rPr>
            <w:noProof/>
            <w:webHidden/>
          </w:rPr>
          <w:fldChar w:fldCharType="begin"/>
        </w:r>
        <w:r w:rsidR="005449D2">
          <w:rPr>
            <w:noProof/>
            <w:webHidden/>
          </w:rPr>
          <w:instrText xml:space="preserve"> PAGEREF _Toc480459395 \h </w:instrText>
        </w:r>
        <w:r w:rsidR="005449D2">
          <w:rPr>
            <w:noProof/>
            <w:webHidden/>
          </w:rPr>
        </w:r>
        <w:r w:rsidR="005449D2">
          <w:rPr>
            <w:noProof/>
            <w:webHidden/>
          </w:rPr>
          <w:fldChar w:fldCharType="separate"/>
        </w:r>
        <w:r w:rsidR="005449D2">
          <w:rPr>
            <w:noProof/>
            <w:webHidden/>
          </w:rPr>
          <w:t>87</w:t>
        </w:r>
        <w:r w:rsidR="005449D2">
          <w:rPr>
            <w:noProof/>
            <w:webHidden/>
          </w:rPr>
          <w:fldChar w:fldCharType="end"/>
        </w:r>
      </w:hyperlink>
    </w:p>
    <w:p w:rsidR="005449D2" w:rsidRPr="007E65A9" w:rsidRDefault="000E0C06" w:rsidP="005449D2">
      <w:pPr>
        <w:pStyle w:val="TOC2"/>
        <w:tabs>
          <w:tab w:val="left" w:pos="800"/>
        </w:tabs>
        <w:rPr>
          <w:rFonts w:ascii="Calibri" w:hAnsi="Calibri"/>
          <w:noProof/>
          <w:sz w:val="22"/>
          <w:szCs w:val="22"/>
        </w:rPr>
      </w:pPr>
      <w:hyperlink w:anchor="_Toc480459396" w:history="1">
        <w:r w:rsidR="005449D2" w:rsidRPr="004C6F3E">
          <w:rPr>
            <w:rStyle w:val="Hyperlink"/>
            <w:noProof/>
          </w:rPr>
          <w:t>1.3</w:t>
        </w:r>
        <w:r w:rsidR="005449D2" w:rsidRPr="007E65A9">
          <w:rPr>
            <w:rFonts w:ascii="Calibri" w:hAnsi="Calibri"/>
            <w:noProof/>
            <w:sz w:val="22"/>
            <w:szCs w:val="22"/>
          </w:rPr>
          <w:tab/>
        </w:r>
        <w:r w:rsidR="005449D2" w:rsidRPr="004C6F3E">
          <w:rPr>
            <w:rStyle w:val="Hyperlink"/>
            <w:noProof/>
          </w:rPr>
          <w:t>Budget measures</w:t>
        </w:r>
        <w:r w:rsidR="005449D2">
          <w:rPr>
            <w:noProof/>
            <w:webHidden/>
          </w:rPr>
          <w:tab/>
        </w:r>
        <w:r w:rsidR="005449D2">
          <w:rPr>
            <w:noProof/>
            <w:webHidden/>
          </w:rPr>
          <w:fldChar w:fldCharType="begin"/>
        </w:r>
        <w:r w:rsidR="005449D2">
          <w:rPr>
            <w:noProof/>
            <w:webHidden/>
          </w:rPr>
          <w:instrText xml:space="preserve"> PAGEREF _Toc480459396 \h </w:instrText>
        </w:r>
        <w:r w:rsidR="005449D2">
          <w:rPr>
            <w:noProof/>
            <w:webHidden/>
          </w:rPr>
        </w:r>
        <w:r w:rsidR="005449D2">
          <w:rPr>
            <w:noProof/>
            <w:webHidden/>
          </w:rPr>
          <w:fldChar w:fldCharType="separate"/>
        </w:r>
        <w:r w:rsidR="005449D2">
          <w:rPr>
            <w:noProof/>
            <w:webHidden/>
          </w:rPr>
          <w:t>88</w:t>
        </w:r>
        <w:r w:rsidR="005449D2">
          <w:rPr>
            <w:noProof/>
            <w:webHidden/>
          </w:rPr>
          <w:fldChar w:fldCharType="end"/>
        </w:r>
      </w:hyperlink>
    </w:p>
    <w:p w:rsidR="005449D2" w:rsidRPr="007E65A9" w:rsidRDefault="000E0C06" w:rsidP="005449D2">
      <w:pPr>
        <w:pStyle w:val="TOC1"/>
        <w:rPr>
          <w:rFonts w:ascii="Calibri" w:hAnsi="Calibri"/>
          <w:b w:val="0"/>
          <w:caps w:val="0"/>
          <w:noProof/>
          <w:sz w:val="22"/>
          <w:szCs w:val="22"/>
        </w:rPr>
      </w:pPr>
      <w:hyperlink w:anchor="_Toc480459397" w:history="1">
        <w:r w:rsidR="005449D2" w:rsidRPr="004C6F3E">
          <w:rPr>
            <w:rStyle w:val="Hyperlink"/>
            <w:noProof/>
          </w:rPr>
          <w:t>Section 2: Outcomes and planned performance</w:t>
        </w:r>
        <w:r w:rsidR="005449D2">
          <w:rPr>
            <w:noProof/>
            <w:webHidden/>
          </w:rPr>
          <w:tab/>
        </w:r>
        <w:r w:rsidR="005449D2">
          <w:rPr>
            <w:noProof/>
            <w:webHidden/>
          </w:rPr>
          <w:fldChar w:fldCharType="begin"/>
        </w:r>
        <w:r w:rsidR="005449D2">
          <w:rPr>
            <w:noProof/>
            <w:webHidden/>
          </w:rPr>
          <w:instrText xml:space="preserve"> PAGEREF _Toc480459397 \h </w:instrText>
        </w:r>
        <w:r w:rsidR="005449D2">
          <w:rPr>
            <w:noProof/>
            <w:webHidden/>
          </w:rPr>
        </w:r>
        <w:r w:rsidR="005449D2">
          <w:rPr>
            <w:noProof/>
            <w:webHidden/>
          </w:rPr>
          <w:fldChar w:fldCharType="separate"/>
        </w:r>
        <w:r w:rsidR="005449D2">
          <w:rPr>
            <w:noProof/>
            <w:webHidden/>
          </w:rPr>
          <w:t>89</w:t>
        </w:r>
        <w:r w:rsidR="005449D2">
          <w:rPr>
            <w:noProof/>
            <w:webHidden/>
          </w:rPr>
          <w:fldChar w:fldCharType="end"/>
        </w:r>
      </w:hyperlink>
    </w:p>
    <w:p w:rsidR="005449D2" w:rsidRPr="007E65A9" w:rsidRDefault="000E0C06" w:rsidP="005449D2">
      <w:pPr>
        <w:pStyle w:val="TOC2"/>
        <w:tabs>
          <w:tab w:val="left" w:pos="800"/>
        </w:tabs>
        <w:rPr>
          <w:rFonts w:ascii="Calibri" w:hAnsi="Calibri"/>
          <w:noProof/>
          <w:sz w:val="22"/>
          <w:szCs w:val="22"/>
        </w:rPr>
      </w:pPr>
      <w:hyperlink w:anchor="_Toc480459398" w:history="1">
        <w:r w:rsidR="005449D2" w:rsidRPr="004C6F3E">
          <w:rPr>
            <w:rStyle w:val="Hyperlink"/>
            <w:noProof/>
          </w:rPr>
          <w:t xml:space="preserve">2.1 </w:t>
        </w:r>
        <w:r w:rsidR="005449D2" w:rsidRPr="007E65A9">
          <w:rPr>
            <w:rFonts w:ascii="Calibri" w:hAnsi="Calibri"/>
            <w:noProof/>
            <w:sz w:val="22"/>
            <w:szCs w:val="22"/>
          </w:rPr>
          <w:tab/>
        </w:r>
        <w:r w:rsidR="005449D2" w:rsidRPr="004C6F3E">
          <w:rPr>
            <w:rStyle w:val="Hyperlink"/>
            <w:noProof/>
          </w:rPr>
          <w:t>Budgeted expenses and performance for Outcome 1</w:t>
        </w:r>
        <w:r w:rsidR="005449D2">
          <w:rPr>
            <w:noProof/>
            <w:webHidden/>
          </w:rPr>
          <w:tab/>
        </w:r>
        <w:r w:rsidR="005449D2">
          <w:rPr>
            <w:noProof/>
            <w:webHidden/>
          </w:rPr>
          <w:fldChar w:fldCharType="begin"/>
        </w:r>
        <w:r w:rsidR="005449D2">
          <w:rPr>
            <w:noProof/>
            <w:webHidden/>
          </w:rPr>
          <w:instrText xml:space="preserve"> PAGEREF _Toc480459398 \h </w:instrText>
        </w:r>
        <w:r w:rsidR="005449D2">
          <w:rPr>
            <w:noProof/>
            <w:webHidden/>
          </w:rPr>
        </w:r>
        <w:r w:rsidR="005449D2">
          <w:rPr>
            <w:noProof/>
            <w:webHidden/>
          </w:rPr>
          <w:fldChar w:fldCharType="separate"/>
        </w:r>
        <w:r w:rsidR="005449D2">
          <w:rPr>
            <w:noProof/>
            <w:webHidden/>
          </w:rPr>
          <w:t>90</w:t>
        </w:r>
        <w:r w:rsidR="005449D2">
          <w:rPr>
            <w:noProof/>
            <w:webHidden/>
          </w:rPr>
          <w:fldChar w:fldCharType="end"/>
        </w:r>
      </w:hyperlink>
    </w:p>
    <w:p w:rsidR="005449D2" w:rsidRPr="007E65A9" w:rsidRDefault="000E0C06" w:rsidP="005449D2">
      <w:pPr>
        <w:pStyle w:val="TOC1"/>
        <w:rPr>
          <w:rFonts w:ascii="Calibri" w:hAnsi="Calibri"/>
          <w:b w:val="0"/>
          <w:caps w:val="0"/>
          <w:noProof/>
          <w:sz w:val="22"/>
          <w:szCs w:val="22"/>
        </w:rPr>
      </w:pPr>
      <w:hyperlink w:anchor="_Toc480459399" w:history="1">
        <w:r w:rsidR="005449D2" w:rsidRPr="004C6F3E">
          <w:rPr>
            <w:rStyle w:val="Hyperlink"/>
            <w:noProof/>
          </w:rPr>
          <w:t>Section 3: Budgeted financial statements</w:t>
        </w:r>
        <w:r w:rsidR="005449D2">
          <w:rPr>
            <w:noProof/>
            <w:webHidden/>
          </w:rPr>
          <w:tab/>
        </w:r>
        <w:r w:rsidR="005449D2">
          <w:rPr>
            <w:noProof/>
            <w:webHidden/>
          </w:rPr>
          <w:fldChar w:fldCharType="begin"/>
        </w:r>
        <w:r w:rsidR="005449D2">
          <w:rPr>
            <w:noProof/>
            <w:webHidden/>
          </w:rPr>
          <w:instrText xml:space="preserve"> PAGEREF _Toc480459399 \h </w:instrText>
        </w:r>
        <w:r w:rsidR="005449D2">
          <w:rPr>
            <w:noProof/>
            <w:webHidden/>
          </w:rPr>
        </w:r>
        <w:r w:rsidR="005449D2">
          <w:rPr>
            <w:noProof/>
            <w:webHidden/>
          </w:rPr>
          <w:fldChar w:fldCharType="separate"/>
        </w:r>
        <w:r w:rsidR="005449D2">
          <w:rPr>
            <w:noProof/>
            <w:webHidden/>
          </w:rPr>
          <w:t>98</w:t>
        </w:r>
        <w:r w:rsidR="005449D2">
          <w:rPr>
            <w:noProof/>
            <w:webHidden/>
          </w:rPr>
          <w:fldChar w:fldCharType="end"/>
        </w:r>
      </w:hyperlink>
    </w:p>
    <w:p w:rsidR="005449D2" w:rsidRPr="007E65A9" w:rsidRDefault="000E0C06" w:rsidP="005449D2">
      <w:pPr>
        <w:pStyle w:val="TOC2"/>
        <w:tabs>
          <w:tab w:val="left" w:pos="800"/>
        </w:tabs>
        <w:rPr>
          <w:rFonts w:ascii="Calibri" w:hAnsi="Calibri"/>
          <w:noProof/>
          <w:sz w:val="22"/>
          <w:szCs w:val="22"/>
        </w:rPr>
      </w:pPr>
      <w:hyperlink w:anchor="_Toc480459400" w:history="1">
        <w:r w:rsidR="005449D2" w:rsidRPr="004C6F3E">
          <w:rPr>
            <w:rStyle w:val="Hyperlink"/>
            <w:noProof/>
          </w:rPr>
          <w:t>3.1</w:t>
        </w:r>
        <w:r w:rsidR="005449D2" w:rsidRPr="007E65A9">
          <w:rPr>
            <w:rFonts w:ascii="Calibri" w:hAnsi="Calibri"/>
            <w:noProof/>
            <w:sz w:val="22"/>
            <w:szCs w:val="22"/>
          </w:rPr>
          <w:tab/>
        </w:r>
        <w:r w:rsidR="005449D2" w:rsidRPr="004C6F3E">
          <w:rPr>
            <w:rStyle w:val="Hyperlink"/>
            <w:noProof/>
          </w:rPr>
          <w:t>Budgeted financial statements</w:t>
        </w:r>
        <w:r w:rsidR="005449D2">
          <w:rPr>
            <w:noProof/>
            <w:webHidden/>
          </w:rPr>
          <w:tab/>
        </w:r>
        <w:r w:rsidR="005449D2">
          <w:rPr>
            <w:noProof/>
            <w:webHidden/>
          </w:rPr>
          <w:fldChar w:fldCharType="begin"/>
        </w:r>
        <w:r w:rsidR="005449D2">
          <w:rPr>
            <w:noProof/>
            <w:webHidden/>
          </w:rPr>
          <w:instrText xml:space="preserve"> PAGEREF _Toc480459400 \h </w:instrText>
        </w:r>
        <w:r w:rsidR="005449D2">
          <w:rPr>
            <w:noProof/>
            <w:webHidden/>
          </w:rPr>
        </w:r>
        <w:r w:rsidR="005449D2">
          <w:rPr>
            <w:noProof/>
            <w:webHidden/>
          </w:rPr>
          <w:fldChar w:fldCharType="separate"/>
        </w:r>
        <w:r w:rsidR="005449D2">
          <w:rPr>
            <w:noProof/>
            <w:webHidden/>
          </w:rPr>
          <w:t>98</w:t>
        </w:r>
        <w:r w:rsidR="005449D2">
          <w:rPr>
            <w:noProof/>
            <w:webHidden/>
          </w:rPr>
          <w:fldChar w:fldCharType="end"/>
        </w:r>
      </w:hyperlink>
    </w:p>
    <w:p w:rsidR="005449D2" w:rsidRPr="007E65A9" w:rsidRDefault="000E0C06" w:rsidP="005449D2">
      <w:pPr>
        <w:pStyle w:val="TOC2"/>
        <w:tabs>
          <w:tab w:val="left" w:pos="800"/>
        </w:tabs>
        <w:rPr>
          <w:rFonts w:ascii="Calibri" w:hAnsi="Calibri"/>
          <w:noProof/>
          <w:sz w:val="22"/>
          <w:szCs w:val="22"/>
        </w:rPr>
      </w:pPr>
      <w:hyperlink w:anchor="_Toc480459401" w:history="1">
        <w:r w:rsidR="005449D2" w:rsidRPr="004C6F3E">
          <w:rPr>
            <w:rStyle w:val="Hyperlink"/>
            <w:noProof/>
          </w:rPr>
          <w:t>3.2.</w:t>
        </w:r>
        <w:r w:rsidR="005449D2" w:rsidRPr="007E65A9">
          <w:rPr>
            <w:rFonts w:ascii="Calibri" w:hAnsi="Calibri"/>
            <w:noProof/>
            <w:sz w:val="22"/>
            <w:szCs w:val="22"/>
          </w:rPr>
          <w:tab/>
        </w:r>
        <w:r w:rsidR="005449D2" w:rsidRPr="004C6F3E">
          <w:rPr>
            <w:rStyle w:val="Hyperlink"/>
            <w:noProof/>
          </w:rPr>
          <w:t>Budgeted financial statements tables</w:t>
        </w:r>
        <w:r w:rsidR="005449D2">
          <w:rPr>
            <w:noProof/>
            <w:webHidden/>
          </w:rPr>
          <w:tab/>
        </w:r>
        <w:r w:rsidR="005449D2">
          <w:rPr>
            <w:noProof/>
            <w:webHidden/>
          </w:rPr>
          <w:fldChar w:fldCharType="begin"/>
        </w:r>
        <w:r w:rsidR="005449D2">
          <w:rPr>
            <w:noProof/>
            <w:webHidden/>
          </w:rPr>
          <w:instrText xml:space="preserve"> PAGEREF _Toc480459401 \h </w:instrText>
        </w:r>
        <w:r w:rsidR="005449D2">
          <w:rPr>
            <w:noProof/>
            <w:webHidden/>
          </w:rPr>
        </w:r>
        <w:r w:rsidR="005449D2">
          <w:rPr>
            <w:noProof/>
            <w:webHidden/>
          </w:rPr>
          <w:fldChar w:fldCharType="separate"/>
        </w:r>
        <w:r w:rsidR="005449D2">
          <w:rPr>
            <w:noProof/>
            <w:webHidden/>
          </w:rPr>
          <w:t>100</w:t>
        </w:r>
        <w:r w:rsidR="005449D2">
          <w:rPr>
            <w:noProof/>
            <w:webHidden/>
          </w:rPr>
          <w:fldChar w:fldCharType="end"/>
        </w:r>
      </w:hyperlink>
      <w:r w:rsidR="005449D2">
        <w:fldChar w:fldCharType="end"/>
      </w:r>
    </w:p>
    <w:p w:rsidR="005449D2" w:rsidRDefault="005449D2" w:rsidP="005449D2"/>
    <w:p w:rsidR="005449D2" w:rsidRDefault="005449D2" w:rsidP="005449D2">
      <w:pPr>
        <w:pStyle w:val="Heading1-TOC"/>
        <w:sectPr w:rsidR="005449D2" w:rsidSect="005449D2">
          <w:type w:val="oddPage"/>
          <w:pgSz w:w="11906" w:h="16838" w:code="9"/>
          <w:pgMar w:top="2466" w:right="2098" w:bottom="2466" w:left="2098" w:header="1899" w:footer="1899" w:gutter="0"/>
          <w:cols w:space="708"/>
          <w:docGrid w:linePitch="360"/>
        </w:sectPr>
      </w:pPr>
      <w:bookmarkStart w:id="7" w:name="_Toc481938005"/>
    </w:p>
    <w:p w:rsidR="005449D2" w:rsidRDefault="005449D2" w:rsidP="005449D2">
      <w:pPr>
        <w:pStyle w:val="Heading1-TOC"/>
      </w:pPr>
      <w:r>
        <w:t xml:space="preserve">Comcare, the Safety, Rehabilitation and Compensation Commission, and the </w:t>
      </w:r>
      <w:r>
        <w:br/>
        <w:t>Seafarers Safety, Rehabilitation and Compensation Authority</w:t>
      </w:r>
      <w:bookmarkEnd w:id="7"/>
    </w:p>
    <w:p w:rsidR="005449D2" w:rsidRPr="002C4D41" w:rsidRDefault="005449D2" w:rsidP="005449D2">
      <w:pPr>
        <w:pStyle w:val="Heading2"/>
      </w:pPr>
      <w:bookmarkStart w:id="8" w:name="_Toc479589106"/>
      <w:bookmarkStart w:id="9" w:name="_Toc479613736"/>
      <w:bookmarkStart w:id="10" w:name="_Toc479796473"/>
      <w:bookmarkStart w:id="11" w:name="_Toc479796545"/>
      <w:bookmarkStart w:id="12" w:name="_Toc479844071"/>
      <w:bookmarkStart w:id="13" w:name="_Toc479848679"/>
      <w:bookmarkStart w:id="14" w:name="_Toc480270244"/>
      <w:bookmarkStart w:id="15" w:name="_Toc480459393"/>
      <w:bookmarkStart w:id="16" w:name="_Toc480459466"/>
      <w:r w:rsidRPr="002C4D41">
        <w:t>Section 1: Entity overview and resources</w:t>
      </w:r>
      <w:bookmarkEnd w:id="8"/>
      <w:bookmarkEnd w:id="9"/>
      <w:bookmarkEnd w:id="10"/>
      <w:bookmarkEnd w:id="11"/>
      <w:bookmarkEnd w:id="12"/>
      <w:bookmarkEnd w:id="13"/>
      <w:bookmarkEnd w:id="14"/>
      <w:bookmarkEnd w:id="15"/>
      <w:bookmarkEnd w:id="16"/>
    </w:p>
    <w:p w:rsidR="005449D2" w:rsidRDefault="005449D2" w:rsidP="005449D2">
      <w:pPr>
        <w:pStyle w:val="Heading3"/>
        <w:numPr>
          <w:ilvl w:val="1"/>
          <w:numId w:val="34"/>
        </w:numPr>
      </w:pPr>
      <w:bookmarkStart w:id="17" w:name="_Toc479589107"/>
      <w:bookmarkStart w:id="18" w:name="_Toc479613737"/>
      <w:bookmarkStart w:id="19" w:name="_Toc479796474"/>
      <w:bookmarkStart w:id="20" w:name="_Toc479796546"/>
      <w:bookmarkStart w:id="21" w:name="_Toc479844072"/>
      <w:bookmarkStart w:id="22" w:name="_Toc479848680"/>
      <w:bookmarkStart w:id="23" w:name="_Toc480270245"/>
      <w:bookmarkStart w:id="24" w:name="_Toc480459394"/>
      <w:bookmarkStart w:id="25" w:name="_Toc480459467"/>
      <w:r>
        <w:t>Strategic direction statement</w:t>
      </w:r>
      <w:bookmarkEnd w:id="17"/>
      <w:bookmarkEnd w:id="18"/>
      <w:bookmarkEnd w:id="19"/>
      <w:bookmarkEnd w:id="20"/>
      <w:bookmarkEnd w:id="21"/>
      <w:bookmarkEnd w:id="22"/>
      <w:bookmarkEnd w:id="23"/>
      <w:bookmarkEnd w:id="24"/>
      <w:bookmarkEnd w:id="25"/>
    </w:p>
    <w:p w:rsidR="005449D2" w:rsidRDefault="005449D2" w:rsidP="005449D2">
      <w:r>
        <w:t xml:space="preserve">Comcare supports participation and productivity nationally through healthy and safe workplaces that minimise the impact of harm. </w:t>
      </w:r>
    </w:p>
    <w:p w:rsidR="005449D2" w:rsidRPr="0011516D" w:rsidRDefault="005449D2" w:rsidP="005449D2">
      <w:r w:rsidRPr="008A5D93">
        <w:t>Comcare is focused on delivering the strategic priorities in its corporate plan – being a national regulator and insurer and an adaptable organisation demonstrating leadership in minimising harm in the workplace</w:t>
      </w:r>
      <w:r w:rsidRPr="0011516D">
        <w:t xml:space="preserve">. </w:t>
      </w:r>
    </w:p>
    <w:p w:rsidR="005449D2" w:rsidRPr="0011516D" w:rsidRDefault="005449D2" w:rsidP="005449D2">
      <w:r w:rsidRPr="0011516D">
        <w:t xml:space="preserve">In addition to claims management and regulatory responsibilities, Comcare manages Commonwealth common law liabilities for asbestos compensation. The agency also provides secretariat and related functions to support the Safety, Rehabilitation and Compensation Commission (SRCC) and the Seafarers Safety, Rehabilitation and Compensation Authority (Seacare Authority). </w:t>
      </w:r>
    </w:p>
    <w:p w:rsidR="005449D2" w:rsidRDefault="005449D2" w:rsidP="005449D2">
      <w:pPr>
        <w:spacing w:after="80"/>
      </w:pPr>
      <w:r>
        <w:t>Comcare’s national strategic priorities in 2017–18 include:</w:t>
      </w:r>
    </w:p>
    <w:p w:rsidR="005449D2" w:rsidRPr="00E73C04" w:rsidRDefault="005449D2" w:rsidP="005449D2">
      <w:pPr>
        <w:numPr>
          <w:ilvl w:val="0"/>
          <w:numId w:val="22"/>
        </w:numPr>
        <w:spacing w:after="80"/>
        <w:ind w:left="567" w:hanging="283"/>
      </w:pPr>
      <w:r>
        <w:t xml:space="preserve">being a </w:t>
      </w:r>
      <w:r w:rsidRPr="00E73C04">
        <w:t xml:space="preserve">national regulator: working with employers, employees and other stakeholders to deliver consistent, risk-based regulation to improve work health, safety and rehabilitation outcomes. By embedding the compliance and enforcement framework, implementing the risk based regulatory model, and ensuring national </w:t>
      </w:r>
      <w:r>
        <w:t>consistency in service delivery</w:t>
      </w:r>
    </w:p>
    <w:p w:rsidR="005449D2" w:rsidRPr="00E73C04" w:rsidRDefault="005449D2" w:rsidP="005449D2">
      <w:pPr>
        <w:numPr>
          <w:ilvl w:val="0"/>
          <w:numId w:val="22"/>
        </w:numPr>
        <w:spacing w:after="80"/>
        <w:ind w:left="567" w:hanging="283"/>
      </w:pPr>
      <w:r>
        <w:t xml:space="preserve">being a </w:t>
      </w:r>
      <w:r w:rsidRPr="00E73C04">
        <w:t>leading insurer: working with employers and employees to minimise the impact of harm in workplaces, facilitate return to work and recovery at work, and deliver sustainable management of the fund. Through sustainable management of the fund’s liabilities and responsive, relev</w:t>
      </w:r>
      <w:r>
        <w:t>ant and cost effective services</w:t>
      </w:r>
    </w:p>
    <w:p w:rsidR="005449D2" w:rsidRPr="00E73C04" w:rsidRDefault="005449D2" w:rsidP="005449D2">
      <w:pPr>
        <w:numPr>
          <w:ilvl w:val="0"/>
          <w:numId w:val="22"/>
        </w:numPr>
        <w:spacing w:after="80"/>
        <w:ind w:left="567" w:hanging="283"/>
      </w:pPr>
      <w:r w:rsidRPr="00E73C04">
        <w:t>delivering excellence in scheme management and design: working with scheme participants to achieve sustainable and better practice national schemes. By engaging with scheme participants and experts to inform and improve scheme design, successfully implementing improvements across the schemes, and monitoring and reviewing scheme performance</w:t>
      </w:r>
    </w:p>
    <w:p w:rsidR="005449D2" w:rsidRDefault="005449D2" w:rsidP="005449D2">
      <w:pPr>
        <w:numPr>
          <w:ilvl w:val="0"/>
          <w:numId w:val="22"/>
        </w:numPr>
        <w:spacing w:after="80"/>
        <w:ind w:left="567" w:hanging="283"/>
      </w:pPr>
      <w:r w:rsidRPr="00E73C04">
        <w:t>delivering efficient and effective operations: working together to enable the business to achieve Comcare’s Outcome. By providing strategic advice to effectively enable and support the organisation to deliver business outcomes, streamlining business systems, processes and practices, and delivering core business systems.</w:t>
      </w:r>
    </w:p>
    <w:p w:rsidR="005449D2" w:rsidRPr="00E73C04" w:rsidRDefault="005449D2" w:rsidP="005449D2">
      <w:pPr>
        <w:spacing w:after="80"/>
        <w:ind w:left="567"/>
      </w:pPr>
    </w:p>
    <w:p w:rsidR="005449D2" w:rsidRDefault="005449D2" w:rsidP="005449D2">
      <w:pPr>
        <w:spacing w:after="80"/>
      </w:pPr>
      <w:r>
        <w:t>Comcare will continue to:</w:t>
      </w:r>
    </w:p>
    <w:p w:rsidR="005449D2" w:rsidRDefault="005449D2" w:rsidP="005449D2">
      <w:pPr>
        <w:numPr>
          <w:ilvl w:val="0"/>
          <w:numId w:val="35"/>
        </w:numPr>
        <w:spacing w:after="80"/>
        <w:ind w:left="567"/>
      </w:pPr>
      <w:r>
        <w:t>work with employers to deliver best practice in rehabilitation and compensation claims management to achieve early and safe return to work for employees covered by the Comcare scheme</w:t>
      </w:r>
    </w:p>
    <w:p w:rsidR="005449D2" w:rsidRDefault="005449D2" w:rsidP="005449D2">
      <w:pPr>
        <w:numPr>
          <w:ilvl w:val="0"/>
          <w:numId w:val="35"/>
        </w:numPr>
        <w:spacing w:after="80"/>
        <w:ind w:left="567"/>
      </w:pPr>
      <w:r>
        <w:t>deliver education, assurance and enforcement to protect the health, safety and welfare of employees</w:t>
      </w:r>
    </w:p>
    <w:p w:rsidR="005449D2" w:rsidRDefault="005449D2" w:rsidP="005449D2">
      <w:pPr>
        <w:numPr>
          <w:ilvl w:val="0"/>
          <w:numId w:val="35"/>
        </w:numPr>
        <w:ind w:left="567"/>
      </w:pPr>
      <w:r>
        <w:t>provide access to compensation for people with asbestos-related diseases where the Commonwealth has liability through the management of claims.</w:t>
      </w:r>
    </w:p>
    <w:p w:rsidR="005449D2" w:rsidRDefault="005449D2" w:rsidP="005449D2">
      <w:pPr>
        <w:pStyle w:val="Heading3"/>
      </w:pPr>
      <w:r w:rsidRPr="0079797F">
        <w:br w:type="page"/>
      </w:r>
      <w:bookmarkStart w:id="26" w:name="_Toc479589108"/>
      <w:bookmarkStart w:id="27" w:name="_Toc479613738"/>
      <w:bookmarkStart w:id="28" w:name="_Toc479796475"/>
      <w:bookmarkStart w:id="29" w:name="_Toc479796547"/>
      <w:bookmarkStart w:id="30" w:name="_Toc479844073"/>
      <w:bookmarkStart w:id="31" w:name="_Toc479848681"/>
      <w:bookmarkStart w:id="32" w:name="_Toc480270246"/>
      <w:bookmarkStart w:id="33" w:name="_Toc480459395"/>
      <w:bookmarkStart w:id="34" w:name="_Toc480459468"/>
      <w:r>
        <w:t>1.2</w:t>
      </w:r>
      <w:r>
        <w:tab/>
        <w:t>Entity resource statement</w:t>
      </w:r>
      <w:bookmarkEnd w:id="26"/>
      <w:bookmarkEnd w:id="27"/>
      <w:bookmarkEnd w:id="28"/>
      <w:bookmarkEnd w:id="29"/>
      <w:bookmarkEnd w:id="30"/>
      <w:bookmarkEnd w:id="31"/>
      <w:bookmarkEnd w:id="32"/>
      <w:bookmarkEnd w:id="33"/>
      <w:bookmarkEnd w:id="34"/>
    </w:p>
    <w:p w:rsidR="005449D2" w:rsidRDefault="005449D2" w:rsidP="005449D2">
      <w:r>
        <w:t>Table 1.1 shows the total funding from all sources available to the entity for its operations and to deliver programs and services on behalf of the Government.</w:t>
      </w:r>
    </w:p>
    <w:p w:rsidR="005449D2" w:rsidRDefault="005449D2" w:rsidP="005449D2">
      <w:r>
        <w:t>The table summarises how resources will be applied by outcome (government strategic policy objectives) and by administered (on behalf of the Government or the public) and departmental (for the entity’s operations) classification.</w:t>
      </w:r>
    </w:p>
    <w:p w:rsidR="005449D2" w:rsidRDefault="005449D2" w:rsidP="005449D2">
      <w:r>
        <w:t xml:space="preserve">For more detailed information, please refer to </w:t>
      </w:r>
      <w:r>
        <w:rPr>
          <w:i/>
        </w:rPr>
        <w:t>Budget Paper No. 4—</w:t>
      </w:r>
      <w:r w:rsidRPr="00412C0B">
        <w:rPr>
          <w:i/>
        </w:rPr>
        <w:t>Agency Resourcing</w:t>
      </w:r>
      <w:r>
        <w:t>.</w:t>
      </w:r>
    </w:p>
    <w:p w:rsidR="005449D2" w:rsidRDefault="005449D2" w:rsidP="005449D2">
      <w:r>
        <w:t xml:space="preserve">Information in this table is presented on a resourcing (that is, appropriations/cash available) basis, whilst the ‘Budgeted expenses for Outcome 1’ tables in Section 2 and the financial statements in Section 3 are presented on an accrual basis. </w:t>
      </w:r>
    </w:p>
    <w:p w:rsidR="005449D2" w:rsidRPr="003845B7" w:rsidRDefault="005449D2" w:rsidP="005449D2">
      <w:pPr>
        <w:pStyle w:val="TableHeading"/>
        <w:rPr>
          <w:lang w:val="en-AU"/>
        </w:rPr>
      </w:pPr>
      <w:r w:rsidRPr="005731D3">
        <w:t xml:space="preserve">Table 1.1: </w:t>
      </w:r>
      <w:r>
        <w:rPr>
          <w:lang w:val="en-AU"/>
        </w:rPr>
        <w:t xml:space="preserve">Comcare </w:t>
      </w:r>
      <w:r>
        <w:t>resource statement</w:t>
      </w:r>
      <w:r>
        <w:rPr>
          <w:lang w:val="en-AU"/>
        </w:rPr>
        <w:t>—</w:t>
      </w:r>
      <w:r w:rsidRPr="005731D3">
        <w:t xml:space="preserve">Budget estimates for </w:t>
      </w:r>
      <w:r>
        <w:t>2017</w:t>
      </w:r>
      <w:r>
        <w:rPr>
          <w:lang w:val="en-AU"/>
        </w:rPr>
        <w:t>–</w:t>
      </w:r>
      <w:r>
        <w:t>18</w:t>
      </w:r>
      <w:r w:rsidRPr="005731D3">
        <w:t xml:space="preserve"> as at Budget May 201</w:t>
      </w:r>
      <w:r>
        <w:rPr>
          <w:lang w:val="en-AU"/>
        </w:rPr>
        <w:t>7</w:t>
      </w:r>
    </w:p>
    <w:tbl>
      <w:tblPr>
        <w:tblW w:w="7737" w:type="dxa"/>
        <w:tblInd w:w="93" w:type="dxa"/>
        <w:tblLook w:val="04A0" w:firstRow="1" w:lastRow="0" w:firstColumn="1" w:lastColumn="0" w:noHBand="0" w:noVBand="1"/>
      </w:tblPr>
      <w:tblGrid>
        <w:gridCol w:w="5447"/>
        <w:gridCol w:w="1145"/>
        <w:gridCol w:w="1145"/>
      </w:tblGrid>
      <w:tr w:rsidR="005449D2" w:rsidRPr="00316F2B" w:rsidTr="003F0F8A">
        <w:trPr>
          <w:trHeight w:val="800"/>
        </w:trPr>
        <w:tc>
          <w:tcPr>
            <w:tcW w:w="5447" w:type="dxa"/>
            <w:tcBorders>
              <w:top w:val="single" w:sz="4" w:space="0" w:color="auto"/>
              <w:left w:val="nil"/>
              <w:bottom w:val="nil"/>
              <w:right w:val="nil"/>
            </w:tcBorders>
            <w:shd w:val="clear" w:color="000000" w:fill="FFFFFF"/>
            <w:noWrap/>
            <w:vAlign w:val="bottom"/>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1145" w:type="dxa"/>
            <w:tcBorders>
              <w:top w:val="single" w:sz="4" w:space="0" w:color="auto"/>
              <w:left w:val="nil"/>
              <w:bottom w:val="single" w:sz="4" w:space="0" w:color="auto"/>
              <w:right w:val="nil"/>
            </w:tcBorders>
            <w:shd w:val="clear" w:color="000000" w:fill="FFFFFF"/>
            <w:vAlign w:val="center"/>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2016–17 Estimated actual</w:t>
            </w:r>
            <w:r w:rsidRPr="00316F2B">
              <w:rPr>
                <w:rFonts w:ascii="Arial" w:hAnsi="Arial" w:cs="Arial"/>
                <w:i/>
                <w:iCs/>
                <w:color w:val="000000"/>
                <w:sz w:val="16"/>
                <w:szCs w:val="16"/>
              </w:rPr>
              <w:br/>
              <w:t>$'000</w:t>
            </w:r>
          </w:p>
        </w:tc>
        <w:tc>
          <w:tcPr>
            <w:tcW w:w="1145" w:type="dxa"/>
            <w:tcBorders>
              <w:top w:val="single" w:sz="4" w:space="0" w:color="auto"/>
              <w:left w:val="nil"/>
              <w:bottom w:val="single" w:sz="4" w:space="0" w:color="auto"/>
              <w:right w:val="nil"/>
            </w:tcBorders>
            <w:shd w:val="clear" w:color="000000" w:fill="E6E6E6"/>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2017–18 Estimate</w:t>
            </w:r>
            <w:r w:rsidRPr="00316F2B">
              <w:rPr>
                <w:rFonts w:ascii="Arial" w:hAnsi="Arial" w:cs="Arial"/>
                <w:color w:val="000000"/>
                <w:sz w:val="16"/>
                <w:szCs w:val="16"/>
              </w:rPr>
              <w:br/>
            </w:r>
            <w:r w:rsidRPr="00316F2B">
              <w:rPr>
                <w:rFonts w:ascii="Arial" w:hAnsi="Arial" w:cs="Arial"/>
                <w:color w:val="000000"/>
                <w:sz w:val="16"/>
                <w:szCs w:val="16"/>
              </w:rPr>
              <w:br/>
              <w:t>$'000</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Opening Balance/Cash Reserves at 1 July</w:t>
            </w:r>
          </w:p>
        </w:tc>
        <w:tc>
          <w:tcPr>
            <w:tcW w:w="1145" w:type="dxa"/>
            <w:tcBorders>
              <w:top w:val="nil"/>
              <w:left w:val="nil"/>
              <w:bottom w:val="single" w:sz="4" w:space="0" w:color="auto"/>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xml:space="preserve">820,339 </w:t>
            </w:r>
          </w:p>
        </w:tc>
        <w:tc>
          <w:tcPr>
            <w:tcW w:w="1145" w:type="dxa"/>
            <w:tcBorders>
              <w:top w:val="nil"/>
              <w:left w:val="nil"/>
              <w:bottom w:val="single" w:sz="4" w:space="0" w:color="auto"/>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949,189 </w:t>
            </w:r>
          </w:p>
        </w:tc>
      </w:tr>
      <w:tr w:rsidR="005449D2" w:rsidRPr="00316F2B" w:rsidTr="003F0F8A">
        <w:trPr>
          <w:trHeight w:val="256"/>
        </w:trPr>
        <w:tc>
          <w:tcPr>
            <w:tcW w:w="5447" w:type="dxa"/>
            <w:tcBorders>
              <w:top w:val="nil"/>
              <w:left w:val="nil"/>
              <w:bottom w:val="nil"/>
              <w:right w:val="nil"/>
            </w:tcBorders>
            <w:shd w:val="clear" w:color="000000" w:fill="FFFFFF"/>
            <w:vAlign w:val="bottom"/>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Funds from Government</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Annual appropriations—ordinary annual services (a)</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ind w:firstLineChars="200" w:firstLine="320"/>
              <w:rPr>
                <w:rFonts w:ascii="Arial" w:hAnsi="Arial" w:cs="Arial"/>
                <w:color w:val="000000"/>
                <w:sz w:val="16"/>
                <w:szCs w:val="16"/>
              </w:rPr>
            </w:pPr>
            <w:r w:rsidRPr="00316F2B">
              <w:rPr>
                <w:rFonts w:ascii="Arial" w:hAnsi="Arial" w:cs="Arial"/>
                <w:color w:val="000000"/>
                <w:sz w:val="16"/>
                <w:szCs w:val="16"/>
              </w:rPr>
              <w:t>Outcome 1</w:t>
            </w:r>
          </w:p>
        </w:tc>
        <w:tc>
          <w:tcPr>
            <w:tcW w:w="1145" w:type="dxa"/>
            <w:tcBorders>
              <w:top w:val="nil"/>
              <w:left w:val="nil"/>
              <w:bottom w:val="nil"/>
              <w:right w:val="nil"/>
            </w:tcBorders>
            <w:shd w:val="clear" w:color="auto" w:fill="auto"/>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xml:space="preserve">6,119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6,020 </w:t>
            </w:r>
          </w:p>
        </w:tc>
      </w:tr>
      <w:tr w:rsidR="005449D2" w:rsidRPr="00316F2B" w:rsidTr="003F0F8A">
        <w:trPr>
          <w:trHeight w:val="224"/>
        </w:trPr>
        <w:tc>
          <w:tcPr>
            <w:tcW w:w="5447" w:type="dxa"/>
            <w:tcBorders>
              <w:top w:val="nil"/>
              <w:left w:val="nil"/>
              <w:bottom w:val="nil"/>
              <w:right w:val="nil"/>
            </w:tcBorders>
            <w:shd w:val="clear" w:color="000000" w:fill="FFFFFF"/>
            <w:vAlign w:val="bottom"/>
            <w:hideMark/>
          </w:tcPr>
          <w:p w:rsidR="005449D2" w:rsidRPr="00316F2B" w:rsidRDefault="005449D2" w:rsidP="003F0F8A">
            <w:pPr>
              <w:spacing w:after="0" w:line="240" w:lineRule="auto"/>
              <w:rPr>
                <w:rFonts w:ascii="Arial" w:hAnsi="Arial" w:cs="Arial"/>
                <w:i/>
                <w:iCs/>
                <w:color w:val="000000"/>
                <w:sz w:val="16"/>
                <w:szCs w:val="16"/>
              </w:rPr>
            </w:pPr>
            <w:r w:rsidRPr="00316F2B">
              <w:rPr>
                <w:rFonts w:ascii="Arial" w:hAnsi="Arial" w:cs="Arial"/>
                <w:i/>
                <w:iCs/>
                <w:color w:val="000000"/>
                <w:sz w:val="16"/>
                <w:szCs w:val="16"/>
              </w:rPr>
              <w:t>Total annual appropriations</w:t>
            </w:r>
          </w:p>
        </w:tc>
        <w:tc>
          <w:tcPr>
            <w:tcW w:w="1145" w:type="dxa"/>
            <w:tcBorders>
              <w:top w:val="single" w:sz="4" w:space="0" w:color="auto"/>
              <w:left w:val="nil"/>
              <w:bottom w:val="single" w:sz="4" w:space="0" w:color="auto"/>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xml:space="preserve">6,119 </w:t>
            </w:r>
          </w:p>
        </w:tc>
        <w:tc>
          <w:tcPr>
            <w:tcW w:w="1145" w:type="dxa"/>
            <w:tcBorders>
              <w:top w:val="single" w:sz="4" w:space="0" w:color="auto"/>
              <w:left w:val="nil"/>
              <w:bottom w:val="single" w:sz="4" w:space="0" w:color="auto"/>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6,020 </w:t>
            </w:r>
          </w:p>
        </w:tc>
      </w:tr>
      <w:tr w:rsidR="005449D2" w:rsidRPr="00316F2B" w:rsidTr="003F0F8A">
        <w:trPr>
          <w:trHeight w:val="217"/>
        </w:trPr>
        <w:tc>
          <w:tcPr>
            <w:tcW w:w="5447" w:type="dxa"/>
            <w:tcBorders>
              <w:top w:val="nil"/>
              <w:left w:val="nil"/>
              <w:bottom w:val="nil"/>
              <w:right w:val="nil"/>
            </w:tcBorders>
            <w:shd w:val="clear" w:color="000000" w:fill="FFFFFF"/>
            <w:vAlign w:val="bottom"/>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Amounts Received From Related Entities</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ind w:firstLineChars="200" w:firstLine="320"/>
              <w:rPr>
                <w:rFonts w:ascii="Arial" w:hAnsi="Arial" w:cs="Arial"/>
                <w:color w:val="000000"/>
                <w:sz w:val="16"/>
                <w:szCs w:val="16"/>
              </w:rPr>
            </w:pPr>
            <w:r w:rsidRPr="00316F2B">
              <w:rPr>
                <w:rFonts w:ascii="Arial" w:hAnsi="Arial" w:cs="Arial"/>
                <w:color w:val="000000"/>
                <w:sz w:val="16"/>
                <w:szCs w:val="16"/>
              </w:rPr>
              <w:t>Amounts from portfolio department (b)</w:t>
            </w:r>
          </w:p>
        </w:tc>
        <w:tc>
          <w:tcPr>
            <w:tcW w:w="1145" w:type="dxa"/>
            <w:tcBorders>
              <w:top w:val="nil"/>
              <w:left w:val="nil"/>
              <w:bottom w:val="nil"/>
              <w:right w:val="nil"/>
            </w:tcBorders>
            <w:shd w:val="clear" w:color="000000" w:fill="FFFFFF"/>
            <w:noWrap/>
            <w:vAlign w:val="bottom"/>
            <w:hideMark/>
          </w:tcPr>
          <w:p w:rsidR="005449D2" w:rsidRPr="00BD04BC" w:rsidRDefault="005449D2" w:rsidP="003F0F8A">
            <w:pPr>
              <w:spacing w:after="0" w:line="240" w:lineRule="auto"/>
              <w:jc w:val="right"/>
              <w:rPr>
                <w:rFonts w:ascii="Arial" w:hAnsi="Arial" w:cs="Arial"/>
                <w:i/>
                <w:color w:val="000000"/>
                <w:sz w:val="16"/>
                <w:szCs w:val="16"/>
              </w:rPr>
            </w:pPr>
            <w:r w:rsidRPr="00BD04BC">
              <w:rPr>
                <w:rFonts w:ascii="Arial" w:hAnsi="Arial" w:cs="Arial"/>
                <w:i/>
                <w:color w:val="000000"/>
                <w:sz w:val="16"/>
                <w:szCs w:val="16"/>
              </w:rPr>
              <w:t xml:space="preserve">64,227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66,874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rPr>
                <w:rFonts w:ascii="Arial" w:hAnsi="Arial" w:cs="Arial"/>
                <w:i/>
                <w:iCs/>
                <w:color w:val="000000"/>
                <w:sz w:val="16"/>
                <w:szCs w:val="16"/>
              </w:rPr>
            </w:pPr>
            <w:r w:rsidRPr="00316F2B">
              <w:rPr>
                <w:rFonts w:ascii="Arial" w:hAnsi="Arial" w:cs="Arial"/>
                <w:i/>
                <w:iCs/>
                <w:color w:val="000000"/>
                <w:sz w:val="16"/>
                <w:szCs w:val="16"/>
              </w:rPr>
              <w:t>Total amounts received from related entities</w:t>
            </w:r>
          </w:p>
        </w:tc>
        <w:tc>
          <w:tcPr>
            <w:tcW w:w="1145" w:type="dxa"/>
            <w:tcBorders>
              <w:top w:val="single" w:sz="4" w:space="0" w:color="auto"/>
              <w:left w:val="nil"/>
              <w:bottom w:val="single" w:sz="4" w:space="0" w:color="auto"/>
              <w:right w:val="nil"/>
            </w:tcBorders>
            <w:shd w:val="clear" w:color="000000" w:fill="FFFFFF"/>
            <w:noWrap/>
            <w:vAlign w:val="bottom"/>
            <w:hideMark/>
          </w:tcPr>
          <w:p w:rsidR="005449D2" w:rsidRPr="00BD04BC" w:rsidRDefault="005449D2" w:rsidP="003F0F8A">
            <w:pPr>
              <w:spacing w:after="0" w:line="240" w:lineRule="auto"/>
              <w:jc w:val="right"/>
              <w:rPr>
                <w:rFonts w:ascii="Arial" w:hAnsi="Arial" w:cs="Arial"/>
                <w:i/>
                <w:iCs/>
                <w:color w:val="000000"/>
                <w:sz w:val="16"/>
                <w:szCs w:val="16"/>
              </w:rPr>
            </w:pPr>
            <w:r w:rsidRPr="00BD04BC">
              <w:rPr>
                <w:rFonts w:ascii="Arial" w:hAnsi="Arial" w:cs="Arial"/>
                <w:i/>
                <w:iCs/>
                <w:color w:val="000000"/>
                <w:sz w:val="16"/>
                <w:szCs w:val="16"/>
              </w:rPr>
              <w:t xml:space="preserve">64,227 </w:t>
            </w:r>
          </w:p>
        </w:tc>
        <w:tc>
          <w:tcPr>
            <w:tcW w:w="1145" w:type="dxa"/>
            <w:tcBorders>
              <w:top w:val="single" w:sz="4" w:space="0" w:color="auto"/>
              <w:left w:val="nil"/>
              <w:bottom w:val="single" w:sz="4" w:space="0" w:color="auto"/>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66,874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rPr>
                <w:rFonts w:ascii="Arial" w:hAnsi="Arial" w:cs="Arial"/>
                <w:b/>
                <w:bCs/>
                <w:i/>
                <w:iCs/>
                <w:color w:val="000000"/>
                <w:sz w:val="16"/>
                <w:szCs w:val="16"/>
              </w:rPr>
            </w:pPr>
            <w:r w:rsidRPr="00316F2B">
              <w:rPr>
                <w:rFonts w:ascii="Arial" w:hAnsi="Arial" w:cs="Arial"/>
                <w:b/>
                <w:bCs/>
                <w:i/>
                <w:iCs/>
                <w:color w:val="000000"/>
                <w:sz w:val="16"/>
                <w:szCs w:val="16"/>
              </w:rPr>
              <w:t>Total Funds from Government</w:t>
            </w:r>
          </w:p>
        </w:tc>
        <w:tc>
          <w:tcPr>
            <w:tcW w:w="1145" w:type="dxa"/>
            <w:tcBorders>
              <w:top w:val="nil"/>
              <w:left w:val="nil"/>
              <w:bottom w:val="single" w:sz="4" w:space="0" w:color="auto"/>
              <w:right w:val="nil"/>
            </w:tcBorders>
            <w:shd w:val="clear" w:color="000000" w:fill="FFFFFF"/>
            <w:noWrap/>
            <w:vAlign w:val="bottom"/>
            <w:hideMark/>
          </w:tcPr>
          <w:p w:rsidR="005449D2" w:rsidRPr="00BD04BC" w:rsidRDefault="005449D2" w:rsidP="003F0F8A">
            <w:pPr>
              <w:spacing w:after="0" w:line="240" w:lineRule="auto"/>
              <w:jc w:val="right"/>
              <w:rPr>
                <w:rFonts w:ascii="Arial" w:hAnsi="Arial" w:cs="Arial"/>
                <w:b/>
                <w:bCs/>
                <w:i/>
                <w:color w:val="000000"/>
                <w:sz w:val="16"/>
                <w:szCs w:val="16"/>
              </w:rPr>
            </w:pPr>
            <w:r w:rsidRPr="00BD04BC">
              <w:rPr>
                <w:rFonts w:ascii="Arial" w:hAnsi="Arial" w:cs="Arial"/>
                <w:b/>
                <w:bCs/>
                <w:i/>
                <w:color w:val="000000"/>
                <w:sz w:val="16"/>
                <w:szCs w:val="16"/>
              </w:rPr>
              <w:t xml:space="preserve">70,346 </w:t>
            </w:r>
          </w:p>
        </w:tc>
        <w:tc>
          <w:tcPr>
            <w:tcW w:w="1145" w:type="dxa"/>
            <w:tcBorders>
              <w:top w:val="nil"/>
              <w:left w:val="nil"/>
              <w:bottom w:val="single" w:sz="4" w:space="0" w:color="auto"/>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72,894 </w:t>
            </w:r>
          </w:p>
        </w:tc>
      </w:tr>
      <w:tr w:rsidR="005449D2" w:rsidRPr="00316F2B" w:rsidTr="003F0F8A">
        <w:trPr>
          <w:trHeight w:val="217"/>
        </w:trPr>
        <w:tc>
          <w:tcPr>
            <w:tcW w:w="5447" w:type="dxa"/>
            <w:tcBorders>
              <w:top w:val="nil"/>
              <w:left w:val="nil"/>
              <w:bottom w:val="nil"/>
              <w:right w:val="nil"/>
            </w:tcBorders>
            <w:shd w:val="clear" w:color="000000" w:fill="FFFFFF"/>
            <w:vAlign w:val="bottom"/>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Funds from Industry Sources</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License Fees</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xml:space="preserve">16,248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15,884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Total Funds from Industry Sources</w:t>
            </w:r>
          </w:p>
        </w:tc>
        <w:tc>
          <w:tcPr>
            <w:tcW w:w="1145" w:type="dxa"/>
            <w:tcBorders>
              <w:top w:val="single" w:sz="4" w:space="0" w:color="auto"/>
              <w:left w:val="nil"/>
              <w:bottom w:val="single" w:sz="4" w:space="0" w:color="auto"/>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16,248 </w:t>
            </w:r>
          </w:p>
        </w:tc>
        <w:tc>
          <w:tcPr>
            <w:tcW w:w="1145" w:type="dxa"/>
            <w:tcBorders>
              <w:top w:val="single" w:sz="4" w:space="0" w:color="auto"/>
              <w:left w:val="nil"/>
              <w:bottom w:val="single" w:sz="4" w:space="0" w:color="auto"/>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15,884 </w:t>
            </w:r>
          </w:p>
        </w:tc>
      </w:tr>
      <w:tr w:rsidR="005449D2" w:rsidRPr="00316F2B" w:rsidTr="003F0F8A">
        <w:trPr>
          <w:trHeight w:val="217"/>
        </w:trPr>
        <w:tc>
          <w:tcPr>
            <w:tcW w:w="5447" w:type="dxa"/>
            <w:tcBorders>
              <w:top w:val="nil"/>
              <w:left w:val="nil"/>
              <w:bottom w:val="nil"/>
              <w:right w:val="nil"/>
            </w:tcBorders>
            <w:shd w:val="clear" w:color="000000" w:fill="FFFFFF"/>
            <w:vAlign w:val="bottom"/>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Funds from Other Sources</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Interest</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xml:space="preserve">29,712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31,313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Sale of Goods and Services</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xml:space="preserve">1,561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2,770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Regulatory Contributions</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xml:space="preserve">19,978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19,506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Workers Compensation Premiums</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xml:space="preserve">408,142 </w:t>
            </w:r>
          </w:p>
        </w:tc>
        <w:tc>
          <w:tcPr>
            <w:tcW w:w="1145" w:type="dxa"/>
            <w:tcBorders>
              <w:top w:val="nil"/>
              <w:left w:val="nil"/>
              <w:bottom w:val="nil"/>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289,768 </w:t>
            </w:r>
          </w:p>
        </w:tc>
      </w:tr>
      <w:tr w:rsidR="005449D2" w:rsidRPr="00316F2B" w:rsidTr="003F0F8A">
        <w:trPr>
          <w:trHeight w:val="21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rPr>
                <w:rFonts w:ascii="Arial" w:hAnsi="Arial" w:cs="Arial"/>
                <w:b/>
                <w:bCs/>
                <w:i/>
                <w:iCs/>
                <w:color w:val="000000"/>
                <w:sz w:val="16"/>
                <w:szCs w:val="16"/>
              </w:rPr>
            </w:pPr>
            <w:r w:rsidRPr="00316F2B">
              <w:rPr>
                <w:rFonts w:ascii="Arial" w:hAnsi="Arial" w:cs="Arial"/>
                <w:b/>
                <w:bCs/>
                <w:i/>
                <w:iCs/>
                <w:color w:val="000000"/>
                <w:sz w:val="16"/>
                <w:szCs w:val="16"/>
              </w:rPr>
              <w:t>Total Funds from Other Sources</w:t>
            </w:r>
          </w:p>
        </w:tc>
        <w:tc>
          <w:tcPr>
            <w:tcW w:w="1145" w:type="dxa"/>
            <w:tcBorders>
              <w:top w:val="single" w:sz="4" w:space="0" w:color="auto"/>
              <w:left w:val="nil"/>
              <w:bottom w:val="single" w:sz="4" w:space="0" w:color="auto"/>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459,393 </w:t>
            </w:r>
          </w:p>
        </w:tc>
        <w:tc>
          <w:tcPr>
            <w:tcW w:w="1145" w:type="dxa"/>
            <w:tcBorders>
              <w:top w:val="single" w:sz="4" w:space="0" w:color="auto"/>
              <w:left w:val="nil"/>
              <w:bottom w:val="single" w:sz="4" w:space="0" w:color="auto"/>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343,357 </w:t>
            </w:r>
          </w:p>
        </w:tc>
      </w:tr>
      <w:tr w:rsidR="005449D2" w:rsidRPr="00316F2B" w:rsidTr="003F0F8A">
        <w:trPr>
          <w:trHeight w:val="217"/>
        </w:trPr>
        <w:tc>
          <w:tcPr>
            <w:tcW w:w="5447" w:type="dxa"/>
            <w:tcBorders>
              <w:top w:val="nil"/>
              <w:left w:val="nil"/>
              <w:bottom w:val="single" w:sz="4" w:space="0" w:color="auto"/>
              <w:right w:val="nil"/>
            </w:tcBorders>
            <w:shd w:val="clear" w:color="000000" w:fill="FFFFFF"/>
            <w:noWrap/>
            <w:vAlign w:val="bottom"/>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Total net resourcing for Comcare</w:t>
            </w:r>
          </w:p>
        </w:tc>
        <w:tc>
          <w:tcPr>
            <w:tcW w:w="1145" w:type="dxa"/>
            <w:tcBorders>
              <w:top w:val="nil"/>
              <w:left w:val="nil"/>
              <w:bottom w:val="single" w:sz="4" w:space="0" w:color="auto"/>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1,366,326 </w:t>
            </w:r>
          </w:p>
        </w:tc>
        <w:tc>
          <w:tcPr>
            <w:tcW w:w="1145" w:type="dxa"/>
            <w:tcBorders>
              <w:top w:val="nil"/>
              <w:left w:val="nil"/>
              <w:bottom w:val="single" w:sz="4" w:space="0" w:color="auto"/>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1,381,324 </w:t>
            </w:r>
          </w:p>
        </w:tc>
      </w:tr>
      <w:tr w:rsidR="005449D2" w:rsidRPr="00316F2B" w:rsidTr="003F0F8A">
        <w:trPr>
          <w:trHeight w:val="107"/>
        </w:trPr>
        <w:tc>
          <w:tcPr>
            <w:tcW w:w="5447"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w:t>
            </w:r>
          </w:p>
        </w:tc>
        <w:tc>
          <w:tcPr>
            <w:tcW w:w="1145" w:type="dxa"/>
            <w:tcBorders>
              <w:top w:val="nil"/>
              <w:left w:val="nil"/>
              <w:bottom w:val="nil"/>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w:t>
            </w:r>
          </w:p>
        </w:tc>
      </w:tr>
      <w:tr w:rsidR="005449D2" w:rsidRPr="00316F2B" w:rsidTr="003F0F8A">
        <w:trPr>
          <w:trHeight w:val="217"/>
        </w:trPr>
        <w:tc>
          <w:tcPr>
            <w:tcW w:w="5447" w:type="dxa"/>
            <w:tcBorders>
              <w:top w:val="single" w:sz="4" w:space="0" w:color="auto"/>
              <w:left w:val="nil"/>
              <w:bottom w:val="nil"/>
              <w:right w:val="nil"/>
            </w:tcBorders>
            <w:shd w:val="clear" w:color="000000" w:fill="FFFFFF"/>
            <w:noWrap/>
            <w:vAlign w:val="bottom"/>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1145" w:type="dxa"/>
            <w:tcBorders>
              <w:top w:val="single" w:sz="4" w:space="0" w:color="auto"/>
              <w:left w:val="nil"/>
              <w:bottom w:val="single" w:sz="4" w:space="0" w:color="auto"/>
              <w:right w:val="nil"/>
            </w:tcBorders>
            <w:shd w:val="clear" w:color="000000" w:fill="FFFFFF"/>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2016–17</w:t>
            </w:r>
          </w:p>
        </w:tc>
        <w:tc>
          <w:tcPr>
            <w:tcW w:w="1145" w:type="dxa"/>
            <w:tcBorders>
              <w:top w:val="single" w:sz="4" w:space="0" w:color="auto"/>
              <w:left w:val="nil"/>
              <w:bottom w:val="single" w:sz="4" w:space="0" w:color="auto"/>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2017–18</w:t>
            </w:r>
          </w:p>
        </w:tc>
      </w:tr>
      <w:tr w:rsidR="005449D2" w:rsidRPr="00316F2B" w:rsidTr="003F0F8A">
        <w:trPr>
          <w:trHeight w:val="217"/>
        </w:trPr>
        <w:tc>
          <w:tcPr>
            <w:tcW w:w="5447" w:type="dxa"/>
            <w:tcBorders>
              <w:top w:val="nil"/>
              <w:left w:val="nil"/>
              <w:bottom w:val="single" w:sz="4" w:space="0" w:color="auto"/>
              <w:right w:val="nil"/>
            </w:tcBorders>
            <w:shd w:val="clear" w:color="000000" w:fill="FFFFFF"/>
            <w:noWrap/>
            <w:vAlign w:val="bottom"/>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Average staffing level (number)</w:t>
            </w:r>
          </w:p>
        </w:tc>
        <w:tc>
          <w:tcPr>
            <w:tcW w:w="1145" w:type="dxa"/>
            <w:tcBorders>
              <w:top w:val="nil"/>
              <w:left w:val="nil"/>
              <w:bottom w:val="single" w:sz="4" w:space="0" w:color="auto"/>
              <w:right w:val="nil"/>
            </w:tcBorders>
            <w:shd w:val="clear" w:color="auto" w:fill="auto"/>
            <w:noWrap/>
            <w:vAlign w:val="bottom"/>
            <w:hideMark/>
          </w:tcPr>
          <w:p w:rsidR="005449D2" w:rsidRPr="00316F2B" w:rsidRDefault="005449D2" w:rsidP="003F0F8A">
            <w:pPr>
              <w:spacing w:after="0" w:line="240" w:lineRule="auto"/>
              <w:jc w:val="right"/>
              <w:rPr>
                <w:rFonts w:ascii="Arial" w:hAnsi="Arial" w:cs="Arial"/>
                <w:i/>
                <w:iCs/>
                <w:color w:val="000000"/>
                <w:sz w:val="16"/>
                <w:szCs w:val="16"/>
              </w:rPr>
            </w:pPr>
            <w:r w:rsidRPr="00316F2B">
              <w:rPr>
                <w:rFonts w:ascii="Arial" w:hAnsi="Arial" w:cs="Arial"/>
                <w:i/>
                <w:iCs/>
                <w:color w:val="000000"/>
                <w:sz w:val="16"/>
                <w:szCs w:val="16"/>
              </w:rPr>
              <w:t xml:space="preserve">640 </w:t>
            </w:r>
          </w:p>
        </w:tc>
        <w:tc>
          <w:tcPr>
            <w:tcW w:w="1145" w:type="dxa"/>
            <w:tcBorders>
              <w:top w:val="nil"/>
              <w:left w:val="nil"/>
              <w:bottom w:val="single" w:sz="4" w:space="0" w:color="auto"/>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652 </w:t>
            </w:r>
          </w:p>
        </w:tc>
      </w:tr>
    </w:tbl>
    <w:p w:rsidR="005449D2" w:rsidRDefault="005449D2" w:rsidP="005449D2">
      <w:pPr>
        <w:pStyle w:val="ChartandTableFootnote"/>
        <w:spacing w:before="80"/>
      </w:pPr>
      <w:r>
        <w:t>Prepared on a resourcing (</w:t>
      </w:r>
      <w:r>
        <w:rPr>
          <w:lang w:val="en-AU"/>
        </w:rPr>
        <w:t>that is,</w:t>
      </w:r>
      <w:r>
        <w:t xml:space="preserve"> appropriations available) basis.</w:t>
      </w:r>
    </w:p>
    <w:p w:rsidR="005449D2" w:rsidRPr="00FD79EA" w:rsidRDefault="005449D2" w:rsidP="005449D2">
      <w:pPr>
        <w:pStyle w:val="ChartandTableFootnote"/>
        <w:spacing w:before="60" w:after="60"/>
        <w:jc w:val="left"/>
      </w:pPr>
      <w:r w:rsidRPr="008D3E19">
        <w:rPr>
          <w:u w:val="single"/>
        </w:rPr>
        <w:t>Please note</w:t>
      </w:r>
      <w:r>
        <w:t>: All figures shown above are GST exclusive</w:t>
      </w:r>
      <w:r>
        <w:rPr>
          <w:lang w:val="en-AU"/>
        </w:rPr>
        <w:t>—</w:t>
      </w:r>
      <w:r>
        <w:t xml:space="preserve">these may not match figures in the cash flow statement. </w:t>
      </w:r>
    </w:p>
    <w:p w:rsidR="005449D2" w:rsidRPr="005250EE" w:rsidRDefault="005449D2" w:rsidP="005449D2">
      <w:pPr>
        <w:pStyle w:val="ChartandTableFootnoteAlpha"/>
        <w:numPr>
          <w:ilvl w:val="0"/>
          <w:numId w:val="10"/>
        </w:numPr>
      </w:pPr>
      <w:r>
        <w:t>Appropriation Bill (No.1) 2017–18</w:t>
      </w:r>
      <w:r w:rsidRPr="005250EE">
        <w:t>.</w:t>
      </w:r>
    </w:p>
    <w:p w:rsidR="005449D2" w:rsidRDefault="005449D2" w:rsidP="005449D2">
      <w:pPr>
        <w:pStyle w:val="ChartandTableFootnoteAlpha"/>
        <w:jc w:val="left"/>
      </w:pPr>
      <w:r>
        <w:t xml:space="preserve">Comcare is not directly appropriated as it is a corporate Commonwealth entity. Grants from its portfolio department include special appropriations under the </w:t>
      </w:r>
      <w:r>
        <w:rPr>
          <w:i/>
        </w:rPr>
        <w:t xml:space="preserve">Safety, Rehabilitation and Compensation Act 1998 </w:t>
      </w:r>
      <w:r>
        <w:t xml:space="preserve">for the payment of pre-premium claims costs and the </w:t>
      </w:r>
      <w:r>
        <w:rPr>
          <w:i/>
        </w:rPr>
        <w:t>Asbestos-related Claims (Management of Commonwealth Liabilities) Act 2005</w:t>
      </w:r>
      <w:r>
        <w:t xml:space="preserve"> for asbestos-related claims settlements. </w:t>
      </w:r>
    </w:p>
    <w:p w:rsidR="005449D2" w:rsidRPr="005A7C0B" w:rsidRDefault="005449D2" w:rsidP="005449D2">
      <w:pPr>
        <w:pStyle w:val="Heading3"/>
        <w:spacing w:before="0"/>
      </w:pPr>
      <w:r>
        <w:br w:type="page"/>
      </w:r>
      <w:bookmarkStart w:id="35" w:name="_Toc479589109"/>
      <w:bookmarkStart w:id="36" w:name="_Toc479613739"/>
      <w:bookmarkStart w:id="37" w:name="_Toc479796476"/>
      <w:bookmarkStart w:id="38" w:name="_Toc479796548"/>
      <w:bookmarkStart w:id="39" w:name="_Toc479844074"/>
      <w:bookmarkStart w:id="40" w:name="_Toc479848682"/>
      <w:bookmarkStart w:id="41" w:name="_Toc480270247"/>
      <w:bookmarkStart w:id="42" w:name="_Toc480459396"/>
      <w:bookmarkStart w:id="43" w:name="_Toc480459469"/>
      <w:r w:rsidRPr="005A7C0B">
        <w:t>1.3</w:t>
      </w:r>
      <w:r w:rsidRPr="005A7C0B">
        <w:tab/>
        <w:t>Budget measures</w:t>
      </w:r>
      <w:bookmarkEnd w:id="35"/>
      <w:bookmarkEnd w:id="36"/>
      <w:bookmarkEnd w:id="37"/>
      <w:bookmarkEnd w:id="38"/>
      <w:bookmarkEnd w:id="39"/>
      <w:bookmarkEnd w:id="40"/>
      <w:bookmarkEnd w:id="41"/>
      <w:bookmarkEnd w:id="42"/>
      <w:bookmarkEnd w:id="43"/>
    </w:p>
    <w:p w:rsidR="005449D2" w:rsidRDefault="005449D2" w:rsidP="005449D2">
      <w:r w:rsidRPr="00DC32EC">
        <w:t xml:space="preserve">Budget measures </w:t>
      </w:r>
      <w:r>
        <w:t xml:space="preserve">in Part 1 </w:t>
      </w:r>
      <w:r w:rsidRPr="00DC32EC">
        <w:t>relating to</w:t>
      </w:r>
      <w:r>
        <w:t xml:space="preserve"> Comcare</w:t>
      </w:r>
      <w:r w:rsidRPr="00DC32EC">
        <w:t xml:space="preserve"> a</w:t>
      </w:r>
      <w:r>
        <w:t>re detailed in Budget Paper No. </w:t>
      </w:r>
      <w:r w:rsidRPr="00DC32EC">
        <w:t>2</w:t>
      </w:r>
      <w:r>
        <w:t xml:space="preserve"> and are summarised below.</w:t>
      </w:r>
    </w:p>
    <w:p w:rsidR="005449D2" w:rsidRPr="00D377CB" w:rsidRDefault="005449D2" w:rsidP="005449D2">
      <w:pPr>
        <w:pStyle w:val="TableHeading"/>
        <w:rPr>
          <w:lang w:val="en-AU"/>
        </w:rPr>
      </w:pPr>
      <w:r w:rsidRPr="009A40DD">
        <w:t xml:space="preserve">Table 1.2: Entity </w:t>
      </w:r>
      <w:r>
        <w:t>2017</w:t>
      </w:r>
      <w:r>
        <w:rPr>
          <w:lang w:val="en-AU"/>
        </w:rPr>
        <w:t>–</w:t>
      </w:r>
      <w:r>
        <w:t>18</w:t>
      </w:r>
      <w:r w:rsidRPr="009A40DD">
        <w:t xml:space="preserve"> Budget measures</w:t>
      </w:r>
    </w:p>
    <w:p w:rsidR="005449D2" w:rsidRDefault="005449D2" w:rsidP="005449D2">
      <w:pPr>
        <w:pStyle w:val="TableGraphic"/>
      </w:pPr>
      <w:r>
        <w:t xml:space="preserve">Comcare does not have any new measures since the 2016–17 MYEFO, or any other measures not previously reported in a portfolio statement. For this reason Table 1.2 is not presented. </w:t>
      </w:r>
    </w:p>
    <w:p w:rsidR="005449D2" w:rsidRPr="00810C6A" w:rsidRDefault="005449D2" w:rsidP="005449D2">
      <w:pPr>
        <w:pStyle w:val="Heading2"/>
      </w:pPr>
      <w:r>
        <w:br w:type="page"/>
      </w:r>
      <w:bookmarkStart w:id="44" w:name="_Toc479589110"/>
      <w:bookmarkStart w:id="45" w:name="_Toc479613740"/>
      <w:bookmarkStart w:id="46" w:name="_Toc479796477"/>
      <w:bookmarkStart w:id="47" w:name="_Toc479796549"/>
      <w:bookmarkStart w:id="48" w:name="_Toc479844075"/>
      <w:bookmarkStart w:id="49" w:name="_Toc479848683"/>
      <w:bookmarkStart w:id="50" w:name="_Toc480270248"/>
      <w:bookmarkStart w:id="51" w:name="_Toc480459397"/>
      <w:bookmarkStart w:id="52" w:name="_Toc480459470"/>
      <w:r w:rsidRPr="00810C6A">
        <w:t>Section 2: Outcomes and planned performance</w:t>
      </w:r>
      <w:bookmarkEnd w:id="44"/>
      <w:bookmarkEnd w:id="45"/>
      <w:bookmarkEnd w:id="46"/>
      <w:bookmarkEnd w:id="47"/>
      <w:bookmarkEnd w:id="48"/>
      <w:bookmarkEnd w:id="49"/>
      <w:bookmarkEnd w:id="50"/>
      <w:bookmarkEnd w:id="51"/>
      <w:bookmarkEnd w:id="52"/>
    </w:p>
    <w:p w:rsidR="005449D2" w:rsidRPr="005E6F2B" w:rsidRDefault="005449D2" w:rsidP="005449D2">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5449D2" w:rsidRPr="005E6F2B" w:rsidRDefault="005449D2" w:rsidP="005449D2">
      <w:r w:rsidRPr="005E6F2B">
        <w:t xml:space="preserve">Each outcome is described below together with its related programs. The following provides detailed information on expenses for each outcome and program, further broken down by funding source. </w:t>
      </w:r>
    </w:p>
    <w:p w:rsidR="005449D2" w:rsidRPr="006906E4" w:rsidRDefault="005449D2" w:rsidP="005449D2">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rsidR="005449D2" w:rsidRDefault="005449D2" w:rsidP="005449D2">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rsidR="005449D2" w:rsidRDefault="005449D2" w:rsidP="005449D2">
      <w:pPr>
        <w:pBdr>
          <w:top w:val="single" w:sz="2" w:space="6" w:color="auto"/>
          <w:left w:val="single" w:sz="2" w:space="4" w:color="auto"/>
          <w:bottom w:val="single" w:sz="2" w:space="6" w:color="auto"/>
          <w:right w:val="single" w:sz="2" w:space="4" w:color="auto"/>
        </w:pBdr>
      </w:pPr>
      <w:r>
        <w:t>The most recent corporate plan for Comcare can be found at:</w:t>
      </w:r>
      <w:r w:rsidRPr="00D377CB">
        <w:rPr>
          <w:u w:val="single"/>
        </w:rPr>
        <w:t xml:space="preserve"> </w:t>
      </w:r>
      <w:hyperlink r:id="rId12" w:history="1">
        <w:r w:rsidRPr="00D377CB">
          <w:rPr>
            <w:rStyle w:val="Hyperlink"/>
            <w:u w:val="single"/>
          </w:rPr>
          <w:t>www.comcare.gov.au/about_us/comcare_2016-17_corporate_plan</w:t>
        </w:r>
      </w:hyperlink>
      <w:r>
        <w:t xml:space="preserve">. </w:t>
      </w:r>
    </w:p>
    <w:p w:rsidR="005449D2" w:rsidRDefault="005449D2" w:rsidP="005449D2">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r w:rsidRPr="00D377CB">
        <w:rPr>
          <w:u w:val="single"/>
        </w:rPr>
        <w:t>www.comcare.gov.au/annual_report_2015-16/annual_performance_statement</w:t>
      </w:r>
      <w:r>
        <w:rPr>
          <w:u w:val="single"/>
        </w:rPr>
        <w:t>/overview</w:t>
      </w:r>
      <w:r w:rsidRPr="00D377CB">
        <w:t>.</w:t>
      </w:r>
    </w:p>
    <w:p w:rsidR="005449D2" w:rsidRPr="00F743D8" w:rsidRDefault="005449D2" w:rsidP="005449D2">
      <w:pPr>
        <w:pStyle w:val="Heading3"/>
      </w:pPr>
      <w:r>
        <w:br w:type="page"/>
      </w:r>
      <w:bookmarkStart w:id="53" w:name="_Toc479589111"/>
      <w:bookmarkStart w:id="54" w:name="_Toc479613741"/>
      <w:bookmarkStart w:id="55" w:name="_Toc479796478"/>
      <w:bookmarkStart w:id="56" w:name="_Toc479796550"/>
      <w:bookmarkStart w:id="57" w:name="_Toc479844076"/>
      <w:bookmarkStart w:id="58" w:name="_Toc479848684"/>
      <w:bookmarkStart w:id="59" w:name="_Toc480270249"/>
      <w:bookmarkStart w:id="60" w:name="_Toc480459398"/>
      <w:bookmarkStart w:id="61" w:name="_Toc480459471"/>
      <w:r>
        <w:t>2.1</w:t>
      </w:r>
      <w:r w:rsidRPr="00F743D8">
        <w:t xml:space="preserve"> </w:t>
      </w:r>
      <w:r w:rsidRPr="00F743D8">
        <w:tab/>
        <w:t xml:space="preserve">Budgeted expenses and performance for Outcome </w:t>
      </w:r>
      <w:bookmarkEnd w:id="53"/>
      <w:bookmarkEnd w:id="54"/>
      <w:bookmarkEnd w:id="55"/>
      <w:bookmarkEnd w:id="56"/>
      <w:bookmarkEnd w:id="57"/>
      <w:bookmarkEnd w:id="58"/>
      <w:r>
        <w:t>1</w:t>
      </w:r>
      <w:bookmarkEnd w:id="59"/>
      <w:bookmarkEnd w:id="60"/>
      <w:bookmarkEnd w:id="61"/>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5449D2" w:rsidRPr="005E6F2B" w:rsidTr="003F0F8A">
        <w:tc>
          <w:tcPr>
            <w:tcW w:w="7713" w:type="dxa"/>
            <w:shd w:val="clear" w:color="auto" w:fill="E6E6E6"/>
          </w:tcPr>
          <w:p w:rsidR="005449D2" w:rsidRPr="005E6F2B" w:rsidRDefault="005449D2" w:rsidP="003F0F8A">
            <w:pPr>
              <w:pStyle w:val="TableColumnHeadingLeft"/>
            </w:pPr>
            <w:r w:rsidRPr="005E6F2B">
              <w:t xml:space="preserve">Outcome </w:t>
            </w:r>
            <w:r>
              <w:t xml:space="preserve">1: Support participation and productivity through health and safe workplaces that minimise the impact of harm in workplaces covered by Comcare. </w:t>
            </w:r>
          </w:p>
        </w:tc>
      </w:tr>
    </w:tbl>
    <w:p w:rsidR="005449D2" w:rsidRPr="00B3104B" w:rsidRDefault="005449D2" w:rsidP="005449D2">
      <w:pPr>
        <w:pStyle w:val="SingleParagraph"/>
      </w:pPr>
    </w:p>
    <w:p w:rsidR="005449D2" w:rsidRPr="00446612" w:rsidRDefault="005449D2" w:rsidP="005449D2">
      <w:pPr>
        <w:pStyle w:val="Heading5"/>
      </w:pPr>
      <w:r w:rsidRPr="00446612">
        <w:t>Budgeted expenses for O</w:t>
      </w:r>
      <w:r>
        <w:t>utcome 1</w:t>
      </w:r>
    </w:p>
    <w:p w:rsidR="005449D2" w:rsidRDefault="005449D2" w:rsidP="005449D2">
      <w:r w:rsidRPr="00950281">
        <w:t xml:space="preserve">This table shows how much the entity intends to spend (on an accrual basis) on achieving the outcome, broken down by program, as well as by Administered and Departmental funding sources. </w:t>
      </w:r>
    </w:p>
    <w:p w:rsidR="005449D2" w:rsidRPr="003853FC" w:rsidRDefault="005449D2" w:rsidP="005449D2">
      <w:pPr>
        <w:pStyle w:val="TableHeading"/>
        <w:rPr>
          <w:lang w:val="en-AU"/>
        </w:rPr>
      </w:pPr>
      <w:r>
        <w:t>Table 2.</w:t>
      </w:r>
      <w:r>
        <w:rPr>
          <w:lang w:val="en-AU"/>
        </w:rPr>
        <w:t>1</w:t>
      </w:r>
      <w:r>
        <w:t xml:space="preserve">.1: Budgeted expenses for Outcome </w:t>
      </w:r>
      <w:r>
        <w:rPr>
          <w:lang w:val="en-AU"/>
        </w:rPr>
        <w:t>1</w:t>
      </w:r>
    </w:p>
    <w:tbl>
      <w:tblPr>
        <w:tblW w:w="7672" w:type="dxa"/>
        <w:tblInd w:w="93" w:type="dxa"/>
        <w:tblCellMar>
          <w:left w:w="57" w:type="dxa"/>
          <w:right w:w="57" w:type="dxa"/>
        </w:tblCellMar>
        <w:tblLook w:val="04A0" w:firstRow="1" w:lastRow="0" w:firstColumn="1" w:lastColumn="0" w:noHBand="0" w:noVBand="1"/>
      </w:tblPr>
      <w:tblGrid>
        <w:gridCol w:w="3380"/>
        <w:gridCol w:w="858"/>
        <w:gridCol w:w="858"/>
        <w:gridCol w:w="858"/>
        <w:gridCol w:w="858"/>
        <w:gridCol w:w="860"/>
      </w:tblGrid>
      <w:tr w:rsidR="005449D2" w:rsidRPr="00BD695B" w:rsidTr="003F0F8A">
        <w:trPr>
          <w:trHeight w:val="472"/>
        </w:trPr>
        <w:tc>
          <w:tcPr>
            <w:tcW w:w="7672" w:type="dxa"/>
            <w:gridSpan w:val="6"/>
            <w:tcBorders>
              <w:top w:val="single" w:sz="4" w:space="0" w:color="auto"/>
              <w:left w:val="nil"/>
              <w:bottom w:val="single" w:sz="4" w:space="0" w:color="auto"/>
              <w:right w:val="nil"/>
            </w:tcBorders>
            <w:shd w:val="clear" w:color="auto" w:fill="auto"/>
            <w:vAlign w:val="center"/>
            <w:hideMark/>
          </w:tcPr>
          <w:p w:rsidR="005449D2" w:rsidRPr="00BD695B" w:rsidRDefault="005449D2" w:rsidP="003F0F8A">
            <w:pPr>
              <w:spacing w:after="0" w:line="240" w:lineRule="auto"/>
              <w:rPr>
                <w:rFonts w:ascii="Arial" w:hAnsi="Arial" w:cs="Arial"/>
                <w:b/>
                <w:bCs/>
                <w:color w:val="000000"/>
                <w:sz w:val="16"/>
                <w:szCs w:val="16"/>
              </w:rPr>
            </w:pPr>
            <w:r w:rsidRPr="00BD695B">
              <w:rPr>
                <w:rFonts w:ascii="Arial" w:hAnsi="Arial" w:cs="Arial"/>
                <w:b/>
                <w:bCs/>
                <w:color w:val="000000"/>
                <w:sz w:val="16"/>
                <w:szCs w:val="16"/>
              </w:rPr>
              <w:t>Outcome 1: Support participation and productivity through healthy and safe workplaces that minimise the impact of harm in workplaces covered by Comcare</w:t>
            </w:r>
            <w:r>
              <w:rPr>
                <w:rFonts w:ascii="Arial" w:hAnsi="Arial" w:cs="Arial"/>
                <w:b/>
                <w:bCs/>
                <w:color w:val="000000"/>
                <w:sz w:val="16"/>
                <w:szCs w:val="16"/>
              </w:rPr>
              <w:t>.</w:t>
            </w:r>
          </w:p>
        </w:tc>
      </w:tr>
      <w:tr w:rsidR="005449D2" w:rsidRPr="00BD695B" w:rsidTr="003F0F8A">
        <w:trPr>
          <w:trHeight w:val="803"/>
        </w:trPr>
        <w:tc>
          <w:tcPr>
            <w:tcW w:w="3380" w:type="dxa"/>
            <w:tcBorders>
              <w:top w:val="single" w:sz="4" w:space="0" w:color="auto"/>
              <w:left w:val="nil"/>
              <w:bottom w:val="nil"/>
              <w:right w:val="nil"/>
            </w:tcBorders>
            <w:shd w:val="clear" w:color="auto" w:fill="auto"/>
            <w:vAlign w:val="center"/>
            <w:hideMark/>
          </w:tcPr>
          <w:p w:rsidR="005449D2" w:rsidRPr="00BD695B" w:rsidRDefault="005449D2" w:rsidP="003F0F8A">
            <w:pPr>
              <w:spacing w:after="0" w:line="240" w:lineRule="auto"/>
              <w:rPr>
                <w:rFonts w:ascii="Arial" w:hAnsi="Arial" w:cs="Arial"/>
                <w:b/>
                <w:bCs/>
                <w:color w:val="000000"/>
                <w:sz w:val="16"/>
                <w:szCs w:val="16"/>
              </w:rPr>
            </w:pPr>
            <w:r w:rsidRPr="00BD695B">
              <w:rPr>
                <w:rFonts w:ascii="Arial" w:hAnsi="Arial" w:cs="Arial"/>
                <w:b/>
                <w:bCs/>
                <w:color w:val="000000"/>
                <w:sz w:val="16"/>
                <w:szCs w:val="16"/>
              </w:rPr>
              <w:t> </w:t>
            </w:r>
          </w:p>
        </w:tc>
        <w:tc>
          <w:tcPr>
            <w:tcW w:w="858" w:type="dxa"/>
            <w:tcBorders>
              <w:top w:val="single" w:sz="4" w:space="0" w:color="auto"/>
              <w:left w:val="nil"/>
              <w:bottom w:val="single" w:sz="4" w:space="0" w:color="auto"/>
              <w:right w:val="nil"/>
            </w:tcBorders>
            <w:shd w:val="clear" w:color="auto" w:fill="auto"/>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2016–17 Estimated actual</w:t>
            </w:r>
            <w:r w:rsidRPr="00BD695B">
              <w:rPr>
                <w:rFonts w:ascii="Arial" w:hAnsi="Arial" w:cs="Arial"/>
                <w:sz w:val="16"/>
                <w:szCs w:val="16"/>
              </w:rPr>
              <w:br/>
              <w:t>$'000</w:t>
            </w:r>
          </w:p>
        </w:tc>
        <w:tc>
          <w:tcPr>
            <w:tcW w:w="858" w:type="dxa"/>
            <w:tcBorders>
              <w:top w:val="single" w:sz="4" w:space="0" w:color="auto"/>
              <w:left w:val="nil"/>
              <w:bottom w:val="single" w:sz="4" w:space="0" w:color="auto"/>
              <w:right w:val="nil"/>
            </w:tcBorders>
            <w:shd w:val="clear" w:color="000000" w:fill="E6E6E6"/>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2017–18</w:t>
            </w:r>
            <w:r w:rsidRPr="00BD695B">
              <w:rPr>
                <w:rFonts w:ascii="Arial" w:hAnsi="Arial" w:cs="Arial"/>
                <w:sz w:val="16"/>
                <w:szCs w:val="16"/>
              </w:rPr>
              <w:br/>
              <w:t>Budget</w:t>
            </w:r>
            <w:r w:rsidRPr="00BD695B">
              <w:rPr>
                <w:rFonts w:ascii="Arial" w:hAnsi="Arial" w:cs="Arial"/>
                <w:sz w:val="16"/>
                <w:szCs w:val="16"/>
              </w:rPr>
              <w:br/>
            </w:r>
            <w:r w:rsidRPr="00BD695B">
              <w:rPr>
                <w:rFonts w:ascii="Arial" w:hAnsi="Arial" w:cs="Arial"/>
                <w:sz w:val="16"/>
                <w:szCs w:val="16"/>
              </w:rPr>
              <w:br/>
              <w:t>$'000</w:t>
            </w:r>
          </w:p>
        </w:tc>
        <w:tc>
          <w:tcPr>
            <w:tcW w:w="858" w:type="dxa"/>
            <w:tcBorders>
              <w:top w:val="single" w:sz="4" w:space="0" w:color="auto"/>
              <w:left w:val="nil"/>
              <w:bottom w:val="single" w:sz="4" w:space="0" w:color="auto"/>
              <w:right w:val="nil"/>
            </w:tcBorders>
            <w:shd w:val="clear" w:color="auto" w:fill="auto"/>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2018–19 Forward estimate</w:t>
            </w:r>
            <w:r w:rsidRPr="00BD695B">
              <w:rPr>
                <w:rFonts w:ascii="Arial" w:hAnsi="Arial" w:cs="Arial"/>
                <w:sz w:val="16"/>
                <w:szCs w:val="16"/>
              </w:rPr>
              <w:br/>
              <w:t>$'000</w:t>
            </w:r>
          </w:p>
        </w:tc>
        <w:tc>
          <w:tcPr>
            <w:tcW w:w="858" w:type="dxa"/>
            <w:tcBorders>
              <w:top w:val="single" w:sz="4" w:space="0" w:color="auto"/>
              <w:left w:val="nil"/>
              <w:bottom w:val="single" w:sz="4" w:space="0" w:color="auto"/>
              <w:right w:val="nil"/>
            </w:tcBorders>
            <w:shd w:val="clear" w:color="auto" w:fill="auto"/>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2019–20 Forward estimate</w:t>
            </w:r>
            <w:r w:rsidRPr="00BD695B">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2020–21</w:t>
            </w:r>
            <w:r w:rsidRPr="00BD695B">
              <w:rPr>
                <w:rFonts w:ascii="Arial" w:hAnsi="Arial" w:cs="Arial"/>
                <w:sz w:val="16"/>
                <w:szCs w:val="16"/>
              </w:rPr>
              <w:br/>
              <w:t>Forward estimate</w:t>
            </w:r>
            <w:r w:rsidRPr="00BD695B">
              <w:rPr>
                <w:rFonts w:ascii="Arial" w:hAnsi="Arial" w:cs="Arial"/>
                <w:sz w:val="16"/>
                <w:szCs w:val="16"/>
              </w:rPr>
              <w:br/>
              <w:t>$'000</w:t>
            </w:r>
          </w:p>
        </w:tc>
      </w:tr>
      <w:tr w:rsidR="005449D2" w:rsidRPr="00BD695B" w:rsidTr="003F0F8A">
        <w:trPr>
          <w:trHeight w:val="211"/>
        </w:trPr>
        <w:tc>
          <w:tcPr>
            <w:tcW w:w="7672" w:type="dxa"/>
            <w:gridSpan w:val="6"/>
            <w:tcBorders>
              <w:top w:val="single" w:sz="4" w:space="0" w:color="auto"/>
              <w:left w:val="nil"/>
              <w:bottom w:val="single" w:sz="4" w:space="0" w:color="auto"/>
              <w:right w:val="nil"/>
            </w:tcBorders>
            <w:shd w:val="clear" w:color="000000" w:fill="E6E6E6"/>
            <w:vAlign w:val="center"/>
            <w:hideMark/>
          </w:tcPr>
          <w:p w:rsidR="005449D2" w:rsidRPr="00BD695B" w:rsidRDefault="005449D2" w:rsidP="003F0F8A">
            <w:pPr>
              <w:spacing w:after="0" w:line="240" w:lineRule="auto"/>
              <w:rPr>
                <w:rFonts w:ascii="Arial" w:hAnsi="Arial" w:cs="Arial"/>
                <w:b/>
                <w:bCs/>
                <w:sz w:val="16"/>
                <w:szCs w:val="16"/>
              </w:rPr>
            </w:pPr>
            <w:r w:rsidRPr="00BD695B">
              <w:rPr>
                <w:rFonts w:ascii="Arial" w:hAnsi="Arial" w:cs="Arial"/>
                <w:b/>
                <w:bCs/>
                <w:sz w:val="16"/>
                <w:szCs w:val="16"/>
              </w:rPr>
              <w:t>Program 1.1: Comcare Departmental</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Revenue from Government</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r>
      <w:tr w:rsidR="005449D2" w:rsidRPr="00BD695B" w:rsidTr="003F0F8A">
        <w:trPr>
          <w:trHeight w:val="423"/>
        </w:trPr>
        <w:tc>
          <w:tcPr>
            <w:tcW w:w="3380" w:type="dxa"/>
            <w:tcBorders>
              <w:top w:val="nil"/>
              <w:left w:val="nil"/>
              <w:bottom w:val="nil"/>
              <w:right w:val="nil"/>
            </w:tcBorders>
            <w:shd w:val="clear" w:color="auto" w:fill="auto"/>
            <w:vAlign w:val="center"/>
            <w:hideMark/>
          </w:tcPr>
          <w:p w:rsidR="005449D2" w:rsidRPr="00BD695B" w:rsidRDefault="005449D2" w:rsidP="003F0F8A">
            <w:pPr>
              <w:tabs>
                <w:tab w:val="left" w:pos="435"/>
              </w:tabs>
              <w:spacing w:after="0" w:line="240" w:lineRule="auto"/>
              <w:ind w:firstLineChars="100" w:firstLine="160"/>
              <w:rPr>
                <w:rFonts w:ascii="Arial" w:hAnsi="Arial" w:cs="Arial"/>
                <w:sz w:val="16"/>
                <w:szCs w:val="16"/>
              </w:rPr>
            </w:pPr>
            <w:r w:rsidRPr="00BD695B">
              <w:rPr>
                <w:rFonts w:ascii="Arial" w:hAnsi="Arial" w:cs="Arial"/>
                <w:sz w:val="16"/>
                <w:szCs w:val="16"/>
              </w:rPr>
              <w:t>Ordinary a</w:t>
            </w:r>
            <w:r>
              <w:rPr>
                <w:rFonts w:ascii="Arial" w:hAnsi="Arial" w:cs="Arial"/>
                <w:sz w:val="16"/>
                <w:szCs w:val="16"/>
              </w:rPr>
              <w:t>nnual services (Appropriation</w:t>
            </w:r>
            <w:r>
              <w:rPr>
                <w:rFonts w:ascii="Arial" w:hAnsi="Arial" w:cs="Arial"/>
                <w:sz w:val="16"/>
                <w:szCs w:val="16"/>
              </w:rPr>
              <w:br/>
            </w:r>
            <w:r>
              <w:rPr>
                <w:rFonts w:ascii="Arial" w:hAnsi="Arial" w:cs="Arial"/>
                <w:sz w:val="16"/>
                <w:szCs w:val="16"/>
              </w:rPr>
              <w:tab/>
            </w:r>
            <w:r w:rsidRPr="00BD695B">
              <w:rPr>
                <w:rFonts w:ascii="Arial" w:hAnsi="Arial" w:cs="Arial"/>
                <w:sz w:val="16"/>
                <w:szCs w:val="16"/>
              </w:rPr>
              <w:t>Bill No. 1)</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 xml:space="preserve">6,104 </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6,020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5,983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5,989 </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6,016 </w:t>
            </w:r>
          </w:p>
        </w:tc>
      </w:tr>
      <w:tr w:rsidR="005449D2" w:rsidRPr="00BD695B" w:rsidTr="003F0F8A">
        <w:trPr>
          <w:trHeight w:val="211"/>
        </w:trPr>
        <w:tc>
          <w:tcPr>
            <w:tcW w:w="3380" w:type="dxa"/>
            <w:tcBorders>
              <w:top w:val="nil"/>
              <w:left w:val="nil"/>
              <w:bottom w:val="nil"/>
              <w:right w:val="nil"/>
            </w:tcBorders>
            <w:shd w:val="clear" w:color="auto" w:fill="auto"/>
            <w:vAlign w:val="center"/>
            <w:hideMark/>
          </w:tcPr>
          <w:p w:rsidR="005449D2" w:rsidRPr="00BD695B" w:rsidRDefault="005449D2" w:rsidP="003F0F8A">
            <w:pPr>
              <w:spacing w:after="0" w:line="240" w:lineRule="auto"/>
              <w:ind w:firstLineChars="100" w:firstLine="160"/>
              <w:rPr>
                <w:rFonts w:ascii="Arial" w:hAnsi="Arial" w:cs="Arial"/>
                <w:sz w:val="16"/>
                <w:szCs w:val="16"/>
              </w:rPr>
            </w:pPr>
            <w:r w:rsidRPr="00BD695B">
              <w:rPr>
                <w:rFonts w:ascii="Arial" w:hAnsi="Arial" w:cs="Arial"/>
                <w:sz w:val="16"/>
                <w:szCs w:val="16"/>
              </w:rPr>
              <w:t>Grants received from portfolio department</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 xml:space="preserve">64,227 </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66,875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61,330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60,723 </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59,850 </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 xml:space="preserve">Revenues from industry sources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 xml:space="preserve">16,248 </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15,884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15,774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16,054 </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16,392 </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 xml:space="preserve">Revenues from other independent sources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 xml:space="preserve">459,393 </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343,357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331,962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342,135 </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357,993 </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Revenues from other independent sources (a)</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(32,461)</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(28,890)</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(21,390)</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(20,414)</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(18,835)</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Expenses not requiring revenue</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(469,033)</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(19,757)</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(2,929)</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 </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b/>
                <w:bCs/>
                <w:sz w:val="16"/>
                <w:szCs w:val="16"/>
              </w:rPr>
            </w:pPr>
            <w:r w:rsidRPr="00BD695B">
              <w:rPr>
                <w:rFonts w:ascii="Arial" w:hAnsi="Arial" w:cs="Arial"/>
                <w:b/>
                <w:bCs/>
                <w:sz w:val="16"/>
                <w:szCs w:val="16"/>
              </w:rPr>
              <w:t>Total expenses for Program 1.1</w:t>
            </w:r>
          </w:p>
        </w:tc>
        <w:tc>
          <w:tcPr>
            <w:tcW w:w="858" w:type="dxa"/>
            <w:tcBorders>
              <w:top w:val="single" w:sz="4" w:space="0" w:color="auto"/>
              <w:left w:val="nil"/>
              <w:bottom w:val="single" w:sz="4" w:space="0" w:color="auto"/>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b/>
                <w:bCs/>
                <w:color w:val="000000"/>
                <w:sz w:val="16"/>
                <w:szCs w:val="16"/>
              </w:rPr>
            </w:pPr>
            <w:r w:rsidRPr="00BD695B">
              <w:rPr>
                <w:rFonts w:ascii="Arial" w:hAnsi="Arial" w:cs="Arial"/>
                <w:b/>
                <w:bCs/>
                <w:color w:val="000000"/>
                <w:sz w:val="16"/>
                <w:szCs w:val="16"/>
              </w:rPr>
              <w:t xml:space="preserve">44,478 </w:t>
            </w:r>
          </w:p>
        </w:tc>
        <w:tc>
          <w:tcPr>
            <w:tcW w:w="858" w:type="dxa"/>
            <w:tcBorders>
              <w:top w:val="single" w:sz="4" w:space="0" w:color="auto"/>
              <w:left w:val="nil"/>
              <w:bottom w:val="single" w:sz="4" w:space="0" w:color="auto"/>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b/>
                <w:bCs/>
                <w:color w:val="000000"/>
                <w:sz w:val="16"/>
                <w:szCs w:val="16"/>
              </w:rPr>
            </w:pPr>
            <w:r w:rsidRPr="00BD695B">
              <w:rPr>
                <w:rFonts w:ascii="Arial" w:hAnsi="Arial" w:cs="Arial"/>
                <w:b/>
                <w:bCs/>
                <w:color w:val="000000"/>
                <w:sz w:val="16"/>
                <w:szCs w:val="16"/>
              </w:rPr>
              <w:t xml:space="preserve">383,489 </w:t>
            </w:r>
          </w:p>
        </w:tc>
        <w:tc>
          <w:tcPr>
            <w:tcW w:w="858" w:type="dxa"/>
            <w:tcBorders>
              <w:top w:val="single" w:sz="4" w:space="0" w:color="auto"/>
              <w:left w:val="nil"/>
              <w:bottom w:val="single" w:sz="4" w:space="0" w:color="auto"/>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b/>
                <w:bCs/>
                <w:sz w:val="16"/>
                <w:szCs w:val="16"/>
              </w:rPr>
            </w:pPr>
            <w:r w:rsidRPr="00BD695B">
              <w:rPr>
                <w:rFonts w:ascii="Arial" w:hAnsi="Arial" w:cs="Arial"/>
                <w:b/>
                <w:bCs/>
                <w:sz w:val="16"/>
                <w:szCs w:val="16"/>
              </w:rPr>
              <w:t xml:space="preserve">390,730 </w:t>
            </w:r>
          </w:p>
        </w:tc>
        <w:tc>
          <w:tcPr>
            <w:tcW w:w="858" w:type="dxa"/>
            <w:tcBorders>
              <w:top w:val="single" w:sz="4" w:space="0" w:color="auto"/>
              <w:left w:val="nil"/>
              <w:bottom w:val="single" w:sz="4" w:space="0" w:color="auto"/>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b/>
                <w:bCs/>
                <w:sz w:val="16"/>
                <w:szCs w:val="16"/>
              </w:rPr>
            </w:pPr>
            <w:r w:rsidRPr="00BD695B">
              <w:rPr>
                <w:rFonts w:ascii="Arial" w:hAnsi="Arial" w:cs="Arial"/>
                <w:b/>
                <w:bCs/>
                <w:sz w:val="16"/>
                <w:szCs w:val="16"/>
              </w:rPr>
              <w:t xml:space="preserve">404,487 </w:t>
            </w:r>
          </w:p>
        </w:tc>
        <w:tc>
          <w:tcPr>
            <w:tcW w:w="860" w:type="dxa"/>
            <w:tcBorders>
              <w:top w:val="single" w:sz="4" w:space="0" w:color="auto"/>
              <w:left w:val="nil"/>
              <w:bottom w:val="single" w:sz="4" w:space="0" w:color="auto"/>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b/>
                <w:bCs/>
                <w:sz w:val="16"/>
                <w:szCs w:val="16"/>
              </w:rPr>
            </w:pPr>
            <w:r w:rsidRPr="00BD695B">
              <w:rPr>
                <w:rFonts w:ascii="Arial" w:hAnsi="Arial" w:cs="Arial"/>
                <w:b/>
                <w:bCs/>
                <w:sz w:val="16"/>
                <w:szCs w:val="16"/>
              </w:rPr>
              <w:t xml:space="preserve">421,416 </w:t>
            </w:r>
          </w:p>
        </w:tc>
      </w:tr>
      <w:tr w:rsidR="005449D2" w:rsidRPr="00BD695B" w:rsidTr="003F0F8A">
        <w:trPr>
          <w:trHeight w:val="211"/>
        </w:trPr>
        <w:tc>
          <w:tcPr>
            <w:tcW w:w="7672" w:type="dxa"/>
            <w:gridSpan w:val="6"/>
            <w:tcBorders>
              <w:top w:val="single" w:sz="4" w:space="0" w:color="auto"/>
              <w:left w:val="nil"/>
              <w:bottom w:val="single" w:sz="4" w:space="0" w:color="auto"/>
              <w:right w:val="nil"/>
            </w:tcBorders>
            <w:shd w:val="clear" w:color="000000" w:fill="E6E6E6"/>
            <w:vAlign w:val="center"/>
            <w:hideMark/>
          </w:tcPr>
          <w:p w:rsidR="005449D2" w:rsidRPr="00BD695B" w:rsidRDefault="005449D2" w:rsidP="003F0F8A">
            <w:pPr>
              <w:spacing w:after="0" w:line="240" w:lineRule="auto"/>
              <w:rPr>
                <w:rFonts w:ascii="Arial" w:hAnsi="Arial" w:cs="Arial"/>
                <w:b/>
                <w:bCs/>
                <w:sz w:val="16"/>
                <w:szCs w:val="16"/>
              </w:rPr>
            </w:pPr>
            <w:r w:rsidRPr="00BD695B">
              <w:rPr>
                <w:rFonts w:ascii="Arial" w:hAnsi="Arial" w:cs="Arial"/>
                <w:b/>
                <w:bCs/>
                <w:sz w:val="16"/>
                <w:szCs w:val="16"/>
              </w:rPr>
              <w:t>Outcome 1 totals by resource type</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Revenue from Government</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r>
      <w:tr w:rsidR="005449D2" w:rsidRPr="00BD695B" w:rsidTr="003F0F8A">
        <w:trPr>
          <w:trHeight w:val="423"/>
        </w:trPr>
        <w:tc>
          <w:tcPr>
            <w:tcW w:w="3380" w:type="dxa"/>
            <w:tcBorders>
              <w:top w:val="nil"/>
              <w:left w:val="nil"/>
              <w:bottom w:val="nil"/>
              <w:right w:val="nil"/>
            </w:tcBorders>
            <w:shd w:val="clear" w:color="auto" w:fill="auto"/>
            <w:vAlign w:val="center"/>
            <w:hideMark/>
          </w:tcPr>
          <w:p w:rsidR="005449D2" w:rsidRPr="00BD695B" w:rsidRDefault="005449D2" w:rsidP="003F0F8A">
            <w:pPr>
              <w:tabs>
                <w:tab w:val="left" w:pos="474"/>
              </w:tabs>
              <w:spacing w:after="0" w:line="240" w:lineRule="auto"/>
              <w:ind w:firstLineChars="100" w:firstLine="160"/>
              <w:rPr>
                <w:rFonts w:ascii="Arial" w:hAnsi="Arial" w:cs="Arial"/>
                <w:sz w:val="16"/>
                <w:szCs w:val="16"/>
              </w:rPr>
            </w:pPr>
            <w:r w:rsidRPr="00BD695B">
              <w:rPr>
                <w:rFonts w:ascii="Arial" w:hAnsi="Arial" w:cs="Arial"/>
                <w:sz w:val="16"/>
                <w:szCs w:val="16"/>
              </w:rPr>
              <w:t>Ordinary a</w:t>
            </w:r>
            <w:r>
              <w:rPr>
                <w:rFonts w:ascii="Arial" w:hAnsi="Arial" w:cs="Arial"/>
                <w:sz w:val="16"/>
                <w:szCs w:val="16"/>
              </w:rPr>
              <w:t>nnual services (Appropriation</w:t>
            </w:r>
            <w:r>
              <w:rPr>
                <w:rFonts w:ascii="Arial" w:hAnsi="Arial" w:cs="Arial"/>
                <w:sz w:val="16"/>
                <w:szCs w:val="16"/>
              </w:rPr>
              <w:br/>
            </w:r>
            <w:r>
              <w:rPr>
                <w:rFonts w:ascii="Arial" w:hAnsi="Arial" w:cs="Arial"/>
                <w:sz w:val="16"/>
                <w:szCs w:val="16"/>
              </w:rPr>
              <w:tab/>
            </w:r>
            <w:r w:rsidRPr="00BD695B">
              <w:rPr>
                <w:rFonts w:ascii="Arial" w:hAnsi="Arial" w:cs="Arial"/>
                <w:sz w:val="16"/>
                <w:szCs w:val="16"/>
              </w:rPr>
              <w:t>Bill No. 1)</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 xml:space="preserve">6,104 </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6,020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5,983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5,989 </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6,016 </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ind w:firstLineChars="100" w:firstLine="160"/>
              <w:rPr>
                <w:rFonts w:ascii="Arial" w:hAnsi="Arial" w:cs="Arial"/>
                <w:sz w:val="16"/>
                <w:szCs w:val="16"/>
              </w:rPr>
            </w:pPr>
            <w:r w:rsidRPr="00BD695B">
              <w:rPr>
                <w:rFonts w:ascii="Arial" w:hAnsi="Arial" w:cs="Arial"/>
                <w:sz w:val="16"/>
                <w:szCs w:val="16"/>
              </w:rPr>
              <w:t>Payment from related entities</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 xml:space="preserve">64,227 </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66,875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61,330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60,723 </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59,850 </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 xml:space="preserve">Revenues from industry sources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 xml:space="preserve">16,248 </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15,884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15,774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16,054 </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16,392 </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 xml:space="preserve">Revenues from other independent sources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 xml:space="preserve">459,393 </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343,357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331,962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342,135 </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357,993 </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Revenues from other independent sources (a)</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(32,461)</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(28,890)</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(21,390)</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(20,414)</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(18,835)</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Expenses not requiring revenue</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(469,033)</w:t>
            </w:r>
          </w:p>
        </w:tc>
        <w:tc>
          <w:tcPr>
            <w:tcW w:w="858" w:type="dxa"/>
            <w:tcBorders>
              <w:top w:val="nil"/>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(19,757)</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(2,929)</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 </w:t>
            </w: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 xml:space="preserve">- </w:t>
            </w:r>
          </w:p>
        </w:tc>
      </w:tr>
      <w:tr w:rsidR="005449D2" w:rsidRPr="00BD695B" w:rsidTr="003F0F8A">
        <w:trPr>
          <w:trHeight w:val="211"/>
        </w:trPr>
        <w:tc>
          <w:tcPr>
            <w:tcW w:w="338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b/>
                <w:bCs/>
                <w:sz w:val="16"/>
                <w:szCs w:val="16"/>
              </w:rPr>
            </w:pPr>
            <w:r w:rsidRPr="00BD695B">
              <w:rPr>
                <w:rFonts w:ascii="Arial" w:hAnsi="Arial" w:cs="Arial"/>
                <w:b/>
                <w:bCs/>
                <w:sz w:val="16"/>
                <w:szCs w:val="16"/>
              </w:rPr>
              <w:t>Total expenses for Outcome 1</w:t>
            </w:r>
          </w:p>
        </w:tc>
        <w:tc>
          <w:tcPr>
            <w:tcW w:w="858" w:type="dxa"/>
            <w:tcBorders>
              <w:top w:val="single" w:sz="4" w:space="0" w:color="auto"/>
              <w:left w:val="nil"/>
              <w:bottom w:val="single" w:sz="4" w:space="0" w:color="auto"/>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b/>
                <w:bCs/>
                <w:color w:val="000000"/>
                <w:sz w:val="16"/>
                <w:szCs w:val="16"/>
              </w:rPr>
            </w:pPr>
            <w:r w:rsidRPr="00BD695B">
              <w:rPr>
                <w:rFonts w:ascii="Arial" w:hAnsi="Arial" w:cs="Arial"/>
                <w:b/>
                <w:bCs/>
                <w:color w:val="000000"/>
                <w:sz w:val="16"/>
                <w:szCs w:val="16"/>
              </w:rPr>
              <w:t xml:space="preserve">44,478 </w:t>
            </w:r>
          </w:p>
        </w:tc>
        <w:tc>
          <w:tcPr>
            <w:tcW w:w="858" w:type="dxa"/>
            <w:tcBorders>
              <w:top w:val="single" w:sz="4" w:space="0" w:color="auto"/>
              <w:left w:val="nil"/>
              <w:bottom w:val="single" w:sz="4" w:space="0" w:color="auto"/>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b/>
                <w:bCs/>
                <w:color w:val="000000"/>
                <w:sz w:val="16"/>
                <w:szCs w:val="16"/>
              </w:rPr>
            </w:pPr>
            <w:r w:rsidRPr="00BD695B">
              <w:rPr>
                <w:rFonts w:ascii="Arial" w:hAnsi="Arial" w:cs="Arial"/>
                <w:b/>
                <w:bCs/>
                <w:color w:val="000000"/>
                <w:sz w:val="16"/>
                <w:szCs w:val="16"/>
              </w:rPr>
              <w:t xml:space="preserve">383,489 </w:t>
            </w:r>
          </w:p>
        </w:tc>
        <w:tc>
          <w:tcPr>
            <w:tcW w:w="858" w:type="dxa"/>
            <w:tcBorders>
              <w:top w:val="single" w:sz="4" w:space="0" w:color="auto"/>
              <w:left w:val="nil"/>
              <w:bottom w:val="single" w:sz="4" w:space="0" w:color="auto"/>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b/>
                <w:bCs/>
                <w:sz w:val="16"/>
                <w:szCs w:val="16"/>
              </w:rPr>
            </w:pPr>
            <w:r w:rsidRPr="00BD695B">
              <w:rPr>
                <w:rFonts w:ascii="Arial" w:hAnsi="Arial" w:cs="Arial"/>
                <w:b/>
                <w:bCs/>
                <w:sz w:val="16"/>
                <w:szCs w:val="16"/>
              </w:rPr>
              <w:t xml:space="preserve">390,730 </w:t>
            </w:r>
          </w:p>
        </w:tc>
        <w:tc>
          <w:tcPr>
            <w:tcW w:w="858" w:type="dxa"/>
            <w:tcBorders>
              <w:top w:val="single" w:sz="4" w:space="0" w:color="auto"/>
              <w:left w:val="nil"/>
              <w:bottom w:val="single" w:sz="4" w:space="0" w:color="auto"/>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b/>
                <w:bCs/>
                <w:sz w:val="16"/>
                <w:szCs w:val="16"/>
              </w:rPr>
            </w:pPr>
            <w:r w:rsidRPr="00BD695B">
              <w:rPr>
                <w:rFonts w:ascii="Arial" w:hAnsi="Arial" w:cs="Arial"/>
                <w:b/>
                <w:bCs/>
                <w:sz w:val="16"/>
                <w:szCs w:val="16"/>
              </w:rPr>
              <w:t xml:space="preserve">404,487 </w:t>
            </w:r>
          </w:p>
        </w:tc>
        <w:tc>
          <w:tcPr>
            <w:tcW w:w="860" w:type="dxa"/>
            <w:tcBorders>
              <w:top w:val="single" w:sz="4" w:space="0" w:color="auto"/>
              <w:left w:val="nil"/>
              <w:bottom w:val="single" w:sz="4" w:space="0" w:color="auto"/>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b/>
                <w:bCs/>
                <w:sz w:val="16"/>
                <w:szCs w:val="16"/>
              </w:rPr>
            </w:pPr>
            <w:r>
              <w:rPr>
                <w:rFonts w:ascii="Arial" w:hAnsi="Arial" w:cs="Arial"/>
                <w:b/>
                <w:bCs/>
                <w:sz w:val="16"/>
                <w:szCs w:val="16"/>
              </w:rPr>
              <w:t>421,416</w:t>
            </w:r>
            <w:r w:rsidRPr="00BD695B">
              <w:rPr>
                <w:rFonts w:ascii="Arial" w:hAnsi="Arial" w:cs="Arial"/>
                <w:b/>
                <w:bCs/>
                <w:sz w:val="16"/>
                <w:szCs w:val="16"/>
              </w:rPr>
              <w:t xml:space="preserve"> </w:t>
            </w:r>
          </w:p>
        </w:tc>
      </w:tr>
      <w:tr w:rsidR="005449D2" w:rsidRPr="00BD695B" w:rsidTr="003F0F8A">
        <w:trPr>
          <w:trHeight w:val="137"/>
        </w:trPr>
        <w:tc>
          <w:tcPr>
            <w:tcW w:w="3380" w:type="dxa"/>
            <w:tcBorders>
              <w:top w:val="single" w:sz="4" w:space="0" w:color="000000"/>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color w:val="000000"/>
                <w:sz w:val="16"/>
                <w:szCs w:val="16"/>
              </w:rPr>
            </w:pPr>
            <w:r w:rsidRPr="00BD695B">
              <w:rPr>
                <w:rFonts w:ascii="Arial" w:hAnsi="Arial" w:cs="Arial"/>
                <w:color w:val="000000"/>
                <w:sz w:val="16"/>
                <w:szCs w:val="16"/>
              </w:rPr>
              <w:t>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4"/>
                <w:szCs w:val="14"/>
              </w:rPr>
            </w:pP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r>
      <w:tr w:rsidR="005449D2" w:rsidRPr="00BD695B" w:rsidTr="003F0F8A">
        <w:trPr>
          <w:trHeight w:val="211"/>
        </w:trPr>
        <w:tc>
          <w:tcPr>
            <w:tcW w:w="3380" w:type="dxa"/>
            <w:tcBorders>
              <w:top w:val="single" w:sz="4" w:space="0" w:color="auto"/>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r w:rsidRPr="00BD695B">
              <w:rPr>
                <w:rFonts w:ascii="Arial" w:hAnsi="Arial" w:cs="Arial"/>
                <w:sz w:val="16"/>
                <w:szCs w:val="16"/>
              </w:rPr>
              <w:t> </w:t>
            </w:r>
          </w:p>
        </w:tc>
        <w:tc>
          <w:tcPr>
            <w:tcW w:w="858" w:type="dxa"/>
            <w:tcBorders>
              <w:top w:val="single" w:sz="4" w:space="0" w:color="auto"/>
              <w:left w:val="nil"/>
              <w:bottom w:val="nil"/>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2016–17</w:t>
            </w:r>
          </w:p>
        </w:tc>
        <w:tc>
          <w:tcPr>
            <w:tcW w:w="858" w:type="dxa"/>
            <w:tcBorders>
              <w:top w:val="single" w:sz="4" w:space="0" w:color="000000"/>
              <w:left w:val="nil"/>
              <w:bottom w:val="nil"/>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sz w:val="16"/>
                <w:szCs w:val="16"/>
              </w:rPr>
            </w:pPr>
            <w:r w:rsidRPr="00BD695B">
              <w:rPr>
                <w:rFonts w:ascii="Arial" w:hAnsi="Arial" w:cs="Arial"/>
                <w:sz w:val="16"/>
                <w:szCs w:val="16"/>
              </w:rPr>
              <w:t>2017–18</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r>
      <w:tr w:rsidR="005449D2" w:rsidRPr="00BD695B" w:rsidTr="003F0F8A">
        <w:trPr>
          <w:trHeight w:val="211"/>
        </w:trPr>
        <w:tc>
          <w:tcPr>
            <w:tcW w:w="3380" w:type="dxa"/>
            <w:tcBorders>
              <w:top w:val="nil"/>
              <w:left w:val="nil"/>
              <w:bottom w:val="single" w:sz="4" w:space="0" w:color="auto"/>
              <w:right w:val="nil"/>
            </w:tcBorders>
            <w:shd w:val="clear" w:color="auto" w:fill="auto"/>
            <w:noWrap/>
            <w:vAlign w:val="center"/>
            <w:hideMark/>
          </w:tcPr>
          <w:p w:rsidR="005449D2" w:rsidRPr="00BD695B" w:rsidRDefault="005449D2" w:rsidP="003F0F8A">
            <w:pPr>
              <w:spacing w:after="0" w:line="240" w:lineRule="auto"/>
              <w:rPr>
                <w:rFonts w:ascii="Arial" w:hAnsi="Arial" w:cs="Arial"/>
                <w:b/>
                <w:bCs/>
                <w:color w:val="000000"/>
                <w:sz w:val="16"/>
                <w:szCs w:val="16"/>
              </w:rPr>
            </w:pPr>
            <w:r w:rsidRPr="00BD695B">
              <w:rPr>
                <w:rFonts w:ascii="Arial" w:hAnsi="Arial" w:cs="Arial"/>
                <w:b/>
                <w:bCs/>
                <w:color w:val="000000"/>
                <w:sz w:val="16"/>
                <w:szCs w:val="16"/>
              </w:rPr>
              <w:t>Average staffing level (number)</w:t>
            </w:r>
          </w:p>
        </w:tc>
        <w:tc>
          <w:tcPr>
            <w:tcW w:w="858" w:type="dxa"/>
            <w:tcBorders>
              <w:top w:val="single" w:sz="4" w:space="0" w:color="000000"/>
              <w:left w:val="nil"/>
              <w:bottom w:val="single" w:sz="4" w:space="0" w:color="000000"/>
              <w:right w:val="nil"/>
            </w:tcBorders>
            <w:shd w:val="clear" w:color="auto" w:fill="auto"/>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 xml:space="preserve">640 </w:t>
            </w:r>
          </w:p>
        </w:tc>
        <w:tc>
          <w:tcPr>
            <w:tcW w:w="858" w:type="dxa"/>
            <w:tcBorders>
              <w:top w:val="single" w:sz="4" w:space="0" w:color="000000"/>
              <w:left w:val="nil"/>
              <w:bottom w:val="single" w:sz="4" w:space="0" w:color="000000"/>
              <w:right w:val="nil"/>
            </w:tcBorders>
            <w:shd w:val="clear" w:color="000000" w:fill="E6E6E6"/>
            <w:noWrap/>
            <w:vAlign w:val="center"/>
            <w:hideMark/>
          </w:tcPr>
          <w:p w:rsidR="005449D2" w:rsidRPr="00BD695B" w:rsidRDefault="005449D2" w:rsidP="003F0F8A">
            <w:pPr>
              <w:spacing w:after="0" w:line="240" w:lineRule="auto"/>
              <w:jc w:val="right"/>
              <w:rPr>
                <w:rFonts w:ascii="Arial" w:hAnsi="Arial" w:cs="Arial"/>
                <w:color w:val="000000"/>
                <w:sz w:val="16"/>
                <w:szCs w:val="16"/>
              </w:rPr>
            </w:pPr>
            <w:r w:rsidRPr="00BD695B">
              <w:rPr>
                <w:rFonts w:ascii="Arial" w:hAnsi="Arial" w:cs="Arial"/>
                <w:color w:val="000000"/>
                <w:sz w:val="16"/>
                <w:szCs w:val="16"/>
              </w:rPr>
              <w:t xml:space="preserve">652 </w:t>
            </w: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c>
          <w:tcPr>
            <w:tcW w:w="858"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rsidR="005449D2" w:rsidRPr="00BD695B" w:rsidRDefault="005449D2" w:rsidP="003F0F8A">
            <w:pPr>
              <w:spacing w:after="0" w:line="240" w:lineRule="auto"/>
              <w:rPr>
                <w:rFonts w:ascii="Arial" w:hAnsi="Arial" w:cs="Arial"/>
                <w:sz w:val="16"/>
                <w:szCs w:val="16"/>
              </w:rPr>
            </w:pPr>
          </w:p>
        </w:tc>
      </w:tr>
    </w:tbl>
    <w:p w:rsidR="005449D2" w:rsidRDefault="005449D2" w:rsidP="005449D2">
      <w:pPr>
        <w:pStyle w:val="ChartandTableFootnoteAlpha"/>
        <w:numPr>
          <w:ilvl w:val="0"/>
          <w:numId w:val="46"/>
        </w:numPr>
        <w:spacing w:before="120"/>
        <w:jc w:val="left"/>
      </w:pPr>
      <w:r>
        <w:t>Relating to non-cash movements in workers’ compensation claims liabilities and asbestos-related claims liabilities.</w:t>
      </w:r>
    </w:p>
    <w:p w:rsidR="005449D2" w:rsidRDefault="005449D2" w:rsidP="005449D2">
      <w:pPr>
        <w:pStyle w:val="TableHeading"/>
        <w:rPr>
          <w:lang w:val="en-AU"/>
        </w:rPr>
      </w:pPr>
      <w:r>
        <w:br w:type="page"/>
        <w:t>Table 2.</w:t>
      </w:r>
      <w:r>
        <w:rPr>
          <w:lang w:val="en-AU"/>
        </w:rPr>
        <w:t>1</w:t>
      </w:r>
      <w:r>
        <w:t>.</w:t>
      </w:r>
      <w:r>
        <w:rPr>
          <w:lang w:val="en-AU"/>
        </w:rPr>
        <w:t>2</w:t>
      </w:r>
      <w:r>
        <w:t xml:space="preserve">: </w:t>
      </w:r>
      <w:r>
        <w:rPr>
          <w:lang w:val="en-AU"/>
        </w:rPr>
        <w:t>Program components of Outcome 1</w:t>
      </w:r>
    </w:p>
    <w:tbl>
      <w:tblPr>
        <w:tblW w:w="7734" w:type="dxa"/>
        <w:tblInd w:w="93" w:type="dxa"/>
        <w:tblLook w:val="04A0" w:firstRow="1" w:lastRow="0" w:firstColumn="1" w:lastColumn="0" w:noHBand="0" w:noVBand="1"/>
      </w:tblPr>
      <w:tblGrid>
        <w:gridCol w:w="3426"/>
        <w:gridCol w:w="949"/>
        <w:gridCol w:w="839"/>
        <w:gridCol w:w="840"/>
        <w:gridCol w:w="840"/>
        <w:gridCol w:w="840"/>
      </w:tblGrid>
      <w:tr w:rsidR="005449D2" w:rsidRPr="00F82AF5" w:rsidTr="003F0F8A">
        <w:trPr>
          <w:trHeight w:val="814"/>
        </w:trPr>
        <w:tc>
          <w:tcPr>
            <w:tcW w:w="3426" w:type="dxa"/>
            <w:tcBorders>
              <w:top w:val="single" w:sz="4" w:space="0" w:color="auto"/>
              <w:left w:val="nil"/>
              <w:bottom w:val="nil"/>
              <w:right w:val="nil"/>
            </w:tcBorders>
            <w:shd w:val="clear" w:color="auto" w:fill="auto"/>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 </w:t>
            </w:r>
          </w:p>
        </w:tc>
        <w:tc>
          <w:tcPr>
            <w:tcW w:w="949" w:type="dxa"/>
            <w:tcBorders>
              <w:top w:val="single" w:sz="4" w:space="0" w:color="auto"/>
              <w:left w:val="nil"/>
              <w:bottom w:val="single" w:sz="4" w:space="0" w:color="auto"/>
              <w:right w:val="nil"/>
            </w:tcBorders>
            <w:shd w:val="clear" w:color="auto" w:fill="auto"/>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2016</w:t>
            </w:r>
            <w:r>
              <w:rPr>
                <w:rFonts w:ascii="Arial" w:hAnsi="Arial" w:cs="Arial"/>
                <w:sz w:val="16"/>
                <w:szCs w:val="16"/>
              </w:rPr>
              <w:t>–</w:t>
            </w:r>
            <w:r w:rsidRPr="00F82AF5">
              <w:rPr>
                <w:rFonts w:ascii="Arial" w:hAnsi="Arial" w:cs="Arial"/>
                <w:sz w:val="16"/>
                <w:szCs w:val="16"/>
              </w:rPr>
              <w:t>17 Estimated actual</w:t>
            </w:r>
            <w:r w:rsidRPr="00F82AF5">
              <w:rPr>
                <w:rFonts w:ascii="Arial" w:hAnsi="Arial" w:cs="Arial"/>
                <w:sz w:val="16"/>
                <w:szCs w:val="16"/>
              </w:rPr>
              <w:br/>
              <w:t>$'000</w:t>
            </w:r>
          </w:p>
        </w:tc>
        <w:tc>
          <w:tcPr>
            <w:tcW w:w="839" w:type="dxa"/>
            <w:tcBorders>
              <w:top w:val="single" w:sz="4" w:space="0" w:color="auto"/>
              <w:left w:val="nil"/>
              <w:bottom w:val="single" w:sz="4" w:space="0" w:color="auto"/>
              <w:right w:val="nil"/>
            </w:tcBorders>
            <w:shd w:val="clear" w:color="000000" w:fill="E6E6E6"/>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2017</w:t>
            </w:r>
            <w:r>
              <w:rPr>
                <w:rFonts w:ascii="Arial" w:hAnsi="Arial" w:cs="Arial"/>
                <w:sz w:val="16"/>
                <w:szCs w:val="16"/>
              </w:rPr>
              <w:t>–</w:t>
            </w:r>
            <w:r w:rsidRPr="00F82AF5">
              <w:rPr>
                <w:rFonts w:ascii="Arial" w:hAnsi="Arial" w:cs="Arial"/>
                <w:sz w:val="16"/>
                <w:szCs w:val="16"/>
              </w:rPr>
              <w:t>18</w:t>
            </w:r>
            <w:r w:rsidRPr="00F82AF5">
              <w:rPr>
                <w:rFonts w:ascii="Arial" w:hAnsi="Arial" w:cs="Arial"/>
                <w:sz w:val="16"/>
                <w:szCs w:val="16"/>
              </w:rPr>
              <w:br/>
              <w:t>Budget</w:t>
            </w:r>
            <w:r w:rsidRPr="00F82AF5">
              <w:rPr>
                <w:rFonts w:ascii="Arial" w:hAnsi="Arial" w:cs="Arial"/>
                <w:sz w:val="16"/>
                <w:szCs w:val="16"/>
              </w:rPr>
              <w:br/>
            </w:r>
            <w:r w:rsidRPr="00F82AF5">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2018</w:t>
            </w:r>
            <w:r>
              <w:rPr>
                <w:rFonts w:ascii="Arial" w:hAnsi="Arial" w:cs="Arial"/>
                <w:sz w:val="16"/>
                <w:szCs w:val="16"/>
              </w:rPr>
              <w:t>–</w:t>
            </w:r>
            <w:r w:rsidRPr="00F82AF5">
              <w:rPr>
                <w:rFonts w:ascii="Arial" w:hAnsi="Arial" w:cs="Arial"/>
                <w:sz w:val="16"/>
                <w:szCs w:val="16"/>
              </w:rPr>
              <w:t>19 Forward estimate</w:t>
            </w:r>
            <w:r w:rsidRPr="00F82AF5">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2019</w:t>
            </w:r>
            <w:r>
              <w:rPr>
                <w:rFonts w:ascii="Arial" w:hAnsi="Arial" w:cs="Arial"/>
                <w:sz w:val="16"/>
                <w:szCs w:val="16"/>
              </w:rPr>
              <w:t>–</w:t>
            </w:r>
            <w:r w:rsidRPr="00F82AF5">
              <w:rPr>
                <w:rFonts w:ascii="Arial" w:hAnsi="Arial" w:cs="Arial"/>
                <w:sz w:val="16"/>
                <w:szCs w:val="16"/>
              </w:rPr>
              <w:t>20 Forward estimate</w:t>
            </w:r>
            <w:r w:rsidRPr="00F82AF5">
              <w:rPr>
                <w:rFonts w:ascii="Arial" w:hAnsi="Arial" w:cs="Arial"/>
                <w:sz w:val="16"/>
                <w:szCs w:val="16"/>
              </w:rPr>
              <w:br/>
              <w:t>$'000</w:t>
            </w:r>
          </w:p>
        </w:tc>
        <w:tc>
          <w:tcPr>
            <w:tcW w:w="840" w:type="dxa"/>
            <w:tcBorders>
              <w:top w:val="single" w:sz="4" w:space="0" w:color="auto"/>
              <w:left w:val="nil"/>
              <w:bottom w:val="single" w:sz="4" w:space="0" w:color="auto"/>
              <w:right w:val="nil"/>
            </w:tcBorders>
            <w:shd w:val="clear" w:color="auto" w:fill="auto"/>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2020</w:t>
            </w:r>
            <w:r>
              <w:rPr>
                <w:rFonts w:ascii="Arial" w:hAnsi="Arial" w:cs="Arial"/>
                <w:sz w:val="16"/>
                <w:szCs w:val="16"/>
              </w:rPr>
              <w:t>–</w:t>
            </w:r>
            <w:r w:rsidRPr="00F82AF5">
              <w:rPr>
                <w:rFonts w:ascii="Arial" w:hAnsi="Arial" w:cs="Arial"/>
                <w:sz w:val="16"/>
                <w:szCs w:val="16"/>
              </w:rPr>
              <w:t>21</w:t>
            </w:r>
            <w:r w:rsidRPr="00F82AF5">
              <w:rPr>
                <w:rFonts w:ascii="Arial" w:hAnsi="Arial" w:cs="Arial"/>
                <w:sz w:val="16"/>
                <w:szCs w:val="16"/>
              </w:rPr>
              <w:br/>
              <w:t>Forward estimate</w:t>
            </w:r>
            <w:r w:rsidRPr="00F82AF5">
              <w:rPr>
                <w:rFonts w:ascii="Arial" w:hAnsi="Arial" w:cs="Arial"/>
                <w:sz w:val="16"/>
                <w:szCs w:val="16"/>
              </w:rPr>
              <w:br/>
              <w:t>$'000</w:t>
            </w:r>
          </w:p>
        </w:tc>
      </w:tr>
      <w:tr w:rsidR="005449D2" w:rsidRPr="00F82AF5" w:rsidTr="003F0F8A">
        <w:trPr>
          <w:trHeight w:val="203"/>
        </w:trPr>
        <w:tc>
          <w:tcPr>
            <w:tcW w:w="7734" w:type="dxa"/>
            <w:gridSpan w:val="6"/>
            <w:tcBorders>
              <w:top w:val="single" w:sz="4" w:space="0" w:color="auto"/>
              <w:left w:val="nil"/>
              <w:bottom w:val="single" w:sz="4" w:space="0" w:color="auto"/>
              <w:right w:val="nil"/>
            </w:tcBorders>
            <w:shd w:val="clear" w:color="000000" w:fill="E6E6E6"/>
            <w:vAlign w:val="center"/>
            <w:hideMark/>
          </w:tcPr>
          <w:p w:rsidR="005449D2" w:rsidRPr="00F82AF5" w:rsidRDefault="005449D2" w:rsidP="003F0F8A">
            <w:pPr>
              <w:spacing w:after="0" w:line="240" w:lineRule="auto"/>
              <w:rPr>
                <w:rFonts w:ascii="Arial" w:hAnsi="Arial" w:cs="Arial"/>
                <w:i/>
                <w:iCs/>
                <w:sz w:val="16"/>
                <w:szCs w:val="16"/>
              </w:rPr>
            </w:pPr>
            <w:r w:rsidRPr="00F82AF5">
              <w:rPr>
                <w:rFonts w:ascii="Arial" w:hAnsi="Arial" w:cs="Arial"/>
                <w:i/>
                <w:iCs/>
                <w:sz w:val="16"/>
                <w:szCs w:val="16"/>
              </w:rPr>
              <w:t>1.1</w:t>
            </w:r>
            <w:r>
              <w:rPr>
                <w:rFonts w:ascii="Arial" w:hAnsi="Arial" w:cs="Arial"/>
                <w:i/>
                <w:iCs/>
                <w:sz w:val="16"/>
                <w:szCs w:val="16"/>
              </w:rPr>
              <w:t>—</w:t>
            </w:r>
            <w:r w:rsidRPr="00F82AF5">
              <w:rPr>
                <w:rFonts w:ascii="Arial" w:hAnsi="Arial" w:cs="Arial"/>
                <w:i/>
                <w:iCs/>
                <w:sz w:val="16"/>
                <w:szCs w:val="16"/>
              </w:rPr>
              <w:t>Work Health, Safety and Rehabilitation Regulation</w:t>
            </w: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Annual departmental expenses:</w:t>
            </w:r>
          </w:p>
        </w:tc>
        <w:tc>
          <w:tcPr>
            <w:tcW w:w="949"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 </w:t>
            </w: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Annual Appropriation</w:t>
            </w:r>
          </w:p>
        </w:tc>
        <w:tc>
          <w:tcPr>
            <w:tcW w:w="949"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732 </w:t>
            </w:r>
          </w:p>
        </w:tc>
        <w:tc>
          <w:tcPr>
            <w:tcW w:w="839" w:type="dxa"/>
            <w:tcBorders>
              <w:top w:val="nil"/>
              <w:left w:val="nil"/>
              <w:bottom w:val="nil"/>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722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717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718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721 </w:t>
            </w:r>
          </w:p>
        </w:tc>
      </w:tr>
      <w:tr w:rsidR="005449D2" w:rsidRPr="00F82AF5" w:rsidTr="003F0F8A">
        <w:trPr>
          <w:trHeight w:val="407"/>
        </w:trPr>
        <w:tc>
          <w:tcPr>
            <w:tcW w:w="3426" w:type="dxa"/>
            <w:tcBorders>
              <w:top w:val="nil"/>
              <w:left w:val="nil"/>
              <w:bottom w:val="nil"/>
              <w:right w:val="nil"/>
            </w:tcBorders>
            <w:shd w:val="clear" w:color="auto" w:fill="auto"/>
            <w:vAlign w:val="bottom"/>
            <w:hideMark/>
          </w:tcPr>
          <w:p w:rsidR="005449D2" w:rsidRPr="00F82AF5" w:rsidRDefault="005449D2" w:rsidP="003F0F8A">
            <w:pPr>
              <w:tabs>
                <w:tab w:val="left" w:pos="190"/>
              </w:tabs>
              <w:spacing w:after="0" w:line="240" w:lineRule="auto"/>
              <w:rPr>
                <w:rFonts w:ascii="Arial" w:hAnsi="Arial" w:cs="Arial"/>
                <w:sz w:val="16"/>
                <w:szCs w:val="16"/>
              </w:rPr>
            </w:pPr>
            <w:r w:rsidRPr="00F82AF5">
              <w:rPr>
                <w:rFonts w:ascii="Arial" w:hAnsi="Arial" w:cs="Arial"/>
                <w:sz w:val="16"/>
                <w:szCs w:val="16"/>
              </w:rPr>
              <w:t xml:space="preserve">Expenses not requiring appropriation in the </w:t>
            </w:r>
            <w:r>
              <w:rPr>
                <w:rFonts w:ascii="Arial" w:hAnsi="Arial" w:cs="Arial"/>
                <w:sz w:val="16"/>
                <w:szCs w:val="16"/>
              </w:rPr>
              <w:tab/>
            </w:r>
            <w:r w:rsidRPr="00F82AF5">
              <w:rPr>
                <w:rFonts w:ascii="Arial" w:hAnsi="Arial" w:cs="Arial"/>
                <w:sz w:val="16"/>
                <w:szCs w:val="16"/>
              </w:rPr>
              <w:t>Budget year</w:t>
            </w:r>
          </w:p>
        </w:tc>
        <w:tc>
          <w:tcPr>
            <w:tcW w:w="949" w:type="dxa"/>
            <w:tcBorders>
              <w:top w:val="nil"/>
              <w:left w:val="nil"/>
              <w:bottom w:val="nil"/>
              <w:right w:val="nil"/>
            </w:tcBorders>
            <w:shd w:val="clear" w:color="auto" w:fill="auto"/>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28,221 </w:t>
            </w:r>
          </w:p>
        </w:tc>
        <w:tc>
          <w:tcPr>
            <w:tcW w:w="839" w:type="dxa"/>
            <w:tcBorders>
              <w:top w:val="nil"/>
              <w:left w:val="nil"/>
              <w:bottom w:val="nil"/>
              <w:right w:val="nil"/>
            </w:tcBorders>
            <w:shd w:val="clear" w:color="000000" w:fill="E6E6E6"/>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28,908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28,494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28,617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29,048 </w:t>
            </w:r>
          </w:p>
        </w:tc>
      </w:tr>
      <w:tr w:rsidR="005449D2" w:rsidRPr="00F82AF5" w:rsidTr="003F0F8A">
        <w:trPr>
          <w:trHeight w:val="156"/>
        </w:trPr>
        <w:tc>
          <w:tcPr>
            <w:tcW w:w="3426" w:type="dxa"/>
            <w:tcBorders>
              <w:top w:val="nil"/>
              <w:left w:val="nil"/>
              <w:bottom w:val="nil"/>
              <w:right w:val="nil"/>
            </w:tcBorders>
            <w:shd w:val="clear" w:color="auto" w:fill="auto"/>
            <w:vAlign w:val="center"/>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Total component 1.1 expenses</w:t>
            </w:r>
          </w:p>
        </w:tc>
        <w:tc>
          <w:tcPr>
            <w:tcW w:w="949" w:type="dxa"/>
            <w:tcBorders>
              <w:top w:val="single" w:sz="4" w:space="0" w:color="auto"/>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28,953 </w:t>
            </w:r>
          </w:p>
        </w:tc>
        <w:tc>
          <w:tcPr>
            <w:tcW w:w="839" w:type="dxa"/>
            <w:tcBorders>
              <w:top w:val="single" w:sz="4" w:space="0" w:color="auto"/>
              <w:left w:val="nil"/>
              <w:bottom w:val="nil"/>
              <w:right w:val="nil"/>
            </w:tcBorders>
            <w:shd w:val="clear" w:color="000000" w:fill="E6E6E6"/>
            <w:noWrap/>
            <w:vAlign w:val="center"/>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29,630 </w:t>
            </w:r>
          </w:p>
        </w:tc>
        <w:tc>
          <w:tcPr>
            <w:tcW w:w="840" w:type="dxa"/>
            <w:tcBorders>
              <w:top w:val="single" w:sz="4" w:space="0" w:color="auto"/>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29,211 </w:t>
            </w:r>
          </w:p>
        </w:tc>
        <w:tc>
          <w:tcPr>
            <w:tcW w:w="840" w:type="dxa"/>
            <w:tcBorders>
              <w:top w:val="single" w:sz="4" w:space="0" w:color="auto"/>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29,335 </w:t>
            </w:r>
          </w:p>
        </w:tc>
        <w:tc>
          <w:tcPr>
            <w:tcW w:w="840" w:type="dxa"/>
            <w:tcBorders>
              <w:top w:val="single" w:sz="4" w:space="0" w:color="auto"/>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29,769 </w:t>
            </w:r>
          </w:p>
        </w:tc>
      </w:tr>
      <w:tr w:rsidR="005449D2" w:rsidRPr="00F82AF5" w:rsidTr="003F0F8A">
        <w:trPr>
          <w:trHeight w:val="102"/>
        </w:trPr>
        <w:tc>
          <w:tcPr>
            <w:tcW w:w="7734" w:type="dxa"/>
            <w:gridSpan w:val="6"/>
            <w:tcBorders>
              <w:top w:val="single" w:sz="4" w:space="0" w:color="auto"/>
              <w:left w:val="nil"/>
              <w:bottom w:val="single" w:sz="4" w:space="0" w:color="auto"/>
              <w:right w:val="nil"/>
            </w:tcBorders>
            <w:shd w:val="clear" w:color="000000" w:fill="E6E6E6"/>
            <w:vAlign w:val="center"/>
            <w:hideMark/>
          </w:tcPr>
          <w:p w:rsidR="005449D2" w:rsidRPr="00F82AF5" w:rsidRDefault="005449D2" w:rsidP="003F0F8A">
            <w:pPr>
              <w:spacing w:after="0" w:line="240" w:lineRule="auto"/>
              <w:rPr>
                <w:rFonts w:ascii="Arial" w:hAnsi="Arial" w:cs="Arial"/>
                <w:i/>
                <w:iCs/>
                <w:sz w:val="16"/>
                <w:szCs w:val="16"/>
              </w:rPr>
            </w:pPr>
            <w:r w:rsidRPr="00F82AF5">
              <w:rPr>
                <w:rFonts w:ascii="Arial" w:hAnsi="Arial" w:cs="Arial"/>
                <w:i/>
                <w:iCs/>
                <w:sz w:val="16"/>
                <w:szCs w:val="16"/>
              </w:rPr>
              <w:t>1.2</w:t>
            </w:r>
            <w:r>
              <w:rPr>
                <w:rFonts w:ascii="Arial" w:hAnsi="Arial" w:cs="Arial"/>
                <w:i/>
                <w:iCs/>
                <w:sz w:val="16"/>
                <w:szCs w:val="16"/>
              </w:rPr>
              <w:t>—</w:t>
            </w:r>
            <w:r w:rsidRPr="00F82AF5">
              <w:rPr>
                <w:rFonts w:ascii="Arial" w:hAnsi="Arial" w:cs="Arial"/>
                <w:i/>
                <w:iCs/>
                <w:sz w:val="16"/>
                <w:szCs w:val="16"/>
              </w:rPr>
              <w:t>Comcare Workers Compensation Scheme Management</w:t>
            </w:r>
          </w:p>
        </w:tc>
      </w:tr>
      <w:tr w:rsidR="005449D2" w:rsidRPr="00F82AF5" w:rsidTr="003F0F8A">
        <w:trPr>
          <w:trHeight w:val="407"/>
        </w:trPr>
        <w:tc>
          <w:tcPr>
            <w:tcW w:w="3426" w:type="dxa"/>
            <w:tcBorders>
              <w:top w:val="nil"/>
              <w:left w:val="nil"/>
              <w:bottom w:val="nil"/>
              <w:right w:val="nil"/>
            </w:tcBorders>
            <w:shd w:val="clear" w:color="auto" w:fill="auto"/>
            <w:vAlign w:val="bottom"/>
            <w:hideMark/>
          </w:tcPr>
          <w:p w:rsidR="005449D2" w:rsidRPr="00F82AF5" w:rsidRDefault="005449D2" w:rsidP="003F0F8A">
            <w:pPr>
              <w:tabs>
                <w:tab w:val="left" w:pos="191"/>
              </w:tabs>
              <w:spacing w:after="0" w:line="240" w:lineRule="auto"/>
              <w:rPr>
                <w:rFonts w:ascii="Arial" w:hAnsi="Arial" w:cs="Arial"/>
                <w:sz w:val="16"/>
                <w:szCs w:val="16"/>
              </w:rPr>
            </w:pPr>
            <w:r w:rsidRPr="00F82AF5">
              <w:rPr>
                <w:rFonts w:ascii="Arial" w:hAnsi="Arial" w:cs="Arial"/>
                <w:sz w:val="16"/>
                <w:szCs w:val="16"/>
              </w:rPr>
              <w:t xml:space="preserve">Expenses not requiring appropriation in the </w:t>
            </w:r>
            <w:r>
              <w:rPr>
                <w:rFonts w:ascii="Arial" w:hAnsi="Arial" w:cs="Arial"/>
                <w:sz w:val="16"/>
                <w:szCs w:val="16"/>
              </w:rPr>
              <w:tab/>
            </w:r>
            <w:r w:rsidRPr="00F82AF5">
              <w:rPr>
                <w:rFonts w:ascii="Arial" w:hAnsi="Arial" w:cs="Arial"/>
                <w:sz w:val="16"/>
                <w:szCs w:val="16"/>
              </w:rPr>
              <w:t>Budget year</w:t>
            </w:r>
          </w:p>
        </w:tc>
        <w:tc>
          <w:tcPr>
            <w:tcW w:w="949" w:type="dxa"/>
            <w:tcBorders>
              <w:top w:val="nil"/>
              <w:left w:val="nil"/>
              <w:bottom w:val="nil"/>
              <w:right w:val="nil"/>
            </w:tcBorders>
            <w:shd w:val="clear" w:color="auto" w:fill="auto"/>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7,934 </w:t>
            </w:r>
          </w:p>
        </w:tc>
        <w:tc>
          <w:tcPr>
            <w:tcW w:w="839" w:type="dxa"/>
            <w:tcBorders>
              <w:top w:val="nil"/>
              <w:left w:val="nil"/>
              <w:bottom w:val="nil"/>
              <w:right w:val="nil"/>
            </w:tcBorders>
            <w:shd w:val="clear" w:color="000000" w:fill="E6E6E6"/>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7,700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7,617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7,618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7,729 </w:t>
            </w: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Total component 1.2 expenses</w:t>
            </w:r>
          </w:p>
        </w:tc>
        <w:tc>
          <w:tcPr>
            <w:tcW w:w="949"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7,934 </w:t>
            </w:r>
          </w:p>
        </w:tc>
        <w:tc>
          <w:tcPr>
            <w:tcW w:w="839" w:type="dxa"/>
            <w:tcBorders>
              <w:top w:val="single" w:sz="4" w:space="0" w:color="auto"/>
              <w:left w:val="nil"/>
              <w:bottom w:val="single" w:sz="4" w:space="0" w:color="auto"/>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7,700 </w:t>
            </w:r>
          </w:p>
        </w:tc>
        <w:tc>
          <w:tcPr>
            <w:tcW w:w="840"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7,617 </w:t>
            </w:r>
          </w:p>
        </w:tc>
        <w:tc>
          <w:tcPr>
            <w:tcW w:w="840"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7,618 </w:t>
            </w:r>
          </w:p>
        </w:tc>
        <w:tc>
          <w:tcPr>
            <w:tcW w:w="840"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7,729 </w:t>
            </w:r>
          </w:p>
        </w:tc>
      </w:tr>
      <w:tr w:rsidR="005449D2" w:rsidRPr="00F82AF5" w:rsidTr="003F0F8A">
        <w:trPr>
          <w:trHeight w:val="203"/>
        </w:trPr>
        <w:tc>
          <w:tcPr>
            <w:tcW w:w="7734" w:type="dxa"/>
            <w:gridSpan w:val="6"/>
            <w:tcBorders>
              <w:top w:val="single" w:sz="4" w:space="0" w:color="auto"/>
              <w:left w:val="nil"/>
              <w:bottom w:val="single" w:sz="4" w:space="0" w:color="auto"/>
              <w:right w:val="nil"/>
            </w:tcBorders>
            <w:shd w:val="clear" w:color="000000" w:fill="E6E6E6"/>
            <w:hideMark/>
          </w:tcPr>
          <w:p w:rsidR="005449D2" w:rsidRPr="00F82AF5" w:rsidRDefault="005449D2" w:rsidP="003F0F8A">
            <w:pPr>
              <w:spacing w:after="0" w:line="240" w:lineRule="auto"/>
              <w:rPr>
                <w:rFonts w:ascii="Arial" w:hAnsi="Arial" w:cs="Arial"/>
                <w:i/>
                <w:iCs/>
                <w:sz w:val="16"/>
                <w:szCs w:val="16"/>
              </w:rPr>
            </w:pPr>
            <w:r w:rsidRPr="00F82AF5">
              <w:rPr>
                <w:rFonts w:ascii="Arial" w:hAnsi="Arial" w:cs="Arial"/>
                <w:i/>
                <w:iCs/>
                <w:sz w:val="16"/>
                <w:szCs w:val="16"/>
              </w:rPr>
              <w:t>1.3</w:t>
            </w:r>
            <w:r>
              <w:rPr>
                <w:rFonts w:ascii="Arial" w:hAnsi="Arial" w:cs="Arial"/>
                <w:i/>
                <w:iCs/>
                <w:sz w:val="16"/>
                <w:szCs w:val="16"/>
              </w:rPr>
              <w:t>—</w:t>
            </w:r>
            <w:r w:rsidRPr="00F82AF5">
              <w:rPr>
                <w:rFonts w:ascii="Arial" w:hAnsi="Arial" w:cs="Arial"/>
                <w:i/>
                <w:iCs/>
                <w:sz w:val="16"/>
                <w:szCs w:val="16"/>
              </w:rPr>
              <w:t>SRCC and Seacare Authority Support</w:t>
            </w: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Annual departmental expenses:</w:t>
            </w:r>
          </w:p>
        </w:tc>
        <w:tc>
          <w:tcPr>
            <w:tcW w:w="949"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 </w:t>
            </w: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Annual Appropriation</w:t>
            </w:r>
          </w:p>
        </w:tc>
        <w:tc>
          <w:tcPr>
            <w:tcW w:w="949"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366 </w:t>
            </w:r>
          </w:p>
        </w:tc>
        <w:tc>
          <w:tcPr>
            <w:tcW w:w="839" w:type="dxa"/>
            <w:tcBorders>
              <w:top w:val="nil"/>
              <w:left w:val="nil"/>
              <w:bottom w:val="nil"/>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361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359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360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361 </w:t>
            </w:r>
          </w:p>
        </w:tc>
      </w:tr>
      <w:tr w:rsidR="005449D2" w:rsidRPr="00F82AF5" w:rsidTr="003F0F8A">
        <w:trPr>
          <w:trHeight w:val="359"/>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Expenses not requiring appropriation in the Budget year</w:t>
            </w:r>
          </w:p>
        </w:tc>
        <w:tc>
          <w:tcPr>
            <w:tcW w:w="949" w:type="dxa"/>
            <w:tcBorders>
              <w:top w:val="nil"/>
              <w:left w:val="nil"/>
              <w:bottom w:val="nil"/>
              <w:right w:val="nil"/>
            </w:tcBorders>
            <w:shd w:val="clear" w:color="auto" w:fill="auto"/>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4,906 </w:t>
            </w:r>
          </w:p>
        </w:tc>
        <w:tc>
          <w:tcPr>
            <w:tcW w:w="839" w:type="dxa"/>
            <w:tcBorders>
              <w:top w:val="nil"/>
              <w:left w:val="nil"/>
              <w:bottom w:val="nil"/>
              <w:right w:val="nil"/>
            </w:tcBorders>
            <w:shd w:val="clear" w:color="000000" w:fill="E6E6E6"/>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4,742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4,702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4,813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4,888 </w:t>
            </w:r>
          </w:p>
        </w:tc>
      </w:tr>
      <w:tr w:rsidR="005449D2" w:rsidRPr="00F82AF5" w:rsidTr="003F0F8A">
        <w:trPr>
          <w:trHeight w:val="11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Total component 1.3 expenses</w:t>
            </w:r>
          </w:p>
        </w:tc>
        <w:tc>
          <w:tcPr>
            <w:tcW w:w="949"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5,272 </w:t>
            </w:r>
          </w:p>
        </w:tc>
        <w:tc>
          <w:tcPr>
            <w:tcW w:w="839" w:type="dxa"/>
            <w:tcBorders>
              <w:top w:val="single" w:sz="4" w:space="0" w:color="auto"/>
              <w:left w:val="nil"/>
              <w:bottom w:val="single" w:sz="4" w:space="0" w:color="auto"/>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5,103 </w:t>
            </w:r>
          </w:p>
        </w:tc>
        <w:tc>
          <w:tcPr>
            <w:tcW w:w="840"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5,061 </w:t>
            </w:r>
          </w:p>
        </w:tc>
        <w:tc>
          <w:tcPr>
            <w:tcW w:w="840"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5,172 </w:t>
            </w:r>
          </w:p>
        </w:tc>
        <w:tc>
          <w:tcPr>
            <w:tcW w:w="840"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5,249 </w:t>
            </w:r>
          </w:p>
        </w:tc>
      </w:tr>
      <w:tr w:rsidR="005449D2" w:rsidRPr="00F82AF5" w:rsidTr="003F0F8A">
        <w:trPr>
          <w:trHeight w:val="203"/>
        </w:trPr>
        <w:tc>
          <w:tcPr>
            <w:tcW w:w="7734" w:type="dxa"/>
            <w:gridSpan w:val="6"/>
            <w:tcBorders>
              <w:top w:val="single" w:sz="4" w:space="0" w:color="auto"/>
              <w:left w:val="nil"/>
              <w:bottom w:val="single" w:sz="4" w:space="0" w:color="auto"/>
              <w:right w:val="nil"/>
            </w:tcBorders>
            <w:shd w:val="clear" w:color="000000" w:fill="E6E6E6"/>
            <w:vAlign w:val="center"/>
            <w:hideMark/>
          </w:tcPr>
          <w:p w:rsidR="005449D2" w:rsidRPr="00F82AF5" w:rsidRDefault="005449D2" w:rsidP="003F0F8A">
            <w:pPr>
              <w:spacing w:after="0" w:line="240" w:lineRule="auto"/>
              <w:rPr>
                <w:rFonts w:ascii="Arial" w:hAnsi="Arial" w:cs="Arial"/>
                <w:i/>
                <w:iCs/>
                <w:sz w:val="16"/>
                <w:szCs w:val="16"/>
              </w:rPr>
            </w:pPr>
            <w:r w:rsidRPr="00F82AF5">
              <w:rPr>
                <w:rFonts w:ascii="Arial" w:hAnsi="Arial" w:cs="Arial"/>
                <w:i/>
                <w:iCs/>
                <w:sz w:val="16"/>
                <w:szCs w:val="16"/>
              </w:rPr>
              <w:t>1.4</w:t>
            </w:r>
            <w:r>
              <w:rPr>
                <w:rFonts w:ascii="Arial" w:hAnsi="Arial" w:cs="Arial"/>
                <w:i/>
                <w:iCs/>
                <w:sz w:val="16"/>
                <w:szCs w:val="16"/>
              </w:rPr>
              <w:t>—</w:t>
            </w:r>
            <w:r w:rsidRPr="00F82AF5">
              <w:rPr>
                <w:rFonts w:ascii="Arial" w:hAnsi="Arial" w:cs="Arial"/>
                <w:i/>
                <w:iCs/>
                <w:sz w:val="16"/>
                <w:szCs w:val="16"/>
              </w:rPr>
              <w:t>Premium Claims</w:t>
            </w: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Annual departmental expenses:</w:t>
            </w:r>
          </w:p>
        </w:tc>
        <w:tc>
          <w:tcPr>
            <w:tcW w:w="949"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 </w:t>
            </w: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Annual Appropriation</w:t>
            </w:r>
          </w:p>
        </w:tc>
        <w:tc>
          <w:tcPr>
            <w:tcW w:w="949"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207 </w:t>
            </w:r>
          </w:p>
        </w:tc>
        <w:tc>
          <w:tcPr>
            <w:tcW w:w="839" w:type="dxa"/>
            <w:tcBorders>
              <w:top w:val="nil"/>
              <w:left w:val="nil"/>
              <w:bottom w:val="nil"/>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204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203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204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205 </w:t>
            </w:r>
          </w:p>
        </w:tc>
      </w:tr>
      <w:tr w:rsidR="005449D2" w:rsidRPr="00F82AF5" w:rsidTr="003F0F8A">
        <w:trPr>
          <w:trHeight w:val="407"/>
        </w:trPr>
        <w:tc>
          <w:tcPr>
            <w:tcW w:w="3426" w:type="dxa"/>
            <w:tcBorders>
              <w:top w:val="nil"/>
              <w:left w:val="nil"/>
              <w:bottom w:val="nil"/>
              <w:right w:val="nil"/>
            </w:tcBorders>
            <w:shd w:val="clear" w:color="auto" w:fill="auto"/>
            <w:vAlign w:val="bottom"/>
            <w:hideMark/>
          </w:tcPr>
          <w:p w:rsidR="005449D2" w:rsidRPr="00F82AF5" w:rsidRDefault="005449D2" w:rsidP="003F0F8A">
            <w:pPr>
              <w:tabs>
                <w:tab w:val="left" w:pos="191"/>
              </w:tabs>
              <w:spacing w:after="0" w:line="240" w:lineRule="auto"/>
              <w:rPr>
                <w:rFonts w:ascii="Arial" w:hAnsi="Arial" w:cs="Arial"/>
                <w:sz w:val="16"/>
                <w:szCs w:val="16"/>
              </w:rPr>
            </w:pPr>
            <w:r w:rsidRPr="00F82AF5">
              <w:rPr>
                <w:rFonts w:ascii="Arial" w:hAnsi="Arial" w:cs="Arial"/>
                <w:sz w:val="16"/>
                <w:szCs w:val="16"/>
              </w:rPr>
              <w:t xml:space="preserve">Expenses not requiring appropriation in the </w:t>
            </w:r>
            <w:r>
              <w:rPr>
                <w:rFonts w:ascii="Arial" w:hAnsi="Arial" w:cs="Arial"/>
                <w:sz w:val="16"/>
                <w:szCs w:val="16"/>
              </w:rPr>
              <w:tab/>
            </w:r>
            <w:r w:rsidRPr="00F82AF5">
              <w:rPr>
                <w:rFonts w:ascii="Arial" w:hAnsi="Arial" w:cs="Arial"/>
                <w:sz w:val="16"/>
                <w:szCs w:val="16"/>
              </w:rPr>
              <w:t>Budget year</w:t>
            </w:r>
          </w:p>
        </w:tc>
        <w:tc>
          <w:tcPr>
            <w:tcW w:w="949" w:type="dxa"/>
            <w:tcBorders>
              <w:top w:val="nil"/>
              <w:left w:val="nil"/>
              <w:bottom w:val="nil"/>
              <w:right w:val="nil"/>
            </w:tcBorders>
            <w:shd w:val="clear" w:color="auto" w:fill="auto"/>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(5,821)</w:t>
            </w:r>
          </w:p>
        </w:tc>
        <w:tc>
          <w:tcPr>
            <w:tcW w:w="839" w:type="dxa"/>
            <w:tcBorders>
              <w:top w:val="nil"/>
              <w:left w:val="nil"/>
              <w:bottom w:val="nil"/>
              <w:right w:val="nil"/>
            </w:tcBorders>
            <w:shd w:val="clear" w:color="000000" w:fill="E6E6E6"/>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321,086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327,358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340,845 </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356,835 </w:t>
            </w:r>
          </w:p>
        </w:tc>
      </w:tr>
      <w:tr w:rsidR="005449D2" w:rsidRPr="00F82AF5" w:rsidTr="003F0F8A">
        <w:trPr>
          <w:trHeight w:val="160"/>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Total component 1.4 expenses</w:t>
            </w:r>
          </w:p>
        </w:tc>
        <w:tc>
          <w:tcPr>
            <w:tcW w:w="949"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(5,614)</w:t>
            </w:r>
          </w:p>
        </w:tc>
        <w:tc>
          <w:tcPr>
            <w:tcW w:w="839" w:type="dxa"/>
            <w:tcBorders>
              <w:top w:val="single" w:sz="4" w:space="0" w:color="auto"/>
              <w:left w:val="nil"/>
              <w:bottom w:val="nil"/>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321,290 </w:t>
            </w:r>
          </w:p>
        </w:tc>
        <w:tc>
          <w:tcPr>
            <w:tcW w:w="840"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327,561 </w:t>
            </w:r>
          </w:p>
        </w:tc>
        <w:tc>
          <w:tcPr>
            <w:tcW w:w="840"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341,049 </w:t>
            </w:r>
          </w:p>
        </w:tc>
        <w:tc>
          <w:tcPr>
            <w:tcW w:w="840"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357,039 </w:t>
            </w:r>
          </w:p>
        </w:tc>
      </w:tr>
      <w:tr w:rsidR="005449D2" w:rsidRPr="00F82AF5" w:rsidTr="003F0F8A">
        <w:trPr>
          <w:trHeight w:val="203"/>
        </w:trPr>
        <w:tc>
          <w:tcPr>
            <w:tcW w:w="7734" w:type="dxa"/>
            <w:gridSpan w:val="6"/>
            <w:tcBorders>
              <w:top w:val="single" w:sz="4" w:space="0" w:color="auto"/>
              <w:left w:val="nil"/>
              <w:bottom w:val="single" w:sz="4" w:space="0" w:color="auto"/>
              <w:right w:val="nil"/>
            </w:tcBorders>
            <w:shd w:val="clear" w:color="000000" w:fill="E6E6E6"/>
            <w:vAlign w:val="center"/>
            <w:hideMark/>
          </w:tcPr>
          <w:p w:rsidR="005449D2" w:rsidRPr="00F82AF5" w:rsidRDefault="005449D2" w:rsidP="003F0F8A">
            <w:pPr>
              <w:spacing w:after="0" w:line="240" w:lineRule="auto"/>
              <w:rPr>
                <w:rFonts w:ascii="Arial" w:hAnsi="Arial" w:cs="Arial"/>
                <w:i/>
                <w:iCs/>
                <w:sz w:val="16"/>
                <w:szCs w:val="16"/>
              </w:rPr>
            </w:pPr>
            <w:r w:rsidRPr="00F82AF5">
              <w:rPr>
                <w:rFonts w:ascii="Arial" w:hAnsi="Arial" w:cs="Arial"/>
                <w:i/>
                <w:iCs/>
                <w:sz w:val="16"/>
                <w:szCs w:val="16"/>
              </w:rPr>
              <w:t>1.5</w:t>
            </w:r>
            <w:r>
              <w:rPr>
                <w:rFonts w:ascii="Arial" w:hAnsi="Arial" w:cs="Arial"/>
                <w:i/>
                <w:iCs/>
                <w:sz w:val="16"/>
                <w:szCs w:val="16"/>
              </w:rPr>
              <w:t>—</w:t>
            </w:r>
            <w:r w:rsidRPr="00F82AF5">
              <w:rPr>
                <w:rFonts w:ascii="Arial" w:hAnsi="Arial" w:cs="Arial"/>
                <w:i/>
                <w:iCs/>
                <w:sz w:val="16"/>
                <w:szCs w:val="16"/>
              </w:rPr>
              <w:t>Pre-premium Claims</w:t>
            </w: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Grants received from portfolio department</w:t>
            </w:r>
          </w:p>
        </w:tc>
        <w:tc>
          <w:tcPr>
            <w:tcW w:w="949"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32,510 </w:t>
            </w:r>
          </w:p>
        </w:tc>
        <w:tc>
          <w:tcPr>
            <w:tcW w:w="839" w:type="dxa"/>
            <w:tcBorders>
              <w:top w:val="nil"/>
              <w:left w:val="nil"/>
              <w:bottom w:val="nil"/>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32,337 </w:t>
            </w: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30,503 </w:t>
            </w: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28,646 </w:t>
            </w: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26,938 </w:t>
            </w:r>
          </w:p>
        </w:tc>
      </w:tr>
      <w:tr w:rsidR="005449D2" w:rsidRPr="00F82AF5" w:rsidTr="003F0F8A">
        <w:trPr>
          <w:trHeight w:val="407"/>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Expenses not requiring appropriation in the Budget year</w:t>
            </w:r>
          </w:p>
        </w:tc>
        <w:tc>
          <w:tcPr>
            <w:tcW w:w="949" w:type="dxa"/>
            <w:tcBorders>
              <w:top w:val="nil"/>
              <w:left w:val="nil"/>
              <w:bottom w:val="nil"/>
              <w:right w:val="nil"/>
            </w:tcBorders>
            <w:shd w:val="clear" w:color="auto" w:fill="auto"/>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(43,975)</w:t>
            </w:r>
          </w:p>
        </w:tc>
        <w:tc>
          <w:tcPr>
            <w:tcW w:w="839" w:type="dxa"/>
            <w:tcBorders>
              <w:top w:val="nil"/>
              <w:left w:val="nil"/>
              <w:bottom w:val="nil"/>
              <w:right w:val="nil"/>
            </w:tcBorders>
            <w:shd w:val="clear" w:color="000000" w:fill="E6E6E6"/>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(30,284)</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(27,798)</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(24,860)</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(22,035)</w:t>
            </w:r>
          </w:p>
        </w:tc>
      </w:tr>
      <w:tr w:rsidR="005449D2" w:rsidRPr="00F82AF5" w:rsidTr="003F0F8A">
        <w:trPr>
          <w:trHeight w:val="131"/>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Total component 1.5 expenses</w:t>
            </w:r>
          </w:p>
        </w:tc>
        <w:tc>
          <w:tcPr>
            <w:tcW w:w="949"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(11,465)</w:t>
            </w:r>
          </w:p>
        </w:tc>
        <w:tc>
          <w:tcPr>
            <w:tcW w:w="839" w:type="dxa"/>
            <w:tcBorders>
              <w:top w:val="single" w:sz="4" w:space="0" w:color="auto"/>
              <w:left w:val="nil"/>
              <w:bottom w:val="nil"/>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2,053 </w:t>
            </w:r>
          </w:p>
        </w:tc>
        <w:tc>
          <w:tcPr>
            <w:tcW w:w="840"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2,705 </w:t>
            </w:r>
          </w:p>
        </w:tc>
        <w:tc>
          <w:tcPr>
            <w:tcW w:w="840"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3,786 </w:t>
            </w:r>
          </w:p>
        </w:tc>
        <w:tc>
          <w:tcPr>
            <w:tcW w:w="840"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4,903 </w:t>
            </w:r>
          </w:p>
        </w:tc>
      </w:tr>
      <w:tr w:rsidR="005449D2" w:rsidRPr="00F82AF5" w:rsidTr="003F0F8A">
        <w:trPr>
          <w:trHeight w:val="203"/>
        </w:trPr>
        <w:tc>
          <w:tcPr>
            <w:tcW w:w="7734" w:type="dxa"/>
            <w:gridSpan w:val="6"/>
            <w:tcBorders>
              <w:top w:val="single" w:sz="4" w:space="0" w:color="auto"/>
              <w:left w:val="nil"/>
              <w:bottom w:val="single" w:sz="4" w:space="0" w:color="auto"/>
              <w:right w:val="nil"/>
            </w:tcBorders>
            <w:shd w:val="clear" w:color="000000" w:fill="E6E6E6"/>
            <w:vAlign w:val="center"/>
            <w:hideMark/>
          </w:tcPr>
          <w:p w:rsidR="005449D2" w:rsidRPr="00F82AF5" w:rsidRDefault="005449D2" w:rsidP="003F0F8A">
            <w:pPr>
              <w:spacing w:after="0" w:line="240" w:lineRule="auto"/>
              <w:rPr>
                <w:rFonts w:ascii="Arial" w:hAnsi="Arial" w:cs="Arial"/>
                <w:i/>
                <w:iCs/>
                <w:sz w:val="16"/>
                <w:szCs w:val="16"/>
              </w:rPr>
            </w:pPr>
            <w:r w:rsidRPr="00F82AF5">
              <w:rPr>
                <w:rFonts w:ascii="Arial" w:hAnsi="Arial" w:cs="Arial"/>
                <w:i/>
                <w:iCs/>
                <w:sz w:val="16"/>
                <w:szCs w:val="16"/>
              </w:rPr>
              <w:t>1.6</w:t>
            </w:r>
            <w:r>
              <w:rPr>
                <w:rFonts w:ascii="Arial" w:hAnsi="Arial" w:cs="Arial"/>
                <w:i/>
                <w:iCs/>
                <w:sz w:val="16"/>
                <w:szCs w:val="16"/>
              </w:rPr>
              <w:t>—</w:t>
            </w:r>
            <w:r w:rsidRPr="00F82AF5">
              <w:rPr>
                <w:rFonts w:ascii="Arial" w:hAnsi="Arial" w:cs="Arial"/>
                <w:i/>
                <w:iCs/>
                <w:sz w:val="16"/>
                <w:szCs w:val="16"/>
              </w:rPr>
              <w:t>Asbestos Claims</w:t>
            </w: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Annual departmental expenses:</w:t>
            </w:r>
          </w:p>
        </w:tc>
        <w:tc>
          <w:tcPr>
            <w:tcW w:w="949"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39" w:type="dxa"/>
            <w:tcBorders>
              <w:top w:val="nil"/>
              <w:left w:val="nil"/>
              <w:bottom w:val="nil"/>
              <w:right w:val="nil"/>
            </w:tcBorders>
            <w:shd w:val="clear" w:color="000000" w:fill="E6E6E6"/>
            <w:noWrap/>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 </w:t>
            </w: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c>
          <w:tcPr>
            <w:tcW w:w="840"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Annual Appropriation</w:t>
            </w:r>
          </w:p>
        </w:tc>
        <w:tc>
          <w:tcPr>
            <w:tcW w:w="949"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4,799 </w:t>
            </w:r>
          </w:p>
        </w:tc>
        <w:tc>
          <w:tcPr>
            <w:tcW w:w="839" w:type="dxa"/>
            <w:tcBorders>
              <w:top w:val="nil"/>
              <w:left w:val="nil"/>
              <w:bottom w:val="nil"/>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4,732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4,703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4,708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4,729 </w:t>
            </w:r>
          </w:p>
        </w:tc>
      </w:tr>
      <w:tr w:rsidR="005449D2" w:rsidRPr="00F82AF5" w:rsidTr="003F0F8A">
        <w:trPr>
          <w:trHeight w:val="20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Grants received from portfolio department</w:t>
            </w:r>
          </w:p>
        </w:tc>
        <w:tc>
          <w:tcPr>
            <w:tcW w:w="949" w:type="dxa"/>
            <w:tcBorders>
              <w:top w:val="nil"/>
              <w:left w:val="nil"/>
              <w:bottom w:val="nil"/>
              <w:right w:val="nil"/>
            </w:tcBorders>
            <w:shd w:val="clear" w:color="auto" w:fill="auto"/>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31,717 </w:t>
            </w:r>
          </w:p>
        </w:tc>
        <w:tc>
          <w:tcPr>
            <w:tcW w:w="839" w:type="dxa"/>
            <w:tcBorders>
              <w:top w:val="nil"/>
              <w:left w:val="nil"/>
              <w:bottom w:val="nil"/>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34,537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30,827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32,077 </w:t>
            </w:r>
          </w:p>
        </w:tc>
        <w:tc>
          <w:tcPr>
            <w:tcW w:w="840" w:type="dxa"/>
            <w:tcBorders>
              <w:top w:val="nil"/>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 xml:space="preserve">32,912 </w:t>
            </w:r>
          </w:p>
        </w:tc>
      </w:tr>
      <w:tr w:rsidR="005449D2" w:rsidRPr="00F82AF5" w:rsidTr="003F0F8A">
        <w:trPr>
          <w:trHeight w:val="407"/>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Expenses not requiring appropriation in the Budget year</w:t>
            </w:r>
          </w:p>
        </w:tc>
        <w:tc>
          <w:tcPr>
            <w:tcW w:w="949" w:type="dxa"/>
            <w:tcBorders>
              <w:top w:val="nil"/>
              <w:left w:val="nil"/>
              <w:bottom w:val="nil"/>
              <w:right w:val="nil"/>
            </w:tcBorders>
            <w:shd w:val="clear" w:color="auto" w:fill="auto"/>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(17,117)</w:t>
            </w:r>
          </w:p>
        </w:tc>
        <w:tc>
          <w:tcPr>
            <w:tcW w:w="839" w:type="dxa"/>
            <w:tcBorders>
              <w:top w:val="nil"/>
              <w:left w:val="nil"/>
              <w:bottom w:val="nil"/>
              <w:right w:val="nil"/>
            </w:tcBorders>
            <w:shd w:val="clear" w:color="000000" w:fill="E6E6E6"/>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(21,555)</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(16,954)</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(19,258)</w:t>
            </w:r>
          </w:p>
        </w:tc>
        <w:tc>
          <w:tcPr>
            <w:tcW w:w="840" w:type="dxa"/>
            <w:tcBorders>
              <w:top w:val="nil"/>
              <w:left w:val="nil"/>
              <w:bottom w:val="nil"/>
              <w:right w:val="nil"/>
            </w:tcBorders>
            <w:shd w:val="clear" w:color="auto" w:fill="auto"/>
            <w:noWrap/>
            <w:vAlign w:val="center"/>
            <w:hideMark/>
          </w:tcPr>
          <w:p w:rsidR="005449D2" w:rsidRPr="00F82AF5" w:rsidRDefault="005449D2" w:rsidP="003F0F8A">
            <w:pPr>
              <w:spacing w:after="0" w:line="240" w:lineRule="auto"/>
              <w:jc w:val="right"/>
              <w:rPr>
                <w:rFonts w:ascii="Arial" w:hAnsi="Arial" w:cs="Arial"/>
                <w:sz w:val="16"/>
                <w:szCs w:val="16"/>
              </w:rPr>
            </w:pPr>
            <w:r w:rsidRPr="00F82AF5">
              <w:rPr>
                <w:rFonts w:ascii="Arial" w:hAnsi="Arial" w:cs="Arial"/>
                <w:sz w:val="16"/>
                <w:szCs w:val="16"/>
              </w:rPr>
              <w:t>(20,915)</w:t>
            </w:r>
          </w:p>
        </w:tc>
      </w:tr>
      <w:tr w:rsidR="005449D2" w:rsidRPr="00F82AF5" w:rsidTr="003F0F8A">
        <w:trPr>
          <w:trHeight w:val="123"/>
        </w:trPr>
        <w:tc>
          <w:tcPr>
            <w:tcW w:w="3426" w:type="dxa"/>
            <w:tcBorders>
              <w:top w:val="nil"/>
              <w:left w:val="nil"/>
              <w:bottom w:val="nil"/>
              <w:right w:val="nil"/>
            </w:tcBorders>
            <w:shd w:val="clear" w:color="auto" w:fill="auto"/>
            <w:vAlign w:val="bottom"/>
            <w:hideMark/>
          </w:tcPr>
          <w:p w:rsidR="005449D2" w:rsidRPr="00F82AF5" w:rsidRDefault="005449D2" w:rsidP="003F0F8A">
            <w:pPr>
              <w:spacing w:after="0" w:line="240" w:lineRule="auto"/>
              <w:rPr>
                <w:rFonts w:ascii="Arial" w:hAnsi="Arial" w:cs="Arial"/>
                <w:sz w:val="16"/>
                <w:szCs w:val="16"/>
              </w:rPr>
            </w:pPr>
            <w:r w:rsidRPr="00F82AF5">
              <w:rPr>
                <w:rFonts w:ascii="Arial" w:hAnsi="Arial" w:cs="Arial"/>
                <w:sz w:val="16"/>
                <w:szCs w:val="16"/>
              </w:rPr>
              <w:t>Total component 1.6 expenses</w:t>
            </w:r>
          </w:p>
        </w:tc>
        <w:tc>
          <w:tcPr>
            <w:tcW w:w="949"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19,399 </w:t>
            </w:r>
          </w:p>
        </w:tc>
        <w:tc>
          <w:tcPr>
            <w:tcW w:w="839" w:type="dxa"/>
            <w:tcBorders>
              <w:top w:val="single" w:sz="4" w:space="0" w:color="auto"/>
              <w:left w:val="nil"/>
              <w:bottom w:val="nil"/>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17,714 </w:t>
            </w:r>
          </w:p>
        </w:tc>
        <w:tc>
          <w:tcPr>
            <w:tcW w:w="840"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18,576 </w:t>
            </w:r>
          </w:p>
        </w:tc>
        <w:tc>
          <w:tcPr>
            <w:tcW w:w="840"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17,526 </w:t>
            </w:r>
          </w:p>
        </w:tc>
        <w:tc>
          <w:tcPr>
            <w:tcW w:w="840" w:type="dxa"/>
            <w:tcBorders>
              <w:top w:val="single" w:sz="4" w:space="0" w:color="auto"/>
              <w:left w:val="nil"/>
              <w:bottom w:val="nil"/>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16,726 </w:t>
            </w:r>
          </w:p>
        </w:tc>
      </w:tr>
      <w:tr w:rsidR="005449D2" w:rsidRPr="00F82AF5" w:rsidTr="003F0F8A">
        <w:trPr>
          <w:trHeight w:val="203"/>
        </w:trPr>
        <w:tc>
          <w:tcPr>
            <w:tcW w:w="3426" w:type="dxa"/>
            <w:tcBorders>
              <w:top w:val="nil"/>
              <w:left w:val="nil"/>
              <w:bottom w:val="single" w:sz="4" w:space="0" w:color="auto"/>
              <w:right w:val="nil"/>
            </w:tcBorders>
            <w:shd w:val="clear" w:color="auto" w:fill="auto"/>
            <w:vAlign w:val="bottom"/>
            <w:hideMark/>
          </w:tcPr>
          <w:p w:rsidR="005449D2" w:rsidRPr="00F82AF5" w:rsidRDefault="005449D2" w:rsidP="003F0F8A">
            <w:pPr>
              <w:spacing w:after="0" w:line="240" w:lineRule="auto"/>
              <w:rPr>
                <w:rFonts w:ascii="Arial" w:hAnsi="Arial" w:cs="Arial"/>
                <w:b/>
                <w:bCs/>
                <w:sz w:val="16"/>
                <w:szCs w:val="16"/>
              </w:rPr>
            </w:pPr>
            <w:r w:rsidRPr="00F82AF5">
              <w:rPr>
                <w:rFonts w:ascii="Arial" w:hAnsi="Arial" w:cs="Arial"/>
                <w:b/>
                <w:bCs/>
                <w:sz w:val="16"/>
                <w:szCs w:val="16"/>
              </w:rPr>
              <w:t xml:space="preserve">Total program expenses </w:t>
            </w:r>
          </w:p>
        </w:tc>
        <w:tc>
          <w:tcPr>
            <w:tcW w:w="949"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44,478 </w:t>
            </w:r>
          </w:p>
        </w:tc>
        <w:tc>
          <w:tcPr>
            <w:tcW w:w="839" w:type="dxa"/>
            <w:tcBorders>
              <w:top w:val="single" w:sz="4" w:space="0" w:color="auto"/>
              <w:left w:val="nil"/>
              <w:bottom w:val="single" w:sz="4" w:space="0" w:color="auto"/>
              <w:right w:val="nil"/>
            </w:tcBorders>
            <w:shd w:val="clear" w:color="000000" w:fill="E6E6E6"/>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383,489 </w:t>
            </w:r>
          </w:p>
        </w:tc>
        <w:tc>
          <w:tcPr>
            <w:tcW w:w="840"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390,730 </w:t>
            </w:r>
          </w:p>
        </w:tc>
        <w:tc>
          <w:tcPr>
            <w:tcW w:w="840"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404,487 </w:t>
            </w:r>
          </w:p>
        </w:tc>
        <w:tc>
          <w:tcPr>
            <w:tcW w:w="840" w:type="dxa"/>
            <w:tcBorders>
              <w:top w:val="single" w:sz="4" w:space="0" w:color="auto"/>
              <w:left w:val="nil"/>
              <w:bottom w:val="single" w:sz="4" w:space="0" w:color="auto"/>
              <w:right w:val="nil"/>
            </w:tcBorders>
            <w:shd w:val="clear" w:color="auto" w:fill="auto"/>
            <w:noWrap/>
            <w:vAlign w:val="bottom"/>
            <w:hideMark/>
          </w:tcPr>
          <w:p w:rsidR="005449D2" w:rsidRPr="00F82AF5" w:rsidRDefault="005449D2" w:rsidP="003F0F8A">
            <w:pPr>
              <w:spacing w:after="0" w:line="240" w:lineRule="auto"/>
              <w:jc w:val="right"/>
              <w:rPr>
                <w:rFonts w:ascii="Arial" w:hAnsi="Arial" w:cs="Arial"/>
                <w:b/>
                <w:bCs/>
                <w:sz w:val="16"/>
                <w:szCs w:val="16"/>
              </w:rPr>
            </w:pPr>
            <w:r w:rsidRPr="00F82AF5">
              <w:rPr>
                <w:rFonts w:ascii="Arial" w:hAnsi="Arial" w:cs="Arial"/>
                <w:b/>
                <w:bCs/>
                <w:sz w:val="16"/>
                <w:szCs w:val="16"/>
              </w:rPr>
              <w:t xml:space="preserve">421,417 </w:t>
            </w:r>
          </w:p>
        </w:tc>
      </w:tr>
    </w:tbl>
    <w:p w:rsidR="005449D2" w:rsidRPr="00950281" w:rsidRDefault="005449D2" w:rsidP="005449D2">
      <w:pPr>
        <w:pStyle w:val="ChartandTableFootnote"/>
        <w:numPr>
          <w:ilvl w:val="0"/>
          <w:numId w:val="36"/>
        </w:numPr>
        <w:spacing w:before="120"/>
        <w:ind w:left="284" w:hanging="284"/>
        <w:jc w:val="left"/>
      </w:pPr>
      <w:r w:rsidRPr="00950281">
        <w:t>E</w:t>
      </w:r>
      <w:r>
        <w:t>stimated e</w:t>
      </w:r>
      <w:r w:rsidRPr="00950281">
        <w:t xml:space="preserve">xpenses </w:t>
      </w:r>
      <w:r>
        <w:t>incurred in relation to receipts retained under section 74 of the PGPA Act</w:t>
      </w:r>
      <w:r w:rsidRPr="006922DC">
        <w:t>.</w:t>
      </w:r>
    </w:p>
    <w:p w:rsidR="005449D2" w:rsidRPr="00446612" w:rsidRDefault="005449D2" w:rsidP="005449D2">
      <w:pPr>
        <w:pStyle w:val="Source"/>
        <w:spacing w:before="60"/>
      </w:pPr>
      <w:r w:rsidRPr="00446612">
        <w:t>Note: Departmental appropriation splits and totals are indicative estimates and may change in the course of the budget year as government priorities change.</w:t>
      </w:r>
    </w:p>
    <w:p w:rsidR="005449D2" w:rsidRPr="003853FC" w:rsidRDefault="005449D2" w:rsidP="005449D2">
      <w:pPr>
        <w:pStyle w:val="TableHeading"/>
        <w:rPr>
          <w:lang w:val="en-AU"/>
        </w:rPr>
      </w:pPr>
      <w:r>
        <w:rPr>
          <w:highlight w:val="yellow"/>
          <w:lang w:val="en-US"/>
        </w:rPr>
        <w:br w:type="page"/>
      </w:r>
      <w:r>
        <w:t>Table 2.</w:t>
      </w:r>
      <w:r>
        <w:rPr>
          <w:lang w:val="en-AU"/>
        </w:rPr>
        <w:t>1</w:t>
      </w:r>
      <w:r w:rsidRPr="00F71634">
        <w:t>.3: Pe</w:t>
      </w:r>
      <w:r>
        <w:t xml:space="preserve">rformance criteria for Outcome </w:t>
      </w:r>
      <w:r>
        <w:rPr>
          <w:lang w:val="en-AU"/>
        </w:rPr>
        <w:t>1</w:t>
      </w:r>
    </w:p>
    <w:p w:rsidR="005449D2" w:rsidRPr="003853FC" w:rsidRDefault="005449D2" w:rsidP="005449D2">
      <w:pPr>
        <w:rPr>
          <w:i/>
          <w:color w:val="FF0000"/>
        </w:rPr>
      </w:pPr>
      <w:r w:rsidRPr="00F71634">
        <w:t>Table 2.</w:t>
      </w:r>
      <w:r>
        <w:t>1</w:t>
      </w:r>
      <w:r w:rsidRPr="00F71634">
        <w:t>.3 below details the performance criteria for each p</w:t>
      </w:r>
      <w:r>
        <w:t>rogram associated with Outcome 1</w:t>
      </w:r>
      <w:r w:rsidRPr="00F71634">
        <w:t>. It also summarises how each pro</w:t>
      </w:r>
      <w:r>
        <w:t>gram is delivered and where 2017–18</w:t>
      </w:r>
      <w:r w:rsidRPr="00F71634">
        <w:t xml:space="preserve"> Budget measures have created new programs or materially changed existing programs.</w:t>
      </w:r>
      <w:r w:rsidRPr="009B011E">
        <w:rPr>
          <w:i/>
          <w:color w:val="FF0000"/>
        </w:rPr>
        <w:t xml:space="preserve"> </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2496"/>
      </w:tblGrid>
      <w:tr w:rsidR="005449D2" w:rsidRPr="00CD3FE3" w:rsidTr="003F0F8A">
        <w:trPr>
          <w:tblHeader/>
        </w:trPr>
        <w:tc>
          <w:tcPr>
            <w:tcW w:w="7741" w:type="dxa"/>
            <w:gridSpan w:val="3"/>
            <w:shd w:val="clear" w:color="auto" w:fill="F2F2F2"/>
          </w:tcPr>
          <w:p w:rsidR="005449D2" w:rsidRPr="00CD3FE3" w:rsidRDefault="005449D2" w:rsidP="003F0F8A">
            <w:pPr>
              <w:pStyle w:val="TableColumnHeadingLeft"/>
              <w:rPr>
                <w:sz w:val="17"/>
                <w:szCs w:val="17"/>
              </w:rPr>
            </w:pPr>
            <w:r w:rsidRPr="00CD3FE3">
              <w:rPr>
                <w:sz w:val="17"/>
                <w:szCs w:val="17"/>
              </w:rPr>
              <w:t>Outcome 1—Support participation and productivity through healthy and safe workplaces that minimise the impact of harm in workplaces covered by Comcare.</w:t>
            </w:r>
          </w:p>
        </w:tc>
      </w:tr>
      <w:tr w:rsidR="005449D2" w:rsidRPr="00CD3FE3" w:rsidTr="003F0F8A">
        <w:trPr>
          <w:tblHeader/>
        </w:trPr>
        <w:tc>
          <w:tcPr>
            <w:tcW w:w="7741" w:type="dxa"/>
            <w:gridSpan w:val="3"/>
            <w:shd w:val="clear" w:color="auto" w:fill="F2F2F2"/>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Program Component 1.1—Work Health, Safety and Rehabilitation Regulation</w:t>
            </w:r>
          </w:p>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This program component contributes to the outcome by achieving compliance with the SRC Act and the WHS Act and regulations, in addition to leading continuous improvements in work health and safety and rehabilitation outcomes.</w:t>
            </w:r>
          </w:p>
        </w:tc>
      </w:tr>
      <w:tr w:rsidR="005449D2" w:rsidRPr="00CD3FE3" w:rsidTr="003F0F8A">
        <w:trPr>
          <w:trHeight w:val="683"/>
        </w:trPr>
        <w:tc>
          <w:tcPr>
            <w:tcW w:w="1418" w:type="dxa"/>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Purpose</w:t>
            </w:r>
          </w:p>
        </w:tc>
        <w:tc>
          <w:tcPr>
            <w:tcW w:w="6323" w:type="dxa"/>
            <w:gridSpan w:val="2"/>
          </w:tcPr>
          <w:p w:rsidR="005449D2" w:rsidRPr="00CD3FE3" w:rsidRDefault="005449D2" w:rsidP="003F0F8A">
            <w:pPr>
              <w:spacing w:after="40" w:line="240" w:lineRule="auto"/>
              <w:rPr>
                <w:rFonts w:ascii="Arial" w:hAnsi="Arial" w:cs="Arial"/>
                <w:sz w:val="17"/>
                <w:szCs w:val="17"/>
              </w:rPr>
            </w:pPr>
            <w:r w:rsidRPr="00CD3FE3">
              <w:rPr>
                <w:rFonts w:ascii="Arial" w:hAnsi="Arial" w:cs="Arial"/>
                <w:i/>
                <w:sz w:val="17"/>
                <w:szCs w:val="17"/>
              </w:rPr>
              <w:t>National Regulator—</w:t>
            </w:r>
            <w:r w:rsidRPr="00CD3FE3">
              <w:rPr>
                <w:rFonts w:ascii="Arial" w:hAnsi="Arial" w:cs="Arial"/>
                <w:sz w:val="17"/>
                <w:szCs w:val="17"/>
              </w:rPr>
              <w:t>Working with employers, employees and other stakeholders to deliver national consistent, risk based regulation to improve work health, safety and rehabilitation outcomes</w:t>
            </w:r>
          </w:p>
        </w:tc>
      </w:tr>
      <w:tr w:rsidR="005449D2" w:rsidRPr="00CD3FE3" w:rsidTr="003F0F8A">
        <w:tc>
          <w:tcPr>
            <w:tcW w:w="1418" w:type="dxa"/>
            <w:tcBorders>
              <w:bottom w:val="doub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Delivery</w:t>
            </w:r>
          </w:p>
        </w:tc>
        <w:tc>
          <w:tcPr>
            <w:tcW w:w="6323" w:type="dxa"/>
            <w:gridSpan w:val="2"/>
            <w:tcBorders>
              <w:bottom w:val="double" w:sz="4" w:space="0" w:color="auto"/>
            </w:tcBorders>
          </w:tcPr>
          <w:p w:rsidR="005449D2" w:rsidRPr="00CD3FE3" w:rsidRDefault="005449D2" w:rsidP="003F0F8A">
            <w:pPr>
              <w:tabs>
                <w:tab w:val="left" w:pos="709"/>
              </w:tabs>
              <w:spacing w:before="60" w:after="60" w:line="240" w:lineRule="auto"/>
              <w:rPr>
                <w:rFonts w:ascii="Arial" w:hAnsi="Arial" w:cs="Arial"/>
                <w:i/>
                <w:color w:val="FF0000"/>
                <w:sz w:val="17"/>
                <w:szCs w:val="17"/>
              </w:rPr>
            </w:pPr>
            <w:r w:rsidRPr="00CD3FE3">
              <w:rPr>
                <w:rFonts w:ascii="Arial" w:hAnsi="Arial" w:cs="Arial"/>
                <w:sz w:val="17"/>
                <w:szCs w:val="17"/>
              </w:rPr>
              <w:t xml:space="preserve">Comcare will undertake high quality compliance activities by creating a regulatory blue print to improve regulatory intelligence and assist in developing risk based regulation whilst providing high quality compliance activities. </w:t>
            </w:r>
          </w:p>
        </w:tc>
      </w:tr>
      <w:tr w:rsidR="005449D2" w:rsidRPr="00CD3FE3" w:rsidTr="003F0F8A">
        <w:tc>
          <w:tcPr>
            <w:tcW w:w="7741" w:type="dxa"/>
            <w:gridSpan w:val="3"/>
            <w:tcBorders>
              <w:top w:val="double" w:sz="4" w:space="0" w:color="auto"/>
              <w:bottom w:val="doub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Performance information</w:t>
            </w:r>
          </w:p>
        </w:tc>
      </w:tr>
      <w:tr w:rsidR="005449D2" w:rsidRPr="00CD3FE3" w:rsidTr="003F0F8A">
        <w:tc>
          <w:tcPr>
            <w:tcW w:w="1418" w:type="dxa"/>
            <w:tcBorders>
              <w:top w:val="double" w:sz="4" w:space="0" w:color="auto"/>
              <w:bottom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Year</w:t>
            </w:r>
          </w:p>
        </w:tc>
        <w:tc>
          <w:tcPr>
            <w:tcW w:w="3827" w:type="dxa"/>
            <w:tcBorders>
              <w:top w:val="double" w:sz="4" w:space="0" w:color="auto"/>
              <w:left w:val="single" w:sz="4" w:space="0" w:color="auto"/>
              <w:bottom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Performance criteria</w:t>
            </w:r>
          </w:p>
        </w:tc>
        <w:tc>
          <w:tcPr>
            <w:tcW w:w="2496" w:type="dxa"/>
            <w:tcBorders>
              <w:top w:val="double" w:sz="4" w:space="0" w:color="auto"/>
              <w:left w:val="single" w:sz="4" w:space="0" w:color="auto"/>
              <w:bottom w:val="sing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Targets</w:t>
            </w:r>
          </w:p>
        </w:tc>
      </w:tr>
      <w:tr w:rsidR="005449D2" w:rsidRPr="00CD3FE3" w:rsidTr="003F0F8A">
        <w:trPr>
          <w:trHeight w:val="60"/>
        </w:trPr>
        <w:tc>
          <w:tcPr>
            <w:tcW w:w="1418" w:type="dxa"/>
            <w:tcBorders>
              <w:top w:val="single" w:sz="4" w:space="0" w:color="auto"/>
              <w:bottom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2016–17</w:t>
            </w:r>
          </w:p>
        </w:tc>
        <w:tc>
          <w:tcPr>
            <w:tcW w:w="3827" w:type="dxa"/>
            <w:tcBorders>
              <w:top w:val="single" w:sz="4" w:space="0" w:color="auto"/>
              <w:left w:val="single" w:sz="4" w:space="0" w:color="auto"/>
              <w:bottom w:val="dotted" w:sz="4" w:space="0" w:color="auto"/>
              <w:right w:val="single" w:sz="4" w:space="0" w:color="auto"/>
            </w:tcBorders>
          </w:tcPr>
          <w:p w:rsidR="005449D2" w:rsidRPr="00CD3FE3" w:rsidRDefault="005449D2" w:rsidP="003F0F8A">
            <w:pPr>
              <w:pStyle w:val="TableTextLeft"/>
              <w:spacing w:before="80" w:after="80"/>
              <w:rPr>
                <w:rFonts w:cs="Arial"/>
                <w:sz w:val="17"/>
                <w:szCs w:val="17"/>
              </w:rPr>
            </w:pPr>
            <w:r w:rsidRPr="00CD3FE3">
              <w:rPr>
                <w:rFonts w:cs="Arial"/>
                <w:sz w:val="17"/>
                <w:szCs w:val="17"/>
              </w:rPr>
              <w:t>Achievement of the Australian Work Health and Safety Strategy 2012–2020 targets and initiatives</w:t>
            </w:r>
          </w:p>
          <w:p w:rsidR="005449D2" w:rsidRPr="00CD3FE3" w:rsidRDefault="005449D2" w:rsidP="003F0F8A">
            <w:pPr>
              <w:pStyle w:val="TableTextLeft"/>
              <w:spacing w:before="80" w:after="80"/>
              <w:rPr>
                <w:rFonts w:cs="Arial"/>
                <w:sz w:val="17"/>
                <w:szCs w:val="17"/>
              </w:rPr>
            </w:pPr>
            <w:r w:rsidRPr="00CD3FE3">
              <w:rPr>
                <w:rFonts w:cs="Arial"/>
                <w:sz w:val="17"/>
                <w:szCs w:val="17"/>
              </w:rPr>
              <w:t>Compliance with the consistent Approval Framework for Workplace Rehabilitation Providers by workplace rehabilitation program providers approved by Comcare</w:t>
            </w:r>
          </w:p>
          <w:p w:rsidR="005449D2" w:rsidRPr="00CD3FE3" w:rsidRDefault="005449D2" w:rsidP="003F0F8A">
            <w:pPr>
              <w:tabs>
                <w:tab w:val="left" w:pos="709"/>
              </w:tabs>
              <w:spacing w:before="80" w:after="80" w:line="240" w:lineRule="auto"/>
              <w:rPr>
                <w:rFonts w:ascii="Arial" w:hAnsi="Arial" w:cs="Arial"/>
                <w:i/>
                <w:color w:val="FF0000"/>
                <w:sz w:val="17"/>
                <w:szCs w:val="17"/>
              </w:rPr>
            </w:pPr>
            <w:r w:rsidRPr="00CD3FE3">
              <w:rPr>
                <w:rFonts w:ascii="Arial" w:hAnsi="Arial" w:cs="Arial"/>
                <w:sz w:val="17"/>
                <w:szCs w:val="17"/>
              </w:rPr>
              <w:t>Achievement of Regulator Performance Framework requirements</w:t>
            </w:r>
          </w:p>
        </w:tc>
        <w:tc>
          <w:tcPr>
            <w:tcW w:w="2496" w:type="dxa"/>
            <w:tcBorders>
              <w:top w:val="single" w:sz="4" w:space="0" w:color="auto"/>
              <w:left w:val="single" w:sz="4" w:space="0" w:color="auto"/>
              <w:bottom w:val="dotted"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b/>
                <w:sz w:val="17"/>
                <w:szCs w:val="17"/>
              </w:rPr>
              <w:t xml:space="preserve">Assessment: </w:t>
            </w:r>
            <w:r w:rsidRPr="00CD3FE3">
              <w:rPr>
                <w:rFonts w:ascii="Arial" w:hAnsi="Arial" w:cs="Arial"/>
                <w:sz w:val="17"/>
                <w:szCs w:val="17"/>
              </w:rPr>
              <w:t>On track</w:t>
            </w:r>
          </w:p>
        </w:tc>
      </w:tr>
      <w:tr w:rsidR="005449D2" w:rsidRPr="00CD3FE3" w:rsidTr="003F0F8A">
        <w:tc>
          <w:tcPr>
            <w:tcW w:w="1418" w:type="dxa"/>
            <w:tcBorders>
              <w:top w:val="dotted" w:sz="4" w:space="0" w:color="auto"/>
              <w:bottom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2017–18</w:t>
            </w:r>
          </w:p>
        </w:tc>
        <w:tc>
          <w:tcPr>
            <w:tcW w:w="3827" w:type="dxa"/>
            <w:tcBorders>
              <w:top w:val="dotted" w:sz="4" w:space="0" w:color="auto"/>
              <w:left w:val="single" w:sz="4" w:space="0" w:color="auto"/>
              <w:bottom w:val="dotted" w:sz="4" w:space="0" w:color="auto"/>
              <w:right w:val="single" w:sz="4" w:space="0" w:color="auto"/>
            </w:tcBorders>
          </w:tcPr>
          <w:p w:rsidR="005449D2" w:rsidRPr="00BE46C0" w:rsidRDefault="005449D2" w:rsidP="003F0F8A">
            <w:pPr>
              <w:spacing w:before="80" w:after="80" w:line="240" w:lineRule="auto"/>
              <w:rPr>
                <w:rFonts w:ascii="Arial" w:hAnsi="Arial" w:cs="Arial"/>
                <w:sz w:val="17"/>
                <w:szCs w:val="17"/>
              </w:rPr>
            </w:pPr>
            <w:r w:rsidRPr="00BE46C0">
              <w:rPr>
                <w:rFonts w:ascii="Arial" w:hAnsi="Arial" w:cs="Arial"/>
                <w:sz w:val="17"/>
                <w:szCs w:val="17"/>
              </w:rPr>
              <w:t xml:space="preserve">Our proactive regulatory reach is extended to all entities in our scheme, to further our breadth of activities both in cities and remote workplaces and ensure we have increased the number of active relationships and entities </w:t>
            </w:r>
          </w:p>
        </w:tc>
        <w:tc>
          <w:tcPr>
            <w:tcW w:w="2496" w:type="dxa"/>
            <w:tcBorders>
              <w:top w:val="dotted" w:sz="4" w:space="0" w:color="auto"/>
              <w:left w:val="single" w:sz="4" w:space="0" w:color="auto"/>
              <w:bottom w:val="dotted" w:sz="4" w:space="0" w:color="auto"/>
            </w:tcBorders>
          </w:tcPr>
          <w:p w:rsidR="005449D2" w:rsidRPr="003346B4" w:rsidRDefault="005449D2" w:rsidP="003F0F8A">
            <w:pPr>
              <w:tabs>
                <w:tab w:val="left" w:pos="709"/>
              </w:tabs>
              <w:spacing w:before="60" w:after="60" w:line="240" w:lineRule="auto"/>
              <w:rPr>
                <w:rFonts w:ascii="Arial" w:hAnsi="Arial" w:cs="Arial"/>
                <w:color w:val="FF0000"/>
                <w:sz w:val="17"/>
                <w:szCs w:val="17"/>
              </w:rPr>
            </w:pPr>
            <w:r w:rsidRPr="003346B4">
              <w:rPr>
                <w:rFonts w:ascii="Arial" w:hAnsi="Arial" w:cs="Arial"/>
                <w:sz w:val="17"/>
                <w:szCs w:val="17"/>
              </w:rPr>
              <w:t>Comcare interaction with 80% of entities in our scheme</w:t>
            </w:r>
          </w:p>
        </w:tc>
      </w:tr>
      <w:tr w:rsidR="005449D2" w:rsidRPr="00CD3FE3" w:rsidTr="003F0F8A">
        <w:tc>
          <w:tcPr>
            <w:tcW w:w="1418" w:type="dxa"/>
            <w:tcBorders>
              <w:top w:val="dotted" w:sz="4" w:space="0" w:color="auto"/>
              <w:bottom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bottom w:val="dotted" w:sz="4" w:space="0" w:color="auto"/>
              <w:right w:val="single" w:sz="4" w:space="0" w:color="auto"/>
            </w:tcBorders>
          </w:tcPr>
          <w:p w:rsidR="005449D2" w:rsidRPr="00BE46C0" w:rsidRDefault="005449D2" w:rsidP="003F0F8A">
            <w:pPr>
              <w:tabs>
                <w:tab w:val="left" w:pos="709"/>
              </w:tabs>
              <w:spacing w:before="80" w:after="80" w:line="240" w:lineRule="auto"/>
              <w:rPr>
                <w:rFonts w:ascii="Arial" w:hAnsi="Arial" w:cs="Arial"/>
                <w:color w:val="FF0000"/>
                <w:sz w:val="17"/>
                <w:szCs w:val="17"/>
              </w:rPr>
            </w:pPr>
            <w:r w:rsidRPr="00BE46C0">
              <w:rPr>
                <w:rFonts w:ascii="Arial" w:hAnsi="Arial" w:cs="Arial"/>
                <w:sz w:val="17"/>
                <w:szCs w:val="17"/>
              </w:rPr>
              <w:t>Our approach improves WHS outcomes in workplaces through increased knowledge, awareness and compliance to ensure regulatory intervention makes a positive difference</w:t>
            </w:r>
          </w:p>
        </w:tc>
        <w:tc>
          <w:tcPr>
            <w:tcW w:w="2496" w:type="dxa"/>
            <w:tcBorders>
              <w:top w:val="dotted" w:sz="4" w:space="0" w:color="auto"/>
              <w:left w:val="single" w:sz="4" w:space="0" w:color="auto"/>
              <w:bottom w:val="dotted" w:sz="4" w:space="0" w:color="auto"/>
            </w:tcBorders>
          </w:tcPr>
          <w:p w:rsidR="005449D2" w:rsidRPr="003346B4" w:rsidRDefault="005449D2" w:rsidP="003F0F8A">
            <w:pPr>
              <w:spacing w:before="60" w:after="60" w:line="240" w:lineRule="auto"/>
              <w:rPr>
                <w:rFonts w:ascii="Arial" w:hAnsi="Arial" w:cs="Arial"/>
                <w:sz w:val="17"/>
                <w:szCs w:val="17"/>
              </w:rPr>
            </w:pPr>
            <w:r w:rsidRPr="003346B4">
              <w:rPr>
                <w:rFonts w:ascii="Arial" w:hAnsi="Arial" w:cs="Arial"/>
                <w:sz w:val="17"/>
                <w:szCs w:val="17"/>
              </w:rPr>
              <w:t>70% of surveyed workplaces have improved WHS outcomes following intervention</w:t>
            </w:r>
          </w:p>
        </w:tc>
      </w:tr>
      <w:tr w:rsidR="005449D2" w:rsidRPr="00CD3FE3" w:rsidTr="003F0F8A">
        <w:tc>
          <w:tcPr>
            <w:tcW w:w="1418" w:type="dxa"/>
            <w:tcBorders>
              <w:top w:val="dotted" w:sz="4" w:space="0" w:color="auto"/>
              <w:bottom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bottom w:val="dotted" w:sz="4" w:space="0" w:color="auto"/>
              <w:right w:val="single" w:sz="4" w:space="0" w:color="auto"/>
            </w:tcBorders>
          </w:tcPr>
          <w:p w:rsidR="005449D2" w:rsidRPr="00BE46C0" w:rsidRDefault="005449D2" w:rsidP="003F0F8A">
            <w:pPr>
              <w:spacing w:before="80" w:after="80" w:line="240" w:lineRule="auto"/>
              <w:rPr>
                <w:rFonts w:ascii="Arial" w:hAnsi="Arial" w:cs="Arial"/>
                <w:sz w:val="17"/>
                <w:szCs w:val="17"/>
              </w:rPr>
            </w:pPr>
            <w:r w:rsidRPr="00BE46C0">
              <w:rPr>
                <w:rFonts w:ascii="Arial" w:hAnsi="Arial" w:cs="Arial"/>
                <w:sz w:val="17"/>
                <w:szCs w:val="17"/>
              </w:rPr>
              <w:t xml:space="preserve">A sustained high level of satisfaction and engagement with services provided measured by survey, to ensure regulatory actions are appropriate, responsive and relevant </w:t>
            </w:r>
          </w:p>
        </w:tc>
        <w:tc>
          <w:tcPr>
            <w:tcW w:w="2496" w:type="dxa"/>
            <w:tcBorders>
              <w:top w:val="dotted" w:sz="4" w:space="0" w:color="auto"/>
              <w:left w:val="single" w:sz="4" w:space="0" w:color="auto"/>
              <w:bottom w:val="dotted" w:sz="4" w:space="0" w:color="auto"/>
            </w:tcBorders>
          </w:tcPr>
          <w:p w:rsidR="005449D2" w:rsidRPr="003346B4" w:rsidRDefault="005449D2" w:rsidP="003F0F8A">
            <w:pPr>
              <w:spacing w:before="60" w:after="60" w:line="240" w:lineRule="auto"/>
              <w:rPr>
                <w:rFonts w:ascii="Arial" w:hAnsi="Arial" w:cs="Arial"/>
                <w:sz w:val="17"/>
                <w:szCs w:val="17"/>
              </w:rPr>
            </w:pPr>
            <w:r w:rsidRPr="003346B4">
              <w:rPr>
                <w:rFonts w:ascii="Arial" w:hAnsi="Arial" w:cs="Arial"/>
                <w:sz w:val="17"/>
                <w:szCs w:val="17"/>
              </w:rPr>
              <w:t>Satisfaction rating of 82% or more</w:t>
            </w:r>
          </w:p>
        </w:tc>
      </w:tr>
      <w:tr w:rsidR="005449D2" w:rsidRPr="00CD3FE3" w:rsidTr="003F0F8A">
        <w:tc>
          <w:tcPr>
            <w:tcW w:w="1418" w:type="dxa"/>
            <w:tcBorders>
              <w:top w:val="dotted" w:sz="4" w:space="0" w:color="auto"/>
              <w:bottom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2018–19 and beyond</w:t>
            </w:r>
          </w:p>
        </w:tc>
        <w:tc>
          <w:tcPr>
            <w:tcW w:w="3827" w:type="dxa"/>
            <w:tcBorders>
              <w:top w:val="dotted" w:sz="4" w:space="0" w:color="auto"/>
              <w:left w:val="single" w:sz="4" w:space="0" w:color="auto"/>
              <w:bottom w:val="dotted" w:sz="4" w:space="0" w:color="auto"/>
              <w:right w:val="single" w:sz="4" w:space="0" w:color="auto"/>
            </w:tcBorders>
          </w:tcPr>
          <w:p w:rsidR="005449D2" w:rsidRPr="00CD3FE3" w:rsidRDefault="005449D2" w:rsidP="003F0F8A">
            <w:pPr>
              <w:spacing w:before="80" w:after="80" w:line="240" w:lineRule="auto"/>
              <w:rPr>
                <w:rFonts w:ascii="Arial" w:hAnsi="Arial" w:cs="Arial"/>
                <w:sz w:val="17"/>
                <w:szCs w:val="17"/>
              </w:rPr>
            </w:pPr>
            <w:r w:rsidRPr="00CD3FE3">
              <w:rPr>
                <w:rFonts w:ascii="Arial" w:hAnsi="Arial" w:cs="Arial"/>
                <w:sz w:val="17"/>
                <w:szCs w:val="17"/>
              </w:rPr>
              <w:t xml:space="preserve">Our proactive regulatory reach is extended to all entities in our scheme, to further our breadth of activities both in cities and remote workplaces and ensure we have increased the number of active relationships and entities </w:t>
            </w:r>
          </w:p>
        </w:tc>
        <w:tc>
          <w:tcPr>
            <w:tcW w:w="2496" w:type="dxa"/>
            <w:tcBorders>
              <w:top w:val="dotted" w:sz="4" w:space="0" w:color="auto"/>
              <w:left w:val="single" w:sz="4" w:space="0" w:color="auto"/>
              <w:bottom w:val="dotted" w:sz="4" w:space="0" w:color="auto"/>
            </w:tcBorders>
          </w:tcPr>
          <w:p w:rsidR="005449D2" w:rsidRPr="00CD3FE3" w:rsidRDefault="005449D2" w:rsidP="003F0F8A">
            <w:pPr>
              <w:tabs>
                <w:tab w:val="left" w:pos="709"/>
              </w:tabs>
              <w:spacing w:before="60" w:after="60" w:line="240" w:lineRule="auto"/>
              <w:rPr>
                <w:rFonts w:ascii="Arial" w:hAnsi="Arial" w:cs="Arial"/>
                <w:color w:val="FF0000"/>
                <w:sz w:val="17"/>
                <w:szCs w:val="17"/>
              </w:rPr>
            </w:pPr>
            <w:r w:rsidRPr="00CD3FE3">
              <w:rPr>
                <w:rFonts w:ascii="Arial" w:hAnsi="Arial" w:cs="Arial"/>
                <w:sz w:val="17"/>
                <w:szCs w:val="17"/>
              </w:rPr>
              <w:t>Comcare interaction with 100% of entities in our scheme</w:t>
            </w:r>
          </w:p>
        </w:tc>
      </w:tr>
      <w:tr w:rsidR="005449D2" w:rsidRPr="00CD3FE3" w:rsidTr="003F0F8A">
        <w:tc>
          <w:tcPr>
            <w:tcW w:w="1418" w:type="dxa"/>
            <w:tcBorders>
              <w:top w:val="dotted" w:sz="4" w:space="0" w:color="auto"/>
              <w:bottom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bottom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color w:val="FF0000"/>
                <w:sz w:val="17"/>
                <w:szCs w:val="17"/>
              </w:rPr>
            </w:pPr>
            <w:r w:rsidRPr="00CD3FE3">
              <w:rPr>
                <w:rFonts w:ascii="Arial" w:hAnsi="Arial" w:cs="Arial"/>
                <w:sz w:val="17"/>
                <w:szCs w:val="17"/>
              </w:rPr>
              <w:t>Our approach improves WHS outcomes in workplaces through increased knowledge, awareness and compliance to ensure regulatory intervention makes a positive difference</w:t>
            </w:r>
          </w:p>
        </w:tc>
        <w:tc>
          <w:tcPr>
            <w:tcW w:w="2496" w:type="dxa"/>
            <w:tcBorders>
              <w:top w:val="dotted" w:sz="4" w:space="0" w:color="auto"/>
              <w:left w:val="single" w:sz="4" w:space="0" w:color="auto"/>
              <w:bottom w:val="dotted" w:sz="4" w:space="0" w:color="auto"/>
            </w:tcBorders>
          </w:tcPr>
          <w:p w:rsidR="005449D2" w:rsidRPr="00CD3FE3" w:rsidRDefault="005449D2" w:rsidP="003F0F8A">
            <w:pPr>
              <w:spacing w:before="60" w:line="240" w:lineRule="auto"/>
              <w:rPr>
                <w:rFonts w:ascii="Arial" w:hAnsi="Arial" w:cs="Arial"/>
                <w:sz w:val="17"/>
                <w:szCs w:val="17"/>
              </w:rPr>
            </w:pPr>
            <w:r w:rsidRPr="00CD3FE3">
              <w:rPr>
                <w:rFonts w:ascii="Arial" w:hAnsi="Arial" w:cs="Arial"/>
                <w:sz w:val="17"/>
                <w:szCs w:val="17"/>
              </w:rPr>
              <w:t>80% of surveyed workplaces have improved WHS outcomes following intervention</w:t>
            </w:r>
          </w:p>
        </w:tc>
      </w:tr>
      <w:tr w:rsidR="005449D2" w:rsidRPr="00CD3FE3" w:rsidTr="003F0F8A">
        <w:tc>
          <w:tcPr>
            <w:tcW w:w="1418" w:type="dxa"/>
            <w:tcBorders>
              <w:top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right w:val="single" w:sz="4" w:space="0" w:color="auto"/>
            </w:tcBorders>
          </w:tcPr>
          <w:p w:rsidR="005449D2" w:rsidRPr="00CD3FE3" w:rsidRDefault="005449D2" w:rsidP="003F0F8A">
            <w:pPr>
              <w:spacing w:before="60" w:after="60" w:line="240" w:lineRule="auto"/>
              <w:rPr>
                <w:rFonts w:ascii="Arial" w:hAnsi="Arial" w:cs="Arial"/>
                <w:sz w:val="17"/>
                <w:szCs w:val="17"/>
              </w:rPr>
            </w:pPr>
            <w:r w:rsidRPr="00CD3FE3">
              <w:rPr>
                <w:rFonts w:ascii="Arial" w:hAnsi="Arial" w:cs="Arial"/>
                <w:sz w:val="17"/>
                <w:szCs w:val="17"/>
              </w:rPr>
              <w:t xml:space="preserve">A sustained high level of satisfaction and engagement with services provided measured by survey, to ensure regulatory actions are appropriate, responsive and relevant </w:t>
            </w:r>
          </w:p>
        </w:tc>
        <w:tc>
          <w:tcPr>
            <w:tcW w:w="2496" w:type="dxa"/>
            <w:tcBorders>
              <w:top w:val="dotted" w:sz="4" w:space="0" w:color="auto"/>
              <w:left w:val="single" w:sz="4" w:space="0" w:color="auto"/>
            </w:tcBorders>
          </w:tcPr>
          <w:p w:rsidR="005449D2" w:rsidRPr="00CD3FE3" w:rsidRDefault="005449D2" w:rsidP="003F0F8A">
            <w:pPr>
              <w:spacing w:before="60" w:line="240" w:lineRule="auto"/>
              <w:rPr>
                <w:rFonts w:ascii="Arial" w:hAnsi="Arial" w:cs="Arial"/>
                <w:sz w:val="17"/>
                <w:szCs w:val="17"/>
              </w:rPr>
            </w:pPr>
            <w:r w:rsidRPr="00CD3FE3">
              <w:rPr>
                <w:rFonts w:ascii="Arial" w:hAnsi="Arial" w:cs="Arial"/>
                <w:sz w:val="17"/>
                <w:szCs w:val="17"/>
              </w:rPr>
              <w:t>Satisfaction rating of 85% or more</w:t>
            </w:r>
          </w:p>
        </w:tc>
      </w:tr>
      <w:tr w:rsidR="005449D2" w:rsidRPr="00CD3FE3" w:rsidTr="003F0F8A">
        <w:tc>
          <w:tcPr>
            <w:tcW w:w="7741" w:type="dxa"/>
            <w:gridSpan w:val="3"/>
          </w:tcPr>
          <w:p w:rsidR="005449D2" w:rsidRPr="00CD3FE3" w:rsidRDefault="005449D2" w:rsidP="003F0F8A">
            <w:pPr>
              <w:spacing w:after="60" w:line="240" w:lineRule="auto"/>
              <w:rPr>
                <w:rStyle w:val="BodyTextChar"/>
                <w:rFonts w:ascii="Arial" w:hAnsi="Arial" w:cs="Arial"/>
                <w:b/>
                <w:bCs/>
                <w:iCs/>
                <w:spacing w:val="-6"/>
                <w:sz w:val="17"/>
                <w:szCs w:val="17"/>
                <w:lang w:val="en-AU"/>
              </w:rPr>
            </w:pPr>
            <w:r w:rsidRPr="00CD3FE3">
              <w:rPr>
                <w:rStyle w:val="BodyTextChar"/>
                <w:rFonts w:ascii="Arial" w:hAnsi="Arial" w:cs="Arial"/>
                <w:b/>
                <w:bCs/>
                <w:iCs/>
                <w:spacing w:val="-6"/>
                <w:sz w:val="17"/>
                <w:szCs w:val="17"/>
              </w:rPr>
              <w:t>Material changes to Program Component 1.1 resulting from the following measures:</w:t>
            </w:r>
          </w:p>
          <w:p w:rsidR="005449D2" w:rsidRPr="00CD3FE3" w:rsidRDefault="005449D2" w:rsidP="003F0F8A">
            <w:pPr>
              <w:spacing w:after="60" w:line="240" w:lineRule="auto"/>
              <w:rPr>
                <w:rFonts w:ascii="Arial" w:eastAsia="Cambria" w:hAnsi="Arial" w:cs="Arial"/>
                <w:bCs/>
                <w:iCs/>
                <w:spacing w:val="-6"/>
                <w:sz w:val="17"/>
                <w:szCs w:val="17"/>
                <w:lang w:eastAsia="en-US"/>
              </w:rPr>
            </w:pPr>
            <w:r w:rsidRPr="00CD3FE3">
              <w:rPr>
                <w:rStyle w:val="BodyTextChar"/>
                <w:rFonts w:ascii="Arial" w:hAnsi="Arial" w:cs="Arial"/>
                <w:bCs/>
                <w:iCs/>
                <w:spacing w:val="-6"/>
                <w:sz w:val="17"/>
                <w:szCs w:val="17"/>
                <w:lang w:val="en-AU"/>
              </w:rPr>
              <w:t>Nil</w:t>
            </w:r>
          </w:p>
        </w:tc>
      </w:tr>
    </w:tbl>
    <w:p w:rsidR="005449D2" w:rsidRDefault="005449D2" w:rsidP="005449D2"/>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7"/>
        <w:gridCol w:w="2496"/>
      </w:tblGrid>
      <w:tr w:rsidR="005449D2" w:rsidRPr="00CD3FE3" w:rsidTr="003F0F8A">
        <w:trPr>
          <w:tblHeader/>
        </w:trPr>
        <w:tc>
          <w:tcPr>
            <w:tcW w:w="7741" w:type="dxa"/>
            <w:gridSpan w:val="3"/>
            <w:tcBorders>
              <w:top w:val="single" w:sz="4" w:space="0" w:color="auto"/>
              <w:left w:val="single" w:sz="4" w:space="0" w:color="auto"/>
              <w:bottom w:val="single" w:sz="4" w:space="0" w:color="auto"/>
              <w:right w:val="single" w:sz="4" w:space="0" w:color="auto"/>
            </w:tcBorders>
            <w:shd w:val="clear" w:color="auto" w:fill="F2F2F2"/>
          </w:tcPr>
          <w:p w:rsidR="005449D2" w:rsidRPr="00CD3FE3" w:rsidRDefault="005449D2" w:rsidP="003F0F8A">
            <w:pPr>
              <w:tabs>
                <w:tab w:val="left" w:pos="709"/>
              </w:tabs>
              <w:spacing w:before="60" w:after="40" w:line="240" w:lineRule="auto"/>
              <w:rPr>
                <w:rFonts w:ascii="Arial" w:hAnsi="Arial" w:cs="Arial"/>
                <w:b/>
                <w:sz w:val="17"/>
                <w:szCs w:val="17"/>
              </w:rPr>
            </w:pPr>
            <w:r w:rsidRPr="00CD3FE3">
              <w:rPr>
                <w:rFonts w:ascii="Arial" w:hAnsi="Arial" w:cs="Arial"/>
                <w:b/>
                <w:sz w:val="17"/>
                <w:szCs w:val="17"/>
              </w:rPr>
              <w:t>Program Component 1.2—</w:t>
            </w:r>
            <w:r w:rsidRPr="00CD3FE3">
              <w:rPr>
                <w:rFonts w:ascii="Arial" w:eastAsia="Cambria" w:hAnsi="Arial" w:cs="Arial"/>
                <w:b/>
                <w:bCs/>
                <w:iCs/>
                <w:spacing w:val="-6"/>
                <w:sz w:val="17"/>
                <w:szCs w:val="17"/>
                <w:lang w:val="x-none" w:eastAsia="en-US"/>
              </w:rPr>
              <w:t>Comcare Workers’ Compensation Scheme Management and support to the Safety, Rehabilitation and Compensation Commission and Seafarers Safety, Rehabilitation and Compensation Authority</w:t>
            </w:r>
          </w:p>
          <w:p w:rsidR="005449D2" w:rsidRPr="00CD3FE3" w:rsidRDefault="005449D2" w:rsidP="003F0F8A">
            <w:pPr>
              <w:spacing w:after="40" w:line="240" w:lineRule="auto"/>
              <w:rPr>
                <w:rFonts w:ascii="Arial" w:hAnsi="Arial" w:cs="Arial"/>
                <w:sz w:val="17"/>
                <w:szCs w:val="17"/>
              </w:rPr>
            </w:pPr>
            <w:r w:rsidRPr="00CD3FE3">
              <w:rPr>
                <w:rFonts w:ascii="Arial" w:hAnsi="Arial" w:cs="Arial"/>
                <w:sz w:val="17"/>
                <w:szCs w:val="17"/>
              </w:rPr>
              <w:t xml:space="preserve">National leader in the design, implementation and management of a scheme that improves work health and safety and rehabilitation outcomes. </w:t>
            </w:r>
          </w:p>
        </w:tc>
      </w:tr>
      <w:tr w:rsidR="005449D2" w:rsidRPr="00CD3FE3" w:rsidTr="003F0F8A">
        <w:tc>
          <w:tcPr>
            <w:tcW w:w="1418" w:type="dxa"/>
          </w:tcPr>
          <w:p w:rsidR="005449D2" w:rsidRPr="00CD3FE3" w:rsidRDefault="005449D2" w:rsidP="003F0F8A">
            <w:pPr>
              <w:tabs>
                <w:tab w:val="left" w:pos="709"/>
              </w:tabs>
              <w:spacing w:before="40" w:after="40" w:line="240" w:lineRule="auto"/>
              <w:rPr>
                <w:rFonts w:ascii="Arial" w:hAnsi="Arial" w:cs="Arial"/>
                <w:b/>
                <w:sz w:val="17"/>
                <w:szCs w:val="17"/>
              </w:rPr>
            </w:pPr>
            <w:r w:rsidRPr="00CD3FE3">
              <w:rPr>
                <w:rFonts w:ascii="Arial" w:hAnsi="Arial" w:cs="Arial"/>
                <w:b/>
                <w:sz w:val="17"/>
                <w:szCs w:val="17"/>
              </w:rPr>
              <w:t>Purpose</w:t>
            </w:r>
          </w:p>
        </w:tc>
        <w:tc>
          <w:tcPr>
            <w:tcW w:w="6323" w:type="dxa"/>
            <w:gridSpan w:val="2"/>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i/>
                <w:sz w:val="17"/>
                <w:szCs w:val="17"/>
              </w:rPr>
              <w:t>Excellence in Scheme Management and Design</w:t>
            </w:r>
            <w:r w:rsidRPr="00CD3FE3">
              <w:rPr>
                <w:rFonts w:ascii="Arial" w:hAnsi="Arial" w:cs="Arial"/>
                <w:sz w:val="17"/>
                <w:szCs w:val="17"/>
              </w:rPr>
              <w:t>—Working with scheme participants to achieve sustainable and better practice national schemes</w:t>
            </w:r>
          </w:p>
        </w:tc>
      </w:tr>
      <w:tr w:rsidR="005449D2" w:rsidRPr="00CD3FE3" w:rsidTr="003F0F8A">
        <w:trPr>
          <w:trHeight w:val="956"/>
        </w:trPr>
        <w:tc>
          <w:tcPr>
            <w:tcW w:w="1418" w:type="dxa"/>
            <w:tcBorders>
              <w:bottom w:val="double" w:sz="4" w:space="0" w:color="auto"/>
            </w:tcBorders>
          </w:tcPr>
          <w:p w:rsidR="005449D2" w:rsidRPr="00CD3FE3" w:rsidRDefault="005449D2" w:rsidP="003F0F8A">
            <w:pPr>
              <w:tabs>
                <w:tab w:val="left" w:pos="709"/>
              </w:tabs>
              <w:spacing w:before="40" w:after="40" w:line="240" w:lineRule="auto"/>
              <w:rPr>
                <w:rFonts w:ascii="Arial" w:hAnsi="Arial" w:cs="Arial"/>
                <w:b/>
                <w:sz w:val="17"/>
                <w:szCs w:val="17"/>
              </w:rPr>
            </w:pPr>
            <w:r w:rsidRPr="00CD3FE3">
              <w:rPr>
                <w:rFonts w:ascii="Arial" w:hAnsi="Arial" w:cs="Arial"/>
                <w:b/>
                <w:sz w:val="17"/>
                <w:szCs w:val="17"/>
              </w:rPr>
              <w:t>Delivery</w:t>
            </w:r>
          </w:p>
        </w:tc>
        <w:tc>
          <w:tcPr>
            <w:tcW w:w="6323" w:type="dxa"/>
            <w:gridSpan w:val="2"/>
            <w:tcBorders>
              <w:bottom w:val="double" w:sz="4" w:space="0" w:color="auto"/>
            </w:tcBorders>
          </w:tcPr>
          <w:p w:rsidR="005449D2" w:rsidRPr="00CD3FE3" w:rsidRDefault="005449D2" w:rsidP="003F0F8A">
            <w:pPr>
              <w:tabs>
                <w:tab w:val="left" w:pos="709"/>
              </w:tabs>
              <w:spacing w:before="40" w:after="40" w:line="240" w:lineRule="auto"/>
              <w:rPr>
                <w:rFonts w:ascii="Arial" w:hAnsi="Arial" w:cs="Arial"/>
                <w:sz w:val="17"/>
                <w:szCs w:val="17"/>
              </w:rPr>
            </w:pPr>
            <w:r>
              <w:rPr>
                <w:rFonts w:ascii="Arial" w:hAnsi="Arial" w:cs="Arial"/>
                <w:sz w:val="17"/>
                <w:szCs w:val="17"/>
              </w:rPr>
              <w:t xml:space="preserve">Leadership of </w:t>
            </w:r>
            <w:r w:rsidRPr="00CD3FE3">
              <w:rPr>
                <w:rFonts w:ascii="Arial" w:hAnsi="Arial" w:cs="Arial"/>
                <w:sz w:val="17"/>
                <w:szCs w:val="17"/>
              </w:rPr>
              <w:t>the scheme, provision of high quality advice and assistance, increase knowledge and understanding of the scheme requirements, provide quality analysis and insights that highlight emerging risks and trends. Transparent pricing of scheme management, regulatory function and develop innovative policies and programs.</w:t>
            </w:r>
          </w:p>
        </w:tc>
      </w:tr>
      <w:tr w:rsidR="005449D2" w:rsidRPr="00CD3FE3" w:rsidTr="003F0F8A">
        <w:tc>
          <w:tcPr>
            <w:tcW w:w="7741" w:type="dxa"/>
            <w:gridSpan w:val="3"/>
            <w:tcBorders>
              <w:top w:val="double" w:sz="4" w:space="0" w:color="auto"/>
              <w:bottom w:val="double" w:sz="4" w:space="0" w:color="auto"/>
            </w:tcBorders>
          </w:tcPr>
          <w:p w:rsidR="005449D2" w:rsidRPr="00CD3FE3" w:rsidRDefault="005449D2" w:rsidP="003F0F8A">
            <w:pPr>
              <w:tabs>
                <w:tab w:val="left" w:pos="709"/>
              </w:tabs>
              <w:spacing w:before="40" w:after="40" w:line="240" w:lineRule="auto"/>
              <w:rPr>
                <w:rFonts w:ascii="Arial" w:hAnsi="Arial" w:cs="Arial"/>
                <w:b/>
                <w:sz w:val="17"/>
                <w:szCs w:val="17"/>
              </w:rPr>
            </w:pPr>
            <w:r w:rsidRPr="00CD3FE3">
              <w:rPr>
                <w:rFonts w:ascii="Arial" w:hAnsi="Arial" w:cs="Arial"/>
                <w:b/>
                <w:sz w:val="17"/>
                <w:szCs w:val="17"/>
              </w:rPr>
              <w:t>Performance information</w:t>
            </w:r>
          </w:p>
        </w:tc>
      </w:tr>
      <w:tr w:rsidR="005449D2" w:rsidRPr="00CD3FE3" w:rsidTr="003F0F8A">
        <w:tc>
          <w:tcPr>
            <w:tcW w:w="1418" w:type="dxa"/>
            <w:tcBorders>
              <w:top w:val="double" w:sz="4" w:space="0" w:color="auto"/>
              <w:bottom w:val="single" w:sz="4" w:space="0" w:color="auto"/>
              <w:right w:val="single" w:sz="4" w:space="0" w:color="auto"/>
            </w:tcBorders>
          </w:tcPr>
          <w:p w:rsidR="005449D2" w:rsidRPr="00CD3FE3" w:rsidRDefault="005449D2" w:rsidP="003F0F8A">
            <w:pPr>
              <w:tabs>
                <w:tab w:val="left" w:pos="709"/>
              </w:tabs>
              <w:spacing w:before="40" w:after="40" w:line="240" w:lineRule="auto"/>
              <w:rPr>
                <w:rFonts w:ascii="Arial" w:hAnsi="Arial" w:cs="Arial"/>
                <w:b/>
                <w:sz w:val="17"/>
                <w:szCs w:val="17"/>
              </w:rPr>
            </w:pPr>
            <w:r w:rsidRPr="00CD3FE3">
              <w:rPr>
                <w:rFonts w:ascii="Arial" w:hAnsi="Arial" w:cs="Arial"/>
                <w:b/>
                <w:sz w:val="17"/>
                <w:szCs w:val="17"/>
              </w:rPr>
              <w:t>Year</w:t>
            </w:r>
          </w:p>
        </w:tc>
        <w:tc>
          <w:tcPr>
            <w:tcW w:w="3827" w:type="dxa"/>
            <w:tcBorders>
              <w:top w:val="double" w:sz="4" w:space="0" w:color="auto"/>
              <w:left w:val="single" w:sz="4" w:space="0" w:color="auto"/>
              <w:bottom w:val="single" w:sz="4" w:space="0" w:color="auto"/>
              <w:right w:val="single" w:sz="4" w:space="0" w:color="auto"/>
            </w:tcBorders>
          </w:tcPr>
          <w:p w:rsidR="005449D2" w:rsidRPr="00CD3FE3" w:rsidRDefault="005449D2" w:rsidP="003F0F8A">
            <w:pPr>
              <w:tabs>
                <w:tab w:val="left" w:pos="709"/>
              </w:tabs>
              <w:spacing w:before="40" w:after="40" w:line="240" w:lineRule="auto"/>
              <w:rPr>
                <w:rFonts w:ascii="Arial" w:hAnsi="Arial" w:cs="Arial"/>
                <w:b/>
                <w:sz w:val="17"/>
                <w:szCs w:val="17"/>
              </w:rPr>
            </w:pPr>
            <w:r w:rsidRPr="00CD3FE3">
              <w:rPr>
                <w:rFonts w:ascii="Arial" w:hAnsi="Arial" w:cs="Arial"/>
                <w:b/>
                <w:sz w:val="17"/>
                <w:szCs w:val="17"/>
              </w:rPr>
              <w:t>Performance criteria</w:t>
            </w:r>
          </w:p>
        </w:tc>
        <w:tc>
          <w:tcPr>
            <w:tcW w:w="2496" w:type="dxa"/>
            <w:tcBorders>
              <w:top w:val="double" w:sz="4" w:space="0" w:color="auto"/>
              <w:left w:val="single" w:sz="4" w:space="0" w:color="auto"/>
              <w:bottom w:val="single" w:sz="4" w:space="0" w:color="auto"/>
            </w:tcBorders>
          </w:tcPr>
          <w:p w:rsidR="005449D2" w:rsidRPr="00CD3FE3" w:rsidRDefault="005449D2" w:rsidP="003F0F8A">
            <w:pPr>
              <w:tabs>
                <w:tab w:val="left" w:pos="709"/>
              </w:tabs>
              <w:spacing w:before="40" w:after="40" w:line="240" w:lineRule="auto"/>
              <w:rPr>
                <w:rFonts w:ascii="Arial" w:hAnsi="Arial" w:cs="Arial"/>
                <w:b/>
                <w:sz w:val="17"/>
                <w:szCs w:val="17"/>
              </w:rPr>
            </w:pPr>
            <w:r w:rsidRPr="00CD3FE3">
              <w:rPr>
                <w:rFonts w:ascii="Arial" w:hAnsi="Arial" w:cs="Arial"/>
                <w:b/>
                <w:sz w:val="17"/>
                <w:szCs w:val="17"/>
              </w:rPr>
              <w:t>Targets</w:t>
            </w:r>
          </w:p>
        </w:tc>
      </w:tr>
      <w:tr w:rsidR="005449D2" w:rsidRPr="00CD3FE3" w:rsidTr="003F0F8A">
        <w:trPr>
          <w:trHeight w:val="60"/>
        </w:trPr>
        <w:tc>
          <w:tcPr>
            <w:tcW w:w="1418" w:type="dxa"/>
            <w:vMerge w:val="restart"/>
            <w:tcBorders>
              <w:top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2016–17</w:t>
            </w:r>
          </w:p>
        </w:tc>
        <w:tc>
          <w:tcPr>
            <w:tcW w:w="3827" w:type="dxa"/>
            <w:tcBorders>
              <w:top w:val="single" w:sz="4" w:space="0" w:color="auto"/>
              <w:left w:val="single" w:sz="4" w:space="0" w:color="auto"/>
              <w:bottom w:val="dotted" w:sz="4" w:space="0" w:color="auto"/>
              <w:right w:val="single" w:sz="4" w:space="0" w:color="auto"/>
            </w:tcBorders>
          </w:tcPr>
          <w:p w:rsidR="005449D2" w:rsidRPr="00CD3FE3" w:rsidRDefault="005449D2" w:rsidP="003F0F8A">
            <w:pPr>
              <w:pStyle w:val="TableTextLeft"/>
              <w:spacing w:before="40" w:after="40"/>
              <w:rPr>
                <w:sz w:val="17"/>
                <w:szCs w:val="17"/>
              </w:rPr>
            </w:pPr>
            <w:r w:rsidRPr="00CD3FE3">
              <w:rPr>
                <w:rFonts w:cs="Arial"/>
                <w:sz w:val="17"/>
                <w:szCs w:val="17"/>
              </w:rPr>
              <w:t xml:space="preserve">Return to Work across scheme participants </w:t>
            </w:r>
            <w:r>
              <w:rPr>
                <w:rFonts w:cs="Arial"/>
                <w:sz w:val="17"/>
                <w:szCs w:val="17"/>
              </w:rPr>
              <w:br/>
            </w:r>
            <w:r w:rsidRPr="00CD3FE3">
              <w:rPr>
                <w:rFonts w:cs="Arial"/>
                <w:sz w:val="17"/>
                <w:szCs w:val="17"/>
              </w:rPr>
              <w:t>(i.e. the proportion of injured workers with 10 or more days off work for any period of time at some stage since they had their first day off work).</w:t>
            </w:r>
          </w:p>
        </w:tc>
        <w:tc>
          <w:tcPr>
            <w:tcW w:w="2496" w:type="dxa"/>
            <w:tcBorders>
              <w:top w:val="single" w:sz="4" w:space="0" w:color="auto"/>
              <w:left w:val="single" w:sz="4" w:space="0" w:color="auto"/>
              <w:bottom w:val="dotted" w:sz="4" w:space="0" w:color="auto"/>
            </w:tcBorders>
          </w:tcPr>
          <w:p w:rsidR="005449D2" w:rsidRPr="00CD3FE3" w:rsidRDefault="005449D2" w:rsidP="003F0F8A">
            <w:pPr>
              <w:pStyle w:val="TableTextLeft"/>
              <w:spacing w:before="40" w:after="40"/>
              <w:rPr>
                <w:sz w:val="17"/>
                <w:szCs w:val="17"/>
              </w:rPr>
            </w:pPr>
            <w:r w:rsidRPr="00CD3FE3">
              <w:rPr>
                <w:rFonts w:cs="Arial"/>
                <w:b/>
                <w:sz w:val="17"/>
                <w:szCs w:val="17"/>
              </w:rPr>
              <w:t xml:space="preserve">Assessment: </w:t>
            </w:r>
            <w:r w:rsidRPr="00CD3FE3">
              <w:rPr>
                <w:rFonts w:cs="Arial"/>
                <w:sz w:val="17"/>
                <w:szCs w:val="17"/>
              </w:rPr>
              <w:t>On track</w:t>
            </w:r>
          </w:p>
        </w:tc>
      </w:tr>
      <w:tr w:rsidR="005449D2" w:rsidRPr="00CD3FE3" w:rsidTr="003F0F8A">
        <w:trPr>
          <w:trHeight w:val="60"/>
        </w:trPr>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bottom w:val="dotted" w:sz="4" w:space="0" w:color="auto"/>
              <w:right w:val="single" w:sz="4" w:space="0" w:color="auto"/>
            </w:tcBorders>
          </w:tcPr>
          <w:p w:rsidR="005449D2" w:rsidRPr="00CD3FE3" w:rsidRDefault="005449D2" w:rsidP="003F0F8A">
            <w:pPr>
              <w:pStyle w:val="TableTextLeft"/>
              <w:spacing w:before="40" w:after="40"/>
              <w:rPr>
                <w:sz w:val="17"/>
                <w:szCs w:val="17"/>
              </w:rPr>
            </w:pPr>
            <w:r w:rsidRPr="00CD3FE3">
              <w:rPr>
                <w:rFonts w:cs="Arial"/>
                <w:sz w:val="17"/>
                <w:szCs w:val="17"/>
              </w:rPr>
              <w:t>Current return to work (i.e. the percentage of injured workers with 10 or more days off work, who had submitted a claim 7–9 months prior to the survey, and who are working in a paid job at the time of the survey).</w:t>
            </w:r>
          </w:p>
        </w:tc>
        <w:tc>
          <w:tcPr>
            <w:tcW w:w="2496" w:type="dxa"/>
            <w:tcBorders>
              <w:top w:val="dotted" w:sz="4" w:space="0" w:color="auto"/>
              <w:left w:val="single" w:sz="4" w:space="0" w:color="auto"/>
              <w:bottom w:val="dotted" w:sz="4" w:space="0" w:color="auto"/>
            </w:tcBorders>
          </w:tcPr>
          <w:p w:rsidR="005449D2" w:rsidRPr="00CD3FE3" w:rsidRDefault="005449D2" w:rsidP="003F0F8A">
            <w:pPr>
              <w:pStyle w:val="TableTextLeft"/>
              <w:spacing w:before="40" w:after="40"/>
              <w:jc w:val="both"/>
              <w:rPr>
                <w:sz w:val="17"/>
                <w:szCs w:val="17"/>
              </w:rPr>
            </w:pPr>
            <w:r w:rsidRPr="00CD3FE3">
              <w:rPr>
                <w:rFonts w:cs="Arial"/>
                <w:b/>
                <w:sz w:val="17"/>
                <w:szCs w:val="17"/>
              </w:rPr>
              <w:t xml:space="preserve">Assessment: </w:t>
            </w:r>
            <w:r w:rsidRPr="00CD3FE3">
              <w:rPr>
                <w:rFonts w:cs="Arial"/>
                <w:sz w:val="17"/>
                <w:szCs w:val="17"/>
              </w:rPr>
              <w:t>On track</w:t>
            </w:r>
          </w:p>
        </w:tc>
      </w:tr>
      <w:tr w:rsidR="005449D2" w:rsidRPr="00CD3FE3" w:rsidTr="003F0F8A">
        <w:trPr>
          <w:trHeight w:val="60"/>
        </w:trPr>
        <w:tc>
          <w:tcPr>
            <w:tcW w:w="1418" w:type="dxa"/>
            <w:vMerge/>
            <w:tcBorders>
              <w:bottom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bottom w:val="single" w:sz="4" w:space="0" w:color="auto"/>
              <w:right w:val="single" w:sz="4" w:space="0" w:color="auto"/>
            </w:tcBorders>
          </w:tcPr>
          <w:p w:rsidR="005449D2" w:rsidRPr="00CD3FE3" w:rsidRDefault="005449D2" w:rsidP="003F0F8A">
            <w:pPr>
              <w:pStyle w:val="TableTextLeft"/>
              <w:spacing w:before="40" w:after="40"/>
              <w:rPr>
                <w:sz w:val="17"/>
                <w:szCs w:val="17"/>
              </w:rPr>
            </w:pPr>
            <w:r w:rsidRPr="00CD3FE3">
              <w:rPr>
                <w:rFonts w:cs="Arial"/>
                <w:sz w:val="17"/>
                <w:szCs w:val="17"/>
              </w:rPr>
              <w:t>Employer satisfaction with scheme management.</w:t>
            </w:r>
          </w:p>
        </w:tc>
        <w:tc>
          <w:tcPr>
            <w:tcW w:w="2496" w:type="dxa"/>
            <w:tcBorders>
              <w:top w:val="dotted" w:sz="4" w:space="0" w:color="auto"/>
              <w:left w:val="single" w:sz="4" w:space="0" w:color="auto"/>
              <w:bottom w:val="single" w:sz="4" w:space="0" w:color="auto"/>
            </w:tcBorders>
          </w:tcPr>
          <w:p w:rsidR="005449D2" w:rsidRPr="00CD3FE3" w:rsidRDefault="005449D2" w:rsidP="003F0F8A">
            <w:pPr>
              <w:pStyle w:val="TableTextLeft"/>
              <w:spacing w:before="40" w:after="40"/>
              <w:jc w:val="both"/>
              <w:rPr>
                <w:rFonts w:cs="Arial"/>
                <w:sz w:val="17"/>
                <w:szCs w:val="17"/>
              </w:rPr>
            </w:pPr>
            <w:r w:rsidRPr="00CD3FE3">
              <w:rPr>
                <w:rFonts w:cs="Arial"/>
                <w:b/>
                <w:sz w:val="17"/>
                <w:szCs w:val="17"/>
              </w:rPr>
              <w:t>Assessment</w:t>
            </w:r>
            <w:r w:rsidRPr="00CD3FE3">
              <w:rPr>
                <w:rFonts w:cs="Arial"/>
                <w:sz w:val="17"/>
                <w:szCs w:val="17"/>
              </w:rPr>
              <w:t>: On track</w:t>
            </w:r>
          </w:p>
        </w:tc>
      </w:tr>
      <w:tr w:rsidR="005449D2" w:rsidRPr="00CD3FE3" w:rsidTr="003F0F8A">
        <w:tc>
          <w:tcPr>
            <w:tcW w:w="1418" w:type="dxa"/>
            <w:vMerge w:val="restart"/>
            <w:tcBorders>
              <w:top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2017–18</w:t>
            </w:r>
          </w:p>
        </w:tc>
        <w:tc>
          <w:tcPr>
            <w:tcW w:w="3827" w:type="dxa"/>
            <w:tcBorders>
              <w:top w:val="single" w:sz="4" w:space="0" w:color="auto"/>
              <w:left w:val="single" w:sz="4" w:space="0" w:color="auto"/>
              <w:bottom w:val="dotted"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 xml:space="preserve">Return to work rates developed through the existing biennial Return to Work Survey indicating the rehabilitation outcomes achieved </w:t>
            </w:r>
          </w:p>
        </w:tc>
        <w:tc>
          <w:tcPr>
            <w:tcW w:w="2496" w:type="dxa"/>
            <w:tcBorders>
              <w:top w:val="single" w:sz="4" w:space="0" w:color="auto"/>
              <w:left w:val="single" w:sz="4" w:space="0" w:color="auto"/>
              <w:bottom w:val="dotted"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Comcare Scheme return to work rate =95%</w:t>
            </w:r>
          </w:p>
        </w:tc>
      </w:tr>
      <w:tr w:rsidR="005449D2" w:rsidRPr="00CD3FE3" w:rsidTr="003F0F8A">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bottom w:val="single"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 xml:space="preserve">Improve the financial sustainability of the scheme measured by notional premium rate </w:t>
            </w:r>
          </w:p>
        </w:tc>
        <w:tc>
          <w:tcPr>
            <w:tcW w:w="2496" w:type="dxa"/>
            <w:tcBorders>
              <w:top w:val="dotted" w:sz="4" w:space="0" w:color="auto"/>
              <w:left w:val="single" w:sz="4" w:space="0" w:color="auto"/>
              <w:bottom w:val="single"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Comcare scheme notional premium rate = 1.13%</w:t>
            </w:r>
          </w:p>
        </w:tc>
      </w:tr>
      <w:tr w:rsidR="005449D2" w:rsidRPr="00CD3FE3" w:rsidTr="003F0F8A">
        <w:trPr>
          <w:trHeight w:val="780"/>
        </w:trPr>
        <w:tc>
          <w:tcPr>
            <w:tcW w:w="1418" w:type="dxa"/>
            <w:vMerge/>
            <w:tcBorders>
              <w:bottom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single" w:sz="4" w:space="0" w:color="auto"/>
              <w:left w:val="single" w:sz="4" w:space="0" w:color="auto"/>
              <w:bottom w:val="single"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r>
              <w:rPr>
                <w:rFonts w:ascii="Arial" w:hAnsi="Arial" w:cs="Arial"/>
                <w:sz w:val="17"/>
                <w:szCs w:val="17"/>
              </w:rPr>
              <w:t>Best practice scheme management assessed through qualitative review</w:t>
            </w:r>
            <w:r w:rsidRPr="00CD3FE3">
              <w:rPr>
                <w:rFonts w:ascii="Arial" w:hAnsi="Arial" w:cs="Arial"/>
                <w:sz w:val="17"/>
                <w:szCs w:val="17"/>
              </w:rPr>
              <w:t xml:space="preserve"> </w:t>
            </w:r>
          </w:p>
        </w:tc>
        <w:tc>
          <w:tcPr>
            <w:tcW w:w="2496" w:type="dxa"/>
            <w:tcBorders>
              <w:top w:val="single" w:sz="4" w:space="0" w:color="auto"/>
              <w:left w:val="single" w:sz="4" w:space="0" w:color="auto"/>
              <w:bottom w:val="single"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Qualitative evaluation of scheme management identifies the adoption/promotion of better practice</w:t>
            </w:r>
          </w:p>
        </w:tc>
      </w:tr>
      <w:tr w:rsidR="005449D2" w:rsidRPr="00CD3FE3" w:rsidTr="003F0F8A">
        <w:tc>
          <w:tcPr>
            <w:tcW w:w="1418" w:type="dxa"/>
            <w:vMerge w:val="restart"/>
            <w:tcBorders>
              <w:top w:val="single" w:sz="4" w:space="0" w:color="auto"/>
              <w:bottom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2018–19 and beyond</w:t>
            </w:r>
          </w:p>
        </w:tc>
        <w:tc>
          <w:tcPr>
            <w:tcW w:w="3827" w:type="dxa"/>
            <w:tcBorders>
              <w:top w:val="single" w:sz="4" w:space="0" w:color="auto"/>
              <w:left w:val="single" w:sz="4" w:space="0" w:color="auto"/>
              <w:bottom w:val="dotted"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 xml:space="preserve">Return to work rates developed through the existing biennial Return to Work Survey indicating the rehabilitation outcomes achieved </w:t>
            </w:r>
          </w:p>
        </w:tc>
        <w:tc>
          <w:tcPr>
            <w:tcW w:w="2496" w:type="dxa"/>
            <w:tcBorders>
              <w:top w:val="single" w:sz="4" w:space="0" w:color="auto"/>
              <w:left w:val="single" w:sz="4" w:space="0" w:color="auto"/>
              <w:bottom w:val="dotted" w:sz="4" w:space="0" w:color="auto"/>
            </w:tcBorders>
          </w:tcPr>
          <w:p w:rsidR="005449D2" w:rsidRPr="00BE46C0" w:rsidRDefault="005449D2" w:rsidP="003F0F8A">
            <w:pPr>
              <w:spacing w:before="40" w:after="40" w:line="240" w:lineRule="auto"/>
              <w:rPr>
                <w:rFonts w:ascii="Arial" w:hAnsi="Arial" w:cs="Arial"/>
                <w:sz w:val="17"/>
                <w:szCs w:val="17"/>
              </w:rPr>
            </w:pPr>
            <w:r w:rsidRPr="00BE46C0">
              <w:rPr>
                <w:rFonts w:ascii="Arial" w:hAnsi="Arial" w:cs="Arial"/>
                <w:sz w:val="17"/>
                <w:szCs w:val="17"/>
              </w:rPr>
              <w:t>–</w:t>
            </w:r>
          </w:p>
        </w:tc>
      </w:tr>
      <w:tr w:rsidR="005449D2" w:rsidRPr="00CD3FE3" w:rsidTr="003F0F8A">
        <w:tc>
          <w:tcPr>
            <w:tcW w:w="1418" w:type="dxa"/>
            <w:vMerge/>
            <w:tcBorders>
              <w:top w:val="dotted" w:sz="4" w:space="0" w:color="auto"/>
              <w:bottom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bottom w:val="dotted"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 xml:space="preserve">Improve the financial sustainability of the scheme measured by notional premium rate </w:t>
            </w:r>
          </w:p>
        </w:tc>
        <w:tc>
          <w:tcPr>
            <w:tcW w:w="2496" w:type="dxa"/>
            <w:tcBorders>
              <w:top w:val="dotted" w:sz="4" w:space="0" w:color="auto"/>
              <w:left w:val="single" w:sz="4" w:space="0" w:color="auto"/>
              <w:bottom w:val="dotted" w:sz="4" w:space="0" w:color="auto"/>
            </w:tcBorders>
          </w:tcPr>
          <w:p w:rsidR="005449D2" w:rsidRPr="00BE46C0" w:rsidRDefault="005449D2" w:rsidP="003F0F8A">
            <w:pPr>
              <w:spacing w:before="40" w:after="40" w:line="240" w:lineRule="auto"/>
              <w:rPr>
                <w:rFonts w:ascii="Arial" w:hAnsi="Arial" w:cs="Arial"/>
                <w:sz w:val="17"/>
                <w:szCs w:val="17"/>
              </w:rPr>
            </w:pPr>
            <w:r w:rsidRPr="00BE46C0">
              <w:rPr>
                <w:rFonts w:ascii="Arial" w:hAnsi="Arial" w:cs="Arial"/>
                <w:sz w:val="17"/>
                <w:szCs w:val="17"/>
              </w:rPr>
              <w:t>Comcare scheme notional premium rate = 1.12%</w:t>
            </w:r>
          </w:p>
        </w:tc>
      </w:tr>
      <w:tr w:rsidR="005449D2" w:rsidRPr="00CD3FE3" w:rsidTr="003F0F8A">
        <w:tc>
          <w:tcPr>
            <w:tcW w:w="1418" w:type="dxa"/>
            <w:vMerge/>
            <w:tcBorders>
              <w:top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 xml:space="preserve">Increased adoption of better scheme management addressed through qualitative review </w:t>
            </w:r>
          </w:p>
        </w:tc>
        <w:tc>
          <w:tcPr>
            <w:tcW w:w="2496" w:type="dxa"/>
            <w:tcBorders>
              <w:top w:val="dotted" w:sz="4" w:space="0" w:color="auto"/>
              <w:left w:val="single" w:sz="4" w:space="0" w:color="auto"/>
              <w:bottom w:val="nil"/>
            </w:tcBorders>
          </w:tcPr>
          <w:p w:rsidR="005449D2" w:rsidRPr="00BE46C0" w:rsidRDefault="005449D2" w:rsidP="003F0F8A">
            <w:pPr>
              <w:spacing w:before="40" w:after="40" w:line="240" w:lineRule="auto"/>
              <w:rPr>
                <w:rFonts w:ascii="Arial" w:hAnsi="Arial" w:cs="Arial"/>
                <w:sz w:val="17"/>
                <w:szCs w:val="17"/>
              </w:rPr>
            </w:pPr>
            <w:r w:rsidRPr="00BE46C0">
              <w:rPr>
                <w:rFonts w:ascii="Arial" w:hAnsi="Arial" w:cs="Arial"/>
                <w:sz w:val="17"/>
                <w:szCs w:val="17"/>
              </w:rPr>
              <w:t>Qualitative evaluation of scheme management identifies the adoption/ promotion of better practice</w:t>
            </w:r>
          </w:p>
        </w:tc>
      </w:tr>
      <w:tr w:rsidR="005449D2" w:rsidRPr="00CD3FE3" w:rsidTr="003F0F8A">
        <w:tc>
          <w:tcPr>
            <w:tcW w:w="7741" w:type="dxa"/>
            <w:gridSpan w:val="3"/>
          </w:tcPr>
          <w:p w:rsidR="005449D2" w:rsidRPr="00CD3FE3" w:rsidRDefault="005449D2" w:rsidP="003F0F8A">
            <w:pPr>
              <w:spacing w:after="40"/>
              <w:rPr>
                <w:rStyle w:val="BodyTextChar"/>
                <w:rFonts w:ascii="Arial" w:hAnsi="Arial" w:cs="Arial"/>
                <w:b/>
                <w:bCs/>
                <w:iCs/>
                <w:spacing w:val="-6"/>
                <w:sz w:val="17"/>
                <w:szCs w:val="17"/>
                <w:lang w:val="en-AU"/>
              </w:rPr>
            </w:pPr>
            <w:r w:rsidRPr="00CD3FE3">
              <w:rPr>
                <w:rStyle w:val="BodyTextChar"/>
                <w:rFonts w:ascii="Arial" w:hAnsi="Arial" w:cs="Arial"/>
                <w:b/>
                <w:bCs/>
                <w:iCs/>
                <w:spacing w:val="-6"/>
                <w:sz w:val="17"/>
                <w:szCs w:val="17"/>
              </w:rPr>
              <w:t xml:space="preserve">Material changes to Program </w:t>
            </w:r>
            <w:r>
              <w:rPr>
                <w:rStyle w:val="BodyTextChar"/>
                <w:rFonts w:ascii="Arial" w:hAnsi="Arial" w:cs="Arial"/>
                <w:b/>
                <w:bCs/>
                <w:iCs/>
                <w:spacing w:val="-6"/>
                <w:sz w:val="17"/>
                <w:szCs w:val="17"/>
                <w:lang w:val="en-AU"/>
              </w:rPr>
              <w:t xml:space="preserve">Component </w:t>
            </w:r>
            <w:r w:rsidRPr="00CD3FE3">
              <w:rPr>
                <w:rStyle w:val="BodyTextChar"/>
                <w:rFonts w:ascii="Arial" w:hAnsi="Arial" w:cs="Arial"/>
                <w:b/>
                <w:bCs/>
                <w:iCs/>
                <w:spacing w:val="-6"/>
                <w:sz w:val="17"/>
                <w:szCs w:val="17"/>
              </w:rPr>
              <w:t xml:space="preserve">1.2 </w:t>
            </w:r>
          </w:p>
          <w:p w:rsidR="005449D2" w:rsidRPr="00CD3FE3" w:rsidRDefault="005449D2" w:rsidP="003F0F8A">
            <w:pPr>
              <w:spacing w:after="40" w:line="240" w:lineRule="auto"/>
              <w:rPr>
                <w:rFonts w:ascii="Arial" w:hAnsi="Arial" w:cs="Arial"/>
                <w:sz w:val="17"/>
                <w:szCs w:val="17"/>
              </w:rPr>
            </w:pPr>
            <w:r w:rsidRPr="00CD3FE3">
              <w:rPr>
                <w:rStyle w:val="BodyTextChar"/>
                <w:rFonts w:ascii="Arial" w:hAnsi="Arial" w:cs="Arial"/>
                <w:bCs/>
                <w:iCs/>
                <w:spacing w:val="-6"/>
                <w:sz w:val="17"/>
                <w:szCs w:val="17"/>
              </w:rPr>
              <w:t>Nil</w:t>
            </w:r>
          </w:p>
        </w:tc>
      </w:tr>
      <w:tr w:rsidR="005449D2" w:rsidRPr="00CD3FE3" w:rsidTr="003F0F8A">
        <w:tc>
          <w:tcPr>
            <w:tcW w:w="7741" w:type="dxa"/>
            <w:gridSpan w:val="3"/>
            <w:shd w:val="clear" w:color="auto" w:fill="F2F2F2"/>
          </w:tcPr>
          <w:p w:rsidR="005449D2" w:rsidRPr="00CD3FE3" w:rsidRDefault="005449D2" w:rsidP="003F0F8A">
            <w:pPr>
              <w:pStyle w:val="TableTextLeft"/>
              <w:keepNext/>
              <w:keepLines/>
              <w:spacing w:before="40" w:after="40"/>
              <w:rPr>
                <w:rFonts w:cs="Arial"/>
                <w:sz w:val="17"/>
                <w:szCs w:val="17"/>
              </w:rPr>
            </w:pPr>
            <w:r w:rsidRPr="00CD3FE3">
              <w:rPr>
                <w:rFonts w:cs="Arial"/>
                <w:b/>
                <w:sz w:val="17"/>
                <w:szCs w:val="17"/>
              </w:rPr>
              <w:t>Program Component 1.3—Safety, Rehabilitation and Compensation Commission and Seafarers Safety, Rehabilitation and Compensation Authority Support</w:t>
            </w:r>
            <w:r w:rsidRPr="00CD3FE3">
              <w:rPr>
                <w:rFonts w:cs="Arial"/>
                <w:sz w:val="17"/>
                <w:szCs w:val="17"/>
              </w:rPr>
              <w:t>.</w:t>
            </w:r>
          </w:p>
          <w:p w:rsidR="005449D2" w:rsidRPr="00CD3FE3" w:rsidRDefault="005449D2" w:rsidP="003F0F8A">
            <w:pPr>
              <w:tabs>
                <w:tab w:val="left" w:pos="709"/>
              </w:tabs>
              <w:spacing w:before="40" w:after="40" w:line="240" w:lineRule="auto"/>
              <w:rPr>
                <w:rFonts w:ascii="Arial" w:hAnsi="Arial" w:cs="Arial"/>
                <w:sz w:val="17"/>
                <w:szCs w:val="17"/>
              </w:rPr>
            </w:pPr>
            <w:r w:rsidRPr="00CD3FE3">
              <w:rPr>
                <w:rFonts w:ascii="Arial" w:hAnsi="Arial" w:cs="Arial"/>
                <w:sz w:val="17"/>
                <w:szCs w:val="17"/>
              </w:rPr>
              <w:t>Providing high quality advice and assistance to the SRCC and the Seacare Authority enabling their responsibilities to be met and deliver the government’s direction.</w:t>
            </w:r>
          </w:p>
        </w:tc>
      </w:tr>
      <w:tr w:rsidR="005449D2" w:rsidRPr="00CD3FE3" w:rsidTr="003F0F8A">
        <w:tc>
          <w:tcPr>
            <w:tcW w:w="1418" w:type="dxa"/>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Purpose</w:t>
            </w:r>
          </w:p>
        </w:tc>
        <w:tc>
          <w:tcPr>
            <w:tcW w:w="6323" w:type="dxa"/>
            <w:gridSpan w:val="2"/>
          </w:tcPr>
          <w:p w:rsidR="005449D2" w:rsidRPr="00CD3FE3" w:rsidRDefault="005449D2" w:rsidP="003F0F8A">
            <w:pPr>
              <w:spacing w:after="0" w:line="240" w:lineRule="auto"/>
              <w:rPr>
                <w:rFonts w:ascii="Arial" w:hAnsi="Arial" w:cs="Arial"/>
                <w:sz w:val="17"/>
                <w:szCs w:val="17"/>
              </w:rPr>
            </w:pPr>
            <w:r w:rsidRPr="00CD3FE3">
              <w:rPr>
                <w:rFonts w:ascii="Arial" w:hAnsi="Arial" w:cs="Arial"/>
                <w:i/>
                <w:sz w:val="17"/>
                <w:szCs w:val="17"/>
              </w:rPr>
              <w:t>Excellence in Scheme Management and Design</w:t>
            </w:r>
            <w:r w:rsidRPr="00CD3FE3">
              <w:rPr>
                <w:rFonts w:ascii="Arial" w:hAnsi="Arial" w:cs="Arial"/>
                <w:sz w:val="17"/>
                <w:szCs w:val="17"/>
              </w:rPr>
              <w:t>—Working with scheme participants to achieve sustainable and better practice national schemes</w:t>
            </w:r>
          </w:p>
        </w:tc>
      </w:tr>
      <w:tr w:rsidR="005449D2" w:rsidRPr="00CD3FE3" w:rsidTr="003F0F8A">
        <w:tc>
          <w:tcPr>
            <w:tcW w:w="1418" w:type="dxa"/>
            <w:tcBorders>
              <w:bottom w:val="doub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Delivery</w:t>
            </w:r>
          </w:p>
        </w:tc>
        <w:tc>
          <w:tcPr>
            <w:tcW w:w="6323" w:type="dxa"/>
            <w:gridSpan w:val="2"/>
            <w:tcBorders>
              <w:bottom w:val="double" w:sz="4" w:space="0" w:color="auto"/>
            </w:tcBorders>
          </w:tcPr>
          <w:p w:rsidR="005449D2" w:rsidRPr="00CD3FE3" w:rsidRDefault="005449D2" w:rsidP="003F0F8A">
            <w:pPr>
              <w:pStyle w:val="TableTextLeft"/>
              <w:keepNext/>
              <w:keepLines/>
              <w:rPr>
                <w:sz w:val="17"/>
                <w:szCs w:val="17"/>
              </w:rPr>
            </w:pPr>
            <w:r w:rsidRPr="00CD3FE3">
              <w:rPr>
                <w:sz w:val="17"/>
                <w:szCs w:val="17"/>
              </w:rPr>
              <w:t>Provide advice to the SRCC and the Seacare Authority enabling review and improvement of the framework and content of the regulatory model.</w:t>
            </w:r>
          </w:p>
        </w:tc>
      </w:tr>
      <w:tr w:rsidR="005449D2" w:rsidRPr="00CD3FE3" w:rsidTr="003F0F8A">
        <w:tc>
          <w:tcPr>
            <w:tcW w:w="7741" w:type="dxa"/>
            <w:gridSpan w:val="3"/>
            <w:tcBorders>
              <w:top w:val="double" w:sz="4" w:space="0" w:color="auto"/>
              <w:bottom w:val="doub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Performance information</w:t>
            </w:r>
          </w:p>
        </w:tc>
      </w:tr>
      <w:tr w:rsidR="005449D2" w:rsidRPr="00CD3FE3" w:rsidTr="003F0F8A">
        <w:tc>
          <w:tcPr>
            <w:tcW w:w="1418" w:type="dxa"/>
            <w:tcBorders>
              <w:top w:val="double" w:sz="4" w:space="0" w:color="auto"/>
              <w:bottom w:val="single" w:sz="4" w:space="0" w:color="auto"/>
              <w:right w:val="single" w:sz="4" w:space="0" w:color="auto"/>
            </w:tcBorders>
          </w:tcPr>
          <w:p w:rsidR="005449D2" w:rsidRPr="00CD3FE3" w:rsidRDefault="005449D2" w:rsidP="003F0F8A">
            <w:pPr>
              <w:tabs>
                <w:tab w:val="left" w:pos="709"/>
              </w:tabs>
              <w:spacing w:before="40" w:after="40" w:line="240" w:lineRule="auto"/>
              <w:rPr>
                <w:rFonts w:ascii="Arial" w:hAnsi="Arial" w:cs="Arial"/>
                <w:b/>
                <w:sz w:val="17"/>
                <w:szCs w:val="17"/>
              </w:rPr>
            </w:pPr>
            <w:r w:rsidRPr="00CD3FE3">
              <w:rPr>
                <w:rFonts w:ascii="Arial" w:hAnsi="Arial" w:cs="Arial"/>
                <w:b/>
                <w:sz w:val="17"/>
                <w:szCs w:val="17"/>
              </w:rPr>
              <w:t>Year</w:t>
            </w:r>
          </w:p>
        </w:tc>
        <w:tc>
          <w:tcPr>
            <w:tcW w:w="3827" w:type="dxa"/>
            <w:tcBorders>
              <w:top w:val="double" w:sz="4" w:space="0" w:color="auto"/>
              <w:left w:val="single" w:sz="4" w:space="0" w:color="auto"/>
              <w:bottom w:val="single" w:sz="4" w:space="0" w:color="auto"/>
              <w:right w:val="single" w:sz="4" w:space="0" w:color="auto"/>
            </w:tcBorders>
          </w:tcPr>
          <w:p w:rsidR="005449D2" w:rsidRPr="00CD3FE3" w:rsidRDefault="005449D2" w:rsidP="003F0F8A">
            <w:pPr>
              <w:tabs>
                <w:tab w:val="left" w:pos="709"/>
              </w:tabs>
              <w:spacing w:before="40" w:after="40" w:line="240" w:lineRule="auto"/>
              <w:rPr>
                <w:rFonts w:ascii="Arial" w:hAnsi="Arial" w:cs="Arial"/>
                <w:b/>
                <w:sz w:val="17"/>
                <w:szCs w:val="17"/>
              </w:rPr>
            </w:pPr>
            <w:r w:rsidRPr="00CD3FE3">
              <w:rPr>
                <w:rFonts w:ascii="Arial" w:hAnsi="Arial" w:cs="Arial"/>
                <w:b/>
                <w:sz w:val="17"/>
                <w:szCs w:val="17"/>
              </w:rPr>
              <w:t>Performance criteria</w:t>
            </w:r>
          </w:p>
        </w:tc>
        <w:tc>
          <w:tcPr>
            <w:tcW w:w="2496" w:type="dxa"/>
            <w:tcBorders>
              <w:top w:val="double" w:sz="4" w:space="0" w:color="auto"/>
              <w:left w:val="single" w:sz="4" w:space="0" w:color="auto"/>
              <w:bottom w:val="single" w:sz="4" w:space="0" w:color="auto"/>
            </w:tcBorders>
          </w:tcPr>
          <w:p w:rsidR="005449D2" w:rsidRPr="00CD3FE3" w:rsidRDefault="005449D2" w:rsidP="003F0F8A">
            <w:pPr>
              <w:tabs>
                <w:tab w:val="left" w:pos="709"/>
              </w:tabs>
              <w:spacing w:before="40" w:after="40" w:line="240" w:lineRule="auto"/>
              <w:rPr>
                <w:rFonts w:ascii="Arial" w:hAnsi="Arial" w:cs="Arial"/>
                <w:b/>
                <w:sz w:val="17"/>
                <w:szCs w:val="17"/>
              </w:rPr>
            </w:pPr>
            <w:r w:rsidRPr="00CD3FE3">
              <w:rPr>
                <w:rFonts w:ascii="Arial" w:hAnsi="Arial" w:cs="Arial"/>
                <w:b/>
                <w:sz w:val="17"/>
                <w:szCs w:val="17"/>
              </w:rPr>
              <w:t>Targets</w:t>
            </w:r>
          </w:p>
        </w:tc>
      </w:tr>
      <w:tr w:rsidR="005449D2" w:rsidRPr="00CD3FE3" w:rsidTr="003F0F8A">
        <w:trPr>
          <w:trHeight w:val="527"/>
        </w:trPr>
        <w:tc>
          <w:tcPr>
            <w:tcW w:w="1418" w:type="dxa"/>
            <w:tcBorders>
              <w:top w:val="single" w:sz="4" w:space="0" w:color="auto"/>
              <w:bottom w:val="nil"/>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2016–17</w:t>
            </w:r>
          </w:p>
        </w:tc>
        <w:tc>
          <w:tcPr>
            <w:tcW w:w="3827" w:type="dxa"/>
            <w:tcBorders>
              <w:top w:val="single" w:sz="4" w:space="0" w:color="auto"/>
              <w:left w:val="single" w:sz="4" w:space="0" w:color="auto"/>
              <w:bottom w:val="dotted" w:sz="4" w:space="0" w:color="auto"/>
              <w:right w:val="single" w:sz="4" w:space="0" w:color="auto"/>
            </w:tcBorders>
          </w:tcPr>
          <w:p w:rsidR="005449D2" w:rsidRPr="00CD3FE3" w:rsidRDefault="005449D2" w:rsidP="003F0F8A">
            <w:pPr>
              <w:pStyle w:val="TableTextLeft"/>
              <w:rPr>
                <w:sz w:val="17"/>
                <w:szCs w:val="17"/>
              </w:rPr>
            </w:pPr>
            <w:r w:rsidRPr="00CD3FE3">
              <w:rPr>
                <w:sz w:val="17"/>
                <w:szCs w:val="17"/>
              </w:rPr>
              <w:t>SRCC satisfaction of support provided by Comcare.</w:t>
            </w:r>
          </w:p>
        </w:tc>
        <w:tc>
          <w:tcPr>
            <w:tcW w:w="2496" w:type="dxa"/>
            <w:tcBorders>
              <w:top w:val="single" w:sz="4" w:space="0" w:color="auto"/>
              <w:left w:val="single" w:sz="4" w:space="0" w:color="auto"/>
              <w:bottom w:val="dotted" w:sz="4" w:space="0" w:color="auto"/>
            </w:tcBorders>
          </w:tcPr>
          <w:p w:rsidR="005449D2" w:rsidRPr="00CD3FE3" w:rsidRDefault="005449D2" w:rsidP="003F0F8A">
            <w:pPr>
              <w:pStyle w:val="TableTextLeft"/>
              <w:rPr>
                <w:sz w:val="17"/>
                <w:szCs w:val="17"/>
              </w:rPr>
            </w:pPr>
            <w:r w:rsidRPr="00CD3FE3">
              <w:rPr>
                <w:rFonts w:cs="Arial"/>
                <w:b/>
                <w:sz w:val="17"/>
                <w:szCs w:val="17"/>
              </w:rPr>
              <w:t xml:space="preserve">Assessment: </w:t>
            </w:r>
            <w:r w:rsidRPr="00CD3FE3">
              <w:rPr>
                <w:rFonts w:cs="Arial"/>
                <w:sz w:val="17"/>
                <w:szCs w:val="17"/>
              </w:rPr>
              <w:t>On track</w:t>
            </w:r>
          </w:p>
        </w:tc>
      </w:tr>
      <w:tr w:rsidR="005449D2" w:rsidRPr="00CD3FE3" w:rsidTr="003F0F8A">
        <w:trPr>
          <w:trHeight w:val="766"/>
        </w:trPr>
        <w:tc>
          <w:tcPr>
            <w:tcW w:w="1418" w:type="dxa"/>
            <w:tcBorders>
              <w:top w:val="nil"/>
              <w:bottom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bottom w:val="single" w:sz="4" w:space="0" w:color="auto"/>
              <w:right w:val="single" w:sz="4" w:space="0" w:color="auto"/>
            </w:tcBorders>
          </w:tcPr>
          <w:p w:rsidR="005449D2" w:rsidRPr="00CD3FE3" w:rsidRDefault="005449D2" w:rsidP="003F0F8A">
            <w:pPr>
              <w:pStyle w:val="TableTextLeft"/>
              <w:rPr>
                <w:sz w:val="17"/>
                <w:szCs w:val="17"/>
              </w:rPr>
            </w:pPr>
            <w:r w:rsidRPr="00CD3FE3">
              <w:rPr>
                <w:sz w:val="17"/>
                <w:szCs w:val="17"/>
              </w:rPr>
              <w:t>Seacare Authority satisfaction of support provided by Comcare.</w:t>
            </w:r>
          </w:p>
        </w:tc>
        <w:tc>
          <w:tcPr>
            <w:tcW w:w="2496" w:type="dxa"/>
            <w:tcBorders>
              <w:top w:val="dotted" w:sz="4" w:space="0" w:color="auto"/>
              <w:left w:val="single" w:sz="4" w:space="0" w:color="auto"/>
              <w:bottom w:val="single" w:sz="4" w:space="0" w:color="auto"/>
            </w:tcBorders>
          </w:tcPr>
          <w:p w:rsidR="005449D2" w:rsidRPr="00CD3FE3" w:rsidRDefault="005449D2" w:rsidP="003F0F8A">
            <w:pPr>
              <w:pStyle w:val="TableTextLeft"/>
              <w:jc w:val="both"/>
              <w:rPr>
                <w:sz w:val="17"/>
                <w:szCs w:val="17"/>
              </w:rPr>
            </w:pPr>
            <w:r w:rsidRPr="00CD3FE3">
              <w:rPr>
                <w:rFonts w:cs="Arial"/>
                <w:b/>
                <w:sz w:val="17"/>
                <w:szCs w:val="17"/>
              </w:rPr>
              <w:t>Assessment:</w:t>
            </w:r>
            <w:r w:rsidRPr="00CD3FE3">
              <w:rPr>
                <w:rFonts w:cs="Arial"/>
                <w:sz w:val="17"/>
                <w:szCs w:val="17"/>
              </w:rPr>
              <w:t xml:space="preserve"> On track</w:t>
            </w:r>
          </w:p>
        </w:tc>
      </w:tr>
      <w:tr w:rsidR="005449D2" w:rsidRPr="00CD3FE3" w:rsidTr="003F0F8A">
        <w:trPr>
          <w:trHeight w:val="766"/>
        </w:trPr>
        <w:tc>
          <w:tcPr>
            <w:tcW w:w="1418" w:type="dxa"/>
            <w:tcBorders>
              <w:top w:val="single" w:sz="4" w:space="0" w:color="auto"/>
              <w:bottom w:val="nil"/>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Pr>
                <w:rFonts w:ascii="Arial" w:hAnsi="Arial" w:cs="Arial"/>
                <w:sz w:val="17"/>
                <w:szCs w:val="17"/>
              </w:rPr>
              <w:t>2017–18</w:t>
            </w:r>
          </w:p>
        </w:tc>
        <w:tc>
          <w:tcPr>
            <w:tcW w:w="3827" w:type="dxa"/>
            <w:tcBorders>
              <w:top w:val="single" w:sz="4" w:space="0" w:color="auto"/>
              <w:left w:val="single" w:sz="4" w:space="0" w:color="auto"/>
              <w:bottom w:val="dotted" w:sz="4" w:space="0" w:color="auto"/>
              <w:right w:val="single" w:sz="4" w:space="0" w:color="auto"/>
            </w:tcBorders>
          </w:tcPr>
          <w:p w:rsidR="005449D2" w:rsidRPr="00CD3FE3" w:rsidRDefault="005449D2" w:rsidP="003F0F8A">
            <w:pPr>
              <w:pStyle w:val="TableTextLeft"/>
              <w:rPr>
                <w:sz w:val="17"/>
                <w:szCs w:val="17"/>
              </w:rPr>
            </w:pPr>
            <w:r>
              <w:rPr>
                <w:sz w:val="17"/>
                <w:szCs w:val="17"/>
              </w:rPr>
              <w:t>As per 2016–17</w:t>
            </w:r>
          </w:p>
        </w:tc>
        <w:tc>
          <w:tcPr>
            <w:tcW w:w="2496" w:type="dxa"/>
            <w:tcBorders>
              <w:top w:val="single" w:sz="4" w:space="0" w:color="auto"/>
              <w:left w:val="single" w:sz="4" w:space="0" w:color="auto"/>
              <w:bottom w:val="dotted" w:sz="4" w:space="0" w:color="auto"/>
            </w:tcBorders>
          </w:tcPr>
          <w:p w:rsidR="005449D2" w:rsidRPr="00BE46C0" w:rsidRDefault="005449D2" w:rsidP="003F0F8A">
            <w:pPr>
              <w:pStyle w:val="TableTextLeft"/>
              <w:rPr>
                <w:rFonts w:cs="Arial"/>
                <w:sz w:val="17"/>
                <w:szCs w:val="17"/>
              </w:rPr>
            </w:pPr>
            <w:r>
              <w:rPr>
                <w:rFonts w:cs="Arial"/>
                <w:sz w:val="17"/>
                <w:szCs w:val="17"/>
              </w:rPr>
              <w:t>Qualitative evaluation using structured services and feedback from the Chair</w:t>
            </w:r>
          </w:p>
        </w:tc>
      </w:tr>
      <w:tr w:rsidR="005449D2" w:rsidRPr="00CD3FE3" w:rsidTr="003F0F8A">
        <w:trPr>
          <w:trHeight w:val="766"/>
        </w:trPr>
        <w:tc>
          <w:tcPr>
            <w:tcW w:w="1418" w:type="dxa"/>
            <w:tcBorders>
              <w:top w:val="nil"/>
              <w:right w:val="single" w:sz="4" w:space="0" w:color="auto"/>
            </w:tcBorders>
          </w:tcPr>
          <w:p w:rsidR="005449D2" w:rsidRDefault="005449D2" w:rsidP="003F0F8A">
            <w:pPr>
              <w:tabs>
                <w:tab w:val="left" w:pos="709"/>
              </w:tabs>
              <w:spacing w:before="60" w:after="60" w:line="240" w:lineRule="auto"/>
              <w:rPr>
                <w:rFonts w:ascii="Arial" w:hAnsi="Arial" w:cs="Arial"/>
                <w:sz w:val="17"/>
                <w:szCs w:val="17"/>
              </w:rPr>
            </w:pPr>
          </w:p>
        </w:tc>
        <w:tc>
          <w:tcPr>
            <w:tcW w:w="3827" w:type="dxa"/>
            <w:tcBorders>
              <w:top w:val="dotted" w:sz="4" w:space="0" w:color="auto"/>
              <w:left w:val="single" w:sz="4" w:space="0" w:color="auto"/>
              <w:right w:val="single" w:sz="4" w:space="0" w:color="auto"/>
            </w:tcBorders>
          </w:tcPr>
          <w:p w:rsidR="005449D2" w:rsidRPr="00CD3FE3" w:rsidRDefault="005449D2" w:rsidP="003F0F8A">
            <w:pPr>
              <w:pStyle w:val="TableTextLeft"/>
              <w:rPr>
                <w:sz w:val="17"/>
                <w:szCs w:val="17"/>
              </w:rPr>
            </w:pPr>
            <w:r>
              <w:rPr>
                <w:sz w:val="17"/>
                <w:szCs w:val="17"/>
              </w:rPr>
              <w:t>As per 2016–17</w:t>
            </w:r>
          </w:p>
        </w:tc>
        <w:tc>
          <w:tcPr>
            <w:tcW w:w="2496" w:type="dxa"/>
            <w:tcBorders>
              <w:top w:val="dotted" w:sz="4" w:space="0" w:color="auto"/>
              <w:left w:val="single" w:sz="4" w:space="0" w:color="auto"/>
            </w:tcBorders>
          </w:tcPr>
          <w:p w:rsidR="005449D2" w:rsidRPr="00BE46C0" w:rsidRDefault="005449D2" w:rsidP="003F0F8A">
            <w:pPr>
              <w:pStyle w:val="TableTextLeft"/>
              <w:rPr>
                <w:rFonts w:cs="Arial"/>
                <w:sz w:val="17"/>
                <w:szCs w:val="17"/>
              </w:rPr>
            </w:pPr>
            <w:r>
              <w:rPr>
                <w:rFonts w:cs="Arial"/>
                <w:sz w:val="17"/>
                <w:szCs w:val="17"/>
              </w:rPr>
              <w:t>Qualitative evaluation using structured services and feedback from the Chair</w:t>
            </w:r>
          </w:p>
        </w:tc>
      </w:tr>
      <w:tr w:rsidR="005449D2" w:rsidRPr="00CD3FE3" w:rsidTr="003F0F8A">
        <w:trPr>
          <w:trHeight w:val="766"/>
        </w:trPr>
        <w:tc>
          <w:tcPr>
            <w:tcW w:w="1418" w:type="dxa"/>
            <w:tcBorders>
              <w:top w:val="nil"/>
              <w:right w:val="single" w:sz="4" w:space="0" w:color="auto"/>
            </w:tcBorders>
          </w:tcPr>
          <w:p w:rsidR="005449D2" w:rsidRDefault="005449D2" w:rsidP="003F0F8A">
            <w:pPr>
              <w:tabs>
                <w:tab w:val="left" w:pos="709"/>
              </w:tabs>
              <w:spacing w:before="60" w:after="60" w:line="240" w:lineRule="auto"/>
              <w:rPr>
                <w:rFonts w:ascii="Arial" w:hAnsi="Arial" w:cs="Arial"/>
                <w:sz w:val="17"/>
                <w:szCs w:val="17"/>
              </w:rPr>
            </w:pPr>
            <w:r>
              <w:rPr>
                <w:rFonts w:ascii="Arial" w:hAnsi="Arial" w:cs="Arial"/>
                <w:sz w:val="17"/>
                <w:szCs w:val="17"/>
              </w:rPr>
              <w:t>2018–19 and beyond</w:t>
            </w:r>
          </w:p>
        </w:tc>
        <w:tc>
          <w:tcPr>
            <w:tcW w:w="3827" w:type="dxa"/>
            <w:tcBorders>
              <w:top w:val="dotted" w:sz="4" w:space="0" w:color="auto"/>
              <w:left w:val="single" w:sz="4" w:space="0" w:color="auto"/>
              <w:right w:val="single" w:sz="4" w:space="0" w:color="auto"/>
            </w:tcBorders>
          </w:tcPr>
          <w:p w:rsidR="005449D2" w:rsidRPr="00CD3FE3" w:rsidRDefault="005449D2" w:rsidP="003F0F8A">
            <w:pPr>
              <w:pStyle w:val="TableTextLeft"/>
              <w:rPr>
                <w:sz w:val="17"/>
                <w:szCs w:val="17"/>
              </w:rPr>
            </w:pPr>
            <w:r>
              <w:rPr>
                <w:sz w:val="17"/>
                <w:szCs w:val="17"/>
              </w:rPr>
              <w:t>As per 2017–18</w:t>
            </w:r>
          </w:p>
        </w:tc>
        <w:tc>
          <w:tcPr>
            <w:tcW w:w="2496" w:type="dxa"/>
            <w:tcBorders>
              <w:top w:val="dotted" w:sz="4" w:space="0" w:color="auto"/>
              <w:left w:val="single" w:sz="4" w:space="0" w:color="auto"/>
            </w:tcBorders>
          </w:tcPr>
          <w:p w:rsidR="005449D2" w:rsidRDefault="005449D2" w:rsidP="003F0F8A">
            <w:pPr>
              <w:pStyle w:val="TableTextLeft"/>
              <w:rPr>
                <w:rFonts w:cs="Arial"/>
                <w:sz w:val="17"/>
                <w:szCs w:val="17"/>
              </w:rPr>
            </w:pPr>
            <w:r>
              <w:rPr>
                <w:rFonts w:cs="Arial"/>
                <w:sz w:val="17"/>
                <w:szCs w:val="17"/>
              </w:rPr>
              <w:t>As per 2017–18</w:t>
            </w:r>
          </w:p>
        </w:tc>
      </w:tr>
      <w:tr w:rsidR="005449D2" w:rsidRPr="00CD3FE3" w:rsidTr="003F0F8A">
        <w:tc>
          <w:tcPr>
            <w:tcW w:w="7741" w:type="dxa"/>
            <w:gridSpan w:val="3"/>
          </w:tcPr>
          <w:p w:rsidR="005449D2" w:rsidRPr="00CD3FE3" w:rsidRDefault="005449D2" w:rsidP="003F0F8A">
            <w:pPr>
              <w:spacing w:before="60" w:after="60" w:line="240" w:lineRule="auto"/>
              <w:rPr>
                <w:rStyle w:val="BodyTextChar"/>
                <w:rFonts w:ascii="Arial" w:hAnsi="Arial" w:cs="Arial"/>
                <w:b/>
                <w:bCs/>
                <w:iCs/>
                <w:spacing w:val="-6"/>
                <w:sz w:val="17"/>
                <w:szCs w:val="17"/>
                <w:lang w:val="en-AU"/>
              </w:rPr>
            </w:pPr>
            <w:r w:rsidRPr="00CD3FE3">
              <w:rPr>
                <w:rStyle w:val="BodyTextChar"/>
                <w:rFonts w:ascii="Arial" w:hAnsi="Arial" w:cs="Arial"/>
                <w:b/>
                <w:bCs/>
                <w:iCs/>
                <w:spacing w:val="-6"/>
                <w:sz w:val="17"/>
                <w:szCs w:val="17"/>
              </w:rPr>
              <w:t xml:space="preserve">Material changes to Program </w:t>
            </w:r>
            <w:r>
              <w:rPr>
                <w:rStyle w:val="BodyTextChar"/>
                <w:rFonts w:ascii="Arial" w:hAnsi="Arial" w:cs="Arial"/>
                <w:b/>
                <w:bCs/>
                <w:iCs/>
                <w:spacing w:val="-6"/>
                <w:sz w:val="17"/>
                <w:szCs w:val="17"/>
                <w:lang w:val="en-AU"/>
              </w:rPr>
              <w:t xml:space="preserve">Component </w:t>
            </w:r>
            <w:r w:rsidRPr="00CD3FE3">
              <w:rPr>
                <w:rStyle w:val="BodyTextChar"/>
                <w:rFonts w:ascii="Arial" w:hAnsi="Arial" w:cs="Arial"/>
                <w:b/>
                <w:bCs/>
                <w:iCs/>
                <w:spacing w:val="-6"/>
                <w:sz w:val="17"/>
                <w:szCs w:val="17"/>
              </w:rPr>
              <w:t xml:space="preserve">1.3. </w:t>
            </w:r>
          </w:p>
          <w:p w:rsidR="005449D2" w:rsidRPr="004D65CA" w:rsidRDefault="005449D2" w:rsidP="003F0F8A">
            <w:pPr>
              <w:spacing w:after="60" w:line="240" w:lineRule="auto"/>
              <w:rPr>
                <w:rFonts w:ascii="Arial" w:hAnsi="Arial" w:cs="Arial"/>
                <w:sz w:val="17"/>
                <w:szCs w:val="17"/>
              </w:rPr>
            </w:pPr>
            <w:r>
              <w:rPr>
                <w:rStyle w:val="BodyTextChar"/>
                <w:rFonts w:ascii="Arial" w:hAnsi="Arial" w:cs="Arial"/>
                <w:bCs/>
                <w:iCs/>
                <w:spacing w:val="-6"/>
                <w:sz w:val="17"/>
                <w:szCs w:val="17"/>
                <w:lang w:val="en-AU"/>
              </w:rPr>
              <w:t>Nil</w:t>
            </w:r>
          </w:p>
        </w:tc>
      </w:tr>
    </w:tbl>
    <w:p w:rsidR="005449D2" w:rsidRDefault="005449D2" w:rsidP="005449D2">
      <w:pPr>
        <w:spacing w:after="0"/>
      </w:pPr>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758"/>
        <w:gridCol w:w="69"/>
        <w:gridCol w:w="2496"/>
      </w:tblGrid>
      <w:tr w:rsidR="005449D2" w:rsidRPr="00CD3FE3" w:rsidTr="003F0F8A">
        <w:trPr>
          <w:tblHeader/>
        </w:trPr>
        <w:tc>
          <w:tcPr>
            <w:tcW w:w="7741" w:type="dxa"/>
            <w:gridSpan w:val="4"/>
            <w:shd w:val="clear" w:color="auto" w:fill="F2F2F2"/>
          </w:tcPr>
          <w:p w:rsidR="005449D2" w:rsidRPr="00CD3FE3" w:rsidRDefault="005449D2" w:rsidP="003F0F8A">
            <w:pPr>
              <w:pStyle w:val="TableTextLeft"/>
              <w:keepNext/>
              <w:keepLines/>
              <w:rPr>
                <w:rFonts w:cs="Arial"/>
                <w:sz w:val="17"/>
                <w:szCs w:val="17"/>
              </w:rPr>
            </w:pPr>
            <w:r>
              <w:br w:type="page"/>
            </w:r>
            <w:r w:rsidRPr="00CD3FE3">
              <w:rPr>
                <w:rFonts w:cs="Arial"/>
                <w:b/>
                <w:sz w:val="17"/>
                <w:szCs w:val="17"/>
              </w:rPr>
              <w:t>Program Component 1.4—Premium Claims</w:t>
            </w:r>
          </w:p>
        </w:tc>
      </w:tr>
      <w:tr w:rsidR="005449D2" w:rsidRPr="00CD3FE3" w:rsidTr="003F0F8A">
        <w:tc>
          <w:tcPr>
            <w:tcW w:w="1418" w:type="dxa"/>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Purpose</w:t>
            </w:r>
          </w:p>
        </w:tc>
        <w:tc>
          <w:tcPr>
            <w:tcW w:w="6323" w:type="dxa"/>
            <w:gridSpan w:val="3"/>
          </w:tcPr>
          <w:p w:rsidR="005449D2" w:rsidRPr="00CD3FE3" w:rsidRDefault="005449D2" w:rsidP="003F0F8A">
            <w:pPr>
              <w:spacing w:after="0" w:line="240" w:lineRule="auto"/>
              <w:rPr>
                <w:rFonts w:ascii="Arial" w:hAnsi="Arial" w:cs="Arial"/>
                <w:sz w:val="17"/>
                <w:szCs w:val="17"/>
              </w:rPr>
            </w:pPr>
            <w:r w:rsidRPr="00CD3FE3">
              <w:rPr>
                <w:rFonts w:ascii="Arial" w:hAnsi="Arial" w:cs="Arial"/>
                <w:i/>
                <w:sz w:val="17"/>
                <w:szCs w:val="17"/>
              </w:rPr>
              <w:t>Leading insurer</w:t>
            </w:r>
            <w:r w:rsidRPr="00CD3FE3">
              <w:rPr>
                <w:rFonts w:ascii="Arial" w:hAnsi="Arial" w:cs="Arial"/>
                <w:sz w:val="17"/>
                <w:szCs w:val="17"/>
              </w:rPr>
              <w:t>—Working with employers and employees to minimise the impact of harm in workplaces, facilitate return to work and recovery at work, and deliver sustainable management of the fund</w:t>
            </w:r>
          </w:p>
        </w:tc>
      </w:tr>
      <w:tr w:rsidR="005449D2" w:rsidRPr="00CD3FE3" w:rsidTr="003F0F8A">
        <w:tc>
          <w:tcPr>
            <w:tcW w:w="1418" w:type="dxa"/>
            <w:tcBorders>
              <w:bottom w:val="doub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Delivery</w:t>
            </w:r>
          </w:p>
        </w:tc>
        <w:tc>
          <w:tcPr>
            <w:tcW w:w="6323" w:type="dxa"/>
            <w:gridSpan w:val="3"/>
            <w:tcBorders>
              <w:bottom w:val="double" w:sz="4" w:space="0" w:color="auto"/>
            </w:tcBorders>
          </w:tcPr>
          <w:p w:rsidR="005449D2" w:rsidRPr="00CD3FE3" w:rsidRDefault="005449D2" w:rsidP="003F0F8A">
            <w:pPr>
              <w:pStyle w:val="TableTextLeft"/>
              <w:keepNext/>
              <w:keepLines/>
              <w:rPr>
                <w:sz w:val="17"/>
                <w:szCs w:val="17"/>
              </w:rPr>
            </w:pPr>
            <w:r w:rsidRPr="00CD3FE3">
              <w:rPr>
                <w:sz w:val="17"/>
                <w:szCs w:val="17"/>
              </w:rPr>
              <w:t>Responsive, relevant and cost effective services supported by the timely management of workers’ compensation claims.</w:t>
            </w:r>
          </w:p>
        </w:tc>
      </w:tr>
      <w:tr w:rsidR="005449D2" w:rsidRPr="00CD3FE3" w:rsidTr="003F0F8A">
        <w:tc>
          <w:tcPr>
            <w:tcW w:w="7741" w:type="dxa"/>
            <w:gridSpan w:val="4"/>
            <w:tcBorders>
              <w:top w:val="double" w:sz="4" w:space="0" w:color="auto"/>
              <w:bottom w:val="doub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Performance information</w:t>
            </w:r>
          </w:p>
        </w:tc>
      </w:tr>
      <w:tr w:rsidR="005449D2" w:rsidRPr="00CD3FE3" w:rsidTr="003F0F8A">
        <w:tc>
          <w:tcPr>
            <w:tcW w:w="1418" w:type="dxa"/>
            <w:tcBorders>
              <w:top w:val="double" w:sz="4" w:space="0" w:color="auto"/>
              <w:bottom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Year</w:t>
            </w:r>
          </w:p>
        </w:tc>
        <w:tc>
          <w:tcPr>
            <w:tcW w:w="3827" w:type="dxa"/>
            <w:gridSpan w:val="2"/>
            <w:tcBorders>
              <w:top w:val="double" w:sz="4" w:space="0" w:color="auto"/>
              <w:left w:val="single" w:sz="4" w:space="0" w:color="auto"/>
              <w:bottom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Performance criteria</w:t>
            </w:r>
          </w:p>
        </w:tc>
        <w:tc>
          <w:tcPr>
            <w:tcW w:w="2496" w:type="dxa"/>
            <w:tcBorders>
              <w:top w:val="double" w:sz="4" w:space="0" w:color="auto"/>
              <w:left w:val="single" w:sz="4" w:space="0" w:color="auto"/>
              <w:bottom w:val="sing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Targets</w:t>
            </w:r>
          </w:p>
        </w:tc>
      </w:tr>
      <w:tr w:rsidR="005449D2" w:rsidRPr="00CD3FE3" w:rsidTr="003F0F8A">
        <w:trPr>
          <w:trHeight w:val="60"/>
        </w:trPr>
        <w:tc>
          <w:tcPr>
            <w:tcW w:w="1418" w:type="dxa"/>
            <w:vMerge w:val="restart"/>
            <w:tcBorders>
              <w:top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2016–17</w:t>
            </w:r>
          </w:p>
        </w:tc>
        <w:tc>
          <w:tcPr>
            <w:tcW w:w="3827" w:type="dxa"/>
            <w:gridSpan w:val="2"/>
            <w:tcBorders>
              <w:top w:val="single" w:sz="4" w:space="0" w:color="auto"/>
              <w:left w:val="single" w:sz="4" w:space="0" w:color="auto"/>
              <w:bottom w:val="dotted" w:sz="4" w:space="0" w:color="auto"/>
              <w:right w:val="single" w:sz="4" w:space="0" w:color="auto"/>
            </w:tcBorders>
          </w:tcPr>
          <w:p w:rsidR="005449D2" w:rsidRPr="00CD3FE3" w:rsidRDefault="005449D2" w:rsidP="003F0F8A">
            <w:pPr>
              <w:pStyle w:val="TableTextLeft"/>
              <w:rPr>
                <w:color w:val="FF0000"/>
                <w:sz w:val="17"/>
                <w:szCs w:val="17"/>
              </w:rPr>
            </w:pPr>
            <w:r w:rsidRPr="00CD3FE3">
              <w:rPr>
                <w:sz w:val="17"/>
                <w:szCs w:val="17"/>
              </w:rPr>
              <w:t>Scheme is fully funded by 1 July 2020 (i.e. the percentage of premium-related assets to premium-related liabilities)</w:t>
            </w:r>
          </w:p>
        </w:tc>
        <w:tc>
          <w:tcPr>
            <w:tcW w:w="2496" w:type="dxa"/>
            <w:tcBorders>
              <w:top w:val="single" w:sz="4" w:space="0" w:color="auto"/>
              <w:left w:val="single" w:sz="4" w:space="0" w:color="auto"/>
              <w:bottom w:val="dotted" w:sz="4" w:space="0" w:color="auto"/>
            </w:tcBorders>
          </w:tcPr>
          <w:p w:rsidR="005449D2" w:rsidRPr="00CD3FE3" w:rsidRDefault="005449D2" w:rsidP="003F0F8A">
            <w:pPr>
              <w:pStyle w:val="TableTextLeft"/>
              <w:rPr>
                <w:sz w:val="17"/>
                <w:szCs w:val="17"/>
              </w:rPr>
            </w:pPr>
            <w:r w:rsidRPr="00CD3FE3">
              <w:rPr>
                <w:rFonts w:cs="Arial"/>
                <w:b/>
                <w:sz w:val="17"/>
                <w:szCs w:val="17"/>
              </w:rPr>
              <w:t>Assessment:</w:t>
            </w:r>
            <w:r w:rsidRPr="00CD3FE3">
              <w:rPr>
                <w:sz w:val="17"/>
                <w:szCs w:val="17"/>
              </w:rPr>
              <w:t xml:space="preserve"> Target exceeded</w:t>
            </w:r>
          </w:p>
        </w:tc>
      </w:tr>
      <w:tr w:rsidR="005449D2" w:rsidRPr="00CD3FE3" w:rsidTr="003F0F8A">
        <w:trPr>
          <w:trHeight w:val="60"/>
        </w:trPr>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CD3FE3" w:rsidDel="001E7357" w:rsidRDefault="005449D2" w:rsidP="003F0F8A">
            <w:pPr>
              <w:pStyle w:val="TableTextLeft"/>
              <w:rPr>
                <w:sz w:val="17"/>
                <w:szCs w:val="17"/>
              </w:rPr>
            </w:pPr>
            <w:r w:rsidRPr="00CD3FE3">
              <w:rPr>
                <w:sz w:val="17"/>
                <w:szCs w:val="17"/>
              </w:rPr>
              <w:t>Scheme liability is reduced by $1 billion by 1</w:t>
            </w:r>
            <w:r>
              <w:rPr>
                <w:sz w:val="17"/>
                <w:szCs w:val="17"/>
              </w:rPr>
              <w:t> </w:t>
            </w:r>
            <w:r w:rsidRPr="00CD3FE3">
              <w:rPr>
                <w:sz w:val="17"/>
                <w:szCs w:val="17"/>
              </w:rPr>
              <w:t>July 2018</w:t>
            </w:r>
          </w:p>
        </w:tc>
        <w:tc>
          <w:tcPr>
            <w:tcW w:w="2496" w:type="dxa"/>
            <w:tcBorders>
              <w:top w:val="dotted" w:sz="4" w:space="0" w:color="auto"/>
              <w:left w:val="single" w:sz="4" w:space="0" w:color="auto"/>
              <w:bottom w:val="dotted" w:sz="4" w:space="0" w:color="auto"/>
            </w:tcBorders>
          </w:tcPr>
          <w:p w:rsidR="005449D2" w:rsidRPr="00CD3FE3" w:rsidRDefault="005449D2" w:rsidP="003F0F8A">
            <w:pPr>
              <w:pStyle w:val="TableTextLeft"/>
              <w:jc w:val="both"/>
              <w:rPr>
                <w:sz w:val="17"/>
                <w:szCs w:val="17"/>
              </w:rPr>
            </w:pPr>
            <w:r w:rsidRPr="00CD3FE3">
              <w:rPr>
                <w:rFonts w:cs="Arial"/>
                <w:b/>
                <w:sz w:val="17"/>
                <w:szCs w:val="17"/>
              </w:rPr>
              <w:t xml:space="preserve">Assessment: </w:t>
            </w:r>
            <w:r w:rsidRPr="00CD3FE3">
              <w:rPr>
                <w:sz w:val="17"/>
                <w:szCs w:val="17"/>
              </w:rPr>
              <w:t>On track</w:t>
            </w:r>
          </w:p>
        </w:tc>
      </w:tr>
      <w:tr w:rsidR="005449D2" w:rsidRPr="00CD3FE3" w:rsidTr="003F0F8A">
        <w:trPr>
          <w:trHeight w:val="60"/>
        </w:trPr>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CD3FE3" w:rsidRDefault="005449D2" w:rsidP="003F0F8A">
            <w:pPr>
              <w:pStyle w:val="TableTextLeft"/>
              <w:rPr>
                <w:sz w:val="17"/>
                <w:szCs w:val="17"/>
              </w:rPr>
            </w:pPr>
            <w:r w:rsidRPr="00CD3FE3">
              <w:rPr>
                <w:sz w:val="17"/>
                <w:szCs w:val="17"/>
              </w:rPr>
              <w:t>Premiums are at an optimal level (i</w:t>
            </w:r>
            <w:r>
              <w:rPr>
                <w:sz w:val="17"/>
                <w:szCs w:val="17"/>
              </w:rPr>
              <w:t>.</w:t>
            </w:r>
            <w:r w:rsidRPr="00CD3FE3">
              <w:rPr>
                <w:sz w:val="17"/>
                <w:szCs w:val="17"/>
              </w:rPr>
              <w:t>e</w:t>
            </w:r>
            <w:r>
              <w:rPr>
                <w:sz w:val="17"/>
                <w:szCs w:val="17"/>
              </w:rPr>
              <w:t>.</w:t>
            </w:r>
            <w:r w:rsidRPr="00CD3FE3">
              <w:rPr>
                <w:sz w:val="17"/>
                <w:szCs w:val="17"/>
              </w:rPr>
              <w:t xml:space="preserve"> average premiums as a percentage of payroll)</w:t>
            </w:r>
          </w:p>
        </w:tc>
        <w:tc>
          <w:tcPr>
            <w:tcW w:w="2496" w:type="dxa"/>
            <w:tcBorders>
              <w:top w:val="dotted" w:sz="4" w:space="0" w:color="auto"/>
              <w:left w:val="single" w:sz="4" w:space="0" w:color="auto"/>
              <w:bottom w:val="dotted" w:sz="4" w:space="0" w:color="auto"/>
            </w:tcBorders>
          </w:tcPr>
          <w:p w:rsidR="005449D2" w:rsidRPr="00CD3FE3" w:rsidRDefault="005449D2" w:rsidP="003F0F8A">
            <w:pPr>
              <w:pStyle w:val="TableTextLeft"/>
              <w:jc w:val="both"/>
              <w:rPr>
                <w:sz w:val="17"/>
                <w:szCs w:val="17"/>
              </w:rPr>
            </w:pPr>
            <w:r w:rsidRPr="00CD3FE3">
              <w:rPr>
                <w:rFonts w:cs="Arial"/>
                <w:b/>
                <w:sz w:val="17"/>
                <w:szCs w:val="17"/>
              </w:rPr>
              <w:t xml:space="preserve">Assessment: </w:t>
            </w:r>
            <w:r w:rsidRPr="00CD3FE3">
              <w:rPr>
                <w:sz w:val="17"/>
                <w:szCs w:val="17"/>
              </w:rPr>
              <w:t>On track</w:t>
            </w:r>
          </w:p>
        </w:tc>
      </w:tr>
      <w:tr w:rsidR="005449D2" w:rsidRPr="00CD3FE3" w:rsidTr="003F0F8A">
        <w:trPr>
          <w:trHeight w:val="60"/>
        </w:trPr>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CD3FE3" w:rsidDel="00A83930" w:rsidRDefault="005449D2" w:rsidP="003F0F8A">
            <w:pPr>
              <w:pStyle w:val="TableTextLeft"/>
              <w:rPr>
                <w:sz w:val="17"/>
                <w:szCs w:val="17"/>
              </w:rPr>
            </w:pPr>
            <w:r w:rsidRPr="00CD3FE3">
              <w:rPr>
                <w:sz w:val="17"/>
                <w:szCs w:val="17"/>
              </w:rPr>
              <w:t>Reduced administration costs</w:t>
            </w:r>
          </w:p>
        </w:tc>
        <w:tc>
          <w:tcPr>
            <w:tcW w:w="2496" w:type="dxa"/>
            <w:tcBorders>
              <w:top w:val="dotted" w:sz="4" w:space="0" w:color="auto"/>
              <w:left w:val="single" w:sz="4" w:space="0" w:color="auto"/>
              <w:bottom w:val="dotted" w:sz="4" w:space="0" w:color="auto"/>
            </w:tcBorders>
          </w:tcPr>
          <w:p w:rsidR="005449D2" w:rsidRPr="00CD3FE3" w:rsidRDefault="005449D2" w:rsidP="003F0F8A">
            <w:pPr>
              <w:pStyle w:val="TableTextLeft"/>
              <w:jc w:val="both"/>
              <w:rPr>
                <w:sz w:val="17"/>
                <w:szCs w:val="17"/>
              </w:rPr>
            </w:pPr>
            <w:r w:rsidRPr="00CD3FE3">
              <w:rPr>
                <w:rFonts w:cs="Arial"/>
                <w:b/>
                <w:sz w:val="17"/>
                <w:szCs w:val="17"/>
              </w:rPr>
              <w:t xml:space="preserve">Assessment: </w:t>
            </w:r>
            <w:r w:rsidRPr="00CD3FE3">
              <w:rPr>
                <w:sz w:val="17"/>
                <w:szCs w:val="17"/>
              </w:rPr>
              <w:t>On track</w:t>
            </w:r>
          </w:p>
        </w:tc>
      </w:tr>
      <w:tr w:rsidR="005449D2" w:rsidRPr="00CD3FE3" w:rsidTr="003F0F8A">
        <w:trPr>
          <w:trHeight w:val="60"/>
        </w:trPr>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CD3FE3" w:rsidRDefault="005449D2" w:rsidP="003F0F8A">
            <w:pPr>
              <w:pStyle w:val="TableTextLeft"/>
              <w:spacing w:before="40" w:after="40"/>
              <w:rPr>
                <w:sz w:val="17"/>
                <w:szCs w:val="17"/>
              </w:rPr>
            </w:pPr>
            <w:r w:rsidRPr="00CD3FE3">
              <w:rPr>
                <w:sz w:val="17"/>
                <w:szCs w:val="17"/>
              </w:rPr>
              <w:t>Early return to work of employees (i</w:t>
            </w:r>
            <w:r>
              <w:rPr>
                <w:sz w:val="17"/>
                <w:szCs w:val="17"/>
              </w:rPr>
              <w:t>.</w:t>
            </w:r>
            <w:r w:rsidRPr="00CD3FE3">
              <w:rPr>
                <w:sz w:val="17"/>
                <w:szCs w:val="17"/>
              </w:rPr>
              <w:t>e</w:t>
            </w:r>
            <w:r>
              <w:rPr>
                <w:sz w:val="17"/>
                <w:szCs w:val="17"/>
              </w:rPr>
              <w:t>.</w:t>
            </w:r>
            <w:r w:rsidRPr="00CD3FE3">
              <w:rPr>
                <w:sz w:val="17"/>
                <w:szCs w:val="17"/>
              </w:rPr>
              <w:t xml:space="preserve"> percent and number of employees on reduced income continuance. Reported by time period: 4, 13, 26 and 52 weeks</w:t>
            </w:r>
          </w:p>
        </w:tc>
        <w:tc>
          <w:tcPr>
            <w:tcW w:w="2496" w:type="dxa"/>
            <w:tcBorders>
              <w:top w:val="dotted" w:sz="4" w:space="0" w:color="auto"/>
              <w:left w:val="single" w:sz="4" w:space="0" w:color="auto"/>
              <w:bottom w:val="dotted" w:sz="4" w:space="0" w:color="auto"/>
            </w:tcBorders>
          </w:tcPr>
          <w:p w:rsidR="005449D2" w:rsidRPr="00CD3FE3" w:rsidRDefault="005449D2" w:rsidP="003F0F8A">
            <w:pPr>
              <w:pStyle w:val="TableTextLeft"/>
              <w:spacing w:before="40" w:after="40"/>
              <w:jc w:val="both"/>
              <w:rPr>
                <w:sz w:val="17"/>
                <w:szCs w:val="17"/>
              </w:rPr>
            </w:pPr>
            <w:r w:rsidRPr="00CD3FE3">
              <w:rPr>
                <w:rFonts w:cs="Arial"/>
                <w:b/>
                <w:sz w:val="17"/>
                <w:szCs w:val="17"/>
              </w:rPr>
              <w:t xml:space="preserve">Assessment: </w:t>
            </w:r>
            <w:r w:rsidRPr="00CD3FE3">
              <w:rPr>
                <w:sz w:val="17"/>
                <w:szCs w:val="17"/>
              </w:rPr>
              <w:t>On track</w:t>
            </w:r>
          </w:p>
        </w:tc>
      </w:tr>
      <w:tr w:rsidR="005449D2" w:rsidRPr="00CD3FE3" w:rsidTr="003F0F8A">
        <w:trPr>
          <w:trHeight w:val="60"/>
        </w:trPr>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CD3FE3" w:rsidRDefault="005449D2" w:rsidP="003F0F8A">
            <w:pPr>
              <w:pStyle w:val="TableTextLeft"/>
              <w:spacing w:before="40" w:after="40"/>
              <w:rPr>
                <w:sz w:val="17"/>
                <w:szCs w:val="17"/>
              </w:rPr>
            </w:pPr>
            <w:r w:rsidRPr="00CD3FE3">
              <w:rPr>
                <w:sz w:val="17"/>
                <w:szCs w:val="17"/>
              </w:rPr>
              <w:t>Satisfaction with services (i</w:t>
            </w:r>
            <w:r>
              <w:rPr>
                <w:sz w:val="17"/>
                <w:szCs w:val="17"/>
              </w:rPr>
              <w:t>.</w:t>
            </w:r>
            <w:r w:rsidRPr="00CD3FE3">
              <w:rPr>
                <w:sz w:val="17"/>
                <w:szCs w:val="17"/>
              </w:rPr>
              <w:t>e</w:t>
            </w:r>
            <w:r>
              <w:rPr>
                <w:sz w:val="17"/>
                <w:szCs w:val="17"/>
              </w:rPr>
              <w:t>.</w:t>
            </w:r>
            <w:r w:rsidRPr="00CD3FE3">
              <w:rPr>
                <w:sz w:val="17"/>
                <w:szCs w:val="17"/>
              </w:rPr>
              <w:t xml:space="preserve"> percentage and number of employers and employees satisfied with the quality of services provided to case managers in agencies) </w:t>
            </w:r>
          </w:p>
        </w:tc>
        <w:tc>
          <w:tcPr>
            <w:tcW w:w="2496" w:type="dxa"/>
            <w:tcBorders>
              <w:top w:val="dotted" w:sz="4" w:space="0" w:color="auto"/>
              <w:left w:val="single" w:sz="4" w:space="0" w:color="auto"/>
              <w:bottom w:val="dotted" w:sz="4" w:space="0" w:color="auto"/>
            </w:tcBorders>
          </w:tcPr>
          <w:p w:rsidR="005449D2" w:rsidRPr="00CD3FE3" w:rsidRDefault="005449D2" w:rsidP="003F0F8A">
            <w:pPr>
              <w:pStyle w:val="TableTextLeft"/>
              <w:spacing w:before="40" w:after="40"/>
              <w:jc w:val="both"/>
              <w:rPr>
                <w:sz w:val="17"/>
                <w:szCs w:val="17"/>
              </w:rPr>
            </w:pPr>
            <w:r w:rsidRPr="00CD3FE3">
              <w:rPr>
                <w:rFonts w:cs="Arial"/>
                <w:b/>
                <w:sz w:val="17"/>
                <w:szCs w:val="17"/>
              </w:rPr>
              <w:t xml:space="preserve">Assessment: </w:t>
            </w:r>
            <w:r w:rsidRPr="00CD3FE3">
              <w:rPr>
                <w:sz w:val="17"/>
                <w:szCs w:val="17"/>
              </w:rPr>
              <w:t>On track</w:t>
            </w:r>
          </w:p>
        </w:tc>
      </w:tr>
      <w:tr w:rsidR="005449D2" w:rsidRPr="00CD3FE3" w:rsidTr="003F0F8A">
        <w:trPr>
          <w:trHeight w:val="60"/>
        </w:trPr>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CD3FE3" w:rsidDel="00A83930" w:rsidRDefault="005449D2" w:rsidP="003F0F8A">
            <w:pPr>
              <w:pStyle w:val="TableTextLeft"/>
              <w:spacing w:before="40" w:after="40"/>
              <w:rPr>
                <w:sz w:val="17"/>
                <w:szCs w:val="17"/>
              </w:rPr>
            </w:pPr>
            <w:r w:rsidRPr="00CD3FE3">
              <w:rPr>
                <w:sz w:val="17"/>
                <w:szCs w:val="17"/>
              </w:rPr>
              <w:t>Timely processing of claims</w:t>
            </w:r>
          </w:p>
        </w:tc>
        <w:tc>
          <w:tcPr>
            <w:tcW w:w="2496" w:type="dxa"/>
            <w:tcBorders>
              <w:top w:val="dotted" w:sz="4" w:space="0" w:color="auto"/>
              <w:left w:val="single" w:sz="4" w:space="0" w:color="auto"/>
              <w:bottom w:val="dotted" w:sz="4" w:space="0" w:color="auto"/>
            </w:tcBorders>
          </w:tcPr>
          <w:p w:rsidR="005449D2" w:rsidRPr="00CD3FE3" w:rsidRDefault="005449D2" w:rsidP="003F0F8A">
            <w:pPr>
              <w:pStyle w:val="TableTextLeft"/>
              <w:spacing w:before="40" w:after="40"/>
              <w:jc w:val="both"/>
              <w:rPr>
                <w:sz w:val="17"/>
                <w:szCs w:val="17"/>
              </w:rPr>
            </w:pPr>
            <w:r w:rsidRPr="00CD3FE3">
              <w:rPr>
                <w:rFonts w:cs="Arial"/>
                <w:b/>
                <w:sz w:val="17"/>
                <w:szCs w:val="17"/>
              </w:rPr>
              <w:t xml:space="preserve">Assessment: </w:t>
            </w:r>
            <w:r w:rsidRPr="00CD3FE3">
              <w:rPr>
                <w:sz w:val="17"/>
                <w:szCs w:val="17"/>
              </w:rPr>
              <w:t>On track</w:t>
            </w:r>
          </w:p>
        </w:tc>
      </w:tr>
      <w:tr w:rsidR="005449D2" w:rsidRPr="00CD3FE3" w:rsidTr="003F0F8A">
        <w:trPr>
          <w:trHeight w:val="60"/>
        </w:trPr>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CD3FE3" w:rsidDel="00A83930" w:rsidRDefault="005449D2" w:rsidP="003F0F8A">
            <w:pPr>
              <w:pStyle w:val="TableTextLeft"/>
              <w:spacing w:before="40" w:after="40"/>
              <w:rPr>
                <w:sz w:val="17"/>
                <w:szCs w:val="17"/>
              </w:rPr>
            </w:pPr>
            <w:r w:rsidRPr="00CD3FE3">
              <w:rPr>
                <w:sz w:val="17"/>
                <w:szCs w:val="17"/>
              </w:rPr>
              <w:t>Accurate processing of claims (i</w:t>
            </w:r>
            <w:r>
              <w:rPr>
                <w:sz w:val="17"/>
                <w:szCs w:val="17"/>
              </w:rPr>
              <w:t>.</w:t>
            </w:r>
            <w:r w:rsidRPr="00CD3FE3">
              <w:rPr>
                <w:sz w:val="17"/>
                <w:szCs w:val="17"/>
              </w:rPr>
              <w:t>e</w:t>
            </w:r>
            <w:r>
              <w:rPr>
                <w:sz w:val="17"/>
                <w:szCs w:val="17"/>
              </w:rPr>
              <w:t>.</w:t>
            </w:r>
            <w:r w:rsidRPr="00CD3FE3">
              <w:rPr>
                <w:sz w:val="17"/>
                <w:szCs w:val="17"/>
              </w:rPr>
              <w:t xml:space="preserve"> percentage and number of sampled payments processed in accordance with agreed standards)</w:t>
            </w:r>
          </w:p>
        </w:tc>
        <w:tc>
          <w:tcPr>
            <w:tcW w:w="2496" w:type="dxa"/>
            <w:tcBorders>
              <w:top w:val="dotted" w:sz="4" w:space="0" w:color="auto"/>
              <w:left w:val="single" w:sz="4" w:space="0" w:color="auto"/>
              <w:bottom w:val="dotted" w:sz="4" w:space="0" w:color="auto"/>
            </w:tcBorders>
          </w:tcPr>
          <w:p w:rsidR="005449D2" w:rsidRPr="00CD3FE3" w:rsidRDefault="005449D2" w:rsidP="003F0F8A">
            <w:pPr>
              <w:pStyle w:val="TableTextLeft"/>
              <w:spacing w:before="40" w:after="40"/>
              <w:jc w:val="both"/>
              <w:rPr>
                <w:sz w:val="17"/>
                <w:szCs w:val="17"/>
              </w:rPr>
            </w:pPr>
            <w:r w:rsidRPr="00CD3FE3">
              <w:rPr>
                <w:rFonts w:cs="Arial"/>
                <w:b/>
                <w:sz w:val="17"/>
                <w:szCs w:val="17"/>
              </w:rPr>
              <w:t xml:space="preserve">Assessment: </w:t>
            </w:r>
            <w:r w:rsidRPr="00CD3FE3">
              <w:rPr>
                <w:sz w:val="17"/>
                <w:szCs w:val="17"/>
              </w:rPr>
              <w:t>On track</w:t>
            </w:r>
          </w:p>
        </w:tc>
      </w:tr>
      <w:tr w:rsidR="005449D2" w:rsidRPr="00CD3FE3" w:rsidTr="003F0F8A">
        <w:trPr>
          <w:trHeight w:val="60"/>
        </w:trPr>
        <w:tc>
          <w:tcPr>
            <w:tcW w:w="1418" w:type="dxa"/>
            <w:vMerge/>
            <w:tcBorders>
              <w:bottom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CD3FE3" w:rsidDel="00751B99" w:rsidRDefault="005449D2" w:rsidP="003F0F8A">
            <w:pPr>
              <w:pStyle w:val="TableTextLeft"/>
              <w:spacing w:before="40" w:after="40"/>
              <w:rPr>
                <w:sz w:val="17"/>
                <w:szCs w:val="17"/>
              </w:rPr>
            </w:pPr>
            <w:r w:rsidRPr="00CD3FE3">
              <w:rPr>
                <w:sz w:val="17"/>
                <w:szCs w:val="17"/>
              </w:rPr>
              <w:t xml:space="preserve">Reasonable cost to process claims </w:t>
            </w:r>
            <w:r>
              <w:rPr>
                <w:sz w:val="17"/>
                <w:szCs w:val="17"/>
              </w:rPr>
              <w:br/>
            </w:r>
            <w:r w:rsidRPr="00CD3FE3">
              <w:rPr>
                <w:sz w:val="17"/>
                <w:szCs w:val="17"/>
              </w:rPr>
              <w:t>(i</w:t>
            </w:r>
            <w:r>
              <w:rPr>
                <w:sz w:val="17"/>
                <w:szCs w:val="17"/>
              </w:rPr>
              <w:t>.</w:t>
            </w:r>
            <w:r w:rsidRPr="00CD3FE3">
              <w:rPr>
                <w:sz w:val="17"/>
                <w:szCs w:val="17"/>
              </w:rPr>
              <w:t>e</w:t>
            </w:r>
            <w:r>
              <w:rPr>
                <w:sz w:val="17"/>
                <w:szCs w:val="17"/>
              </w:rPr>
              <w:t>.</w:t>
            </w:r>
            <w:r w:rsidRPr="00CD3FE3">
              <w:rPr>
                <w:sz w:val="17"/>
                <w:szCs w:val="17"/>
              </w:rPr>
              <w:t xml:space="preserve"> average cost per claim processed)</w:t>
            </w:r>
          </w:p>
        </w:tc>
        <w:tc>
          <w:tcPr>
            <w:tcW w:w="2496" w:type="dxa"/>
            <w:tcBorders>
              <w:top w:val="dotted" w:sz="4" w:space="0" w:color="auto"/>
              <w:left w:val="single" w:sz="4" w:space="0" w:color="auto"/>
              <w:bottom w:val="dotted" w:sz="4" w:space="0" w:color="auto"/>
            </w:tcBorders>
          </w:tcPr>
          <w:p w:rsidR="005449D2" w:rsidRPr="00CD3FE3" w:rsidRDefault="005449D2" w:rsidP="003F0F8A">
            <w:pPr>
              <w:pStyle w:val="TableTextLeft"/>
              <w:spacing w:before="40" w:after="40"/>
              <w:jc w:val="both"/>
              <w:rPr>
                <w:sz w:val="17"/>
                <w:szCs w:val="17"/>
              </w:rPr>
            </w:pPr>
            <w:r w:rsidRPr="00CD3FE3">
              <w:rPr>
                <w:rFonts w:cs="Arial"/>
                <w:b/>
                <w:sz w:val="17"/>
                <w:szCs w:val="17"/>
              </w:rPr>
              <w:t xml:space="preserve">Assessment: </w:t>
            </w:r>
            <w:r w:rsidRPr="00CD3FE3">
              <w:rPr>
                <w:sz w:val="17"/>
                <w:szCs w:val="17"/>
              </w:rPr>
              <w:t>On track</w:t>
            </w:r>
          </w:p>
        </w:tc>
      </w:tr>
      <w:tr w:rsidR="005449D2" w:rsidRPr="003346B4" w:rsidTr="003F0F8A">
        <w:tc>
          <w:tcPr>
            <w:tcW w:w="1418" w:type="dxa"/>
            <w:vMerge w:val="restart"/>
            <w:tcBorders>
              <w:top w:val="single" w:sz="4" w:space="0" w:color="auto"/>
              <w:bottom w:val="nil"/>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r w:rsidRPr="003346B4">
              <w:rPr>
                <w:rFonts w:ascii="Arial" w:hAnsi="Arial" w:cs="Arial"/>
                <w:sz w:val="17"/>
                <w:szCs w:val="17"/>
              </w:rPr>
              <w:t>2017–18</w:t>
            </w:r>
          </w:p>
        </w:tc>
        <w:tc>
          <w:tcPr>
            <w:tcW w:w="3827" w:type="dxa"/>
            <w:gridSpan w:val="2"/>
            <w:tcBorders>
              <w:top w:val="single" w:sz="4" w:space="0" w:color="auto"/>
              <w:left w:val="single" w:sz="4" w:space="0" w:color="auto"/>
              <w:bottom w:val="dotted" w:sz="4" w:space="0" w:color="auto"/>
              <w:right w:val="single"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The insured scheme continues to be fully funded</w:t>
            </w:r>
          </w:p>
        </w:tc>
        <w:tc>
          <w:tcPr>
            <w:tcW w:w="2496" w:type="dxa"/>
            <w:tcBorders>
              <w:top w:val="single" w:sz="4" w:space="0" w:color="auto"/>
              <w:left w:val="single" w:sz="4" w:space="0" w:color="auto"/>
              <w:bottom w:val="dotted"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100–110%</w:t>
            </w:r>
          </w:p>
        </w:tc>
      </w:tr>
      <w:tr w:rsidR="005449D2" w:rsidRPr="003346B4" w:rsidTr="003F0F8A">
        <w:tc>
          <w:tcPr>
            <w:tcW w:w="1418" w:type="dxa"/>
            <w:vMerge/>
            <w:tcBorders>
              <w:top w:val="nil"/>
              <w:bottom w:val="nil"/>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The average Commonwealth premium rate reduces to 1.1 per cent of payroll (excluding GST) by 2018</w:t>
            </w:r>
            <w:r>
              <w:rPr>
                <w:rFonts w:ascii="Arial" w:hAnsi="Arial" w:cs="Arial"/>
                <w:sz w:val="17"/>
                <w:szCs w:val="17"/>
              </w:rPr>
              <w:t>–</w:t>
            </w:r>
            <w:r w:rsidRPr="003346B4">
              <w:rPr>
                <w:rFonts w:ascii="Arial" w:hAnsi="Arial" w:cs="Arial"/>
                <w:sz w:val="17"/>
                <w:szCs w:val="17"/>
              </w:rPr>
              <w:t xml:space="preserve">19, to ensure the scheme remains financially sustainable. </w:t>
            </w:r>
          </w:p>
        </w:tc>
        <w:tc>
          <w:tcPr>
            <w:tcW w:w="2496" w:type="dxa"/>
            <w:tcBorders>
              <w:top w:val="dotted" w:sz="4" w:space="0" w:color="auto"/>
              <w:left w:val="single" w:sz="4" w:space="0" w:color="auto"/>
              <w:bottom w:val="dotted"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Average Commonwealth premium rate = 1.3% of payroll</w:t>
            </w:r>
          </w:p>
        </w:tc>
      </w:tr>
      <w:tr w:rsidR="005449D2" w:rsidRPr="003346B4" w:rsidTr="003F0F8A">
        <w:trPr>
          <w:trHeight w:val="892"/>
        </w:trPr>
        <w:tc>
          <w:tcPr>
            <w:tcW w:w="1418" w:type="dxa"/>
            <w:vMerge/>
            <w:tcBorders>
              <w:top w:val="nil"/>
              <w:bottom w:val="nil"/>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 xml:space="preserve">Reduce the insured scheme liability to $1.9 billion, a reduction of $1 billion from the baseline at 30 June 2014, to ensure the scheme remains financially sustainable </w:t>
            </w:r>
          </w:p>
        </w:tc>
        <w:tc>
          <w:tcPr>
            <w:tcW w:w="2496" w:type="dxa"/>
            <w:tcBorders>
              <w:top w:val="dotted" w:sz="4" w:space="0" w:color="auto"/>
              <w:left w:val="single" w:sz="4" w:space="0" w:color="auto"/>
              <w:bottom w:val="dotted"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Scheme liability is reduced to $1.9 billion by 30 June 2018</w:t>
            </w:r>
          </w:p>
        </w:tc>
      </w:tr>
      <w:tr w:rsidR="005449D2" w:rsidRPr="003346B4" w:rsidTr="003F0F8A">
        <w:trPr>
          <w:trHeight w:val="971"/>
        </w:trPr>
        <w:tc>
          <w:tcPr>
            <w:tcW w:w="1418" w:type="dxa"/>
            <w:vMerge/>
            <w:tcBorders>
              <w:top w:val="nil"/>
              <w:bottom w:val="nil"/>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dotted" w:sz="4" w:space="0" w:color="auto"/>
              <w:right w:val="single"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Reduce the direct administration cost ratio to 20 per cent by 2018</w:t>
            </w:r>
            <w:r>
              <w:rPr>
                <w:rFonts w:ascii="Arial" w:hAnsi="Arial" w:cs="Arial"/>
                <w:sz w:val="17"/>
                <w:szCs w:val="17"/>
              </w:rPr>
              <w:t>–</w:t>
            </w:r>
            <w:r w:rsidRPr="003346B4">
              <w:rPr>
                <w:rFonts w:ascii="Arial" w:hAnsi="Arial" w:cs="Arial"/>
                <w:sz w:val="17"/>
                <w:szCs w:val="17"/>
              </w:rPr>
              <w:t xml:space="preserve">19, measured by Safe Work Australia’s comparative performance monitoring methodology, to ensure cost effective management of the fund. </w:t>
            </w:r>
          </w:p>
        </w:tc>
        <w:tc>
          <w:tcPr>
            <w:tcW w:w="2496" w:type="dxa"/>
            <w:tcBorders>
              <w:top w:val="dotted" w:sz="4" w:space="0" w:color="auto"/>
              <w:left w:val="single" w:sz="4" w:space="0" w:color="auto"/>
              <w:bottom w:val="dotted" w:sz="4" w:space="0" w:color="auto"/>
            </w:tcBorders>
            <w:shd w:val="clear" w:color="auto" w:fill="auto"/>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Administrative cost ratio is 20% or lower</w:t>
            </w:r>
          </w:p>
        </w:tc>
      </w:tr>
      <w:tr w:rsidR="005449D2" w:rsidRPr="003346B4" w:rsidTr="003F0F8A">
        <w:trPr>
          <w:trHeight w:val="784"/>
        </w:trPr>
        <w:tc>
          <w:tcPr>
            <w:tcW w:w="1418" w:type="dxa"/>
            <w:tcBorders>
              <w:top w:val="nil"/>
              <w:bottom w:val="single" w:sz="4" w:space="0" w:color="auto"/>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dotted" w:sz="4" w:space="0" w:color="auto"/>
              <w:left w:val="single" w:sz="4" w:space="0" w:color="auto"/>
              <w:bottom w:val="single" w:sz="4" w:space="0" w:color="auto"/>
              <w:right w:val="single"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Increase the proportion of employees who have returned to work, measured by duration on incapacity benefits, to facilitate recovery and reduce liability</w:t>
            </w:r>
          </w:p>
        </w:tc>
        <w:tc>
          <w:tcPr>
            <w:tcW w:w="2496" w:type="dxa"/>
            <w:tcBorders>
              <w:top w:val="dotted" w:sz="4" w:space="0" w:color="auto"/>
              <w:left w:val="single" w:sz="4" w:space="0" w:color="auto"/>
              <w:bottom w:val="single"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13 weeks – 73%</w:t>
            </w:r>
          </w:p>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26 weeks – 82%</w:t>
            </w:r>
          </w:p>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78 weeks – 91%</w:t>
            </w:r>
          </w:p>
        </w:tc>
      </w:tr>
      <w:tr w:rsidR="005449D2" w:rsidRPr="003346B4" w:rsidTr="003F0F8A">
        <w:trPr>
          <w:trHeight w:val="854"/>
        </w:trPr>
        <w:tc>
          <w:tcPr>
            <w:tcW w:w="1418" w:type="dxa"/>
            <w:tcBorders>
              <w:top w:val="single" w:sz="4" w:space="0" w:color="auto"/>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p>
        </w:tc>
        <w:tc>
          <w:tcPr>
            <w:tcW w:w="3827" w:type="dxa"/>
            <w:gridSpan w:val="2"/>
            <w:tcBorders>
              <w:top w:val="single" w:sz="4" w:space="0" w:color="auto"/>
              <w:left w:val="single" w:sz="4" w:space="0" w:color="auto"/>
              <w:right w:val="single"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A sustained high level of satisfaction and engagement with the services provided, measured by survey to ensure services are appropriate, responsive and relevant</w:t>
            </w:r>
          </w:p>
        </w:tc>
        <w:tc>
          <w:tcPr>
            <w:tcW w:w="2496" w:type="dxa"/>
            <w:tcBorders>
              <w:top w:val="single" w:sz="4" w:space="0" w:color="auto"/>
              <w:left w:val="single" w:sz="4" w:space="0" w:color="auto"/>
              <w:bottom w:val="single"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Satisfaction rating of 82% or more</w:t>
            </w:r>
          </w:p>
        </w:tc>
      </w:tr>
      <w:tr w:rsidR="005449D2" w:rsidRPr="00CD3FE3" w:rsidTr="003F0F8A">
        <w:tc>
          <w:tcPr>
            <w:tcW w:w="1418" w:type="dxa"/>
            <w:vMerge w:val="restart"/>
            <w:tcBorders>
              <w:top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2018–19 and beyond</w:t>
            </w:r>
          </w:p>
        </w:tc>
        <w:tc>
          <w:tcPr>
            <w:tcW w:w="3827" w:type="dxa"/>
            <w:gridSpan w:val="2"/>
            <w:vMerge w:val="restart"/>
            <w:tcBorders>
              <w:top w:val="dotted" w:sz="4" w:space="0" w:color="auto"/>
              <w:left w:val="single"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As per 2017</w:t>
            </w:r>
            <w:r>
              <w:rPr>
                <w:rFonts w:ascii="Arial" w:hAnsi="Arial" w:cs="Arial"/>
                <w:sz w:val="17"/>
                <w:szCs w:val="17"/>
              </w:rPr>
              <w:t>–</w:t>
            </w:r>
            <w:r w:rsidRPr="00CD3FE3">
              <w:rPr>
                <w:rFonts w:ascii="Arial" w:hAnsi="Arial" w:cs="Arial"/>
                <w:sz w:val="17"/>
                <w:szCs w:val="17"/>
              </w:rPr>
              <w:t>18</w:t>
            </w:r>
          </w:p>
        </w:tc>
        <w:tc>
          <w:tcPr>
            <w:tcW w:w="2496" w:type="dxa"/>
            <w:tcBorders>
              <w:top w:val="single" w:sz="4" w:space="0" w:color="auto"/>
              <w:left w:val="single" w:sz="4" w:space="0" w:color="auto"/>
              <w:bottom w:val="dotted"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100</w:t>
            </w:r>
            <w:r>
              <w:rPr>
                <w:rFonts w:ascii="Arial" w:hAnsi="Arial" w:cs="Arial"/>
                <w:sz w:val="17"/>
                <w:szCs w:val="17"/>
              </w:rPr>
              <w:t>–</w:t>
            </w:r>
            <w:r w:rsidRPr="00CD3FE3">
              <w:rPr>
                <w:rFonts w:ascii="Arial" w:hAnsi="Arial" w:cs="Arial"/>
                <w:sz w:val="17"/>
                <w:szCs w:val="17"/>
              </w:rPr>
              <w:t>110%</w:t>
            </w:r>
          </w:p>
        </w:tc>
      </w:tr>
      <w:tr w:rsidR="005449D2" w:rsidRPr="00CD3FE3" w:rsidTr="003F0F8A">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vMerge/>
            <w:tcBorders>
              <w:left w:val="single"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p>
        </w:tc>
        <w:tc>
          <w:tcPr>
            <w:tcW w:w="2496" w:type="dxa"/>
            <w:tcBorders>
              <w:top w:val="dotted" w:sz="4" w:space="0" w:color="auto"/>
              <w:left w:val="single" w:sz="4" w:space="0" w:color="auto"/>
              <w:bottom w:val="dotted"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Average Commonwealth premium rate = 1.1% of payroll</w:t>
            </w:r>
          </w:p>
        </w:tc>
      </w:tr>
      <w:tr w:rsidR="005449D2" w:rsidRPr="00CD3FE3" w:rsidTr="003F0F8A">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vMerge/>
            <w:tcBorders>
              <w:left w:val="single" w:sz="4" w:space="0" w:color="auto"/>
              <w:right w:val="single" w:sz="4" w:space="0" w:color="auto"/>
            </w:tcBorders>
          </w:tcPr>
          <w:p w:rsidR="005449D2" w:rsidRPr="00CD3FE3" w:rsidRDefault="005449D2" w:rsidP="003F0F8A">
            <w:pPr>
              <w:tabs>
                <w:tab w:val="left" w:pos="709"/>
              </w:tabs>
              <w:spacing w:before="40" w:after="40" w:line="240" w:lineRule="auto"/>
              <w:rPr>
                <w:rFonts w:ascii="Arial" w:hAnsi="Arial" w:cs="Arial"/>
                <w:i/>
                <w:color w:val="FF0000"/>
                <w:sz w:val="17"/>
                <w:szCs w:val="17"/>
              </w:rPr>
            </w:pPr>
          </w:p>
        </w:tc>
        <w:tc>
          <w:tcPr>
            <w:tcW w:w="2496" w:type="dxa"/>
            <w:tcBorders>
              <w:top w:val="dotted" w:sz="4" w:space="0" w:color="auto"/>
              <w:left w:val="single" w:sz="4" w:space="0" w:color="auto"/>
              <w:bottom w:val="dotted"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Scheme liability is $1.9 billion or less</w:t>
            </w:r>
          </w:p>
        </w:tc>
      </w:tr>
      <w:tr w:rsidR="005449D2" w:rsidRPr="00CD3FE3" w:rsidTr="003F0F8A">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vMerge/>
            <w:tcBorders>
              <w:left w:val="single"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p>
        </w:tc>
        <w:tc>
          <w:tcPr>
            <w:tcW w:w="2496" w:type="dxa"/>
            <w:tcBorders>
              <w:top w:val="dotted" w:sz="4" w:space="0" w:color="auto"/>
              <w:left w:val="single" w:sz="4" w:space="0" w:color="auto"/>
              <w:bottom w:val="dotted" w:sz="4" w:space="0" w:color="auto"/>
            </w:tcBorders>
          </w:tcPr>
          <w:p w:rsidR="005449D2" w:rsidRPr="00CD3FE3" w:rsidRDefault="005449D2" w:rsidP="003F0F8A">
            <w:pPr>
              <w:spacing w:before="40" w:after="40" w:line="240" w:lineRule="auto"/>
              <w:rPr>
                <w:rFonts w:ascii="Arial" w:hAnsi="Arial" w:cs="Arial"/>
                <w:sz w:val="17"/>
                <w:szCs w:val="17"/>
              </w:rPr>
            </w:pPr>
            <w:r w:rsidRPr="00CD3FE3">
              <w:rPr>
                <w:rFonts w:ascii="Arial" w:hAnsi="Arial" w:cs="Arial"/>
                <w:sz w:val="17"/>
                <w:szCs w:val="17"/>
              </w:rPr>
              <w:t>Administrative cost ratio is 20% or lower</w:t>
            </w:r>
          </w:p>
        </w:tc>
      </w:tr>
      <w:tr w:rsidR="005449D2" w:rsidRPr="00CD3FE3" w:rsidTr="003F0F8A">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vMerge/>
            <w:tcBorders>
              <w:left w:val="single"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p>
        </w:tc>
        <w:tc>
          <w:tcPr>
            <w:tcW w:w="2496" w:type="dxa"/>
            <w:tcBorders>
              <w:top w:val="dotted" w:sz="4" w:space="0" w:color="auto"/>
              <w:left w:val="single" w:sz="4" w:space="0" w:color="auto"/>
              <w:bottom w:val="single" w:sz="4" w:space="0" w:color="auto"/>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13 weeks – 76%</w:t>
            </w:r>
          </w:p>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26 weeks – 84%</w:t>
            </w:r>
          </w:p>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78 weeks – 92%</w:t>
            </w:r>
          </w:p>
        </w:tc>
      </w:tr>
      <w:tr w:rsidR="005449D2" w:rsidRPr="00CD3FE3" w:rsidTr="003F0F8A">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827" w:type="dxa"/>
            <w:gridSpan w:val="2"/>
            <w:vMerge/>
            <w:tcBorders>
              <w:left w:val="single" w:sz="4" w:space="0" w:color="auto"/>
              <w:right w:val="single" w:sz="4" w:space="0" w:color="auto"/>
            </w:tcBorders>
          </w:tcPr>
          <w:p w:rsidR="005449D2" w:rsidRPr="00CD3FE3" w:rsidRDefault="005449D2" w:rsidP="003F0F8A">
            <w:pPr>
              <w:spacing w:before="40" w:after="40" w:line="240" w:lineRule="auto"/>
              <w:rPr>
                <w:rFonts w:ascii="Arial" w:hAnsi="Arial" w:cs="Arial"/>
                <w:sz w:val="17"/>
                <w:szCs w:val="17"/>
              </w:rPr>
            </w:pPr>
          </w:p>
        </w:tc>
        <w:tc>
          <w:tcPr>
            <w:tcW w:w="2496" w:type="dxa"/>
            <w:tcBorders>
              <w:top w:val="single" w:sz="4" w:space="0" w:color="auto"/>
              <w:left w:val="single" w:sz="4" w:space="0" w:color="auto"/>
              <w:bottom w:val="nil"/>
            </w:tcBorders>
          </w:tcPr>
          <w:p w:rsidR="005449D2" w:rsidRPr="003346B4" w:rsidRDefault="005449D2" w:rsidP="003F0F8A">
            <w:pPr>
              <w:spacing w:before="40" w:after="40" w:line="240" w:lineRule="auto"/>
              <w:rPr>
                <w:rFonts w:ascii="Arial" w:hAnsi="Arial" w:cs="Arial"/>
                <w:sz w:val="17"/>
                <w:szCs w:val="17"/>
              </w:rPr>
            </w:pPr>
            <w:r w:rsidRPr="003346B4">
              <w:rPr>
                <w:rFonts w:ascii="Arial" w:hAnsi="Arial" w:cs="Arial"/>
                <w:sz w:val="17"/>
                <w:szCs w:val="17"/>
              </w:rPr>
              <w:t>Satisfaction rating of 85% or more</w:t>
            </w:r>
          </w:p>
        </w:tc>
      </w:tr>
      <w:tr w:rsidR="005449D2" w:rsidRPr="00CD3FE3" w:rsidTr="003F0F8A">
        <w:tc>
          <w:tcPr>
            <w:tcW w:w="7741" w:type="dxa"/>
            <w:gridSpan w:val="4"/>
          </w:tcPr>
          <w:p w:rsidR="005449D2" w:rsidRPr="00CD3FE3" w:rsidRDefault="005449D2" w:rsidP="003F0F8A">
            <w:pPr>
              <w:spacing w:before="40" w:after="20" w:line="240" w:lineRule="auto"/>
              <w:rPr>
                <w:rStyle w:val="BodyTextChar"/>
                <w:rFonts w:ascii="Arial" w:hAnsi="Arial" w:cs="Arial"/>
                <w:b/>
                <w:bCs/>
                <w:iCs/>
                <w:spacing w:val="-6"/>
                <w:sz w:val="17"/>
                <w:szCs w:val="17"/>
                <w:lang w:val="en-AU"/>
              </w:rPr>
            </w:pPr>
            <w:r w:rsidRPr="00CD3FE3">
              <w:rPr>
                <w:rStyle w:val="BodyTextChar"/>
                <w:rFonts w:ascii="Arial" w:hAnsi="Arial" w:cs="Arial"/>
                <w:b/>
                <w:bCs/>
                <w:iCs/>
                <w:spacing w:val="-6"/>
                <w:sz w:val="17"/>
                <w:szCs w:val="17"/>
              </w:rPr>
              <w:t xml:space="preserve">Material changes to Program 1.4 </w:t>
            </w:r>
          </w:p>
          <w:p w:rsidR="005449D2" w:rsidRPr="00CD3FE3" w:rsidRDefault="005449D2" w:rsidP="003F0F8A">
            <w:pPr>
              <w:spacing w:after="60" w:line="240" w:lineRule="auto"/>
              <w:rPr>
                <w:rFonts w:ascii="Arial" w:hAnsi="Arial" w:cs="Arial"/>
                <w:sz w:val="17"/>
                <w:szCs w:val="17"/>
              </w:rPr>
            </w:pPr>
            <w:r w:rsidRPr="00CD3FE3">
              <w:rPr>
                <w:rStyle w:val="BodyTextChar"/>
                <w:rFonts w:ascii="Arial" w:hAnsi="Arial" w:cs="Arial"/>
                <w:bCs/>
                <w:iCs/>
                <w:spacing w:val="-6"/>
                <w:sz w:val="17"/>
                <w:szCs w:val="17"/>
              </w:rPr>
              <w:t>Nil</w:t>
            </w:r>
          </w:p>
        </w:tc>
      </w:tr>
      <w:tr w:rsidR="005449D2" w:rsidRPr="00CD3FE3" w:rsidTr="003F0F8A">
        <w:tc>
          <w:tcPr>
            <w:tcW w:w="7741" w:type="dxa"/>
            <w:gridSpan w:val="4"/>
            <w:shd w:val="clear" w:color="auto" w:fill="F2F2F2"/>
          </w:tcPr>
          <w:p w:rsidR="005449D2" w:rsidRPr="00CD3FE3" w:rsidRDefault="005449D2" w:rsidP="003F0F8A">
            <w:pPr>
              <w:pStyle w:val="TableTextLeft"/>
              <w:keepNext/>
              <w:keepLines/>
              <w:rPr>
                <w:rFonts w:cs="Arial"/>
                <w:sz w:val="17"/>
                <w:szCs w:val="17"/>
              </w:rPr>
            </w:pPr>
            <w:r w:rsidRPr="00CD3FE3">
              <w:rPr>
                <w:rFonts w:cs="Arial"/>
                <w:b/>
                <w:sz w:val="17"/>
                <w:szCs w:val="17"/>
              </w:rPr>
              <w:t>Program Component 1.5—Pre-premium Claims</w:t>
            </w:r>
          </w:p>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Proactive management of Pre-premium claims before 1 July 1989</w:t>
            </w:r>
          </w:p>
        </w:tc>
      </w:tr>
      <w:tr w:rsidR="005449D2" w:rsidRPr="00CD3FE3" w:rsidTr="003F0F8A">
        <w:tc>
          <w:tcPr>
            <w:tcW w:w="1418" w:type="dxa"/>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Purpose</w:t>
            </w:r>
          </w:p>
        </w:tc>
        <w:tc>
          <w:tcPr>
            <w:tcW w:w="6323" w:type="dxa"/>
            <w:gridSpan w:val="3"/>
          </w:tcPr>
          <w:p w:rsidR="005449D2" w:rsidRPr="00CD3FE3" w:rsidRDefault="005449D2" w:rsidP="003F0F8A">
            <w:pPr>
              <w:spacing w:before="60" w:after="60" w:line="240" w:lineRule="auto"/>
              <w:rPr>
                <w:rFonts w:ascii="Arial" w:hAnsi="Arial" w:cs="Arial"/>
                <w:sz w:val="17"/>
                <w:szCs w:val="17"/>
              </w:rPr>
            </w:pPr>
            <w:r w:rsidRPr="00CD3FE3">
              <w:rPr>
                <w:rFonts w:ascii="Arial" w:hAnsi="Arial" w:cs="Arial"/>
                <w:i/>
                <w:sz w:val="17"/>
                <w:szCs w:val="17"/>
              </w:rPr>
              <w:t>Leading insurer</w:t>
            </w:r>
            <w:r w:rsidRPr="00CD3FE3">
              <w:rPr>
                <w:rFonts w:ascii="Arial" w:hAnsi="Arial" w:cs="Arial"/>
                <w:sz w:val="17"/>
                <w:szCs w:val="17"/>
              </w:rPr>
              <w:t>—Working with employers and employees to minimise the impact of harm in workplaces, facilitate return to work and recovery at work, and deliver sustainable management of the fund</w:t>
            </w:r>
          </w:p>
        </w:tc>
      </w:tr>
      <w:tr w:rsidR="005449D2" w:rsidRPr="00CD3FE3" w:rsidTr="003F0F8A">
        <w:tc>
          <w:tcPr>
            <w:tcW w:w="1418" w:type="dxa"/>
            <w:tcBorders>
              <w:bottom w:val="doub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Delivery</w:t>
            </w:r>
          </w:p>
        </w:tc>
        <w:tc>
          <w:tcPr>
            <w:tcW w:w="6323" w:type="dxa"/>
            <w:gridSpan w:val="3"/>
            <w:tcBorders>
              <w:bottom w:val="double" w:sz="4" w:space="0" w:color="auto"/>
            </w:tcBorders>
          </w:tcPr>
          <w:p w:rsidR="005449D2" w:rsidRPr="00CD3FE3" w:rsidRDefault="005449D2" w:rsidP="003F0F8A">
            <w:pPr>
              <w:pStyle w:val="TableTextLeft"/>
              <w:keepNext/>
              <w:keepLines/>
              <w:rPr>
                <w:sz w:val="17"/>
                <w:szCs w:val="17"/>
              </w:rPr>
            </w:pPr>
            <w:r w:rsidRPr="00CD3FE3">
              <w:rPr>
                <w:sz w:val="17"/>
                <w:szCs w:val="17"/>
              </w:rPr>
              <w:t>Deliver a better practice compensation model.</w:t>
            </w:r>
          </w:p>
        </w:tc>
      </w:tr>
      <w:tr w:rsidR="005449D2" w:rsidRPr="00CD3FE3" w:rsidTr="003F0F8A">
        <w:tc>
          <w:tcPr>
            <w:tcW w:w="7741" w:type="dxa"/>
            <w:gridSpan w:val="4"/>
            <w:tcBorders>
              <w:top w:val="double" w:sz="4" w:space="0" w:color="auto"/>
              <w:bottom w:val="doub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Performance information</w:t>
            </w:r>
          </w:p>
        </w:tc>
      </w:tr>
      <w:tr w:rsidR="005449D2" w:rsidRPr="00CD3FE3" w:rsidTr="003F0F8A">
        <w:tc>
          <w:tcPr>
            <w:tcW w:w="1418" w:type="dxa"/>
            <w:tcBorders>
              <w:top w:val="double" w:sz="4" w:space="0" w:color="auto"/>
              <w:bottom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Year</w:t>
            </w:r>
          </w:p>
        </w:tc>
        <w:tc>
          <w:tcPr>
            <w:tcW w:w="3758" w:type="dxa"/>
            <w:tcBorders>
              <w:top w:val="double" w:sz="4" w:space="0" w:color="auto"/>
              <w:left w:val="single" w:sz="4" w:space="0" w:color="auto"/>
              <w:bottom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Performance criteria</w:t>
            </w:r>
          </w:p>
        </w:tc>
        <w:tc>
          <w:tcPr>
            <w:tcW w:w="2565" w:type="dxa"/>
            <w:gridSpan w:val="2"/>
            <w:tcBorders>
              <w:top w:val="double" w:sz="4" w:space="0" w:color="auto"/>
              <w:left w:val="single" w:sz="4" w:space="0" w:color="auto"/>
              <w:bottom w:val="single" w:sz="4" w:space="0" w:color="auto"/>
            </w:tcBorders>
          </w:tcPr>
          <w:p w:rsidR="005449D2" w:rsidRPr="00CD3FE3" w:rsidRDefault="005449D2" w:rsidP="003F0F8A">
            <w:pPr>
              <w:tabs>
                <w:tab w:val="left" w:pos="709"/>
              </w:tabs>
              <w:spacing w:before="60" w:after="60" w:line="240" w:lineRule="auto"/>
              <w:rPr>
                <w:rFonts w:ascii="Arial" w:hAnsi="Arial" w:cs="Arial"/>
                <w:b/>
                <w:sz w:val="17"/>
                <w:szCs w:val="17"/>
              </w:rPr>
            </w:pPr>
            <w:r w:rsidRPr="00CD3FE3">
              <w:rPr>
                <w:rFonts w:ascii="Arial" w:hAnsi="Arial" w:cs="Arial"/>
                <w:b/>
                <w:sz w:val="17"/>
                <w:szCs w:val="17"/>
              </w:rPr>
              <w:t>Targets</w:t>
            </w:r>
          </w:p>
        </w:tc>
      </w:tr>
      <w:tr w:rsidR="005449D2" w:rsidRPr="00CD3FE3" w:rsidTr="003F0F8A">
        <w:trPr>
          <w:trHeight w:val="60"/>
        </w:trPr>
        <w:tc>
          <w:tcPr>
            <w:tcW w:w="1418" w:type="dxa"/>
            <w:vMerge w:val="restart"/>
            <w:tcBorders>
              <w:top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2016–17</w:t>
            </w:r>
          </w:p>
        </w:tc>
        <w:tc>
          <w:tcPr>
            <w:tcW w:w="3758" w:type="dxa"/>
            <w:tcBorders>
              <w:top w:val="single" w:sz="4" w:space="0" w:color="auto"/>
              <w:left w:val="single" w:sz="4" w:space="0" w:color="auto"/>
              <w:bottom w:val="dotted" w:sz="4" w:space="0" w:color="auto"/>
              <w:right w:val="single" w:sz="4" w:space="0" w:color="auto"/>
            </w:tcBorders>
          </w:tcPr>
          <w:p w:rsidR="005449D2" w:rsidRPr="00CD3FE3" w:rsidRDefault="005449D2" w:rsidP="003F0F8A">
            <w:pPr>
              <w:pStyle w:val="TableTextLeft"/>
              <w:rPr>
                <w:sz w:val="17"/>
                <w:szCs w:val="17"/>
              </w:rPr>
            </w:pPr>
            <w:r w:rsidRPr="00CD3FE3">
              <w:rPr>
                <w:rFonts w:eastAsia="Cambria"/>
                <w:sz w:val="17"/>
                <w:szCs w:val="17"/>
              </w:rPr>
              <w:t>Timely processing of claims</w:t>
            </w:r>
          </w:p>
        </w:tc>
        <w:tc>
          <w:tcPr>
            <w:tcW w:w="2565" w:type="dxa"/>
            <w:gridSpan w:val="2"/>
            <w:tcBorders>
              <w:top w:val="single" w:sz="4" w:space="0" w:color="auto"/>
              <w:left w:val="single" w:sz="4" w:space="0" w:color="auto"/>
              <w:bottom w:val="dotted" w:sz="4" w:space="0" w:color="auto"/>
            </w:tcBorders>
          </w:tcPr>
          <w:p w:rsidR="005449D2" w:rsidRPr="00CD3FE3" w:rsidRDefault="005449D2" w:rsidP="003F0F8A">
            <w:pPr>
              <w:pStyle w:val="TableTextLeft"/>
              <w:rPr>
                <w:sz w:val="17"/>
                <w:szCs w:val="17"/>
              </w:rPr>
            </w:pPr>
            <w:r w:rsidRPr="00CD3FE3">
              <w:rPr>
                <w:rFonts w:cs="Arial"/>
                <w:b/>
                <w:sz w:val="17"/>
                <w:szCs w:val="17"/>
              </w:rPr>
              <w:t xml:space="preserve">Assessment: </w:t>
            </w:r>
            <w:r w:rsidRPr="00CD3FE3">
              <w:rPr>
                <w:sz w:val="17"/>
                <w:szCs w:val="17"/>
              </w:rPr>
              <w:t>On track</w:t>
            </w:r>
          </w:p>
        </w:tc>
      </w:tr>
      <w:tr w:rsidR="005449D2" w:rsidRPr="00CD3FE3" w:rsidTr="003F0F8A">
        <w:trPr>
          <w:trHeight w:val="60"/>
        </w:trPr>
        <w:tc>
          <w:tcPr>
            <w:tcW w:w="1418" w:type="dxa"/>
            <w:vMerge/>
            <w:tcBorders>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p>
        </w:tc>
        <w:tc>
          <w:tcPr>
            <w:tcW w:w="3758" w:type="dxa"/>
            <w:tcBorders>
              <w:top w:val="dotted" w:sz="4" w:space="0" w:color="auto"/>
              <w:left w:val="single" w:sz="4" w:space="0" w:color="auto"/>
              <w:bottom w:val="dotted" w:sz="4" w:space="0" w:color="auto"/>
              <w:right w:val="single" w:sz="4" w:space="0" w:color="auto"/>
            </w:tcBorders>
          </w:tcPr>
          <w:p w:rsidR="005449D2" w:rsidRPr="00CD3FE3" w:rsidDel="004F356C" w:rsidRDefault="005449D2" w:rsidP="003F0F8A">
            <w:pPr>
              <w:pStyle w:val="TableTextLeft"/>
              <w:rPr>
                <w:rFonts w:eastAsia="Cambria"/>
                <w:sz w:val="17"/>
                <w:szCs w:val="17"/>
              </w:rPr>
            </w:pPr>
            <w:r w:rsidRPr="00CD3FE3">
              <w:rPr>
                <w:rFonts w:eastAsia="Cambria"/>
                <w:sz w:val="17"/>
                <w:szCs w:val="17"/>
              </w:rPr>
              <w:t>Timeliness of accurate processing of payments (i</w:t>
            </w:r>
            <w:r>
              <w:rPr>
                <w:rFonts w:eastAsia="Cambria"/>
                <w:sz w:val="17"/>
                <w:szCs w:val="17"/>
              </w:rPr>
              <w:t>.</w:t>
            </w:r>
            <w:r w:rsidRPr="00CD3FE3">
              <w:rPr>
                <w:rFonts w:eastAsia="Cambria"/>
                <w:sz w:val="17"/>
                <w:szCs w:val="17"/>
              </w:rPr>
              <w:t>e</w:t>
            </w:r>
            <w:r>
              <w:rPr>
                <w:rFonts w:eastAsia="Cambria"/>
                <w:sz w:val="17"/>
                <w:szCs w:val="17"/>
              </w:rPr>
              <w:t>.</w:t>
            </w:r>
            <w:r w:rsidRPr="00CD3FE3">
              <w:rPr>
                <w:rFonts w:eastAsia="Cambria"/>
                <w:sz w:val="17"/>
                <w:szCs w:val="17"/>
              </w:rPr>
              <w:t xml:space="preserve"> percentage and number of sampled payments processed in accordance with agreed standards)</w:t>
            </w:r>
          </w:p>
        </w:tc>
        <w:tc>
          <w:tcPr>
            <w:tcW w:w="2565" w:type="dxa"/>
            <w:gridSpan w:val="2"/>
            <w:tcBorders>
              <w:top w:val="dotted" w:sz="4" w:space="0" w:color="auto"/>
              <w:left w:val="single" w:sz="4" w:space="0" w:color="auto"/>
              <w:bottom w:val="dotted" w:sz="4" w:space="0" w:color="auto"/>
            </w:tcBorders>
          </w:tcPr>
          <w:p w:rsidR="005449D2" w:rsidRPr="00CD3FE3" w:rsidRDefault="005449D2" w:rsidP="003F0F8A">
            <w:pPr>
              <w:pStyle w:val="TableTextLeft"/>
              <w:rPr>
                <w:sz w:val="17"/>
                <w:szCs w:val="17"/>
              </w:rPr>
            </w:pPr>
            <w:r w:rsidRPr="00CD3FE3">
              <w:rPr>
                <w:rFonts w:cs="Arial"/>
                <w:b/>
                <w:sz w:val="17"/>
                <w:szCs w:val="17"/>
              </w:rPr>
              <w:t xml:space="preserve">Assessment: </w:t>
            </w:r>
            <w:r w:rsidRPr="00CD3FE3">
              <w:rPr>
                <w:sz w:val="17"/>
                <w:szCs w:val="17"/>
              </w:rPr>
              <w:t>On track</w:t>
            </w:r>
          </w:p>
        </w:tc>
      </w:tr>
      <w:tr w:rsidR="005449D2" w:rsidRPr="00CD3FE3" w:rsidTr="003F0F8A">
        <w:trPr>
          <w:trHeight w:val="1096"/>
        </w:trPr>
        <w:tc>
          <w:tcPr>
            <w:tcW w:w="1418" w:type="dxa"/>
            <w:tcBorders>
              <w:top w:val="single"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2017–18</w:t>
            </w:r>
          </w:p>
        </w:tc>
        <w:tc>
          <w:tcPr>
            <w:tcW w:w="3758" w:type="dxa"/>
            <w:tcBorders>
              <w:top w:val="single" w:sz="4" w:space="0" w:color="auto"/>
              <w:left w:val="single" w:sz="4" w:space="0" w:color="auto"/>
              <w:right w:val="single" w:sz="4" w:space="0" w:color="auto"/>
            </w:tcBorders>
          </w:tcPr>
          <w:p w:rsidR="005449D2" w:rsidRPr="00BE46C0" w:rsidRDefault="005449D2" w:rsidP="003F0F8A">
            <w:pPr>
              <w:spacing w:before="60" w:after="60" w:line="240" w:lineRule="auto"/>
              <w:rPr>
                <w:rFonts w:ascii="Arial" w:hAnsi="Arial" w:cs="Arial"/>
                <w:sz w:val="17"/>
                <w:szCs w:val="17"/>
              </w:rPr>
            </w:pPr>
            <w:r w:rsidRPr="00BE46C0">
              <w:rPr>
                <w:rFonts w:ascii="Arial" w:hAnsi="Arial" w:cs="Arial"/>
                <w:sz w:val="17"/>
                <w:szCs w:val="17"/>
              </w:rPr>
              <w:t>Reduce the direct administration cost ratio to 20</w:t>
            </w:r>
            <w:r>
              <w:rPr>
                <w:rFonts w:ascii="Arial" w:hAnsi="Arial" w:cs="Arial"/>
                <w:sz w:val="17"/>
                <w:szCs w:val="17"/>
              </w:rPr>
              <w:t> </w:t>
            </w:r>
            <w:r w:rsidRPr="00BE46C0">
              <w:rPr>
                <w:rFonts w:ascii="Arial" w:hAnsi="Arial" w:cs="Arial"/>
                <w:sz w:val="17"/>
                <w:szCs w:val="17"/>
              </w:rPr>
              <w:t>per cent by 2018</w:t>
            </w:r>
            <w:r>
              <w:rPr>
                <w:rFonts w:ascii="Arial" w:hAnsi="Arial" w:cs="Arial"/>
                <w:sz w:val="17"/>
                <w:szCs w:val="17"/>
              </w:rPr>
              <w:t>–</w:t>
            </w:r>
            <w:r w:rsidRPr="00BE46C0">
              <w:rPr>
                <w:rFonts w:ascii="Arial" w:hAnsi="Arial" w:cs="Arial"/>
                <w:sz w:val="17"/>
                <w:szCs w:val="17"/>
              </w:rPr>
              <w:t xml:space="preserve">19, measured by Safe Work Australia’s comparative performance monitoring methodology, to ensure cost effective management of the fund. </w:t>
            </w:r>
          </w:p>
        </w:tc>
        <w:tc>
          <w:tcPr>
            <w:tcW w:w="2565" w:type="dxa"/>
            <w:gridSpan w:val="2"/>
            <w:tcBorders>
              <w:top w:val="single" w:sz="4" w:space="0" w:color="auto"/>
              <w:left w:val="single" w:sz="4" w:space="0" w:color="auto"/>
            </w:tcBorders>
          </w:tcPr>
          <w:p w:rsidR="005449D2" w:rsidRPr="00BE46C0" w:rsidRDefault="005449D2" w:rsidP="003F0F8A">
            <w:pPr>
              <w:spacing w:before="60" w:line="240" w:lineRule="auto"/>
              <w:rPr>
                <w:rFonts w:ascii="Arial" w:hAnsi="Arial" w:cs="Arial"/>
                <w:sz w:val="17"/>
                <w:szCs w:val="17"/>
              </w:rPr>
            </w:pPr>
            <w:r w:rsidRPr="00BE46C0">
              <w:rPr>
                <w:rFonts w:ascii="Arial" w:hAnsi="Arial" w:cs="Arial"/>
                <w:sz w:val="17"/>
                <w:szCs w:val="17"/>
              </w:rPr>
              <w:t>Administrative cost ratio is 20% or lower</w:t>
            </w:r>
          </w:p>
        </w:tc>
      </w:tr>
      <w:tr w:rsidR="005449D2" w:rsidRPr="00CD3FE3" w:rsidTr="003F0F8A">
        <w:trPr>
          <w:trHeight w:val="518"/>
        </w:trPr>
        <w:tc>
          <w:tcPr>
            <w:tcW w:w="1418" w:type="dxa"/>
            <w:tcBorders>
              <w:top w:val="dotted" w:sz="4" w:space="0" w:color="auto"/>
              <w:right w:val="single" w:sz="4" w:space="0" w:color="auto"/>
            </w:tcBorders>
          </w:tcPr>
          <w:p w:rsidR="005449D2" w:rsidRPr="00CD3FE3" w:rsidRDefault="005449D2" w:rsidP="003F0F8A">
            <w:pPr>
              <w:tabs>
                <w:tab w:val="left" w:pos="709"/>
              </w:tabs>
              <w:spacing w:before="60" w:after="60" w:line="240" w:lineRule="auto"/>
              <w:rPr>
                <w:rFonts w:ascii="Arial" w:hAnsi="Arial" w:cs="Arial"/>
                <w:sz w:val="17"/>
                <w:szCs w:val="17"/>
              </w:rPr>
            </w:pPr>
            <w:r w:rsidRPr="00CD3FE3">
              <w:rPr>
                <w:rFonts w:ascii="Arial" w:hAnsi="Arial" w:cs="Arial"/>
                <w:sz w:val="17"/>
                <w:szCs w:val="17"/>
              </w:rPr>
              <w:t>2018–19 and beyond</w:t>
            </w:r>
          </w:p>
        </w:tc>
        <w:tc>
          <w:tcPr>
            <w:tcW w:w="3758" w:type="dxa"/>
            <w:tcBorders>
              <w:top w:val="dotted" w:sz="4" w:space="0" w:color="auto"/>
              <w:left w:val="single" w:sz="4" w:space="0" w:color="auto"/>
              <w:right w:val="single" w:sz="4" w:space="0" w:color="auto"/>
            </w:tcBorders>
          </w:tcPr>
          <w:p w:rsidR="005449D2" w:rsidRPr="00CD3FE3" w:rsidRDefault="005449D2" w:rsidP="003F0F8A">
            <w:pPr>
              <w:spacing w:before="60" w:after="0" w:line="240" w:lineRule="auto"/>
              <w:rPr>
                <w:rFonts w:ascii="Arial" w:hAnsi="Arial" w:cs="Arial"/>
                <w:sz w:val="17"/>
                <w:szCs w:val="17"/>
              </w:rPr>
            </w:pPr>
            <w:r w:rsidRPr="00CD3FE3">
              <w:rPr>
                <w:rFonts w:ascii="Arial" w:hAnsi="Arial" w:cs="Arial"/>
                <w:sz w:val="17"/>
                <w:szCs w:val="17"/>
              </w:rPr>
              <w:t>As per 2017–18</w:t>
            </w:r>
          </w:p>
        </w:tc>
        <w:tc>
          <w:tcPr>
            <w:tcW w:w="2565" w:type="dxa"/>
            <w:gridSpan w:val="2"/>
            <w:tcBorders>
              <w:top w:val="single" w:sz="4" w:space="0" w:color="auto"/>
              <w:left w:val="single" w:sz="4" w:space="0" w:color="auto"/>
            </w:tcBorders>
          </w:tcPr>
          <w:p w:rsidR="005449D2" w:rsidRPr="00CD3FE3" w:rsidRDefault="005449D2" w:rsidP="003F0F8A">
            <w:pPr>
              <w:spacing w:before="60" w:line="240" w:lineRule="auto"/>
              <w:rPr>
                <w:rFonts w:ascii="Arial" w:hAnsi="Arial" w:cs="Arial"/>
                <w:i/>
                <w:sz w:val="17"/>
                <w:szCs w:val="17"/>
              </w:rPr>
            </w:pPr>
            <w:r w:rsidRPr="00CD3FE3">
              <w:rPr>
                <w:rFonts w:ascii="Arial" w:hAnsi="Arial" w:cs="Arial"/>
                <w:sz w:val="17"/>
                <w:szCs w:val="17"/>
              </w:rPr>
              <w:t>As per 2017–18</w:t>
            </w:r>
          </w:p>
        </w:tc>
      </w:tr>
      <w:tr w:rsidR="005449D2" w:rsidRPr="00CD3FE3" w:rsidTr="003F0F8A">
        <w:tc>
          <w:tcPr>
            <w:tcW w:w="7741" w:type="dxa"/>
            <w:gridSpan w:val="4"/>
          </w:tcPr>
          <w:p w:rsidR="005449D2" w:rsidRPr="00CD3FE3" w:rsidRDefault="005449D2" w:rsidP="003F0F8A">
            <w:pPr>
              <w:spacing w:before="40" w:after="20" w:line="240" w:lineRule="auto"/>
              <w:rPr>
                <w:rStyle w:val="BodyTextChar"/>
                <w:rFonts w:ascii="Arial" w:hAnsi="Arial" w:cs="Arial"/>
                <w:b/>
                <w:bCs/>
                <w:iCs/>
                <w:spacing w:val="-6"/>
                <w:sz w:val="17"/>
                <w:szCs w:val="17"/>
                <w:lang w:val="en-AU"/>
              </w:rPr>
            </w:pPr>
            <w:r w:rsidRPr="00CD3FE3">
              <w:rPr>
                <w:rStyle w:val="BodyTextChar"/>
                <w:rFonts w:ascii="Arial" w:hAnsi="Arial" w:cs="Arial"/>
                <w:b/>
                <w:bCs/>
                <w:iCs/>
                <w:spacing w:val="-6"/>
                <w:sz w:val="17"/>
                <w:szCs w:val="17"/>
              </w:rPr>
              <w:t xml:space="preserve">Material changes to Program 1.5 </w:t>
            </w:r>
          </w:p>
          <w:p w:rsidR="005449D2" w:rsidRPr="00CD3FE3" w:rsidRDefault="005449D2" w:rsidP="003F0F8A">
            <w:pPr>
              <w:spacing w:after="60" w:line="240" w:lineRule="auto"/>
              <w:rPr>
                <w:rFonts w:ascii="Arial" w:hAnsi="Arial" w:cs="Arial"/>
                <w:sz w:val="17"/>
                <w:szCs w:val="17"/>
              </w:rPr>
            </w:pPr>
            <w:r w:rsidRPr="00CD3FE3">
              <w:rPr>
                <w:rStyle w:val="BodyTextChar"/>
                <w:rFonts w:ascii="Arial" w:hAnsi="Arial" w:cs="Arial"/>
                <w:bCs/>
                <w:iCs/>
                <w:spacing w:val="-6"/>
                <w:sz w:val="17"/>
                <w:szCs w:val="17"/>
              </w:rPr>
              <w:t>Nil</w:t>
            </w:r>
          </w:p>
        </w:tc>
      </w:tr>
    </w:tbl>
    <w:p w:rsidR="005449D2" w:rsidRDefault="005449D2" w:rsidP="005449D2">
      <w:pPr>
        <w:spacing w:after="0"/>
      </w:pPr>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758"/>
        <w:gridCol w:w="2565"/>
      </w:tblGrid>
      <w:tr w:rsidR="005449D2" w:rsidRPr="00F71634" w:rsidTr="003F0F8A">
        <w:trPr>
          <w:tblHeader/>
        </w:trPr>
        <w:tc>
          <w:tcPr>
            <w:tcW w:w="7741" w:type="dxa"/>
            <w:gridSpan w:val="3"/>
            <w:shd w:val="clear" w:color="auto" w:fill="F2F2F2"/>
          </w:tcPr>
          <w:p w:rsidR="005449D2" w:rsidRPr="003346B4" w:rsidRDefault="005449D2" w:rsidP="003F0F8A">
            <w:pPr>
              <w:pStyle w:val="TableTextLeft"/>
              <w:keepNext/>
              <w:keepLines/>
              <w:rPr>
                <w:rFonts w:cs="Arial"/>
                <w:sz w:val="17"/>
                <w:szCs w:val="17"/>
              </w:rPr>
            </w:pPr>
            <w:r w:rsidRPr="003346B4">
              <w:rPr>
                <w:sz w:val="17"/>
                <w:szCs w:val="17"/>
              </w:rPr>
              <w:br w:type="page"/>
            </w:r>
            <w:r w:rsidRPr="003346B4">
              <w:rPr>
                <w:rFonts w:cs="Arial"/>
                <w:b/>
                <w:sz w:val="17"/>
                <w:szCs w:val="17"/>
              </w:rPr>
              <w:t>Program Component 1.6—Asbestos Claims</w:t>
            </w:r>
          </w:p>
        </w:tc>
      </w:tr>
      <w:tr w:rsidR="005449D2" w:rsidRPr="00F71634" w:rsidTr="003F0F8A">
        <w:tc>
          <w:tcPr>
            <w:tcW w:w="1418" w:type="dxa"/>
          </w:tcPr>
          <w:p w:rsidR="005449D2" w:rsidRPr="003346B4" w:rsidRDefault="005449D2" w:rsidP="003F0F8A">
            <w:pPr>
              <w:tabs>
                <w:tab w:val="left" w:pos="709"/>
              </w:tabs>
              <w:spacing w:before="60" w:after="60" w:line="240" w:lineRule="auto"/>
              <w:rPr>
                <w:rFonts w:ascii="Arial" w:hAnsi="Arial" w:cs="Arial"/>
                <w:b/>
                <w:sz w:val="17"/>
                <w:szCs w:val="17"/>
              </w:rPr>
            </w:pPr>
            <w:r w:rsidRPr="003346B4">
              <w:rPr>
                <w:rFonts w:ascii="Arial" w:hAnsi="Arial" w:cs="Arial"/>
                <w:b/>
                <w:sz w:val="17"/>
                <w:szCs w:val="17"/>
              </w:rPr>
              <w:t>Purposes</w:t>
            </w:r>
          </w:p>
        </w:tc>
        <w:tc>
          <w:tcPr>
            <w:tcW w:w="6323" w:type="dxa"/>
            <w:gridSpan w:val="2"/>
          </w:tcPr>
          <w:p w:rsidR="005449D2" w:rsidRPr="003346B4" w:rsidRDefault="005449D2" w:rsidP="003F0F8A">
            <w:pPr>
              <w:spacing w:before="60" w:after="60" w:line="240" w:lineRule="auto"/>
              <w:rPr>
                <w:rFonts w:ascii="Arial" w:hAnsi="Arial" w:cs="Arial"/>
                <w:sz w:val="17"/>
                <w:szCs w:val="17"/>
              </w:rPr>
            </w:pPr>
            <w:r w:rsidRPr="003346B4">
              <w:rPr>
                <w:rFonts w:ascii="Arial" w:hAnsi="Arial" w:cs="Arial"/>
                <w:i/>
                <w:sz w:val="17"/>
                <w:szCs w:val="17"/>
              </w:rPr>
              <w:t>Leading insurer</w:t>
            </w:r>
            <w:r w:rsidRPr="003346B4">
              <w:rPr>
                <w:rFonts w:ascii="Arial" w:hAnsi="Arial" w:cs="Arial"/>
                <w:sz w:val="17"/>
                <w:szCs w:val="17"/>
              </w:rPr>
              <w:t>—Working with employers and employees to minimise the impact of harm in workplaces, facilitate return to work and recovery at work, and deliver sustainable management of the fund</w:t>
            </w:r>
            <w:r>
              <w:rPr>
                <w:rFonts w:ascii="Arial" w:hAnsi="Arial" w:cs="Arial"/>
                <w:sz w:val="17"/>
                <w:szCs w:val="17"/>
              </w:rPr>
              <w:t>.</w:t>
            </w:r>
          </w:p>
        </w:tc>
      </w:tr>
      <w:tr w:rsidR="005449D2" w:rsidRPr="00F71634" w:rsidTr="003F0F8A">
        <w:tc>
          <w:tcPr>
            <w:tcW w:w="1418" w:type="dxa"/>
            <w:tcBorders>
              <w:bottom w:val="double" w:sz="4" w:space="0" w:color="auto"/>
            </w:tcBorders>
          </w:tcPr>
          <w:p w:rsidR="005449D2" w:rsidRPr="003346B4" w:rsidRDefault="005449D2" w:rsidP="003F0F8A">
            <w:pPr>
              <w:tabs>
                <w:tab w:val="left" w:pos="709"/>
              </w:tabs>
              <w:spacing w:before="60" w:after="60" w:line="240" w:lineRule="auto"/>
              <w:rPr>
                <w:rFonts w:ascii="Arial" w:hAnsi="Arial" w:cs="Arial"/>
                <w:b/>
                <w:sz w:val="17"/>
                <w:szCs w:val="17"/>
              </w:rPr>
            </w:pPr>
            <w:r w:rsidRPr="003346B4">
              <w:rPr>
                <w:rFonts w:ascii="Arial" w:hAnsi="Arial" w:cs="Arial"/>
                <w:b/>
                <w:sz w:val="17"/>
                <w:szCs w:val="17"/>
              </w:rPr>
              <w:t>Delivery</w:t>
            </w:r>
          </w:p>
        </w:tc>
        <w:tc>
          <w:tcPr>
            <w:tcW w:w="6323" w:type="dxa"/>
            <w:gridSpan w:val="2"/>
            <w:tcBorders>
              <w:bottom w:val="double" w:sz="4" w:space="0" w:color="auto"/>
            </w:tcBorders>
          </w:tcPr>
          <w:p w:rsidR="005449D2" w:rsidRPr="003346B4" w:rsidRDefault="005449D2" w:rsidP="003F0F8A">
            <w:pPr>
              <w:pStyle w:val="TableTextLeft"/>
              <w:keepNext/>
              <w:keepLines/>
              <w:rPr>
                <w:sz w:val="17"/>
                <w:szCs w:val="17"/>
              </w:rPr>
            </w:pPr>
            <w:r w:rsidRPr="003346B4">
              <w:rPr>
                <w:sz w:val="17"/>
                <w:szCs w:val="17"/>
              </w:rPr>
              <w:t>Proactive management of asbestos claims and recoveries from third parties</w:t>
            </w:r>
          </w:p>
        </w:tc>
      </w:tr>
      <w:tr w:rsidR="005449D2" w:rsidRPr="00F71634" w:rsidTr="003F0F8A">
        <w:tc>
          <w:tcPr>
            <w:tcW w:w="7741" w:type="dxa"/>
            <w:gridSpan w:val="3"/>
            <w:tcBorders>
              <w:top w:val="double" w:sz="4" w:space="0" w:color="auto"/>
              <w:bottom w:val="double" w:sz="4" w:space="0" w:color="auto"/>
            </w:tcBorders>
          </w:tcPr>
          <w:p w:rsidR="005449D2" w:rsidRPr="003346B4" w:rsidRDefault="005449D2" w:rsidP="003F0F8A">
            <w:pPr>
              <w:tabs>
                <w:tab w:val="left" w:pos="709"/>
              </w:tabs>
              <w:spacing w:before="60" w:after="60" w:line="240" w:lineRule="auto"/>
              <w:rPr>
                <w:rFonts w:ascii="Arial" w:hAnsi="Arial" w:cs="Arial"/>
                <w:b/>
                <w:sz w:val="17"/>
                <w:szCs w:val="17"/>
              </w:rPr>
            </w:pPr>
            <w:r w:rsidRPr="003346B4">
              <w:rPr>
                <w:rFonts w:ascii="Arial" w:hAnsi="Arial" w:cs="Arial"/>
                <w:b/>
                <w:sz w:val="17"/>
                <w:szCs w:val="17"/>
              </w:rPr>
              <w:t>Performance information</w:t>
            </w:r>
          </w:p>
        </w:tc>
      </w:tr>
      <w:tr w:rsidR="005449D2" w:rsidRPr="00F71634" w:rsidTr="003F0F8A">
        <w:tc>
          <w:tcPr>
            <w:tcW w:w="1418" w:type="dxa"/>
            <w:tcBorders>
              <w:top w:val="double" w:sz="4" w:space="0" w:color="auto"/>
              <w:bottom w:val="single" w:sz="4" w:space="0" w:color="auto"/>
              <w:right w:val="single" w:sz="4" w:space="0" w:color="auto"/>
            </w:tcBorders>
          </w:tcPr>
          <w:p w:rsidR="005449D2" w:rsidRPr="003346B4" w:rsidRDefault="005449D2" w:rsidP="003F0F8A">
            <w:pPr>
              <w:tabs>
                <w:tab w:val="left" w:pos="709"/>
              </w:tabs>
              <w:spacing w:before="60" w:after="60" w:line="240" w:lineRule="auto"/>
              <w:rPr>
                <w:rFonts w:ascii="Arial" w:hAnsi="Arial" w:cs="Arial"/>
                <w:b/>
                <w:sz w:val="17"/>
                <w:szCs w:val="17"/>
              </w:rPr>
            </w:pPr>
            <w:r w:rsidRPr="003346B4">
              <w:rPr>
                <w:rFonts w:ascii="Arial" w:hAnsi="Arial" w:cs="Arial"/>
                <w:b/>
                <w:sz w:val="17"/>
                <w:szCs w:val="17"/>
              </w:rPr>
              <w:t>Year</w:t>
            </w:r>
          </w:p>
        </w:tc>
        <w:tc>
          <w:tcPr>
            <w:tcW w:w="3758" w:type="dxa"/>
            <w:tcBorders>
              <w:top w:val="double" w:sz="4" w:space="0" w:color="auto"/>
              <w:left w:val="single" w:sz="4" w:space="0" w:color="auto"/>
              <w:bottom w:val="single" w:sz="4" w:space="0" w:color="auto"/>
              <w:right w:val="single" w:sz="4" w:space="0" w:color="auto"/>
            </w:tcBorders>
          </w:tcPr>
          <w:p w:rsidR="005449D2" w:rsidRPr="003346B4" w:rsidRDefault="005449D2" w:rsidP="003F0F8A">
            <w:pPr>
              <w:tabs>
                <w:tab w:val="left" w:pos="709"/>
              </w:tabs>
              <w:spacing w:before="60" w:after="60" w:line="240" w:lineRule="auto"/>
              <w:rPr>
                <w:rFonts w:ascii="Arial" w:hAnsi="Arial" w:cs="Arial"/>
                <w:b/>
                <w:sz w:val="17"/>
                <w:szCs w:val="17"/>
              </w:rPr>
            </w:pPr>
            <w:r w:rsidRPr="003346B4">
              <w:rPr>
                <w:rFonts w:ascii="Arial" w:hAnsi="Arial" w:cs="Arial"/>
                <w:b/>
                <w:sz w:val="17"/>
                <w:szCs w:val="17"/>
              </w:rPr>
              <w:t>Performance criteria</w:t>
            </w:r>
          </w:p>
        </w:tc>
        <w:tc>
          <w:tcPr>
            <w:tcW w:w="2565" w:type="dxa"/>
            <w:tcBorders>
              <w:top w:val="double" w:sz="4" w:space="0" w:color="auto"/>
              <w:left w:val="single" w:sz="4" w:space="0" w:color="auto"/>
              <w:bottom w:val="single" w:sz="4" w:space="0" w:color="auto"/>
            </w:tcBorders>
          </w:tcPr>
          <w:p w:rsidR="005449D2" w:rsidRPr="003346B4" w:rsidRDefault="005449D2" w:rsidP="003F0F8A">
            <w:pPr>
              <w:tabs>
                <w:tab w:val="left" w:pos="709"/>
              </w:tabs>
              <w:spacing w:before="60" w:after="60" w:line="240" w:lineRule="auto"/>
              <w:rPr>
                <w:rFonts w:ascii="Arial" w:hAnsi="Arial" w:cs="Arial"/>
                <w:b/>
                <w:sz w:val="17"/>
                <w:szCs w:val="17"/>
              </w:rPr>
            </w:pPr>
            <w:r w:rsidRPr="003346B4">
              <w:rPr>
                <w:rFonts w:ascii="Arial" w:hAnsi="Arial" w:cs="Arial"/>
                <w:b/>
                <w:sz w:val="17"/>
                <w:szCs w:val="17"/>
              </w:rPr>
              <w:t>Targets</w:t>
            </w:r>
          </w:p>
        </w:tc>
      </w:tr>
      <w:tr w:rsidR="005449D2" w:rsidRPr="00F71634" w:rsidTr="003F0F8A">
        <w:trPr>
          <w:trHeight w:val="60"/>
        </w:trPr>
        <w:tc>
          <w:tcPr>
            <w:tcW w:w="1418" w:type="dxa"/>
            <w:vMerge w:val="restart"/>
            <w:tcBorders>
              <w:top w:val="single" w:sz="4" w:space="0" w:color="auto"/>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r w:rsidRPr="003346B4">
              <w:rPr>
                <w:rFonts w:ascii="Arial" w:hAnsi="Arial" w:cs="Arial"/>
                <w:sz w:val="17"/>
                <w:szCs w:val="17"/>
              </w:rPr>
              <w:t>2016–17</w:t>
            </w:r>
          </w:p>
        </w:tc>
        <w:tc>
          <w:tcPr>
            <w:tcW w:w="3758" w:type="dxa"/>
            <w:tcBorders>
              <w:top w:val="single" w:sz="4" w:space="0" w:color="auto"/>
              <w:left w:val="single" w:sz="4" w:space="0" w:color="auto"/>
              <w:bottom w:val="dotted" w:sz="4" w:space="0" w:color="auto"/>
              <w:right w:val="single" w:sz="4" w:space="0" w:color="auto"/>
            </w:tcBorders>
          </w:tcPr>
          <w:p w:rsidR="005449D2" w:rsidRPr="003346B4" w:rsidRDefault="005449D2" w:rsidP="003F0F8A">
            <w:pPr>
              <w:pStyle w:val="TableTextLeft"/>
              <w:rPr>
                <w:sz w:val="17"/>
                <w:szCs w:val="17"/>
              </w:rPr>
            </w:pPr>
            <w:r w:rsidRPr="003346B4">
              <w:rPr>
                <w:sz w:val="17"/>
                <w:szCs w:val="17"/>
              </w:rPr>
              <w:t xml:space="preserve">Timeliness of claims resolution </w:t>
            </w:r>
            <w:r>
              <w:rPr>
                <w:sz w:val="17"/>
                <w:szCs w:val="17"/>
              </w:rPr>
              <w:br/>
            </w:r>
            <w:r w:rsidRPr="003346B4">
              <w:rPr>
                <w:sz w:val="17"/>
                <w:szCs w:val="17"/>
              </w:rPr>
              <w:t>(i.e. percentage of primary asbestos claims resolved within 180 calendar days).</w:t>
            </w:r>
          </w:p>
        </w:tc>
        <w:tc>
          <w:tcPr>
            <w:tcW w:w="2565" w:type="dxa"/>
            <w:tcBorders>
              <w:top w:val="single" w:sz="4" w:space="0" w:color="auto"/>
              <w:left w:val="single" w:sz="4" w:space="0" w:color="auto"/>
              <w:bottom w:val="dotted" w:sz="4" w:space="0" w:color="auto"/>
            </w:tcBorders>
          </w:tcPr>
          <w:p w:rsidR="005449D2" w:rsidRPr="003346B4" w:rsidRDefault="005449D2" w:rsidP="003F0F8A">
            <w:pPr>
              <w:pStyle w:val="TableTextLeft"/>
              <w:rPr>
                <w:sz w:val="17"/>
                <w:szCs w:val="17"/>
              </w:rPr>
            </w:pPr>
            <w:r w:rsidRPr="00CD3FE3">
              <w:rPr>
                <w:rFonts w:cs="Arial"/>
                <w:b/>
                <w:sz w:val="17"/>
                <w:szCs w:val="17"/>
              </w:rPr>
              <w:t xml:space="preserve">Assessment: </w:t>
            </w:r>
            <w:r w:rsidRPr="003346B4">
              <w:rPr>
                <w:sz w:val="17"/>
                <w:szCs w:val="17"/>
              </w:rPr>
              <w:t>On track</w:t>
            </w:r>
          </w:p>
        </w:tc>
      </w:tr>
      <w:tr w:rsidR="005449D2" w:rsidRPr="00F71634" w:rsidTr="003F0F8A">
        <w:trPr>
          <w:trHeight w:val="60"/>
        </w:trPr>
        <w:tc>
          <w:tcPr>
            <w:tcW w:w="1418" w:type="dxa"/>
            <w:vMerge/>
            <w:tcBorders>
              <w:bottom w:val="single" w:sz="4" w:space="0" w:color="auto"/>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p>
        </w:tc>
        <w:tc>
          <w:tcPr>
            <w:tcW w:w="3758" w:type="dxa"/>
            <w:tcBorders>
              <w:top w:val="dotted" w:sz="4" w:space="0" w:color="auto"/>
              <w:left w:val="single" w:sz="4" w:space="0" w:color="auto"/>
              <w:bottom w:val="dotted" w:sz="4" w:space="0" w:color="auto"/>
              <w:right w:val="single" w:sz="4" w:space="0" w:color="auto"/>
            </w:tcBorders>
          </w:tcPr>
          <w:p w:rsidR="005449D2" w:rsidRPr="003346B4" w:rsidRDefault="005449D2" w:rsidP="003F0F8A">
            <w:pPr>
              <w:pStyle w:val="TableTextLeft"/>
              <w:rPr>
                <w:sz w:val="17"/>
                <w:szCs w:val="17"/>
              </w:rPr>
            </w:pPr>
            <w:r w:rsidRPr="003346B4">
              <w:rPr>
                <w:sz w:val="17"/>
                <w:szCs w:val="17"/>
              </w:rPr>
              <w:t>Third party recovery rate (i.e. percentage of the value of asbestos claims settlements recovered from third parties)</w:t>
            </w:r>
          </w:p>
        </w:tc>
        <w:tc>
          <w:tcPr>
            <w:tcW w:w="2565" w:type="dxa"/>
            <w:tcBorders>
              <w:top w:val="dotted" w:sz="4" w:space="0" w:color="auto"/>
              <w:left w:val="single" w:sz="4" w:space="0" w:color="auto"/>
              <w:bottom w:val="dotted" w:sz="4" w:space="0" w:color="auto"/>
            </w:tcBorders>
          </w:tcPr>
          <w:p w:rsidR="005449D2" w:rsidRPr="003346B4" w:rsidRDefault="005449D2" w:rsidP="003F0F8A">
            <w:pPr>
              <w:pStyle w:val="TableTextLeft"/>
              <w:jc w:val="both"/>
              <w:rPr>
                <w:sz w:val="17"/>
                <w:szCs w:val="17"/>
              </w:rPr>
            </w:pPr>
            <w:r w:rsidRPr="00CD3FE3">
              <w:rPr>
                <w:rFonts w:cs="Arial"/>
                <w:b/>
                <w:sz w:val="17"/>
                <w:szCs w:val="17"/>
              </w:rPr>
              <w:t xml:space="preserve">Assessment: </w:t>
            </w:r>
            <w:r w:rsidRPr="003346B4">
              <w:rPr>
                <w:sz w:val="17"/>
                <w:szCs w:val="17"/>
              </w:rPr>
              <w:t>On track</w:t>
            </w:r>
          </w:p>
        </w:tc>
      </w:tr>
      <w:tr w:rsidR="005449D2" w:rsidRPr="00914FF2" w:rsidTr="003F0F8A">
        <w:trPr>
          <w:trHeight w:val="738"/>
        </w:trPr>
        <w:tc>
          <w:tcPr>
            <w:tcW w:w="1418" w:type="dxa"/>
            <w:tcBorders>
              <w:top w:val="single" w:sz="4" w:space="0" w:color="auto"/>
              <w:bottom w:val="nil"/>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r w:rsidRPr="003346B4">
              <w:rPr>
                <w:rFonts w:ascii="Arial" w:hAnsi="Arial" w:cs="Arial"/>
                <w:sz w:val="17"/>
                <w:szCs w:val="17"/>
              </w:rPr>
              <w:t>2017–18</w:t>
            </w:r>
          </w:p>
        </w:tc>
        <w:tc>
          <w:tcPr>
            <w:tcW w:w="3758" w:type="dxa"/>
            <w:tcBorders>
              <w:top w:val="single" w:sz="4" w:space="0" w:color="auto"/>
              <w:left w:val="single" w:sz="4" w:space="0" w:color="auto"/>
              <w:right w:val="single" w:sz="4" w:space="0" w:color="auto"/>
            </w:tcBorders>
          </w:tcPr>
          <w:p w:rsidR="005449D2" w:rsidRPr="003346B4" w:rsidRDefault="005449D2" w:rsidP="003F0F8A">
            <w:pPr>
              <w:pStyle w:val="TableTextLeft"/>
              <w:rPr>
                <w:sz w:val="17"/>
                <w:szCs w:val="17"/>
              </w:rPr>
            </w:pPr>
            <w:r w:rsidRPr="003346B4">
              <w:rPr>
                <w:sz w:val="17"/>
                <w:szCs w:val="17"/>
              </w:rPr>
              <w:t xml:space="preserve">Timeliness of claims resolution </w:t>
            </w:r>
            <w:r>
              <w:rPr>
                <w:sz w:val="17"/>
                <w:szCs w:val="17"/>
              </w:rPr>
              <w:br/>
            </w:r>
            <w:r w:rsidRPr="003346B4">
              <w:rPr>
                <w:sz w:val="17"/>
                <w:szCs w:val="17"/>
              </w:rPr>
              <w:t>(i.e. percentage of primary asbestos claims resolved within 180 calendar days).</w:t>
            </w:r>
          </w:p>
        </w:tc>
        <w:tc>
          <w:tcPr>
            <w:tcW w:w="2565" w:type="dxa"/>
            <w:tcBorders>
              <w:top w:val="single" w:sz="4" w:space="0" w:color="auto"/>
              <w:left w:val="single" w:sz="4" w:space="0" w:color="auto"/>
            </w:tcBorders>
          </w:tcPr>
          <w:p w:rsidR="005449D2" w:rsidRPr="003346B4" w:rsidRDefault="005449D2" w:rsidP="003F0F8A">
            <w:pPr>
              <w:spacing w:before="60" w:after="0" w:line="240" w:lineRule="auto"/>
              <w:rPr>
                <w:rFonts w:ascii="Arial" w:hAnsi="Arial" w:cs="Arial"/>
                <w:sz w:val="17"/>
                <w:szCs w:val="17"/>
              </w:rPr>
            </w:pPr>
            <w:r w:rsidRPr="003346B4">
              <w:rPr>
                <w:rFonts w:ascii="Arial" w:hAnsi="Arial" w:cs="Arial"/>
                <w:sz w:val="17"/>
                <w:szCs w:val="17"/>
              </w:rPr>
              <w:t>Target 80%</w:t>
            </w:r>
          </w:p>
        </w:tc>
      </w:tr>
      <w:tr w:rsidR="005449D2" w:rsidRPr="00F71634" w:rsidTr="003F0F8A">
        <w:trPr>
          <w:trHeight w:val="667"/>
        </w:trPr>
        <w:tc>
          <w:tcPr>
            <w:tcW w:w="1418" w:type="dxa"/>
            <w:tcBorders>
              <w:top w:val="nil"/>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p>
        </w:tc>
        <w:tc>
          <w:tcPr>
            <w:tcW w:w="3758" w:type="dxa"/>
            <w:tcBorders>
              <w:top w:val="dotted" w:sz="4" w:space="0" w:color="auto"/>
              <w:left w:val="single" w:sz="4" w:space="0" w:color="auto"/>
              <w:right w:val="single" w:sz="4" w:space="0" w:color="auto"/>
            </w:tcBorders>
          </w:tcPr>
          <w:p w:rsidR="005449D2" w:rsidRPr="003346B4" w:rsidRDefault="005449D2" w:rsidP="003F0F8A">
            <w:pPr>
              <w:pStyle w:val="TableTextLeft"/>
              <w:rPr>
                <w:sz w:val="17"/>
                <w:szCs w:val="17"/>
              </w:rPr>
            </w:pPr>
            <w:r w:rsidRPr="003346B4">
              <w:rPr>
                <w:sz w:val="17"/>
                <w:szCs w:val="17"/>
              </w:rPr>
              <w:t>Third party recovery rate (i.e. percentage of the value of asbestos claims settlements recovered from third parties)</w:t>
            </w:r>
          </w:p>
        </w:tc>
        <w:tc>
          <w:tcPr>
            <w:tcW w:w="2565" w:type="dxa"/>
            <w:tcBorders>
              <w:top w:val="single" w:sz="4" w:space="0" w:color="auto"/>
              <w:left w:val="single" w:sz="4" w:space="0" w:color="auto"/>
            </w:tcBorders>
          </w:tcPr>
          <w:p w:rsidR="005449D2" w:rsidRPr="003346B4" w:rsidRDefault="005449D2" w:rsidP="003F0F8A">
            <w:pPr>
              <w:spacing w:before="60" w:line="240" w:lineRule="auto"/>
              <w:rPr>
                <w:rFonts w:ascii="Arial" w:hAnsi="Arial" w:cs="Arial"/>
                <w:sz w:val="17"/>
                <w:szCs w:val="17"/>
              </w:rPr>
            </w:pPr>
            <w:r w:rsidRPr="003346B4">
              <w:rPr>
                <w:rFonts w:ascii="Arial" w:hAnsi="Arial" w:cs="Arial"/>
                <w:sz w:val="17"/>
                <w:szCs w:val="17"/>
              </w:rPr>
              <w:t>Target 10%</w:t>
            </w:r>
          </w:p>
        </w:tc>
      </w:tr>
      <w:tr w:rsidR="005449D2" w:rsidRPr="00F71634" w:rsidTr="003F0F8A">
        <w:trPr>
          <w:trHeight w:val="667"/>
        </w:trPr>
        <w:tc>
          <w:tcPr>
            <w:tcW w:w="1418" w:type="dxa"/>
            <w:tcBorders>
              <w:top w:val="dotted" w:sz="4" w:space="0" w:color="auto"/>
              <w:right w:val="single" w:sz="4" w:space="0" w:color="auto"/>
            </w:tcBorders>
          </w:tcPr>
          <w:p w:rsidR="005449D2" w:rsidRPr="003346B4" w:rsidRDefault="005449D2" w:rsidP="003F0F8A">
            <w:pPr>
              <w:tabs>
                <w:tab w:val="left" w:pos="709"/>
              </w:tabs>
              <w:spacing w:before="60" w:after="60" w:line="240" w:lineRule="auto"/>
              <w:rPr>
                <w:rFonts w:ascii="Arial" w:hAnsi="Arial" w:cs="Arial"/>
                <w:sz w:val="17"/>
                <w:szCs w:val="17"/>
              </w:rPr>
            </w:pPr>
            <w:r w:rsidRPr="003346B4">
              <w:rPr>
                <w:rFonts w:ascii="Arial" w:hAnsi="Arial" w:cs="Arial"/>
                <w:sz w:val="17"/>
                <w:szCs w:val="17"/>
              </w:rPr>
              <w:t>2018–19 and beyond</w:t>
            </w:r>
          </w:p>
        </w:tc>
        <w:tc>
          <w:tcPr>
            <w:tcW w:w="3758" w:type="dxa"/>
            <w:tcBorders>
              <w:top w:val="dotted" w:sz="4" w:space="0" w:color="auto"/>
              <w:left w:val="single" w:sz="4" w:space="0" w:color="auto"/>
              <w:right w:val="single" w:sz="4" w:space="0" w:color="auto"/>
            </w:tcBorders>
          </w:tcPr>
          <w:p w:rsidR="005449D2" w:rsidRPr="003346B4" w:rsidRDefault="005449D2" w:rsidP="003F0F8A">
            <w:pPr>
              <w:spacing w:before="60" w:after="0" w:line="240" w:lineRule="auto"/>
              <w:rPr>
                <w:rFonts w:ascii="Arial" w:hAnsi="Arial" w:cs="Arial"/>
                <w:sz w:val="17"/>
                <w:szCs w:val="17"/>
              </w:rPr>
            </w:pPr>
            <w:r w:rsidRPr="003346B4">
              <w:rPr>
                <w:rFonts w:ascii="Arial" w:hAnsi="Arial" w:cs="Arial"/>
                <w:sz w:val="17"/>
                <w:szCs w:val="17"/>
              </w:rPr>
              <w:t>As per 2017–18</w:t>
            </w:r>
          </w:p>
        </w:tc>
        <w:tc>
          <w:tcPr>
            <w:tcW w:w="2565" w:type="dxa"/>
            <w:tcBorders>
              <w:top w:val="single" w:sz="4" w:space="0" w:color="auto"/>
              <w:left w:val="single" w:sz="4" w:space="0" w:color="auto"/>
            </w:tcBorders>
          </w:tcPr>
          <w:p w:rsidR="005449D2" w:rsidRPr="003346B4" w:rsidRDefault="005449D2" w:rsidP="003F0F8A">
            <w:pPr>
              <w:spacing w:before="60" w:after="60" w:line="240" w:lineRule="auto"/>
              <w:rPr>
                <w:rFonts w:ascii="Arial" w:hAnsi="Arial" w:cs="Arial"/>
                <w:sz w:val="17"/>
                <w:szCs w:val="17"/>
              </w:rPr>
            </w:pPr>
            <w:r w:rsidRPr="003346B4">
              <w:rPr>
                <w:rFonts w:ascii="Arial" w:hAnsi="Arial" w:cs="Arial"/>
                <w:sz w:val="17"/>
                <w:szCs w:val="17"/>
              </w:rPr>
              <w:t>As per 2017–18</w:t>
            </w:r>
          </w:p>
        </w:tc>
      </w:tr>
      <w:tr w:rsidR="005449D2" w:rsidRPr="00F71634" w:rsidTr="003F0F8A">
        <w:tc>
          <w:tcPr>
            <w:tcW w:w="7741" w:type="dxa"/>
            <w:gridSpan w:val="3"/>
          </w:tcPr>
          <w:p w:rsidR="005449D2" w:rsidRPr="003346B4" w:rsidRDefault="005449D2" w:rsidP="003F0F8A">
            <w:pPr>
              <w:spacing w:before="60" w:after="60" w:line="240" w:lineRule="auto"/>
              <w:rPr>
                <w:rStyle w:val="BodyTextChar"/>
                <w:rFonts w:ascii="Arial" w:hAnsi="Arial" w:cs="Arial"/>
                <w:b/>
                <w:bCs/>
                <w:iCs/>
                <w:spacing w:val="-6"/>
                <w:sz w:val="17"/>
                <w:szCs w:val="17"/>
                <w:lang w:val="en-AU"/>
              </w:rPr>
            </w:pPr>
            <w:r w:rsidRPr="003346B4">
              <w:rPr>
                <w:rStyle w:val="BodyTextChar"/>
                <w:rFonts w:ascii="Arial" w:hAnsi="Arial" w:cs="Arial"/>
                <w:b/>
                <w:bCs/>
                <w:iCs/>
                <w:spacing w:val="-6"/>
                <w:sz w:val="17"/>
                <w:szCs w:val="17"/>
              </w:rPr>
              <w:t xml:space="preserve">Material changes to Program 1.6 </w:t>
            </w:r>
          </w:p>
          <w:p w:rsidR="005449D2" w:rsidRPr="003346B4" w:rsidRDefault="005449D2" w:rsidP="003F0F8A">
            <w:pPr>
              <w:spacing w:after="60" w:line="240" w:lineRule="auto"/>
              <w:rPr>
                <w:rFonts w:ascii="Arial" w:hAnsi="Arial" w:cs="Arial"/>
                <w:sz w:val="17"/>
                <w:szCs w:val="17"/>
              </w:rPr>
            </w:pPr>
            <w:r w:rsidRPr="003346B4">
              <w:rPr>
                <w:rStyle w:val="BodyTextChar"/>
                <w:rFonts w:ascii="Arial" w:hAnsi="Arial" w:cs="Arial"/>
                <w:bCs/>
                <w:iCs/>
                <w:spacing w:val="-6"/>
                <w:sz w:val="17"/>
                <w:szCs w:val="17"/>
              </w:rPr>
              <w:t>Nil</w:t>
            </w:r>
          </w:p>
        </w:tc>
      </w:tr>
    </w:tbl>
    <w:p w:rsidR="005449D2" w:rsidRPr="00AD42E2" w:rsidRDefault="005449D2" w:rsidP="005449D2">
      <w:pPr>
        <w:pStyle w:val="Heading2"/>
      </w:pPr>
      <w:r w:rsidRPr="00C3303C">
        <w:rPr>
          <w:rFonts w:ascii="Book Antiqua" w:hAnsi="Book Antiqua"/>
          <w:i/>
          <w:color w:val="FF0000"/>
          <w:sz w:val="20"/>
        </w:rPr>
        <w:br w:type="page"/>
      </w:r>
      <w:bookmarkStart w:id="62" w:name="_Toc479589112"/>
      <w:bookmarkStart w:id="63" w:name="_Toc479613742"/>
      <w:bookmarkStart w:id="64" w:name="_Toc479796479"/>
      <w:bookmarkStart w:id="65" w:name="_Toc479796551"/>
      <w:bookmarkStart w:id="66" w:name="_Toc479844077"/>
      <w:bookmarkStart w:id="67" w:name="_Toc479848685"/>
      <w:bookmarkStart w:id="68" w:name="_Toc480270250"/>
      <w:bookmarkStart w:id="69" w:name="_Toc480459399"/>
      <w:bookmarkStart w:id="70" w:name="_Toc480459472"/>
      <w:r w:rsidRPr="00AD42E2">
        <w:t>Section 3: Budgeted financial statements</w:t>
      </w:r>
      <w:bookmarkEnd w:id="62"/>
      <w:bookmarkEnd w:id="63"/>
      <w:bookmarkEnd w:id="64"/>
      <w:bookmarkEnd w:id="65"/>
      <w:bookmarkEnd w:id="66"/>
      <w:bookmarkEnd w:id="67"/>
      <w:bookmarkEnd w:id="68"/>
      <w:bookmarkEnd w:id="69"/>
      <w:bookmarkEnd w:id="70"/>
    </w:p>
    <w:p w:rsidR="005449D2" w:rsidRDefault="005449D2" w:rsidP="005449D2">
      <w:r>
        <w:t>Section 3 presents budgeted financial statements which provide a comprehensive snapshot of entity finances for the 2017–18</w:t>
      </w:r>
      <w:r>
        <w:rPr>
          <w:color w:val="00B050"/>
        </w:rPr>
        <w:t xml:space="preserve"> </w:t>
      </w:r>
      <w:r>
        <w:t>budget year, including the impact of budget measures and resourcing on financial statements.</w:t>
      </w:r>
    </w:p>
    <w:p w:rsidR="005449D2" w:rsidRDefault="005449D2" w:rsidP="005449D2">
      <w:pPr>
        <w:pStyle w:val="Heading3"/>
      </w:pPr>
      <w:bookmarkStart w:id="71" w:name="_Toc479589113"/>
      <w:bookmarkStart w:id="72" w:name="_Toc479613743"/>
      <w:bookmarkStart w:id="73" w:name="_Toc479796480"/>
      <w:bookmarkStart w:id="74" w:name="_Toc479796552"/>
      <w:bookmarkStart w:id="75" w:name="_Toc479844078"/>
      <w:bookmarkStart w:id="76" w:name="_Toc479848686"/>
      <w:bookmarkStart w:id="77" w:name="_Toc480270251"/>
      <w:bookmarkStart w:id="78" w:name="_Toc480459400"/>
      <w:bookmarkStart w:id="79" w:name="_Toc480459473"/>
      <w:r>
        <w:t>3.1</w:t>
      </w:r>
      <w:r>
        <w:tab/>
        <w:t>Budgeted financial statements</w:t>
      </w:r>
      <w:bookmarkEnd w:id="71"/>
      <w:bookmarkEnd w:id="72"/>
      <w:bookmarkEnd w:id="73"/>
      <w:bookmarkEnd w:id="74"/>
      <w:bookmarkEnd w:id="75"/>
      <w:bookmarkEnd w:id="76"/>
      <w:bookmarkEnd w:id="77"/>
      <w:bookmarkEnd w:id="78"/>
      <w:bookmarkEnd w:id="79"/>
    </w:p>
    <w:p w:rsidR="005449D2" w:rsidRDefault="005449D2" w:rsidP="005449D2">
      <w:pPr>
        <w:pStyle w:val="Heading4"/>
      </w:pPr>
      <w:r>
        <w:t>3.1.1</w:t>
      </w:r>
      <w:r>
        <w:tab/>
        <w:t>Differences between entity resourcing and financial statements</w:t>
      </w:r>
    </w:p>
    <w:p w:rsidR="005449D2" w:rsidRPr="00390BC1" w:rsidRDefault="005449D2" w:rsidP="005449D2">
      <w:r>
        <w:t xml:space="preserve">The difference between the available </w:t>
      </w:r>
      <w:r w:rsidRPr="00390BC1">
        <w:t>resources shown in Table 1.1: Comcare re</w:t>
      </w:r>
      <w:r>
        <w:t>source statement and Table 3.1</w:t>
      </w:r>
      <w:r w:rsidRPr="00390BC1">
        <w:t xml:space="preserve"> Comprehensive Income Statement is due to prior year amounts available in 2017</w:t>
      </w:r>
      <w:r>
        <w:t>–</w:t>
      </w:r>
      <w:r w:rsidRPr="00390BC1">
        <w:t>18, and non-cash movements in the value of the workers compensation claims liability and notional interest receipts. The prior year amounts relate to retained premium funds, which are held to discharge future premium claims liabilities. Table 3.2: Budgeted Departmental Balance Sheet also includes significant financial assets (appropriations receivable) which will fund claim payments over the lifetime of the outstanding claims liabilities.</w:t>
      </w:r>
    </w:p>
    <w:p w:rsidR="005449D2" w:rsidRDefault="005449D2" w:rsidP="005449D2">
      <w:pPr>
        <w:pStyle w:val="Heading4"/>
      </w:pPr>
      <w:r>
        <w:t>3.1.2</w:t>
      </w:r>
      <w:r>
        <w:tab/>
        <w:t>Explanatory notes and analysis of budgeted financial statements</w:t>
      </w:r>
    </w:p>
    <w:p w:rsidR="005449D2" w:rsidRPr="00390BC1" w:rsidRDefault="005449D2" w:rsidP="005449D2">
      <w:r>
        <w:t xml:space="preserve">Comcare’s total income in 2017–18 </w:t>
      </w:r>
      <w:r w:rsidRPr="00390BC1">
        <w:t>is budgeted at $40</w:t>
      </w:r>
      <w:r>
        <w:t>3.2 million, compared to $513.5 </w:t>
      </w:r>
      <w:r w:rsidRPr="00390BC1">
        <w:t>million in 2016</w:t>
      </w:r>
      <w:r>
        <w:t>–17 (a decrease of $110.3 </w:t>
      </w:r>
      <w:r w:rsidRPr="00390BC1">
        <w:t>million, Table 3.1). The decrease in revenue is mainly due to a reduction in premiums following a significant improvement in Comcare’s funding ratio in 2016</w:t>
      </w:r>
      <w:r>
        <w:t>–</w:t>
      </w:r>
      <w:r w:rsidRPr="00390BC1">
        <w:t>17 due to a favourable re-valuation of claims provisions.</w:t>
      </w:r>
    </w:p>
    <w:p w:rsidR="005449D2" w:rsidRPr="00E02BEB" w:rsidRDefault="005449D2" w:rsidP="005449D2">
      <w:pPr>
        <w:spacing w:after="0" w:line="240" w:lineRule="auto"/>
      </w:pPr>
      <w:r w:rsidRPr="00E02BEB">
        <w:rPr>
          <w:b/>
        </w:rPr>
        <w:t>Expenses</w:t>
      </w:r>
    </w:p>
    <w:p w:rsidR="005449D2" w:rsidRDefault="005449D2" w:rsidP="005449D2">
      <w:r w:rsidRPr="00E02BEB">
        <w:t>Comcare’s total expenses in 201</w:t>
      </w:r>
      <w:r w:rsidRPr="004D65F4">
        <w:t>7</w:t>
      </w:r>
      <w:r>
        <w:t>–</w:t>
      </w:r>
      <w:r w:rsidRPr="004D65F4">
        <w:t>18</w:t>
      </w:r>
      <w:r w:rsidRPr="00E02BEB">
        <w:t xml:space="preserve"> are budgeted at $</w:t>
      </w:r>
      <w:r w:rsidRPr="004D65F4">
        <w:t>383.5</w:t>
      </w:r>
      <w:r>
        <w:t> </w:t>
      </w:r>
      <w:r w:rsidRPr="00E02BEB">
        <w:t>million, compared to $</w:t>
      </w:r>
      <w:r w:rsidRPr="004D65F4">
        <w:t>44.5</w:t>
      </w:r>
      <w:r w:rsidRPr="00E02BEB">
        <w:t> million in 201</w:t>
      </w:r>
      <w:r>
        <w:t>6–</w:t>
      </w:r>
      <w:r w:rsidRPr="004D65F4">
        <w:t>17</w:t>
      </w:r>
      <w:r w:rsidRPr="00E02BEB">
        <w:t xml:space="preserve"> (a</w:t>
      </w:r>
      <w:r w:rsidRPr="004D65F4">
        <w:t xml:space="preserve">n increase </w:t>
      </w:r>
      <w:r w:rsidRPr="00E02BEB">
        <w:t>of $</w:t>
      </w:r>
      <w:r w:rsidRPr="004D65F4">
        <w:t>339.0</w:t>
      </w:r>
      <w:r>
        <w:t> </w:t>
      </w:r>
      <w:r w:rsidRPr="00E02BEB">
        <w:t xml:space="preserve">million) </w:t>
      </w:r>
      <w:r w:rsidRPr="00DA67A1">
        <w:t>due to lower claims costs and a significant favourable movement in li</w:t>
      </w:r>
      <w:r>
        <w:t>abilities in 2016–</w:t>
      </w:r>
      <w:r w:rsidRPr="00DA67A1">
        <w:t>17.</w:t>
      </w:r>
    </w:p>
    <w:p w:rsidR="005449D2" w:rsidRDefault="005449D2" w:rsidP="005449D2">
      <w:r w:rsidRPr="00E02BEB">
        <w:t xml:space="preserve">Comcare’s administration expenses are budgeted to </w:t>
      </w:r>
      <w:r w:rsidRPr="004D65F4">
        <w:t>de</w:t>
      </w:r>
      <w:r w:rsidRPr="00E02BEB">
        <w:t>crease in 201</w:t>
      </w:r>
      <w:r>
        <w:t>7–</w:t>
      </w:r>
      <w:r w:rsidRPr="004D65F4">
        <w:t>18</w:t>
      </w:r>
      <w:r w:rsidRPr="00E02BEB">
        <w:t xml:space="preserve"> by $2.</w:t>
      </w:r>
      <w:r w:rsidRPr="004D65F4">
        <w:t>7</w:t>
      </w:r>
      <w:r>
        <w:t> m</w:t>
      </w:r>
      <w:r w:rsidRPr="00E02BEB">
        <w:t>illion (from $</w:t>
      </w:r>
      <w:r w:rsidRPr="004D65F4">
        <w:t>114.2</w:t>
      </w:r>
      <w:r>
        <w:t> </w:t>
      </w:r>
      <w:r w:rsidRPr="00E02BEB">
        <w:t>million to $11</w:t>
      </w:r>
      <w:r w:rsidRPr="004D65F4">
        <w:t>1.5</w:t>
      </w:r>
      <w:r>
        <w:t> </w:t>
      </w:r>
      <w:r w:rsidRPr="00E02BEB">
        <w:t xml:space="preserve">million) </w:t>
      </w:r>
      <w:r w:rsidRPr="004D65F4">
        <w:t xml:space="preserve">due to </w:t>
      </w:r>
      <w:r w:rsidRPr="00E02BEB">
        <w:t>efficienc</w:t>
      </w:r>
      <w:r>
        <w:t xml:space="preserve">ies in </w:t>
      </w:r>
      <w:r w:rsidRPr="00E02BEB">
        <w:t>Comcare operations.</w:t>
      </w:r>
    </w:p>
    <w:p w:rsidR="005449D2" w:rsidRPr="00E02BEB" w:rsidRDefault="005449D2" w:rsidP="005449D2">
      <w:pPr>
        <w:spacing w:after="0" w:line="240" w:lineRule="auto"/>
      </w:pPr>
      <w:r>
        <w:rPr>
          <w:b/>
        </w:rPr>
        <w:t>Operating Result</w:t>
      </w:r>
    </w:p>
    <w:p w:rsidR="005449D2" w:rsidRDefault="005449D2" w:rsidP="005449D2">
      <w:r>
        <w:t>Comcare’s operating result for 2017–18 is budgeted at a surplus of $19.8 million.</w:t>
      </w:r>
    </w:p>
    <w:p w:rsidR="005449D2" w:rsidRPr="00E02BEB" w:rsidRDefault="005449D2" w:rsidP="005449D2">
      <w:pPr>
        <w:spacing w:after="0" w:line="240" w:lineRule="auto"/>
      </w:pPr>
      <w:r>
        <w:rPr>
          <w:b/>
        </w:rPr>
        <w:t>Claims liability</w:t>
      </w:r>
    </w:p>
    <w:p w:rsidR="005449D2" w:rsidRDefault="005449D2" w:rsidP="005449D2">
      <w:pPr>
        <w:spacing w:after="120"/>
      </w:pPr>
      <w:r>
        <w:t>Comcare has three separate claims liabilities:</w:t>
      </w:r>
    </w:p>
    <w:p w:rsidR="005449D2" w:rsidRPr="00E02BEB" w:rsidRDefault="005449D2" w:rsidP="005449D2">
      <w:pPr>
        <w:numPr>
          <w:ilvl w:val="0"/>
          <w:numId w:val="37"/>
        </w:numPr>
        <w:spacing w:after="200" w:line="276" w:lineRule="auto"/>
        <w:ind w:left="426"/>
        <w:contextualSpacing/>
        <w:rPr>
          <w:rFonts w:eastAsia="Calibri"/>
          <w:lang w:val="en-US" w:eastAsia="en-US"/>
        </w:rPr>
      </w:pPr>
      <w:r w:rsidRPr="00E02BEB">
        <w:rPr>
          <w:rFonts w:eastAsia="Calibri"/>
          <w:lang w:val="en-US" w:eastAsia="en-US"/>
        </w:rPr>
        <w:t>Premium workers’ compensation claims</w:t>
      </w:r>
      <w:r>
        <w:rPr>
          <w:rFonts w:eastAsia="Calibri"/>
          <w:lang w:val="en-US" w:eastAsia="en-US"/>
        </w:rPr>
        <w:t>—</w:t>
      </w:r>
      <w:r w:rsidRPr="00E02BEB">
        <w:rPr>
          <w:rFonts w:eastAsia="Calibri"/>
          <w:lang w:val="en-US" w:eastAsia="en-US"/>
        </w:rPr>
        <w:t>these relate to workers’ compensation claims from premium paying agencies with a date of injury on or after 1 July 1989</w:t>
      </w:r>
    </w:p>
    <w:p w:rsidR="005449D2" w:rsidRPr="00E02BEB" w:rsidRDefault="005449D2" w:rsidP="005449D2">
      <w:pPr>
        <w:numPr>
          <w:ilvl w:val="0"/>
          <w:numId w:val="37"/>
        </w:numPr>
        <w:spacing w:after="200" w:line="276" w:lineRule="auto"/>
        <w:ind w:left="426"/>
        <w:contextualSpacing/>
        <w:rPr>
          <w:rFonts w:eastAsia="Calibri"/>
          <w:lang w:val="en-US" w:eastAsia="en-US"/>
        </w:rPr>
      </w:pPr>
      <w:r w:rsidRPr="00E02BEB">
        <w:rPr>
          <w:rFonts w:eastAsia="Calibri"/>
          <w:lang w:val="en-US" w:eastAsia="en-US"/>
        </w:rPr>
        <w:t>Pre-premium workers’ compensation claims</w:t>
      </w:r>
      <w:r>
        <w:rPr>
          <w:rFonts w:eastAsia="Calibri"/>
          <w:lang w:val="en-US" w:eastAsia="en-US"/>
        </w:rPr>
        <w:t>—</w:t>
      </w:r>
      <w:r w:rsidRPr="00E02BEB">
        <w:rPr>
          <w:rFonts w:eastAsia="Calibri"/>
          <w:lang w:val="en-US" w:eastAsia="en-US"/>
        </w:rPr>
        <w:t>these relate to workers’ compensation claims with a date of injury before 1 July 1989. It is expected that pre-premium claims liabilities will decrease over time as claims are settled.</w:t>
      </w:r>
    </w:p>
    <w:p w:rsidR="005449D2" w:rsidRPr="00E02BEB" w:rsidRDefault="005449D2" w:rsidP="005449D2">
      <w:pPr>
        <w:numPr>
          <w:ilvl w:val="0"/>
          <w:numId w:val="37"/>
        </w:numPr>
        <w:spacing w:after="200" w:line="276" w:lineRule="auto"/>
        <w:ind w:left="425" w:hanging="357"/>
        <w:rPr>
          <w:rFonts w:eastAsia="Calibri"/>
          <w:lang w:val="en-US" w:eastAsia="en-US"/>
        </w:rPr>
      </w:pPr>
      <w:r w:rsidRPr="00E02BEB">
        <w:rPr>
          <w:rFonts w:eastAsia="Calibri"/>
          <w:lang w:val="en-US" w:eastAsia="en-US"/>
        </w:rPr>
        <w:t>Asbestos-related common law liabilities</w:t>
      </w:r>
      <w:r>
        <w:rPr>
          <w:rFonts w:eastAsia="Calibri"/>
          <w:lang w:val="en-US" w:eastAsia="en-US"/>
        </w:rPr>
        <w:t>—</w:t>
      </w:r>
      <w:r w:rsidRPr="00E02BEB">
        <w:rPr>
          <w:rFonts w:eastAsia="Calibri"/>
          <w:lang w:val="en-US" w:eastAsia="en-US"/>
        </w:rPr>
        <w:t>these relate to asbestos related claims where the Commonwealth has a liability.</w:t>
      </w:r>
    </w:p>
    <w:p w:rsidR="005449D2" w:rsidRPr="00E02BEB" w:rsidRDefault="005449D2" w:rsidP="005449D2">
      <w:r w:rsidRPr="00E02BEB">
        <w:t>In the 201</w:t>
      </w:r>
      <w:r>
        <w:t>7–</w:t>
      </w:r>
      <w:r w:rsidRPr="004221C6">
        <w:t>18</w:t>
      </w:r>
      <w:r w:rsidRPr="00E02BEB">
        <w:t xml:space="preserve"> Portfolio Budget Statements, all claims liability provisions are based on independent actuarial valuations on the basis of the central estimate plus a risk margin that would achieve a 75 per cent probability of sufficiency.</w:t>
      </w:r>
    </w:p>
    <w:p w:rsidR="005449D2" w:rsidRPr="00E02BEB" w:rsidRDefault="005449D2" w:rsidP="005449D2">
      <w:r w:rsidRPr="00E02BEB">
        <w:t>Estimates for gross claims liabilities as at 30 June each year are outlined in the table below.</w:t>
      </w:r>
    </w:p>
    <w:p w:rsidR="005449D2" w:rsidRPr="00E02BEB" w:rsidRDefault="005449D2" w:rsidP="005449D2">
      <w:pPr>
        <w:keepNext/>
        <w:spacing w:after="120" w:line="240" w:lineRule="auto"/>
        <w:outlineLvl w:val="4"/>
        <w:rPr>
          <w:rFonts w:ascii="Arial" w:hAnsi="Arial"/>
          <w:b/>
          <w:bCs/>
          <w:iCs/>
          <w:szCs w:val="26"/>
        </w:rPr>
      </w:pPr>
      <w:r w:rsidRPr="00E02BEB">
        <w:rPr>
          <w:rFonts w:ascii="Arial" w:hAnsi="Arial"/>
          <w:b/>
          <w:bCs/>
          <w:iCs/>
          <w:szCs w:val="26"/>
        </w:rPr>
        <w:t>Table 3.1.1 Estimates for gross claims liabilities as at 30 June each year</w:t>
      </w:r>
    </w:p>
    <w:tbl>
      <w:tblPr>
        <w:tblW w:w="7614" w:type="dxa"/>
        <w:tblInd w:w="93" w:type="dxa"/>
        <w:tblLook w:val="04A0" w:firstRow="1" w:lastRow="0" w:firstColumn="1" w:lastColumn="0" w:noHBand="0" w:noVBand="1"/>
      </w:tblPr>
      <w:tblGrid>
        <w:gridCol w:w="2774"/>
        <w:gridCol w:w="968"/>
        <w:gridCol w:w="968"/>
        <w:gridCol w:w="968"/>
        <w:gridCol w:w="968"/>
        <w:gridCol w:w="968"/>
      </w:tblGrid>
      <w:tr w:rsidR="005449D2" w:rsidRPr="00370F49" w:rsidTr="003F0F8A">
        <w:trPr>
          <w:trHeight w:val="825"/>
        </w:trPr>
        <w:tc>
          <w:tcPr>
            <w:tcW w:w="2774" w:type="dxa"/>
            <w:tcBorders>
              <w:top w:val="single" w:sz="4" w:space="0" w:color="auto"/>
              <w:left w:val="nil"/>
              <w:bottom w:val="nil"/>
              <w:right w:val="nil"/>
            </w:tcBorders>
            <w:shd w:val="clear" w:color="auto" w:fill="auto"/>
            <w:vAlign w:val="center"/>
            <w:hideMark/>
          </w:tcPr>
          <w:p w:rsidR="005449D2" w:rsidRPr="00370F49" w:rsidRDefault="005449D2" w:rsidP="003F0F8A">
            <w:pPr>
              <w:spacing w:after="0" w:line="240" w:lineRule="auto"/>
              <w:rPr>
                <w:rFonts w:ascii="Arial" w:hAnsi="Arial" w:cs="Arial"/>
                <w:b/>
                <w:bCs/>
                <w:color w:val="000000"/>
                <w:sz w:val="16"/>
                <w:szCs w:val="16"/>
              </w:rPr>
            </w:pPr>
            <w:r w:rsidRPr="00370F49">
              <w:rPr>
                <w:rFonts w:ascii="Arial" w:hAnsi="Arial" w:cs="Arial"/>
                <w:b/>
                <w:bCs/>
                <w:color w:val="000000"/>
                <w:sz w:val="16"/>
                <w:szCs w:val="16"/>
              </w:rPr>
              <w:t> </w:t>
            </w:r>
          </w:p>
        </w:tc>
        <w:tc>
          <w:tcPr>
            <w:tcW w:w="968" w:type="dxa"/>
            <w:tcBorders>
              <w:top w:val="single" w:sz="4" w:space="0" w:color="auto"/>
              <w:left w:val="nil"/>
              <w:bottom w:val="single" w:sz="4" w:space="0" w:color="auto"/>
              <w:right w:val="nil"/>
            </w:tcBorders>
            <w:shd w:val="clear" w:color="auto" w:fill="auto"/>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2016–17 Estimated actual</w:t>
            </w:r>
            <w:r w:rsidRPr="00370F49">
              <w:rPr>
                <w:rFonts w:ascii="Arial" w:hAnsi="Arial" w:cs="Arial"/>
                <w:sz w:val="16"/>
                <w:szCs w:val="16"/>
              </w:rPr>
              <w:br/>
              <w:t>$</w:t>
            </w:r>
            <w:r>
              <w:rPr>
                <w:rFonts w:ascii="Arial" w:hAnsi="Arial" w:cs="Arial"/>
                <w:sz w:val="16"/>
                <w:szCs w:val="16"/>
              </w:rPr>
              <w:t>’</w:t>
            </w:r>
            <w:r w:rsidRPr="00370F49">
              <w:rPr>
                <w:rFonts w:ascii="Arial" w:hAnsi="Arial" w:cs="Arial"/>
                <w:sz w:val="16"/>
                <w:szCs w:val="16"/>
              </w:rPr>
              <w:t>000</w:t>
            </w:r>
          </w:p>
        </w:tc>
        <w:tc>
          <w:tcPr>
            <w:tcW w:w="968" w:type="dxa"/>
            <w:tcBorders>
              <w:top w:val="single" w:sz="4" w:space="0" w:color="auto"/>
              <w:left w:val="nil"/>
              <w:bottom w:val="single" w:sz="4" w:space="0" w:color="auto"/>
              <w:right w:val="nil"/>
            </w:tcBorders>
            <w:shd w:val="clear" w:color="000000" w:fill="E6E6E6"/>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2017–18</w:t>
            </w:r>
            <w:r w:rsidRPr="00370F49">
              <w:rPr>
                <w:rFonts w:ascii="Arial" w:hAnsi="Arial" w:cs="Arial"/>
                <w:sz w:val="16"/>
                <w:szCs w:val="16"/>
              </w:rPr>
              <w:br/>
              <w:t>Budget</w:t>
            </w:r>
            <w:r w:rsidRPr="00370F49">
              <w:rPr>
                <w:rFonts w:ascii="Arial" w:hAnsi="Arial" w:cs="Arial"/>
                <w:sz w:val="16"/>
                <w:szCs w:val="16"/>
              </w:rPr>
              <w:br/>
            </w:r>
            <w:r w:rsidRPr="00370F49">
              <w:rPr>
                <w:rFonts w:ascii="Arial" w:hAnsi="Arial" w:cs="Arial"/>
                <w:sz w:val="16"/>
                <w:szCs w:val="16"/>
              </w:rPr>
              <w:br/>
              <w:t>$</w:t>
            </w:r>
            <w:r>
              <w:rPr>
                <w:rFonts w:ascii="Arial" w:hAnsi="Arial" w:cs="Arial"/>
                <w:sz w:val="16"/>
                <w:szCs w:val="16"/>
              </w:rPr>
              <w:t>’</w:t>
            </w:r>
            <w:r w:rsidRPr="00370F49">
              <w:rPr>
                <w:rFonts w:ascii="Arial" w:hAnsi="Arial" w:cs="Arial"/>
                <w:sz w:val="16"/>
                <w:szCs w:val="16"/>
              </w:rPr>
              <w:t>000</w:t>
            </w:r>
          </w:p>
        </w:tc>
        <w:tc>
          <w:tcPr>
            <w:tcW w:w="968" w:type="dxa"/>
            <w:tcBorders>
              <w:top w:val="single" w:sz="4" w:space="0" w:color="auto"/>
              <w:left w:val="nil"/>
              <w:bottom w:val="single" w:sz="4" w:space="0" w:color="auto"/>
              <w:right w:val="nil"/>
            </w:tcBorders>
            <w:shd w:val="clear" w:color="auto" w:fill="auto"/>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2018–19 Forward estimate</w:t>
            </w:r>
            <w:r w:rsidRPr="00370F49">
              <w:rPr>
                <w:rFonts w:ascii="Arial" w:hAnsi="Arial" w:cs="Arial"/>
                <w:sz w:val="16"/>
                <w:szCs w:val="16"/>
              </w:rPr>
              <w:br/>
              <w:t>$</w:t>
            </w:r>
            <w:r>
              <w:rPr>
                <w:rFonts w:ascii="Arial" w:hAnsi="Arial" w:cs="Arial"/>
                <w:sz w:val="16"/>
                <w:szCs w:val="16"/>
              </w:rPr>
              <w:t>’</w:t>
            </w:r>
            <w:r w:rsidRPr="00370F49">
              <w:rPr>
                <w:rFonts w:ascii="Arial" w:hAnsi="Arial" w:cs="Arial"/>
                <w:sz w:val="16"/>
                <w:szCs w:val="16"/>
              </w:rPr>
              <w:t>000</w:t>
            </w:r>
          </w:p>
        </w:tc>
        <w:tc>
          <w:tcPr>
            <w:tcW w:w="968" w:type="dxa"/>
            <w:tcBorders>
              <w:top w:val="single" w:sz="4" w:space="0" w:color="auto"/>
              <w:left w:val="nil"/>
              <w:bottom w:val="single" w:sz="4" w:space="0" w:color="auto"/>
              <w:right w:val="nil"/>
            </w:tcBorders>
            <w:shd w:val="clear" w:color="auto" w:fill="auto"/>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2019–20 Forward estimate</w:t>
            </w:r>
            <w:r w:rsidRPr="00370F49">
              <w:rPr>
                <w:rFonts w:ascii="Arial" w:hAnsi="Arial" w:cs="Arial"/>
                <w:sz w:val="16"/>
                <w:szCs w:val="16"/>
              </w:rPr>
              <w:br/>
              <w:t>$</w:t>
            </w:r>
            <w:r>
              <w:rPr>
                <w:rFonts w:ascii="Arial" w:hAnsi="Arial" w:cs="Arial"/>
                <w:sz w:val="16"/>
                <w:szCs w:val="16"/>
              </w:rPr>
              <w:t>’</w:t>
            </w:r>
            <w:r w:rsidRPr="00370F49">
              <w:rPr>
                <w:rFonts w:ascii="Arial" w:hAnsi="Arial" w:cs="Arial"/>
                <w:sz w:val="16"/>
                <w:szCs w:val="16"/>
              </w:rPr>
              <w:t>000</w:t>
            </w:r>
          </w:p>
        </w:tc>
        <w:tc>
          <w:tcPr>
            <w:tcW w:w="968" w:type="dxa"/>
            <w:tcBorders>
              <w:top w:val="single" w:sz="4" w:space="0" w:color="auto"/>
              <w:left w:val="nil"/>
              <w:bottom w:val="single" w:sz="4" w:space="0" w:color="auto"/>
              <w:right w:val="nil"/>
            </w:tcBorders>
            <w:shd w:val="clear" w:color="auto" w:fill="auto"/>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2020–21</w:t>
            </w:r>
            <w:r w:rsidRPr="00370F49">
              <w:rPr>
                <w:rFonts w:ascii="Arial" w:hAnsi="Arial" w:cs="Arial"/>
                <w:sz w:val="16"/>
                <w:szCs w:val="16"/>
              </w:rPr>
              <w:br/>
              <w:t>Forward estimate</w:t>
            </w:r>
            <w:r w:rsidRPr="00370F49">
              <w:rPr>
                <w:rFonts w:ascii="Arial" w:hAnsi="Arial" w:cs="Arial"/>
                <w:sz w:val="16"/>
                <w:szCs w:val="16"/>
              </w:rPr>
              <w:br/>
              <w:t>$</w:t>
            </w:r>
            <w:r>
              <w:rPr>
                <w:rFonts w:ascii="Arial" w:hAnsi="Arial" w:cs="Arial"/>
                <w:sz w:val="16"/>
                <w:szCs w:val="16"/>
              </w:rPr>
              <w:t>’</w:t>
            </w:r>
            <w:r w:rsidRPr="00370F49">
              <w:rPr>
                <w:rFonts w:ascii="Arial" w:hAnsi="Arial" w:cs="Arial"/>
                <w:sz w:val="16"/>
                <w:szCs w:val="16"/>
              </w:rPr>
              <w:t>000</w:t>
            </w:r>
          </w:p>
        </w:tc>
      </w:tr>
      <w:tr w:rsidR="005449D2" w:rsidRPr="00370F49" w:rsidTr="003F0F8A">
        <w:trPr>
          <w:trHeight w:val="291"/>
        </w:trPr>
        <w:tc>
          <w:tcPr>
            <w:tcW w:w="2774" w:type="dxa"/>
            <w:tcBorders>
              <w:top w:val="nil"/>
              <w:left w:val="nil"/>
              <w:bottom w:val="nil"/>
              <w:right w:val="nil"/>
            </w:tcBorders>
            <w:shd w:val="clear" w:color="auto" w:fill="auto"/>
            <w:vAlign w:val="center"/>
            <w:hideMark/>
          </w:tcPr>
          <w:p w:rsidR="005449D2" w:rsidRPr="00370F49" w:rsidRDefault="005449D2" w:rsidP="003F0F8A">
            <w:pPr>
              <w:spacing w:after="0" w:line="240" w:lineRule="auto"/>
              <w:ind w:firstLineChars="100" w:firstLine="160"/>
              <w:rPr>
                <w:rFonts w:ascii="Arial" w:hAnsi="Arial" w:cs="Arial"/>
                <w:sz w:val="16"/>
                <w:szCs w:val="16"/>
              </w:rPr>
            </w:pPr>
            <w:r w:rsidRPr="00370F49">
              <w:rPr>
                <w:rFonts w:ascii="Arial" w:hAnsi="Arial" w:cs="Arial"/>
                <w:sz w:val="16"/>
                <w:szCs w:val="16"/>
              </w:rPr>
              <w:t>Workers</w:t>
            </w:r>
            <w:r>
              <w:rPr>
                <w:rFonts w:ascii="Arial" w:hAnsi="Arial" w:cs="Arial"/>
                <w:sz w:val="16"/>
                <w:szCs w:val="16"/>
              </w:rPr>
              <w:t>’</w:t>
            </w:r>
            <w:r w:rsidRPr="00370F49">
              <w:rPr>
                <w:rFonts w:ascii="Arial" w:hAnsi="Arial" w:cs="Arial"/>
                <w:sz w:val="16"/>
                <w:szCs w:val="16"/>
              </w:rPr>
              <w:t xml:space="preserve"> compensation liabilities</w:t>
            </w: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color w:val="000000"/>
                <w:sz w:val="16"/>
                <w:szCs w:val="16"/>
              </w:rPr>
            </w:pPr>
          </w:p>
        </w:tc>
        <w:tc>
          <w:tcPr>
            <w:tcW w:w="968" w:type="dxa"/>
            <w:tcBorders>
              <w:top w:val="nil"/>
              <w:left w:val="nil"/>
              <w:bottom w:val="nil"/>
              <w:right w:val="nil"/>
            </w:tcBorders>
            <w:shd w:val="clear" w:color="000000" w:fill="E6E6E6"/>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w:t>
            </w: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rPr>
                <w:rFonts w:ascii="Arial" w:hAnsi="Arial" w:cs="Arial"/>
                <w:sz w:val="16"/>
                <w:szCs w:val="16"/>
              </w:rPr>
            </w:pP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rPr>
                <w:rFonts w:ascii="Arial" w:hAnsi="Arial" w:cs="Arial"/>
                <w:sz w:val="16"/>
                <w:szCs w:val="16"/>
              </w:rPr>
            </w:pP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rPr>
                <w:rFonts w:ascii="Arial" w:hAnsi="Arial" w:cs="Arial"/>
                <w:sz w:val="16"/>
                <w:szCs w:val="16"/>
              </w:rPr>
            </w:pPr>
          </w:p>
        </w:tc>
      </w:tr>
      <w:tr w:rsidR="005449D2" w:rsidRPr="00370F49" w:rsidTr="003F0F8A">
        <w:trPr>
          <w:trHeight w:val="291"/>
        </w:trPr>
        <w:tc>
          <w:tcPr>
            <w:tcW w:w="2774" w:type="dxa"/>
            <w:tcBorders>
              <w:top w:val="nil"/>
              <w:left w:val="nil"/>
              <w:bottom w:val="nil"/>
              <w:right w:val="nil"/>
            </w:tcBorders>
            <w:shd w:val="clear" w:color="auto" w:fill="auto"/>
            <w:vAlign w:val="center"/>
            <w:hideMark/>
          </w:tcPr>
          <w:p w:rsidR="005449D2" w:rsidRPr="00370F49" w:rsidRDefault="005449D2" w:rsidP="003F0F8A">
            <w:pPr>
              <w:spacing w:after="0" w:line="240" w:lineRule="auto"/>
              <w:ind w:firstLineChars="100" w:firstLine="160"/>
              <w:rPr>
                <w:rFonts w:ascii="Arial" w:hAnsi="Arial" w:cs="Arial"/>
                <w:sz w:val="16"/>
                <w:szCs w:val="16"/>
              </w:rPr>
            </w:pPr>
            <w:r w:rsidRPr="00370F49">
              <w:rPr>
                <w:rFonts w:ascii="Arial" w:hAnsi="Arial" w:cs="Arial"/>
                <w:sz w:val="16"/>
                <w:szCs w:val="16"/>
              </w:rPr>
              <w:t>Premium</w:t>
            </w: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color w:val="000000"/>
                <w:sz w:val="16"/>
                <w:szCs w:val="16"/>
              </w:rPr>
            </w:pPr>
            <w:r w:rsidRPr="00370F49">
              <w:rPr>
                <w:rFonts w:ascii="Arial" w:hAnsi="Arial" w:cs="Arial"/>
                <w:color w:val="000000"/>
                <w:sz w:val="16"/>
                <w:szCs w:val="16"/>
              </w:rPr>
              <w:t xml:space="preserve">2,478,429 </w:t>
            </w:r>
          </w:p>
        </w:tc>
        <w:tc>
          <w:tcPr>
            <w:tcW w:w="968" w:type="dxa"/>
            <w:tcBorders>
              <w:top w:val="nil"/>
              <w:left w:val="nil"/>
              <w:bottom w:val="nil"/>
              <w:right w:val="nil"/>
            </w:tcBorders>
            <w:shd w:val="clear" w:color="000000" w:fill="E6E6E6"/>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2,504,985 </w:t>
            </w: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2,536,286 </w:t>
            </w: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2,576,514 </w:t>
            </w: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2,623,974 </w:t>
            </w:r>
          </w:p>
        </w:tc>
      </w:tr>
      <w:tr w:rsidR="005449D2" w:rsidRPr="00370F49" w:rsidTr="003F0F8A">
        <w:trPr>
          <w:trHeight w:val="291"/>
        </w:trPr>
        <w:tc>
          <w:tcPr>
            <w:tcW w:w="2774" w:type="dxa"/>
            <w:tcBorders>
              <w:top w:val="nil"/>
              <w:left w:val="nil"/>
              <w:bottom w:val="nil"/>
              <w:right w:val="nil"/>
            </w:tcBorders>
            <w:shd w:val="clear" w:color="auto" w:fill="auto"/>
            <w:vAlign w:val="center"/>
            <w:hideMark/>
          </w:tcPr>
          <w:p w:rsidR="005449D2" w:rsidRPr="00370F49" w:rsidRDefault="005449D2" w:rsidP="003F0F8A">
            <w:pPr>
              <w:spacing w:after="0" w:line="240" w:lineRule="auto"/>
              <w:ind w:firstLineChars="100" w:firstLine="160"/>
              <w:rPr>
                <w:rFonts w:ascii="Arial" w:hAnsi="Arial" w:cs="Arial"/>
                <w:sz w:val="16"/>
                <w:szCs w:val="16"/>
              </w:rPr>
            </w:pPr>
            <w:r w:rsidRPr="00370F49">
              <w:rPr>
                <w:rFonts w:ascii="Arial" w:hAnsi="Arial" w:cs="Arial"/>
                <w:sz w:val="16"/>
                <w:szCs w:val="16"/>
              </w:rPr>
              <w:t>Pre-premium</w:t>
            </w: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color w:val="000000"/>
                <w:sz w:val="16"/>
                <w:szCs w:val="16"/>
              </w:rPr>
            </w:pPr>
            <w:r w:rsidRPr="00370F49">
              <w:rPr>
                <w:rFonts w:ascii="Arial" w:hAnsi="Arial" w:cs="Arial"/>
                <w:color w:val="000000"/>
                <w:sz w:val="16"/>
                <w:szCs w:val="16"/>
              </w:rPr>
              <w:t xml:space="preserve">329,282 </w:t>
            </w:r>
          </w:p>
        </w:tc>
        <w:tc>
          <w:tcPr>
            <w:tcW w:w="968" w:type="dxa"/>
            <w:tcBorders>
              <w:top w:val="nil"/>
              <w:left w:val="nil"/>
              <w:bottom w:val="nil"/>
              <w:right w:val="nil"/>
            </w:tcBorders>
            <w:shd w:val="clear" w:color="000000" w:fill="E6E6E6"/>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298,998 </w:t>
            </w: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271,200 </w:t>
            </w: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246,340 </w:t>
            </w:r>
          </w:p>
        </w:tc>
        <w:tc>
          <w:tcPr>
            <w:tcW w:w="968" w:type="dxa"/>
            <w:tcBorders>
              <w:top w:val="nil"/>
              <w:left w:val="nil"/>
              <w:bottom w:val="nil"/>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224,305 </w:t>
            </w:r>
          </w:p>
        </w:tc>
      </w:tr>
      <w:tr w:rsidR="005449D2" w:rsidRPr="00370F49" w:rsidTr="003F0F8A">
        <w:trPr>
          <w:trHeight w:val="291"/>
        </w:trPr>
        <w:tc>
          <w:tcPr>
            <w:tcW w:w="2774" w:type="dxa"/>
            <w:tcBorders>
              <w:top w:val="nil"/>
              <w:left w:val="nil"/>
              <w:bottom w:val="single" w:sz="4" w:space="0" w:color="auto"/>
              <w:right w:val="nil"/>
            </w:tcBorders>
            <w:shd w:val="clear" w:color="auto" w:fill="auto"/>
            <w:noWrap/>
            <w:vAlign w:val="center"/>
            <w:hideMark/>
          </w:tcPr>
          <w:p w:rsidR="005449D2" w:rsidRPr="00370F49" w:rsidRDefault="005449D2" w:rsidP="003F0F8A">
            <w:pPr>
              <w:spacing w:after="0" w:line="240" w:lineRule="auto"/>
              <w:ind w:firstLineChars="100" w:firstLine="160"/>
              <w:rPr>
                <w:rFonts w:ascii="Arial" w:hAnsi="Arial" w:cs="Arial"/>
                <w:sz w:val="16"/>
                <w:szCs w:val="16"/>
              </w:rPr>
            </w:pPr>
            <w:r w:rsidRPr="00370F49">
              <w:rPr>
                <w:rFonts w:ascii="Arial" w:hAnsi="Arial" w:cs="Arial"/>
                <w:sz w:val="16"/>
                <w:szCs w:val="16"/>
              </w:rPr>
              <w:t xml:space="preserve">Asbestos related </w:t>
            </w:r>
            <w:r>
              <w:rPr>
                <w:rFonts w:ascii="Arial" w:hAnsi="Arial" w:cs="Arial"/>
                <w:sz w:val="16"/>
                <w:szCs w:val="16"/>
              </w:rPr>
              <w:t>–</w:t>
            </w:r>
            <w:r w:rsidRPr="00370F49">
              <w:rPr>
                <w:rFonts w:ascii="Arial" w:hAnsi="Arial" w:cs="Arial"/>
                <w:sz w:val="16"/>
                <w:szCs w:val="16"/>
              </w:rPr>
              <w:t xml:space="preserve"> common law</w:t>
            </w:r>
          </w:p>
        </w:tc>
        <w:tc>
          <w:tcPr>
            <w:tcW w:w="968" w:type="dxa"/>
            <w:tcBorders>
              <w:top w:val="nil"/>
              <w:left w:val="nil"/>
              <w:bottom w:val="single" w:sz="4" w:space="0" w:color="auto"/>
              <w:right w:val="nil"/>
            </w:tcBorders>
            <w:shd w:val="clear" w:color="auto" w:fill="auto"/>
            <w:vAlign w:val="center"/>
            <w:hideMark/>
          </w:tcPr>
          <w:p w:rsidR="005449D2" w:rsidRPr="00370F49" w:rsidRDefault="005449D2" w:rsidP="003F0F8A">
            <w:pPr>
              <w:spacing w:after="0" w:line="240" w:lineRule="auto"/>
              <w:jc w:val="right"/>
              <w:rPr>
                <w:rFonts w:ascii="Arial" w:hAnsi="Arial" w:cs="Arial"/>
                <w:color w:val="000000"/>
                <w:sz w:val="16"/>
                <w:szCs w:val="16"/>
              </w:rPr>
            </w:pPr>
            <w:r w:rsidRPr="00370F49">
              <w:rPr>
                <w:rFonts w:ascii="Arial" w:hAnsi="Arial" w:cs="Arial"/>
                <w:color w:val="000000"/>
                <w:sz w:val="16"/>
                <w:szCs w:val="16"/>
              </w:rPr>
              <w:t xml:space="preserve">1,050,560 </w:t>
            </w:r>
          </w:p>
        </w:tc>
        <w:tc>
          <w:tcPr>
            <w:tcW w:w="968" w:type="dxa"/>
            <w:tcBorders>
              <w:top w:val="nil"/>
              <w:left w:val="nil"/>
              <w:bottom w:val="single" w:sz="4" w:space="0" w:color="auto"/>
              <w:right w:val="nil"/>
            </w:tcBorders>
            <w:shd w:val="clear" w:color="000000" w:fill="E6E6E6"/>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1,024,660 </w:t>
            </w:r>
          </w:p>
        </w:tc>
        <w:tc>
          <w:tcPr>
            <w:tcW w:w="968" w:type="dxa"/>
            <w:tcBorders>
              <w:top w:val="nil"/>
              <w:left w:val="nil"/>
              <w:bottom w:val="single" w:sz="4" w:space="0" w:color="auto"/>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1,003,940 </w:t>
            </w:r>
          </w:p>
        </w:tc>
        <w:tc>
          <w:tcPr>
            <w:tcW w:w="968" w:type="dxa"/>
            <w:tcBorders>
              <w:top w:val="nil"/>
              <w:left w:val="nil"/>
              <w:bottom w:val="single" w:sz="4" w:space="0" w:color="auto"/>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980,560 </w:t>
            </w:r>
          </w:p>
        </w:tc>
        <w:tc>
          <w:tcPr>
            <w:tcW w:w="968" w:type="dxa"/>
            <w:tcBorders>
              <w:top w:val="nil"/>
              <w:left w:val="nil"/>
              <w:bottom w:val="single" w:sz="4" w:space="0" w:color="auto"/>
              <w:right w:val="nil"/>
            </w:tcBorders>
            <w:shd w:val="clear" w:color="auto" w:fill="auto"/>
            <w:noWrap/>
            <w:vAlign w:val="center"/>
            <w:hideMark/>
          </w:tcPr>
          <w:p w:rsidR="005449D2" w:rsidRPr="00370F49" w:rsidRDefault="005449D2" w:rsidP="003F0F8A">
            <w:pPr>
              <w:spacing w:after="0" w:line="240" w:lineRule="auto"/>
              <w:jc w:val="right"/>
              <w:rPr>
                <w:rFonts w:ascii="Arial" w:hAnsi="Arial" w:cs="Arial"/>
                <w:sz w:val="16"/>
                <w:szCs w:val="16"/>
              </w:rPr>
            </w:pPr>
            <w:r w:rsidRPr="00370F49">
              <w:rPr>
                <w:rFonts w:ascii="Arial" w:hAnsi="Arial" w:cs="Arial"/>
                <w:sz w:val="16"/>
                <w:szCs w:val="16"/>
              </w:rPr>
              <w:t xml:space="preserve">955,220 </w:t>
            </w:r>
          </w:p>
        </w:tc>
      </w:tr>
    </w:tbl>
    <w:p w:rsidR="005449D2" w:rsidRDefault="005449D2" w:rsidP="005449D2">
      <w:pPr>
        <w:pStyle w:val="Heading3"/>
      </w:pPr>
      <w:r>
        <w:br w:type="page"/>
      </w:r>
      <w:bookmarkStart w:id="80" w:name="_Toc479589114"/>
      <w:bookmarkStart w:id="81" w:name="_Toc479613744"/>
      <w:bookmarkStart w:id="82" w:name="_Toc479796481"/>
      <w:bookmarkStart w:id="83" w:name="_Toc479796553"/>
      <w:bookmarkStart w:id="84" w:name="_Toc479844079"/>
      <w:bookmarkStart w:id="85" w:name="_Toc479848687"/>
      <w:bookmarkStart w:id="86" w:name="_Toc480270252"/>
      <w:bookmarkStart w:id="87" w:name="_Toc480459401"/>
      <w:bookmarkStart w:id="88" w:name="_Toc480459474"/>
      <w:r>
        <w:t>3.2.</w:t>
      </w:r>
      <w:r>
        <w:tab/>
        <w:t>Budgeted financial statements tables</w:t>
      </w:r>
      <w:bookmarkEnd w:id="80"/>
      <w:bookmarkEnd w:id="81"/>
      <w:bookmarkEnd w:id="82"/>
      <w:bookmarkEnd w:id="83"/>
      <w:bookmarkEnd w:id="84"/>
      <w:bookmarkEnd w:id="85"/>
      <w:bookmarkEnd w:id="86"/>
      <w:bookmarkEnd w:id="87"/>
      <w:bookmarkEnd w:id="88"/>
    </w:p>
    <w:p w:rsidR="005449D2" w:rsidRDefault="005449D2" w:rsidP="005449D2">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01" w:type="dxa"/>
        <w:tblInd w:w="93" w:type="dxa"/>
        <w:tblCellMar>
          <w:left w:w="57" w:type="dxa"/>
          <w:right w:w="57" w:type="dxa"/>
        </w:tblCellMar>
        <w:tblLook w:val="04A0" w:firstRow="1" w:lastRow="0" w:firstColumn="1" w:lastColumn="0" w:noHBand="0" w:noVBand="1"/>
      </w:tblPr>
      <w:tblGrid>
        <w:gridCol w:w="3480"/>
        <w:gridCol w:w="826"/>
        <w:gridCol w:w="848"/>
        <w:gridCol w:w="849"/>
        <w:gridCol w:w="849"/>
        <w:gridCol w:w="849"/>
      </w:tblGrid>
      <w:tr w:rsidR="005449D2" w:rsidRPr="00367D91" w:rsidTr="003F0F8A">
        <w:trPr>
          <w:trHeight w:val="831"/>
        </w:trPr>
        <w:tc>
          <w:tcPr>
            <w:tcW w:w="3480" w:type="dxa"/>
            <w:tcBorders>
              <w:top w:val="single" w:sz="4" w:space="0" w:color="auto"/>
              <w:left w:val="nil"/>
              <w:bottom w:val="nil"/>
              <w:right w:val="nil"/>
            </w:tcBorders>
            <w:shd w:val="clear" w:color="auto" w:fill="auto"/>
            <w:noWrap/>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 </w:t>
            </w:r>
          </w:p>
        </w:tc>
        <w:tc>
          <w:tcPr>
            <w:tcW w:w="826" w:type="dxa"/>
            <w:tcBorders>
              <w:top w:val="single" w:sz="4" w:space="0" w:color="auto"/>
              <w:left w:val="nil"/>
              <w:bottom w:val="single" w:sz="4" w:space="0" w:color="auto"/>
              <w:right w:val="nil"/>
            </w:tcBorders>
            <w:shd w:val="clear" w:color="auto" w:fill="auto"/>
            <w:vAlign w:val="center"/>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2016–17 Estimated actual</w:t>
            </w:r>
            <w:r w:rsidRPr="00367D91">
              <w:rPr>
                <w:rFonts w:ascii="Arial" w:hAnsi="Arial" w:cs="Arial"/>
                <w:sz w:val="16"/>
                <w:szCs w:val="16"/>
              </w:rPr>
              <w:br/>
              <w:t>$</w:t>
            </w:r>
            <w:r>
              <w:rPr>
                <w:rFonts w:ascii="Arial" w:hAnsi="Arial" w:cs="Arial"/>
                <w:sz w:val="16"/>
                <w:szCs w:val="16"/>
              </w:rPr>
              <w:t>’</w:t>
            </w:r>
            <w:r w:rsidRPr="00367D91">
              <w:rPr>
                <w:rFonts w:ascii="Arial" w:hAnsi="Arial" w:cs="Arial"/>
                <w:sz w:val="16"/>
                <w:szCs w:val="16"/>
              </w:rPr>
              <w:t>000</w:t>
            </w:r>
          </w:p>
        </w:tc>
        <w:tc>
          <w:tcPr>
            <w:tcW w:w="848" w:type="dxa"/>
            <w:tcBorders>
              <w:top w:val="single" w:sz="4" w:space="0" w:color="auto"/>
              <w:left w:val="nil"/>
              <w:bottom w:val="single" w:sz="4" w:space="0" w:color="auto"/>
              <w:right w:val="nil"/>
            </w:tcBorders>
            <w:shd w:val="clear" w:color="000000" w:fill="E6E6E6"/>
            <w:vAlign w:val="center"/>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2017–18</w:t>
            </w:r>
            <w:r w:rsidRPr="00367D91">
              <w:rPr>
                <w:rFonts w:ascii="Arial" w:hAnsi="Arial" w:cs="Arial"/>
                <w:sz w:val="16"/>
                <w:szCs w:val="16"/>
              </w:rPr>
              <w:br/>
              <w:t>Budget</w:t>
            </w:r>
            <w:r w:rsidRPr="00367D91">
              <w:rPr>
                <w:rFonts w:ascii="Arial" w:hAnsi="Arial" w:cs="Arial"/>
                <w:sz w:val="16"/>
                <w:szCs w:val="16"/>
              </w:rPr>
              <w:br/>
            </w:r>
            <w:r w:rsidRPr="00367D91">
              <w:rPr>
                <w:rFonts w:ascii="Arial" w:hAnsi="Arial" w:cs="Arial"/>
                <w:sz w:val="16"/>
                <w:szCs w:val="16"/>
              </w:rPr>
              <w:br/>
              <w:t>$</w:t>
            </w:r>
            <w:r>
              <w:rPr>
                <w:rFonts w:ascii="Arial" w:hAnsi="Arial" w:cs="Arial"/>
                <w:sz w:val="16"/>
                <w:szCs w:val="16"/>
              </w:rPr>
              <w:t>’</w:t>
            </w:r>
            <w:r w:rsidRPr="00367D91">
              <w:rPr>
                <w:rFonts w:ascii="Arial" w:hAnsi="Arial" w:cs="Arial"/>
                <w:sz w:val="16"/>
                <w:szCs w:val="16"/>
              </w:rPr>
              <w:t>000</w:t>
            </w:r>
          </w:p>
        </w:tc>
        <w:tc>
          <w:tcPr>
            <w:tcW w:w="849" w:type="dxa"/>
            <w:tcBorders>
              <w:top w:val="single" w:sz="4" w:space="0" w:color="auto"/>
              <w:left w:val="nil"/>
              <w:bottom w:val="single" w:sz="4" w:space="0" w:color="auto"/>
              <w:right w:val="nil"/>
            </w:tcBorders>
            <w:shd w:val="clear" w:color="auto" w:fill="auto"/>
            <w:vAlign w:val="center"/>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2018–19 Forward estimate</w:t>
            </w:r>
            <w:r w:rsidRPr="00367D91">
              <w:rPr>
                <w:rFonts w:ascii="Arial" w:hAnsi="Arial" w:cs="Arial"/>
                <w:sz w:val="16"/>
                <w:szCs w:val="16"/>
              </w:rPr>
              <w:br/>
              <w:t>$</w:t>
            </w:r>
            <w:r>
              <w:rPr>
                <w:rFonts w:ascii="Arial" w:hAnsi="Arial" w:cs="Arial"/>
                <w:sz w:val="16"/>
                <w:szCs w:val="16"/>
              </w:rPr>
              <w:t>’</w:t>
            </w:r>
            <w:r w:rsidRPr="00367D91">
              <w:rPr>
                <w:rFonts w:ascii="Arial" w:hAnsi="Arial" w:cs="Arial"/>
                <w:sz w:val="16"/>
                <w:szCs w:val="16"/>
              </w:rPr>
              <w:t>000</w:t>
            </w:r>
          </w:p>
        </w:tc>
        <w:tc>
          <w:tcPr>
            <w:tcW w:w="849" w:type="dxa"/>
            <w:tcBorders>
              <w:top w:val="single" w:sz="4" w:space="0" w:color="auto"/>
              <w:left w:val="nil"/>
              <w:bottom w:val="single" w:sz="4" w:space="0" w:color="auto"/>
              <w:right w:val="nil"/>
            </w:tcBorders>
            <w:shd w:val="clear" w:color="auto" w:fill="auto"/>
            <w:vAlign w:val="center"/>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2019–20 Forward estimate</w:t>
            </w:r>
            <w:r w:rsidRPr="00367D91">
              <w:rPr>
                <w:rFonts w:ascii="Arial" w:hAnsi="Arial" w:cs="Arial"/>
                <w:sz w:val="16"/>
                <w:szCs w:val="16"/>
              </w:rPr>
              <w:br/>
              <w:t>$</w:t>
            </w:r>
            <w:r>
              <w:rPr>
                <w:rFonts w:ascii="Arial" w:hAnsi="Arial" w:cs="Arial"/>
                <w:sz w:val="16"/>
                <w:szCs w:val="16"/>
              </w:rPr>
              <w:t>’</w:t>
            </w:r>
            <w:r w:rsidRPr="00367D91">
              <w:rPr>
                <w:rFonts w:ascii="Arial" w:hAnsi="Arial" w:cs="Arial"/>
                <w:sz w:val="16"/>
                <w:szCs w:val="16"/>
              </w:rPr>
              <w:t>000</w:t>
            </w:r>
          </w:p>
        </w:tc>
        <w:tc>
          <w:tcPr>
            <w:tcW w:w="849" w:type="dxa"/>
            <w:tcBorders>
              <w:top w:val="single" w:sz="4" w:space="0" w:color="auto"/>
              <w:left w:val="nil"/>
              <w:bottom w:val="single" w:sz="4" w:space="0" w:color="auto"/>
              <w:right w:val="nil"/>
            </w:tcBorders>
            <w:shd w:val="clear" w:color="auto" w:fill="auto"/>
            <w:vAlign w:val="center"/>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2020–21</w:t>
            </w:r>
            <w:r w:rsidRPr="00367D91">
              <w:rPr>
                <w:rFonts w:ascii="Arial" w:hAnsi="Arial" w:cs="Arial"/>
                <w:sz w:val="16"/>
                <w:szCs w:val="16"/>
              </w:rPr>
              <w:br/>
              <w:t>Forward estimate</w:t>
            </w:r>
            <w:r w:rsidRPr="00367D91">
              <w:rPr>
                <w:rFonts w:ascii="Arial" w:hAnsi="Arial" w:cs="Arial"/>
                <w:sz w:val="16"/>
                <w:szCs w:val="16"/>
              </w:rPr>
              <w:br/>
              <w:t>$</w:t>
            </w:r>
            <w:r>
              <w:rPr>
                <w:rFonts w:ascii="Arial" w:hAnsi="Arial" w:cs="Arial"/>
                <w:sz w:val="16"/>
                <w:szCs w:val="16"/>
              </w:rPr>
              <w:t>’</w:t>
            </w:r>
            <w:r w:rsidRPr="00367D91">
              <w:rPr>
                <w:rFonts w:ascii="Arial" w:hAnsi="Arial" w:cs="Arial"/>
                <w:sz w:val="16"/>
                <w:szCs w:val="16"/>
              </w:rPr>
              <w:t>000</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EXPENSES</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Employee benefits</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68,669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66,287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65,631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64,979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64,328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Suppliers</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37,562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40,036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34,736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33,012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32,764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Depreciation and amortisation</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6,237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5,190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5,190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5,190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5,190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Losses from asset sales</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1,700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Claims Payments</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303,367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297,405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298,863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305,511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314,935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Claims</w:t>
            </w:r>
            <w:r>
              <w:rPr>
                <w:rFonts w:ascii="Arial" w:hAnsi="Arial" w:cs="Arial"/>
                <w:sz w:val="16"/>
                <w:szCs w:val="16"/>
              </w:rPr>
              <w:t>—</w:t>
            </w:r>
            <w:r w:rsidRPr="00367D91">
              <w:rPr>
                <w:rFonts w:ascii="Arial" w:hAnsi="Arial" w:cs="Arial"/>
                <w:sz w:val="16"/>
                <w:szCs w:val="16"/>
              </w:rPr>
              <w:t>Movement in liabilities</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(373,057)</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(25,429)</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(13,690)</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(4,205)</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4,199 </w:t>
            </w:r>
          </w:p>
        </w:tc>
      </w:tr>
      <w:tr w:rsidR="005449D2" w:rsidRPr="00367D91" w:rsidTr="003F0F8A">
        <w:trPr>
          <w:trHeight w:val="208"/>
        </w:trPr>
        <w:tc>
          <w:tcPr>
            <w:tcW w:w="3480" w:type="dxa"/>
            <w:tcBorders>
              <w:top w:val="nil"/>
              <w:left w:val="nil"/>
              <w:bottom w:val="nil"/>
              <w:right w:val="nil"/>
            </w:tcBorders>
            <w:shd w:val="clear" w:color="auto" w:fill="auto"/>
            <w:noWrap/>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Total expenses</w:t>
            </w:r>
          </w:p>
        </w:tc>
        <w:tc>
          <w:tcPr>
            <w:tcW w:w="826"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44,478 </w:t>
            </w:r>
          </w:p>
        </w:tc>
        <w:tc>
          <w:tcPr>
            <w:tcW w:w="848" w:type="dxa"/>
            <w:tcBorders>
              <w:top w:val="single" w:sz="4" w:space="0" w:color="auto"/>
              <w:left w:val="nil"/>
              <w:bottom w:val="single" w:sz="4" w:space="0" w:color="auto"/>
              <w:right w:val="nil"/>
            </w:tcBorders>
            <w:shd w:val="clear" w:color="000000" w:fill="E6E6E6"/>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383,489 </w:t>
            </w:r>
          </w:p>
        </w:tc>
        <w:tc>
          <w:tcPr>
            <w:tcW w:w="849"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390,730 </w:t>
            </w:r>
          </w:p>
        </w:tc>
        <w:tc>
          <w:tcPr>
            <w:tcW w:w="849"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404,487 </w:t>
            </w:r>
          </w:p>
        </w:tc>
        <w:tc>
          <w:tcPr>
            <w:tcW w:w="849"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421,416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 xml:space="preserve">LESS: </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OWN-SOURCE INCOME</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Own-source revenue</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p>
        </w:tc>
      </w:tr>
      <w:tr w:rsidR="005449D2" w:rsidRPr="00367D91" w:rsidTr="003F0F8A">
        <w:trPr>
          <w:trHeight w:val="208"/>
        </w:trPr>
        <w:tc>
          <w:tcPr>
            <w:tcW w:w="3480" w:type="dxa"/>
            <w:tcBorders>
              <w:top w:val="nil"/>
              <w:left w:val="nil"/>
              <w:bottom w:val="nil"/>
              <w:right w:val="nil"/>
            </w:tcBorders>
            <w:shd w:val="clear" w:color="auto" w:fill="auto"/>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Sale of goods and rendering of services</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1,561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2,770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2,770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2,885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2,769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Licence Fees</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16,248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15,884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15,774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16,054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16,392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Regulatory Contributions</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19,978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19,506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19,371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19,714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20,128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Interest</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29,712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31,313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32,879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34,523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36,249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Grants Received from Portfolio Department</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64,227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66,875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61,330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60,723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59,850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Wo</w:t>
            </w:r>
            <w:r>
              <w:rPr>
                <w:rFonts w:ascii="Arial" w:hAnsi="Arial" w:cs="Arial"/>
                <w:sz w:val="16"/>
                <w:szCs w:val="16"/>
              </w:rPr>
              <w:t>r</w:t>
            </w:r>
            <w:r w:rsidRPr="00367D91">
              <w:rPr>
                <w:rFonts w:ascii="Arial" w:hAnsi="Arial" w:cs="Arial"/>
                <w:sz w:val="16"/>
                <w:szCs w:val="16"/>
              </w:rPr>
              <w:t>kers Compensation Premium</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408,142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289,768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276,942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285,013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298,847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Other Non-Tax Revenue (a)</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(32,461)</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(28,890)</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(21,390)</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(20,414)</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(18,835)</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Total own-source revenue</w:t>
            </w:r>
          </w:p>
        </w:tc>
        <w:tc>
          <w:tcPr>
            <w:tcW w:w="826"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507,407 </w:t>
            </w:r>
          </w:p>
        </w:tc>
        <w:tc>
          <w:tcPr>
            <w:tcW w:w="848" w:type="dxa"/>
            <w:tcBorders>
              <w:top w:val="single" w:sz="4" w:space="0" w:color="auto"/>
              <w:left w:val="nil"/>
              <w:bottom w:val="single" w:sz="4" w:space="0" w:color="auto"/>
              <w:right w:val="nil"/>
            </w:tcBorders>
            <w:shd w:val="clear" w:color="000000" w:fill="E6E6E6"/>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397,226 </w:t>
            </w:r>
          </w:p>
        </w:tc>
        <w:tc>
          <w:tcPr>
            <w:tcW w:w="849"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387,676 </w:t>
            </w:r>
          </w:p>
        </w:tc>
        <w:tc>
          <w:tcPr>
            <w:tcW w:w="849"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398,498 </w:t>
            </w:r>
          </w:p>
        </w:tc>
        <w:tc>
          <w:tcPr>
            <w:tcW w:w="849"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415,400 </w:t>
            </w:r>
          </w:p>
        </w:tc>
      </w:tr>
      <w:tr w:rsidR="005449D2" w:rsidRPr="00367D91" w:rsidTr="003F0F8A">
        <w:trPr>
          <w:trHeight w:val="208"/>
        </w:trPr>
        <w:tc>
          <w:tcPr>
            <w:tcW w:w="3480" w:type="dxa"/>
            <w:tcBorders>
              <w:top w:val="nil"/>
              <w:left w:val="nil"/>
              <w:bottom w:val="nil"/>
              <w:right w:val="nil"/>
            </w:tcBorders>
            <w:shd w:val="clear" w:color="auto" w:fill="auto"/>
            <w:vAlign w:val="center"/>
            <w:hideMark/>
          </w:tcPr>
          <w:p w:rsidR="005449D2" w:rsidRPr="00367D91" w:rsidRDefault="005449D2" w:rsidP="003F0F8A">
            <w:pPr>
              <w:spacing w:after="0" w:line="240" w:lineRule="auto"/>
              <w:rPr>
                <w:rFonts w:ascii="Arial" w:hAnsi="Arial" w:cs="Arial"/>
                <w:b/>
                <w:bCs/>
                <w:color w:val="000000"/>
                <w:sz w:val="16"/>
                <w:szCs w:val="16"/>
              </w:rPr>
            </w:pPr>
            <w:r w:rsidRPr="00367D91">
              <w:rPr>
                <w:rFonts w:ascii="Arial" w:hAnsi="Arial" w:cs="Arial"/>
                <w:b/>
                <w:bCs/>
                <w:color w:val="000000"/>
                <w:sz w:val="16"/>
                <w:szCs w:val="16"/>
              </w:rPr>
              <w:t>Net cost of/contribution by services</w:t>
            </w:r>
          </w:p>
        </w:tc>
        <w:tc>
          <w:tcPr>
            <w:tcW w:w="826"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Pr>
                <w:rFonts w:ascii="Arial" w:hAnsi="Arial" w:cs="Arial"/>
                <w:b/>
                <w:bCs/>
                <w:sz w:val="16"/>
                <w:szCs w:val="16"/>
              </w:rPr>
              <w:t>(462,929)</w:t>
            </w:r>
          </w:p>
        </w:tc>
        <w:tc>
          <w:tcPr>
            <w:tcW w:w="848" w:type="dxa"/>
            <w:tcBorders>
              <w:top w:val="nil"/>
              <w:left w:val="nil"/>
              <w:bottom w:val="single" w:sz="4" w:space="0" w:color="auto"/>
              <w:right w:val="nil"/>
            </w:tcBorders>
            <w:shd w:val="clear" w:color="000000" w:fill="E6E6E6"/>
            <w:noWrap/>
            <w:vAlign w:val="center"/>
            <w:hideMark/>
          </w:tcPr>
          <w:p w:rsidR="005449D2" w:rsidRPr="00367D91" w:rsidRDefault="005449D2" w:rsidP="003F0F8A">
            <w:pPr>
              <w:spacing w:after="0" w:line="240" w:lineRule="auto"/>
              <w:jc w:val="right"/>
              <w:rPr>
                <w:rFonts w:ascii="Arial" w:hAnsi="Arial" w:cs="Arial"/>
                <w:b/>
                <w:bCs/>
                <w:sz w:val="16"/>
                <w:szCs w:val="16"/>
              </w:rPr>
            </w:pPr>
            <w:r>
              <w:rPr>
                <w:rFonts w:ascii="Arial" w:hAnsi="Arial" w:cs="Arial"/>
                <w:b/>
                <w:bCs/>
                <w:sz w:val="16"/>
                <w:szCs w:val="16"/>
              </w:rPr>
              <w:t>(13,737)</w:t>
            </w:r>
          </w:p>
        </w:tc>
        <w:tc>
          <w:tcPr>
            <w:tcW w:w="849"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3,054 </w:t>
            </w:r>
          </w:p>
        </w:tc>
        <w:tc>
          <w:tcPr>
            <w:tcW w:w="849"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5,989 </w:t>
            </w:r>
          </w:p>
        </w:tc>
        <w:tc>
          <w:tcPr>
            <w:tcW w:w="849"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6,016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Revenue from Government</w:t>
            </w:r>
          </w:p>
        </w:tc>
        <w:tc>
          <w:tcPr>
            <w:tcW w:w="826"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6,104 </w:t>
            </w:r>
          </w:p>
        </w:tc>
        <w:tc>
          <w:tcPr>
            <w:tcW w:w="848" w:type="dxa"/>
            <w:tcBorders>
              <w:top w:val="nil"/>
              <w:left w:val="nil"/>
              <w:bottom w:val="single" w:sz="4" w:space="0" w:color="auto"/>
              <w:right w:val="nil"/>
            </w:tcBorders>
            <w:shd w:val="clear" w:color="000000" w:fill="E6E6E6"/>
            <w:noWrap/>
            <w:vAlign w:val="center"/>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6,020 </w:t>
            </w:r>
          </w:p>
        </w:tc>
        <w:tc>
          <w:tcPr>
            <w:tcW w:w="849"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5,983 </w:t>
            </w:r>
          </w:p>
        </w:tc>
        <w:tc>
          <w:tcPr>
            <w:tcW w:w="849"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5,989 </w:t>
            </w:r>
          </w:p>
        </w:tc>
        <w:tc>
          <w:tcPr>
            <w:tcW w:w="849"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6,016 </w:t>
            </w:r>
          </w:p>
        </w:tc>
      </w:tr>
      <w:tr w:rsidR="005449D2" w:rsidRPr="00367D91" w:rsidTr="003F0F8A">
        <w:trPr>
          <w:trHeight w:val="415"/>
        </w:trPr>
        <w:tc>
          <w:tcPr>
            <w:tcW w:w="3480" w:type="dxa"/>
            <w:tcBorders>
              <w:top w:val="nil"/>
              <w:left w:val="nil"/>
              <w:bottom w:val="nil"/>
              <w:right w:val="nil"/>
            </w:tcBorders>
            <w:shd w:val="clear" w:color="auto" w:fill="auto"/>
            <w:vAlign w:val="bottom"/>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Surplus/(deficit) attributable to the</w:t>
            </w:r>
            <w:r w:rsidRPr="00367D91">
              <w:rPr>
                <w:rFonts w:ascii="Arial" w:hAnsi="Arial" w:cs="Arial"/>
                <w:b/>
                <w:bCs/>
                <w:sz w:val="16"/>
                <w:szCs w:val="16"/>
              </w:rPr>
              <w:br/>
              <w:t xml:space="preserve">  Australian Government</w:t>
            </w:r>
          </w:p>
        </w:tc>
        <w:tc>
          <w:tcPr>
            <w:tcW w:w="826"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469,033 </w:t>
            </w:r>
          </w:p>
        </w:tc>
        <w:tc>
          <w:tcPr>
            <w:tcW w:w="848" w:type="dxa"/>
            <w:tcBorders>
              <w:top w:val="nil"/>
              <w:left w:val="nil"/>
              <w:bottom w:val="single" w:sz="4" w:space="0" w:color="auto"/>
              <w:right w:val="nil"/>
            </w:tcBorders>
            <w:shd w:val="clear" w:color="000000" w:fill="E6E6E6"/>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19,757 </w:t>
            </w:r>
          </w:p>
        </w:tc>
        <w:tc>
          <w:tcPr>
            <w:tcW w:w="849"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2,929 </w:t>
            </w:r>
          </w:p>
        </w:tc>
        <w:tc>
          <w:tcPr>
            <w:tcW w:w="849"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c>
          <w:tcPr>
            <w:tcW w:w="849" w:type="dxa"/>
            <w:tcBorders>
              <w:top w:val="nil"/>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OTHER COMPREHENSIVE INCOME</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p>
        </w:tc>
      </w:tr>
      <w:tr w:rsidR="005449D2" w:rsidRPr="00367D91" w:rsidTr="003F0F8A">
        <w:trPr>
          <w:trHeight w:val="208"/>
        </w:trPr>
        <w:tc>
          <w:tcPr>
            <w:tcW w:w="3480"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ind w:firstLineChars="100" w:firstLine="160"/>
              <w:rPr>
                <w:rFonts w:ascii="Arial" w:hAnsi="Arial" w:cs="Arial"/>
                <w:sz w:val="16"/>
                <w:szCs w:val="16"/>
              </w:rPr>
            </w:pPr>
            <w:r w:rsidRPr="00367D91">
              <w:rPr>
                <w:rFonts w:ascii="Arial" w:hAnsi="Arial" w:cs="Arial"/>
                <w:sz w:val="16"/>
                <w:szCs w:val="16"/>
              </w:rPr>
              <w:t>Changes in asset revaluation surplus</w:t>
            </w:r>
          </w:p>
        </w:tc>
        <w:tc>
          <w:tcPr>
            <w:tcW w:w="826" w:type="dxa"/>
            <w:tcBorders>
              <w:top w:val="nil"/>
              <w:left w:val="nil"/>
              <w:bottom w:val="single" w:sz="4" w:space="0" w:color="auto"/>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sz w:val="16"/>
                <w:szCs w:val="16"/>
              </w:rPr>
            </w:pPr>
            <w:r w:rsidRPr="00367D91">
              <w:rPr>
                <w:rFonts w:ascii="Arial" w:hAnsi="Arial" w:cs="Arial"/>
                <w:sz w:val="16"/>
                <w:szCs w:val="16"/>
              </w:rPr>
              <w:t xml:space="preserve">- </w:t>
            </w:r>
          </w:p>
        </w:tc>
        <w:tc>
          <w:tcPr>
            <w:tcW w:w="848" w:type="dxa"/>
            <w:tcBorders>
              <w:top w:val="nil"/>
              <w:left w:val="nil"/>
              <w:bottom w:val="single" w:sz="4" w:space="0" w:color="auto"/>
              <w:right w:val="nil"/>
            </w:tcBorders>
            <w:shd w:val="clear" w:color="000000" w:fill="E6E6E6"/>
            <w:noWrap/>
            <w:vAlign w:val="bottom"/>
            <w:hideMark/>
          </w:tcPr>
          <w:p w:rsidR="005449D2" w:rsidRPr="00AC552B" w:rsidRDefault="005449D2" w:rsidP="003F0F8A">
            <w:pPr>
              <w:spacing w:after="0" w:line="240" w:lineRule="auto"/>
              <w:jc w:val="right"/>
              <w:rPr>
                <w:rFonts w:ascii="Arial" w:hAnsi="Arial" w:cs="Arial"/>
                <w:bCs/>
                <w:sz w:val="16"/>
                <w:szCs w:val="16"/>
              </w:rPr>
            </w:pPr>
            <w:r w:rsidRPr="00AC552B">
              <w:rPr>
                <w:rFonts w:ascii="Arial" w:hAnsi="Arial" w:cs="Arial"/>
                <w:bCs/>
                <w:sz w:val="16"/>
                <w:szCs w:val="16"/>
              </w:rPr>
              <w:t xml:space="preserve">- </w:t>
            </w:r>
          </w:p>
        </w:tc>
        <w:tc>
          <w:tcPr>
            <w:tcW w:w="849" w:type="dxa"/>
            <w:tcBorders>
              <w:top w:val="nil"/>
              <w:left w:val="nil"/>
              <w:bottom w:val="single" w:sz="4" w:space="0" w:color="auto"/>
              <w:right w:val="nil"/>
            </w:tcBorders>
            <w:shd w:val="clear" w:color="auto" w:fill="auto"/>
            <w:noWrap/>
            <w:vAlign w:val="bottom"/>
            <w:hideMark/>
          </w:tcPr>
          <w:p w:rsidR="005449D2" w:rsidRPr="00AC552B" w:rsidRDefault="005449D2" w:rsidP="003F0F8A">
            <w:pPr>
              <w:spacing w:after="0" w:line="240" w:lineRule="auto"/>
              <w:jc w:val="right"/>
              <w:rPr>
                <w:rFonts w:ascii="Arial" w:hAnsi="Arial" w:cs="Arial"/>
                <w:bCs/>
                <w:sz w:val="16"/>
                <w:szCs w:val="16"/>
              </w:rPr>
            </w:pPr>
            <w:r w:rsidRPr="00AC552B">
              <w:rPr>
                <w:rFonts w:ascii="Arial" w:hAnsi="Arial" w:cs="Arial"/>
                <w:bCs/>
                <w:sz w:val="16"/>
                <w:szCs w:val="16"/>
              </w:rPr>
              <w:t xml:space="preserve">- </w:t>
            </w:r>
          </w:p>
        </w:tc>
        <w:tc>
          <w:tcPr>
            <w:tcW w:w="849" w:type="dxa"/>
            <w:tcBorders>
              <w:top w:val="nil"/>
              <w:left w:val="nil"/>
              <w:bottom w:val="single" w:sz="4" w:space="0" w:color="auto"/>
              <w:right w:val="nil"/>
            </w:tcBorders>
            <w:shd w:val="clear" w:color="auto" w:fill="auto"/>
            <w:noWrap/>
            <w:vAlign w:val="bottom"/>
            <w:hideMark/>
          </w:tcPr>
          <w:p w:rsidR="005449D2" w:rsidRPr="00AC552B" w:rsidRDefault="005449D2" w:rsidP="003F0F8A">
            <w:pPr>
              <w:spacing w:after="0" w:line="240" w:lineRule="auto"/>
              <w:jc w:val="right"/>
              <w:rPr>
                <w:rFonts w:ascii="Arial" w:hAnsi="Arial" w:cs="Arial"/>
                <w:bCs/>
                <w:sz w:val="16"/>
                <w:szCs w:val="16"/>
              </w:rPr>
            </w:pPr>
            <w:r w:rsidRPr="00AC552B">
              <w:rPr>
                <w:rFonts w:ascii="Arial" w:hAnsi="Arial" w:cs="Arial"/>
                <w:bCs/>
                <w:sz w:val="16"/>
                <w:szCs w:val="16"/>
              </w:rPr>
              <w:t xml:space="preserve">- </w:t>
            </w:r>
          </w:p>
        </w:tc>
        <w:tc>
          <w:tcPr>
            <w:tcW w:w="849" w:type="dxa"/>
            <w:tcBorders>
              <w:top w:val="nil"/>
              <w:left w:val="nil"/>
              <w:bottom w:val="single" w:sz="4" w:space="0" w:color="auto"/>
              <w:right w:val="nil"/>
            </w:tcBorders>
            <w:shd w:val="clear" w:color="auto" w:fill="auto"/>
            <w:noWrap/>
            <w:vAlign w:val="bottom"/>
            <w:hideMark/>
          </w:tcPr>
          <w:p w:rsidR="005449D2" w:rsidRPr="00AC552B" w:rsidRDefault="005449D2" w:rsidP="003F0F8A">
            <w:pPr>
              <w:spacing w:after="0" w:line="240" w:lineRule="auto"/>
              <w:jc w:val="right"/>
              <w:rPr>
                <w:rFonts w:ascii="Arial" w:hAnsi="Arial" w:cs="Arial"/>
                <w:bCs/>
                <w:sz w:val="16"/>
                <w:szCs w:val="16"/>
              </w:rPr>
            </w:pPr>
            <w:r w:rsidRPr="00AC552B">
              <w:rPr>
                <w:rFonts w:ascii="Arial" w:hAnsi="Arial" w:cs="Arial"/>
                <w:bCs/>
                <w:sz w:val="16"/>
                <w:szCs w:val="16"/>
              </w:rPr>
              <w:t xml:space="preserve">- </w:t>
            </w:r>
          </w:p>
        </w:tc>
      </w:tr>
      <w:tr w:rsidR="005449D2" w:rsidRPr="00367D91" w:rsidTr="003F0F8A">
        <w:trPr>
          <w:trHeight w:val="208"/>
        </w:trPr>
        <w:tc>
          <w:tcPr>
            <w:tcW w:w="3480" w:type="dxa"/>
            <w:tcBorders>
              <w:top w:val="nil"/>
              <w:left w:val="nil"/>
              <w:bottom w:val="nil"/>
              <w:right w:val="nil"/>
            </w:tcBorders>
            <w:shd w:val="clear" w:color="auto" w:fill="auto"/>
            <w:noWrap/>
            <w:vAlign w:val="center"/>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 xml:space="preserve">Total other comprehensive income </w:t>
            </w:r>
          </w:p>
        </w:tc>
        <w:tc>
          <w:tcPr>
            <w:tcW w:w="826"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c>
          <w:tcPr>
            <w:tcW w:w="848" w:type="dxa"/>
            <w:tcBorders>
              <w:top w:val="nil"/>
              <w:left w:val="nil"/>
              <w:bottom w:val="nil"/>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c>
          <w:tcPr>
            <w:tcW w:w="849" w:type="dxa"/>
            <w:tcBorders>
              <w:top w:val="nil"/>
              <w:left w:val="nil"/>
              <w:bottom w:val="nil"/>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r>
      <w:tr w:rsidR="005449D2" w:rsidRPr="00367D91" w:rsidTr="003F0F8A">
        <w:trPr>
          <w:trHeight w:val="208"/>
        </w:trPr>
        <w:tc>
          <w:tcPr>
            <w:tcW w:w="3480" w:type="dxa"/>
            <w:tcBorders>
              <w:top w:val="nil"/>
              <w:left w:val="nil"/>
              <w:bottom w:val="nil"/>
              <w:right w:val="nil"/>
            </w:tcBorders>
            <w:shd w:val="clear" w:color="auto" w:fill="auto"/>
            <w:noWrap/>
            <w:vAlign w:val="center"/>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Total comprehensive income/(loss)</w:t>
            </w:r>
          </w:p>
        </w:tc>
        <w:tc>
          <w:tcPr>
            <w:tcW w:w="826"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469,033 </w:t>
            </w:r>
          </w:p>
        </w:tc>
        <w:tc>
          <w:tcPr>
            <w:tcW w:w="848" w:type="dxa"/>
            <w:tcBorders>
              <w:top w:val="single" w:sz="4" w:space="0" w:color="auto"/>
              <w:left w:val="nil"/>
              <w:bottom w:val="single" w:sz="4" w:space="0" w:color="auto"/>
              <w:right w:val="nil"/>
            </w:tcBorders>
            <w:shd w:val="clear" w:color="000000" w:fill="E6E6E6"/>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19,757 </w:t>
            </w:r>
          </w:p>
        </w:tc>
        <w:tc>
          <w:tcPr>
            <w:tcW w:w="849"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2,929 </w:t>
            </w:r>
          </w:p>
        </w:tc>
        <w:tc>
          <w:tcPr>
            <w:tcW w:w="849"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c>
          <w:tcPr>
            <w:tcW w:w="849" w:type="dxa"/>
            <w:tcBorders>
              <w:top w:val="single" w:sz="4" w:space="0" w:color="auto"/>
              <w:left w:val="nil"/>
              <w:bottom w:val="single" w:sz="4" w:space="0" w:color="auto"/>
              <w:right w:val="nil"/>
            </w:tcBorders>
            <w:shd w:val="clear" w:color="auto" w:fill="auto"/>
            <w:noWrap/>
            <w:vAlign w:val="center"/>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r>
      <w:tr w:rsidR="005449D2" w:rsidRPr="00367D91" w:rsidTr="003F0F8A">
        <w:trPr>
          <w:trHeight w:val="251"/>
        </w:trPr>
        <w:tc>
          <w:tcPr>
            <w:tcW w:w="3480" w:type="dxa"/>
            <w:tcBorders>
              <w:top w:val="nil"/>
              <w:left w:val="nil"/>
              <w:bottom w:val="single" w:sz="4" w:space="0" w:color="auto"/>
              <w:right w:val="nil"/>
            </w:tcBorders>
            <w:shd w:val="clear" w:color="auto" w:fill="auto"/>
            <w:vAlign w:val="bottom"/>
            <w:hideMark/>
          </w:tcPr>
          <w:p w:rsidR="005449D2" w:rsidRPr="00367D91" w:rsidRDefault="005449D2" w:rsidP="003F0F8A">
            <w:pPr>
              <w:spacing w:after="0" w:line="240" w:lineRule="auto"/>
              <w:rPr>
                <w:rFonts w:ascii="Arial" w:hAnsi="Arial" w:cs="Arial"/>
                <w:b/>
                <w:bCs/>
                <w:sz w:val="16"/>
                <w:szCs w:val="16"/>
              </w:rPr>
            </w:pPr>
            <w:r w:rsidRPr="00367D91">
              <w:rPr>
                <w:rFonts w:ascii="Arial" w:hAnsi="Arial" w:cs="Arial"/>
                <w:b/>
                <w:bCs/>
                <w:sz w:val="16"/>
                <w:szCs w:val="16"/>
              </w:rPr>
              <w:t>Total comprehensive income/(loss)</w:t>
            </w:r>
            <w:r w:rsidRPr="00367D91">
              <w:rPr>
                <w:rFonts w:ascii="Arial" w:hAnsi="Arial" w:cs="Arial"/>
                <w:b/>
                <w:bCs/>
                <w:sz w:val="16"/>
                <w:szCs w:val="16"/>
              </w:rPr>
              <w:br/>
              <w:t xml:space="preserve">  attributable to the Australian Government</w:t>
            </w:r>
          </w:p>
        </w:tc>
        <w:tc>
          <w:tcPr>
            <w:tcW w:w="826" w:type="dxa"/>
            <w:tcBorders>
              <w:top w:val="nil"/>
              <w:left w:val="nil"/>
              <w:bottom w:val="single" w:sz="4" w:space="0" w:color="auto"/>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469,033 </w:t>
            </w:r>
          </w:p>
        </w:tc>
        <w:tc>
          <w:tcPr>
            <w:tcW w:w="848" w:type="dxa"/>
            <w:tcBorders>
              <w:top w:val="nil"/>
              <w:left w:val="nil"/>
              <w:bottom w:val="single" w:sz="4" w:space="0" w:color="auto"/>
              <w:right w:val="nil"/>
            </w:tcBorders>
            <w:shd w:val="clear" w:color="000000" w:fill="E6E6E6"/>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19,757 </w:t>
            </w:r>
          </w:p>
        </w:tc>
        <w:tc>
          <w:tcPr>
            <w:tcW w:w="849" w:type="dxa"/>
            <w:tcBorders>
              <w:top w:val="nil"/>
              <w:left w:val="nil"/>
              <w:bottom w:val="single" w:sz="4" w:space="0" w:color="auto"/>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2,929 </w:t>
            </w:r>
          </w:p>
        </w:tc>
        <w:tc>
          <w:tcPr>
            <w:tcW w:w="849" w:type="dxa"/>
            <w:tcBorders>
              <w:top w:val="nil"/>
              <w:left w:val="nil"/>
              <w:bottom w:val="single" w:sz="4" w:space="0" w:color="auto"/>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c>
          <w:tcPr>
            <w:tcW w:w="849" w:type="dxa"/>
            <w:tcBorders>
              <w:top w:val="nil"/>
              <w:left w:val="nil"/>
              <w:bottom w:val="single" w:sz="4" w:space="0" w:color="auto"/>
              <w:right w:val="nil"/>
            </w:tcBorders>
            <w:shd w:val="clear" w:color="auto" w:fill="auto"/>
            <w:noWrap/>
            <w:vAlign w:val="bottom"/>
            <w:hideMark/>
          </w:tcPr>
          <w:p w:rsidR="005449D2" w:rsidRPr="00367D91" w:rsidRDefault="005449D2" w:rsidP="003F0F8A">
            <w:pPr>
              <w:spacing w:after="0" w:line="240" w:lineRule="auto"/>
              <w:jc w:val="right"/>
              <w:rPr>
                <w:rFonts w:ascii="Arial" w:hAnsi="Arial" w:cs="Arial"/>
                <w:b/>
                <w:bCs/>
                <w:sz w:val="16"/>
                <w:szCs w:val="16"/>
              </w:rPr>
            </w:pPr>
            <w:r w:rsidRPr="00367D91">
              <w:rPr>
                <w:rFonts w:ascii="Arial" w:hAnsi="Arial" w:cs="Arial"/>
                <w:b/>
                <w:bCs/>
                <w:sz w:val="16"/>
                <w:szCs w:val="16"/>
              </w:rPr>
              <w:t xml:space="preserve">- </w:t>
            </w:r>
          </w:p>
        </w:tc>
      </w:tr>
    </w:tbl>
    <w:p w:rsidR="005449D2" w:rsidRPr="00096568" w:rsidRDefault="005449D2" w:rsidP="005449D2">
      <w:pPr>
        <w:pStyle w:val="ChartandTableFootnoteAlpha"/>
        <w:numPr>
          <w:ilvl w:val="0"/>
          <w:numId w:val="47"/>
        </w:numPr>
        <w:spacing w:before="120"/>
        <w:jc w:val="left"/>
      </w:pPr>
      <w:r>
        <w:t>Relates to non-cash movements in workers’ compensation claims liabilities and asbestos related claims liabilities.</w:t>
      </w:r>
    </w:p>
    <w:p w:rsidR="005449D2" w:rsidRDefault="005449D2" w:rsidP="005449D2">
      <w:pPr>
        <w:pStyle w:val="Source"/>
        <w:spacing w:before="120"/>
      </w:pPr>
      <w:r w:rsidRPr="00E4582E">
        <w:t>Prepared on Australian Accounting Standards basis</w:t>
      </w:r>
      <w:r>
        <w:t xml:space="preserve">. </w:t>
      </w:r>
    </w:p>
    <w:p w:rsidR="005449D2" w:rsidRDefault="005449D2" w:rsidP="005449D2">
      <w:pPr>
        <w:pStyle w:val="TableHeading"/>
      </w:pPr>
      <w:r>
        <w:br w:type="page"/>
      </w:r>
      <w:r w:rsidRPr="00E4582E">
        <w:t>Table</w:t>
      </w:r>
      <w:r>
        <w:t xml:space="preserve"> 3.</w:t>
      </w:r>
      <w:r w:rsidRPr="00E4582E">
        <w:t>2: Budg</w:t>
      </w:r>
      <w:r>
        <w:t xml:space="preserve">eted departmental balance sheet </w:t>
      </w:r>
      <w:r w:rsidRPr="00E4582E">
        <w:t>(as at 30 June)</w:t>
      </w:r>
    </w:p>
    <w:tbl>
      <w:tblPr>
        <w:tblW w:w="7340" w:type="dxa"/>
        <w:tblInd w:w="93" w:type="dxa"/>
        <w:tblCellMar>
          <w:left w:w="57" w:type="dxa"/>
          <w:right w:w="57" w:type="dxa"/>
        </w:tblCellMar>
        <w:tblLook w:val="04A0" w:firstRow="1" w:lastRow="0" w:firstColumn="1" w:lastColumn="0" w:noHBand="0" w:noVBand="1"/>
      </w:tblPr>
      <w:tblGrid>
        <w:gridCol w:w="3040"/>
        <w:gridCol w:w="860"/>
        <w:gridCol w:w="860"/>
        <w:gridCol w:w="860"/>
        <w:gridCol w:w="860"/>
        <w:gridCol w:w="860"/>
      </w:tblGrid>
      <w:tr w:rsidR="005449D2" w:rsidRPr="00316F2B" w:rsidTr="003F0F8A">
        <w:trPr>
          <w:trHeight w:val="816"/>
        </w:trPr>
        <w:tc>
          <w:tcPr>
            <w:tcW w:w="3040" w:type="dxa"/>
            <w:tcBorders>
              <w:top w:val="single" w:sz="4" w:space="0" w:color="auto"/>
              <w:left w:val="nil"/>
              <w:bottom w:val="nil"/>
              <w:right w:val="nil"/>
            </w:tcBorders>
            <w:shd w:val="clear" w:color="auto" w:fill="auto"/>
            <w:noWrap/>
            <w:hideMark/>
          </w:tcPr>
          <w:p w:rsidR="005449D2" w:rsidRPr="00316F2B" w:rsidRDefault="005449D2" w:rsidP="003F0F8A">
            <w:pPr>
              <w:spacing w:after="0" w:line="240" w:lineRule="auto"/>
              <w:rPr>
                <w:rFonts w:ascii="Arial" w:hAnsi="Arial" w:cs="Arial"/>
                <w:b/>
                <w:bCs/>
                <w:sz w:val="16"/>
                <w:szCs w:val="16"/>
              </w:rPr>
            </w:pPr>
            <w:r w:rsidRPr="00316F2B">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auto" w:fill="auto"/>
            <w:vAlign w:val="center"/>
            <w:hideMark/>
          </w:tcPr>
          <w:p w:rsidR="005449D2" w:rsidRPr="00316F2B" w:rsidRDefault="005449D2" w:rsidP="003F0F8A">
            <w:pPr>
              <w:spacing w:after="0" w:line="240" w:lineRule="auto"/>
              <w:jc w:val="right"/>
              <w:rPr>
                <w:rFonts w:ascii="Arial" w:hAnsi="Arial" w:cs="Arial"/>
                <w:sz w:val="16"/>
                <w:szCs w:val="16"/>
              </w:rPr>
            </w:pPr>
            <w:r w:rsidRPr="00316F2B">
              <w:rPr>
                <w:rFonts w:ascii="Arial" w:hAnsi="Arial" w:cs="Arial"/>
                <w:sz w:val="16"/>
                <w:szCs w:val="16"/>
              </w:rPr>
              <w:t>2016–17 Estimated actual</w:t>
            </w:r>
            <w:r w:rsidRPr="00316F2B">
              <w:rPr>
                <w:rFonts w:ascii="Arial" w:hAnsi="Arial" w:cs="Arial"/>
                <w:sz w:val="16"/>
                <w:szCs w:val="16"/>
              </w:rPr>
              <w:br/>
              <w:t>$</w:t>
            </w:r>
            <w:r>
              <w:rPr>
                <w:rFonts w:ascii="Arial" w:hAnsi="Arial" w:cs="Arial"/>
                <w:sz w:val="16"/>
                <w:szCs w:val="16"/>
              </w:rPr>
              <w:t>’</w:t>
            </w:r>
            <w:r w:rsidRPr="00316F2B">
              <w:rPr>
                <w:rFonts w:ascii="Arial" w:hAnsi="Arial" w:cs="Arial"/>
                <w:sz w:val="16"/>
                <w:szCs w:val="16"/>
              </w:rPr>
              <w:t>000</w:t>
            </w:r>
          </w:p>
        </w:tc>
        <w:tc>
          <w:tcPr>
            <w:tcW w:w="860" w:type="dxa"/>
            <w:tcBorders>
              <w:top w:val="single" w:sz="4" w:space="0" w:color="auto"/>
              <w:left w:val="nil"/>
              <w:bottom w:val="single" w:sz="4" w:space="0" w:color="auto"/>
              <w:right w:val="nil"/>
            </w:tcBorders>
            <w:shd w:val="clear" w:color="000000" w:fill="E6E6E6"/>
            <w:vAlign w:val="center"/>
            <w:hideMark/>
          </w:tcPr>
          <w:p w:rsidR="005449D2" w:rsidRPr="00316F2B" w:rsidRDefault="005449D2" w:rsidP="003F0F8A">
            <w:pPr>
              <w:spacing w:after="0" w:line="240" w:lineRule="auto"/>
              <w:jc w:val="right"/>
              <w:rPr>
                <w:rFonts w:ascii="Arial" w:hAnsi="Arial" w:cs="Arial"/>
                <w:sz w:val="16"/>
                <w:szCs w:val="16"/>
              </w:rPr>
            </w:pPr>
            <w:r w:rsidRPr="00316F2B">
              <w:rPr>
                <w:rFonts w:ascii="Arial" w:hAnsi="Arial" w:cs="Arial"/>
                <w:sz w:val="16"/>
                <w:szCs w:val="16"/>
              </w:rPr>
              <w:t>2017–18</w:t>
            </w:r>
            <w:r w:rsidRPr="00316F2B">
              <w:rPr>
                <w:rFonts w:ascii="Arial" w:hAnsi="Arial" w:cs="Arial"/>
                <w:sz w:val="16"/>
                <w:szCs w:val="16"/>
              </w:rPr>
              <w:br/>
              <w:t>Budget</w:t>
            </w:r>
            <w:r w:rsidRPr="00316F2B">
              <w:rPr>
                <w:rFonts w:ascii="Arial" w:hAnsi="Arial" w:cs="Arial"/>
                <w:sz w:val="16"/>
                <w:szCs w:val="16"/>
              </w:rPr>
              <w:br/>
            </w:r>
            <w:r w:rsidRPr="00316F2B">
              <w:rPr>
                <w:rFonts w:ascii="Arial" w:hAnsi="Arial" w:cs="Arial"/>
                <w:sz w:val="16"/>
                <w:szCs w:val="16"/>
              </w:rPr>
              <w:br/>
              <w:t>$</w:t>
            </w:r>
            <w:r>
              <w:rPr>
                <w:rFonts w:ascii="Arial" w:hAnsi="Arial" w:cs="Arial"/>
                <w:sz w:val="16"/>
                <w:szCs w:val="16"/>
              </w:rPr>
              <w:t>’</w:t>
            </w:r>
            <w:r w:rsidRPr="00316F2B">
              <w:rPr>
                <w:rFonts w:ascii="Arial" w:hAnsi="Arial" w:cs="Arial"/>
                <w:sz w:val="16"/>
                <w:szCs w:val="16"/>
              </w:rPr>
              <w:t>000</w:t>
            </w:r>
          </w:p>
        </w:tc>
        <w:tc>
          <w:tcPr>
            <w:tcW w:w="860" w:type="dxa"/>
            <w:tcBorders>
              <w:top w:val="single" w:sz="4" w:space="0" w:color="auto"/>
              <w:left w:val="nil"/>
              <w:bottom w:val="single" w:sz="4" w:space="0" w:color="auto"/>
              <w:right w:val="nil"/>
            </w:tcBorders>
            <w:shd w:val="clear" w:color="auto" w:fill="auto"/>
            <w:vAlign w:val="center"/>
            <w:hideMark/>
          </w:tcPr>
          <w:p w:rsidR="005449D2" w:rsidRPr="00316F2B" w:rsidRDefault="005449D2" w:rsidP="003F0F8A">
            <w:pPr>
              <w:spacing w:after="0" w:line="240" w:lineRule="auto"/>
              <w:jc w:val="right"/>
              <w:rPr>
                <w:rFonts w:ascii="Arial" w:hAnsi="Arial" w:cs="Arial"/>
                <w:sz w:val="16"/>
                <w:szCs w:val="16"/>
              </w:rPr>
            </w:pPr>
            <w:r w:rsidRPr="00316F2B">
              <w:rPr>
                <w:rFonts w:ascii="Arial" w:hAnsi="Arial" w:cs="Arial"/>
                <w:sz w:val="16"/>
                <w:szCs w:val="16"/>
              </w:rPr>
              <w:t>2018–19 Forward estimate</w:t>
            </w:r>
            <w:r w:rsidRPr="00316F2B">
              <w:rPr>
                <w:rFonts w:ascii="Arial" w:hAnsi="Arial" w:cs="Arial"/>
                <w:sz w:val="16"/>
                <w:szCs w:val="16"/>
              </w:rPr>
              <w:br/>
              <w:t>$</w:t>
            </w:r>
            <w:r>
              <w:rPr>
                <w:rFonts w:ascii="Arial" w:hAnsi="Arial" w:cs="Arial"/>
                <w:sz w:val="16"/>
                <w:szCs w:val="16"/>
              </w:rPr>
              <w:t>’</w:t>
            </w:r>
            <w:r w:rsidRPr="00316F2B">
              <w:rPr>
                <w:rFonts w:ascii="Arial" w:hAnsi="Arial" w:cs="Arial"/>
                <w:sz w:val="16"/>
                <w:szCs w:val="16"/>
              </w:rPr>
              <w:t>000</w:t>
            </w:r>
          </w:p>
        </w:tc>
        <w:tc>
          <w:tcPr>
            <w:tcW w:w="860" w:type="dxa"/>
            <w:tcBorders>
              <w:top w:val="single" w:sz="4" w:space="0" w:color="auto"/>
              <w:left w:val="nil"/>
              <w:bottom w:val="single" w:sz="4" w:space="0" w:color="auto"/>
              <w:right w:val="nil"/>
            </w:tcBorders>
            <w:shd w:val="clear" w:color="auto" w:fill="auto"/>
            <w:vAlign w:val="center"/>
            <w:hideMark/>
          </w:tcPr>
          <w:p w:rsidR="005449D2" w:rsidRPr="00316F2B" w:rsidRDefault="005449D2" w:rsidP="003F0F8A">
            <w:pPr>
              <w:spacing w:after="0" w:line="240" w:lineRule="auto"/>
              <w:jc w:val="right"/>
              <w:rPr>
                <w:rFonts w:ascii="Arial" w:hAnsi="Arial" w:cs="Arial"/>
                <w:sz w:val="16"/>
                <w:szCs w:val="16"/>
              </w:rPr>
            </w:pPr>
            <w:r w:rsidRPr="00316F2B">
              <w:rPr>
                <w:rFonts w:ascii="Arial" w:hAnsi="Arial" w:cs="Arial"/>
                <w:sz w:val="16"/>
                <w:szCs w:val="16"/>
              </w:rPr>
              <w:t>2019–20 Forward estimate</w:t>
            </w:r>
            <w:r w:rsidRPr="00316F2B">
              <w:rPr>
                <w:rFonts w:ascii="Arial" w:hAnsi="Arial" w:cs="Arial"/>
                <w:sz w:val="16"/>
                <w:szCs w:val="16"/>
              </w:rPr>
              <w:br/>
              <w:t>$</w:t>
            </w:r>
            <w:r>
              <w:rPr>
                <w:rFonts w:ascii="Arial" w:hAnsi="Arial" w:cs="Arial"/>
                <w:sz w:val="16"/>
                <w:szCs w:val="16"/>
              </w:rPr>
              <w:t>’</w:t>
            </w:r>
            <w:r w:rsidRPr="00316F2B">
              <w:rPr>
                <w:rFonts w:ascii="Arial" w:hAnsi="Arial" w:cs="Arial"/>
                <w:sz w:val="16"/>
                <w:szCs w:val="16"/>
              </w:rPr>
              <w:t>000</w:t>
            </w:r>
          </w:p>
        </w:tc>
        <w:tc>
          <w:tcPr>
            <w:tcW w:w="860" w:type="dxa"/>
            <w:tcBorders>
              <w:top w:val="single" w:sz="4" w:space="0" w:color="auto"/>
              <w:left w:val="nil"/>
              <w:bottom w:val="single" w:sz="4" w:space="0" w:color="auto"/>
              <w:right w:val="nil"/>
            </w:tcBorders>
            <w:shd w:val="clear" w:color="auto" w:fill="auto"/>
            <w:vAlign w:val="center"/>
            <w:hideMark/>
          </w:tcPr>
          <w:p w:rsidR="005449D2" w:rsidRPr="00316F2B" w:rsidRDefault="005449D2" w:rsidP="003F0F8A">
            <w:pPr>
              <w:spacing w:after="0" w:line="240" w:lineRule="auto"/>
              <w:jc w:val="right"/>
              <w:rPr>
                <w:rFonts w:ascii="Arial" w:hAnsi="Arial" w:cs="Arial"/>
                <w:sz w:val="16"/>
                <w:szCs w:val="16"/>
              </w:rPr>
            </w:pPr>
            <w:r w:rsidRPr="00316F2B">
              <w:rPr>
                <w:rFonts w:ascii="Arial" w:hAnsi="Arial" w:cs="Arial"/>
                <w:sz w:val="16"/>
                <w:szCs w:val="16"/>
              </w:rPr>
              <w:t>2020–21</w:t>
            </w:r>
            <w:r w:rsidRPr="00316F2B">
              <w:rPr>
                <w:rFonts w:ascii="Arial" w:hAnsi="Arial" w:cs="Arial"/>
                <w:sz w:val="16"/>
                <w:szCs w:val="16"/>
              </w:rPr>
              <w:br/>
              <w:t>Forward estimate</w:t>
            </w:r>
            <w:r w:rsidRPr="00316F2B">
              <w:rPr>
                <w:rFonts w:ascii="Arial" w:hAnsi="Arial" w:cs="Arial"/>
                <w:sz w:val="16"/>
                <w:szCs w:val="16"/>
              </w:rPr>
              <w:br/>
              <w:t>$</w:t>
            </w:r>
            <w:r>
              <w:rPr>
                <w:rFonts w:ascii="Arial" w:hAnsi="Arial" w:cs="Arial"/>
                <w:sz w:val="16"/>
                <w:szCs w:val="16"/>
              </w:rPr>
              <w:t>’</w:t>
            </w:r>
            <w:r w:rsidRPr="00316F2B">
              <w:rPr>
                <w:rFonts w:ascii="Arial" w:hAnsi="Arial" w:cs="Arial"/>
                <w:sz w:val="16"/>
                <w:szCs w:val="16"/>
              </w:rPr>
              <w:t>000</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ASSETS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Financial assets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 xml:space="preserve">Cash </w:t>
            </w:r>
            <w:r w:rsidRPr="00316F2B">
              <w:rPr>
                <w:rFonts w:ascii="Arial" w:hAnsi="Arial" w:cs="Arial"/>
                <w:sz w:val="16"/>
                <w:szCs w:val="16"/>
              </w:rPr>
              <w:t>and cash equivalents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949,189</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974,365</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989,530</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1,013,315</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1,042,855</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sz w:val="16"/>
                <w:szCs w:val="16"/>
              </w:rPr>
            </w:pPr>
            <w:r w:rsidRPr="00316F2B">
              <w:rPr>
                <w:rFonts w:ascii="Arial" w:hAnsi="Arial" w:cs="Arial"/>
                <w:sz w:val="16"/>
                <w:szCs w:val="16"/>
              </w:rPr>
              <w:t>Trade and other receivables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2,924,831</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2,887,559</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2,858,504</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2,830,184</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2,801,818</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Other financial assets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12,442</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12,442</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12,442</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12,442</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12,442</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i/>
                <w:iCs/>
                <w:color w:val="000000"/>
                <w:sz w:val="16"/>
                <w:szCs w:val="16"/>
              </w:rPr>
            </w:pPr>
            <w:r w:rsidRPr="00316F2B">
              <w:rPr>
                <w:rFonts w:ascii="Arial" w:hAnsi="Arial" w:cs="Arial"/>
                <w:b/>
                <w:bCs/>
                <w:i/>
                <w:iCs/>
                <w:color w:val="000000"/>
                <w:sz w:val="16"/>
                <w:szCs w:val="16"/>
              </w:rPr>
              <w:t>Total financial assets</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3,886,462 </w:t>
            </w:r>
          </w:p>
        </w:tc>
        <w:tc>
          <w:tcPr>
            <w:tcW w:w="860" w:type="dxa"/>
            <w:tcBorders>
              <w:top w:val="single" w:sz="4" w:space="0" w:color="000000"/>
              <w:left w:val="nil"/>
              <w:bottom w:val="single" w:sz="4" w:space="0" w:color="000000"/>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3,874,366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3,860,476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3,855,941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3,857,115 </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Non-financial assets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Property, plant and equipment</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21,488</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19,913</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15,938</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13,743</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13,868</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Intangibles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2,428</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7,623</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12,583</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12,668</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11,453</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Other non-financial assets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1,771</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1,771</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1,771</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1,771</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1,771</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i/>
                <w:iCs/>
                <w:color w:val="000000"/>
                <w:sz w:val="16"/>
                <w:szCs w:val="16"/>
              </w:rPr>
            </w:pPr>
            <w:r w:rsidRPr="00316F2B">
              <w:rPr>
                <w:rFonts w:ascii="Arial" w:hAnsi="Arial" w:cs="Arial"/>
                <w:b/>
                <w:bCs/>
                <w:i/>
                <w:iCs/>
                <w:color w:val="000000"/>
                <w:sz w:val="16"/>
                <w:szCs w:val="16"/>
              </w:rPr>
              <w:t>Total non-financial assets</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25,687 </w:t>
            </w:r>
          </w:p>
        </w:tc>
        <w:tc>
          <w:tcPr>
            <w:tcW w:w="860" w:type="dxa"/>
            <w:tcBorders>
              <w:top w:val="single" w:sz="4" w:space="0" w:color="000000"/>
              <w:left w:val="nil"/>
              <w:bottom w:val="single" w:sz="4" w:space="0" w:color="000000"/>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29,307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30,292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28,182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27,092 </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sz w:val="16"/>
                <w:szCs w:val="16"/>
              </w:rPr>
            </w:pPr>
            <w:r w:rsidRPr="00316F2B">
              <w:rPr>
                <w:rFonts w:ascii="Arial" w:hAnsi="Arial" w:cs="Arial"/>
                <w:sz w:val="16"/>
                <w:szCs w:val="16"/>
              </w:rPr>
              <w:t>Assets held for sale</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316F2B">
              <w:rPr>
                <w:rFonts w:ascii="Arial" w:hAnsi="Arial" w:cs="Arial"/>
                <w:color w:val="000000"/>
                <w:sz w:val="16"/>
                <w:szCs w:val="16"/>
              </w:rPr>
              <w:t> </w:t>
            </w:r>
          </w:p>
        </w:tc>
        <w:tc>
          <w:tcPr>
            <w:tcW w:w="860" w:type="dxa"/>
            <w:tcBorders>
              <w:top w:val="nil"/>
              <w:left w:val="nil"/>
              <w:bottom w:val="single" w:sz="4" w:space="0" w:color="000000"/>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316F2B">
              <w:rPr>
                <w:rFonts w:ascii="Arial" w:hAnsi="Arial" w:cs="Arial"/>
                <w:color w:val="000000"/>
                <w:sz w:val="16"/>
                <w:szCs w:val="16"/>
              </w:rPr>
              <w:t> </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316F2B">
              <w:rPr>
                <w:rFonts w:ascii="Arial" w:hAnsi="Arial" w:cs="Arial"/>
                <w:color w:val="000000"/>
                <w:sz w:val="16"/>
                <w:szCs w:val="16"/>
              </w:rPr>
              <w:t> </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316F2B">
              <w:rPr>
                <w:rFonts w:ascii="Arial" w:hAnsi="Arial" w:cs="Arial"/>
                <w:color w:val="000000"/>
                <w:sz w:val="16"/>
                <w:szCs w:val="16"/>
              </w:rPr>
              <w:t> </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316F2B">
              <w:rPr>
                <w:rFonts w:ascii="Arial" w:hAnsi="Arial" w:cs="Arial"/>
                <w:color w:val="000000"/>
                <w:sz w:val="16"/>
                <w:szCs w:val="16"/>
              </w:rPr>
              <w:t> </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Total assets</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3,912,149 </w:t>
            </w:r>
          </w:p>
        </w:tc>
        <w:tc>
          <w:tcPr>
            <w:tcW w:w="860" w:type="dxa"/>
            <w:tcBorders>
              <w:top w:val="nil"/>
              <w:left w:val="nil"/>
              <w:bottom w:val="single" w:sz="4" w:space="0" w:color="000000"/>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3,903,673 </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3,890,768 </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3,884,123 </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3,884,207 </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LIABILITIES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Payables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Suppliers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5,850</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5,850</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5,850</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5,850</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5,850</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Other payables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10,302</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10,302</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10,302</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10,302</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10,302</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i/>
                <w:iCs/>
                <w:color w:val="000000"/>
                <w:sz w:val="16"/>
                <w:szCs w:val="16"/>
              </w:rPr>
            </w:pPr>
            <w:r w:rsidRPr="00316F2B">
              <w:rPr>
                <w:rFonts w:ascii="Arial" w:hAnsi="Arial" w:cs="Arial"/>
                <w:b/>
                <w:bCs/>
                <w:i/>
                <w:iCs/>
                <w:color w:val="000000"/>
                <w:sz w:val="16"/>
                <w:szCs w:val="16"/>
              </w:rPr>
              <w:t>Total payables</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16,152 </w:t>
            </w:r>
          </w:p>
        </w:tc>
        <w:tc>
          <w:tcPr>
            <w:tcW w:w="860" w:type="dxa"/>
            <w:tcBorders>
              <w:top w:val="single" w:sz="4" w:space="0" w:color="000000"/>
              <w:left w:val="nil"/>
              <w:bottom w:val="single" w:sz="4" w:space="0" w:color="000000"/>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16,152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16,152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16,152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16,152 </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Provisions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Employee provisions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18,361</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19,756</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21,139</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22,506</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22,506</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Other provisions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3,860,693</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3,831,065</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3,813,848</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3,805,836</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3,805,920</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i/>
                <w:iCs/>
                <w:color w:val="000000"/>
                <w:sz w:val="16"/>
                <w:szCs w:val="16"/>
              </w:rPr>
            </w:pPr>
            <w:r w:rsidRPr="00316F2B">
              <w:rPr>
                <w:rFonts w:ascii="Arial" w:hAnsi="Arial" w:cs="Arial"/>
                <w:b/>
                <w:bCs/>
                <w:i/>
                <w:iCs/>
                <w:color w:val="000000"/>
                <w:sz w:val="16"/>
                <w:szCs w:val="16"/>
              </w:rPr>
              <w:t>Total provisions</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3,879,054 </w:t>
            </w:r>
          </w:p>
        </w:tc>
        <w:tc>
          <w:tcPr>
            <w:tcW w:w="860" w:type="dxa"/>
            <w:tcBorders>
              <w:top w:val="single" w:sz="4" w:space="0" w:color="000000"/>
              <w:left w:val="nil"/>
              <w:bottom w:val="single" w:sz="4" w:space="0" w:color="000000"/>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3,850,821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3,834,987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3,828,342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3,828,426 </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Total liabilities</w:t>
            </w:r>
          </w:p>
        </w:tc>
        <w:tc>
          <w:tcPr>
            <w:tcW w:w="860"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3,895,206 </w:t>
            </w:r>
          </w:p>
        </w:tc>
        <w:tc>
          <w:tcPr>
            <w:tcW w:w="860" w:type="dxa"/>
            <w:tcBorders>
              <w:top w:val="nil"/>
              <w:left w:val="nil"/>
              <w:bottom w:val="single" w:sz="4" w:space="0" w:color="auto"/>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3,866,973 </w:t>
            </w:r>
          </w:p>
        </w:tc>
        <w:tc>
          <w:tcPr>
            <w:tcW w:w="860"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3,851,139 </w:t>
            </w:r>
          </w:p>
        </w:tc>
        <w:tc>
          <w:tcPr>
            <w:tcW w:w="860"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3,844,494 </w:t>
            </w:r>
          </w:p>
        </w:tc>
        <w:tc>
          <w:tcPr>
            <w:tcW w:w="860"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3,844,578 </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sz w:val="16"/>
                <w:szCs w:val="16"/>
              </w:rPr>
            </w:pPr>
            <w:r w:rsidRPr="00316F2B">
              <w:rPr>
                <w:rFonts w:ascii="Arial" w:hAnsi="Arial" w:cs="Arial"/>
                <w:b/>
                <w:bCs/>
                <w:sz w:val="16"/>
                <w:szCs w:val="16"/>
              </w:rPr>
              <w:t>Net assets</w:t>
            </w:r>
          </w:p>
        </w:tc>
        <w:tc>
          <w:tcPr>
            <w:tcW w:w="860"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16,943 </w:t>
            </w:r>
          </w:p>
        </w:tc>
        <w:tc>
          <w:tcPr>
            <w:tcW w:w="860" w:type="dxa"/>
            <w:tcBorders>
              <w:top w:val="nil"/>
              <w:left w:val="nil"/>
              <w:bottom w:val="single" w:sz="4" w:space="0" w:color="auto"/>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36,700 </w:t>
            </w:r>
          </w:p>
        </w:tc>
        <w:tc>
          <w:tcPr>
            <w:tcW w:w="860"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39,629 </w:t>
            </w:r>
          </w:p>
        </w:tc>
        <w:tc>
          <w:tcPr>
            <w:tcW w:w="860"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39,629 </w:t>
            </w:r>
          </w:p>
        </w:tc>
        <w:tc>
          <w:tcPr>
            <w:tcW w:w="860"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39,629 </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EQUITY*</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Parent entity interest</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Contributed equity</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7,717 </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7,717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7,717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7,717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7,717 </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Reserves</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4,271 </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4,271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4,271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4,271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4,271 </w:t>
            </w:r>
          </w:p>
        </w:tc>
      </w:tr>
      <w:tr w:rsidR="005449D2" w:rsidRPr="00316F2B" w:rsidTr="003F0F8A">
        <w:trPr>
          <w:trHeight w:val="204"/>
        </w:trPr>
        <w:tc>
          <w:tcPr>
            <w:tcW w:w="3040" w:type="dxa"/>
            <w:tcBorders>
              <w:top w:val="nil"/>
              <w:left w:val="nil"/>
              <w:bottom w:val="nil"/>
              <w:right w:val="nil"/>
            </w:tcBorders>
            <w:shd w:val="clear" w:color="auto" w:fill="auto"/>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Retained surplus (accumulated deficit)</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4,955 </w:t>
            </w:r>
          </w:p>
        </w:tc>
        <w:tc>
          <w:tcPr>
            <w:tcW w:w="860"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24,712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27,641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27,641 </w:t>
            </w:r>
          </w:p>
        </w:tc>
        <w:tc>
          <w:tcPr>
            <w:tcW w:w="86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27,641 </w:t>
            </w:r>
          </w:p>
        </w:tc>
      </w:tr>
      <w:tr w:rsidR="005449D2" w:rsidRPr="00316F2B" w:rsidTr="003F0F8A">
        <w:trPr>
          <w:trHeight w:val="204"/>
        </w:trPr>
        <w:tc>
          <w:tcPr>
            <w:tcW w:w="3040"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i/>
                <w:iCs/>
                <w:color w:val="000000"/>
                <w:sz w:val="16"/>
                <w:szCs w:val="16"/>
              </w:rPr>
            </w:pPr>
            <w:r w:rsidRPr="00316F2B">
              <w:rPr>
                <w:rFonts w:ascii="Arial" w:hAnsi="Arial" w:cs="Arial"/>
                <w:b/>
                <w:bCs/>
                <w:i/>
                <w:iCs/>
                <w:color w:val="000000"/>
                <w:sz w:val="16"/>
                <w:szCs w:val="16"/>
              </w:rPr>
              <w:t>Total parent entity interest</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16,943 </w:t>
            </w:r>
          </w:p>
        </w:tc>
        <w:tc>
          <w:tcPr>
            <w:tcW w:w="860" w:type="dxa"/>
            <w:tcBorders>
              <w:top w:val="single" w:sz="4" w:space="0" w:color="000000"/>
              <w:left w:val="nil"/>
              <w:bottom w:val="single" w:sz="4" w:space="0" w:color="000000"/>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36,700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39,629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39,629 </w:t>
            </w:r>
          </w:p>
        </w:tc>
        <w:tc>
          <w:tcPr>
            <w:tcW w:w="860"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39,629 </w:t>
            </w:r>
          </w:p>
        </w:tc>
      </w:tr>
      <w:tr w:rsidR="005449D2" w:rsidRPr="00316F2B" w:rsidTr="003F0F8A">
        <w:trPr>
          <w:trHeight w:val="204"/>
        </w:trPr>
        <w:tc>
          <w:tcPr>
            <w:tcW w:w="304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Total equity</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16,943 </w:t>
            </w:r>
          </w:p>
        </w:tc>
        <w:tc>
          <w:tcPr>
            <w:tcW w:w="860" w:type="dxa"/>
            <w:tcBorders>
              <w:top w:val="nil"/>
              <w:left w:val="nil"/>
              <w:bottom w:val="single" w:sz="4" w:space="0" w:color="000000"/>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36,700 </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39,629 </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39,629 </w:t>
            </w:r>
          </w:p>
        </w:tc>
        <w:tc>
          <w:tcPr>
            <w:tcW w:w="860" w:type="dxa"/>
            <w:tcBorders>
              <w:top w:val="nil"/>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39,629 </w:t>
            </w:r>
          </w:p>
        </w:tc>
      </w:tr>
    </w:tbl>
    <w:p w:rsidR="005449D2" w:rsidRDefault="005449D2" w:rsidP="005449D2">
      <w:pPr>
        <w:pStyle w:val="ChartandTableFootnote"/>
        <w:spacing w:before="120"/>
      </w:pPr>
      <w:r w:rsidRPr="00E4582E">
        <w:t>*</w:t>
      </w:r>
      <w:r>
        <w:rPr>
          <w:lang w:val="en-AU"/>
        </w:rPr>
        <w:t xml:space="preserve"> ‘</w:t>
      </w:r>
      <w:r w:rsidRPr="00F626C2">
        <w:t>E</w:t>
      </w:r>
      <w:r>
        <w:t>quity’</w:t>
      </w:r>
      <w:r w:rsidRPr="00E4582E">
        <w:t xml:space="preserve"> is the residual interest in assets after deduction of liabilities.</w:t>
      </w:r>
    </w:p>
    <w:p w:rsidR="005449D2" w:rsidRDefault="005449D2" w:rsidP="005449D2">
      <w:pPr>
        <w:pStyle w:val="Source"/>
        <w:spacing w:before="120"/>
      </w:pPr>
      <w:r>
        <w:t>Prepared on Australian Accounting Standards basis.</w:t>
      </w:r>
    </w:p>
    <w:p w:rsidR="005449D2" w:rsidRDefault="005449D2" w:rsidP="005449D2">
      <w:pPr>
        <w:pStyle w:val="TableHeading"/>
      </w:pPr>
      <w:r>
        <w:br w:type="page"/>
      </w:r>
      <w:r w:rsidRPr="00AD42E2">
        <w:t>Table 3.3: Departmental</w:t>
      </w:r>
      <w:r>
        <w:t xml:space="preserve"> statement of changes in equity</w:t>
      </w:r>
      <w:r w:rsidRPr="00AD42E2">
        <w:t>—summary of</w:t>
      </w:r>
      <w:r>
        <w:t xml:space="preserve"> movement (Budget year 2017</w:t>
      </w:r>
      <w:r>
        <w:rPr>
          <w:lang w:val="en-AU"/>
        </w:rPr>
        <w:t>–</w:t>
      </w:r>
      <w:r>
        <w:t>18</w:t>
      </w:r>
      <w:r w:rsidRPr="00D30CBA">
        <w:t>)</w:t>
      </w:r>
    </w:p>
    <w:tbl>
      <w:tblPr>
        <w:tblW w:w="7751" w:type="dxa"/>
        <w:tblInd w:w="93" w:type="dxa"/>
        <w:tblLook w:val="04A0" w:firstRow="1" w:lastRow="0" w:firstColumn="1" w:lastColumn="0" w:noHBand="0" w:noVBand="1"/>
      </w:tblPr>
      <w:tblGrid>
        <w:gridCol w:w="3694"/>
        <w:gridCol w:w="857"/>
        <w:gridCol w:w="1134"/>
        <w:gridCol w:w="1134"/>
        <w:gridCol w:w="932"/>
      </w:tblGrid>
      <w:tr w:rsidR="005449D2" w:rsidRPr="0093609D" w:rsidTr="003F0F8A">
        <w:trPr>
          <w:trHeight w:val="643"/>
        </w:trPr>
        <w:tc>
          <w:tcPr>
            <w:tcW w:w="3694" w:type="dxa"/>
            <w:tcBorders>
              <w:top w:val="single" w:sz="4" w:space="0" w:color="auto"/>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w:t>
            </w:r>
          </w:p>
        </w:tc>
        <w:tc>
          <w:tcPr>
            <w:tcW w:w="857" w:type="dxa"/>
            <w:tcBorders>
              <w:top w:val="single" w:sz="4" w:space="0" w:color="auto"/>
              <w:left w:val="nil"/>
              <w:bottom w:val="single" w:sz="4" w:space="0" w:color="000000"/>
              <w:right w:val="nil"/>
            </w:tcBorders>
            <w:shd w:val="clear" w:color="auto" w:fill="auto"/>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Retained</w:t>
            </w:r>
            <w:r w:rsidRPr="0093609D">
              <w:rPr>
                <w:rFonts w:ascii="Arial" w:hAnsi="Arial" w:cs="Arial"/>
                <w:color w:val="000000"/>
                <w:sz w:val="16"/>
                <w:szCs w:val="16"/>
              </w:rPr>
              <w:br/>
              <w:t>earnings</w:t>
            </w:r>
            <w:r w:rsidRPr="0093609D">
              <w:rPr>
                <w:rFonts w:ascii="Arial" w:hAnsi="Arial" w:cs="Arial"/>
                <w:color w:val="000000"/>
                <w:sz w:val="16"/>
                <w:szCs w:val="16"/>
              </w:rPr>
              <w:br/>
            </w:r>
            <w:r w:rsidRPr="0093609D">
              <w:rPr>
                <w:rFonts w:ascii="Arial" w:hAnsi="Arial" w:cs="Arial"/>
                <w:color w:val="000000"/>
                <w:sz w:val="16"/>
                <w:szCs w:val="16"/>
              </w:rPr>
              <w:br/>
              <w:t>$</w:t>
            </w:r>
            <w:r>
              <w:rPr>
                <w:rFonts w:ascii="Arial" w:hAnsi="Arial" w:cs="Arial"/>
                <w:color w:val="000000"/>
                <w:sz w:val="16"/>
                <w:szCs w:val="16"/>
              </w:rPr>
              <w:t>’</w:t>
            </w:r>
            <w:r w:rsidRPr="0093609D">
              <w:rPr>
                <w:rFonts w:ascii="Arial" w:hAnsi="Arial" w:cs="Arial"/>
                <w:color w:val="000000"/>
                <w:sz w:val="16"/>
                <w:szCs w:val="16"/>
              </w:rPr>
              <w:t>000</w:t>
            </w:r>
          </w:p>
        </w:tc>
        <w:tc>
          <w:tcPr>
            <w:tcW w:w="1134" w:type="dxa"/>
            <w:tcBorders>
              <w:top w:val="single" w:sz="4" w:space="0" w:color="auto"/>
              <w:left w:val="nil"/>
              <w:bottom w:val="single" w:sz="4" w:space="0" w:color="000000"/>
              <w:right w:val="nil"/>
            </w:tcBorders>
            <w:shd w:val="clear" w:color="auto" w:fill="auto"/>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Asset</w:t>
            </w:r>
            <w:r w:rsidRPr="0093609D">
              <w:rPr>
                <w:rFonts w:ascii="Arial" w:hAnsi="Arial" w:cs="Arial"/>
                <w:color w:val="000000"/>
                <w:sz w:val="16"/>
                <w:szCs w:val="16"/>
              </w:rPr>
              <w:br/>
              <w:t>revaluation</w:t>
            </w:r>
            <w:r w:rsidRPr="0093609D">
              <w:rPr>
                <w:rFonts w:ascii="Arial" w:hAnsi="Arial" w:cs="Arial"/>
                <w:color w:val="000000"/>
                <w:sz w:val="16"/>
                <w:szCs w:val="16"/>
              </w:rPr>
              <w:br/>
              <w:t>reserve</w:t>
            </w:r>
            <w:r w:rsidRPr="0093609D">
              <w:rPr>
                <w:rFonts w:ascii="Arial" w:hAnsi="Arial" w:cs="Arial"/>
                <w:color w:val="000000"/>
                <w:sz w:val="16"/>
                <w:szCs w:val="16"/>
              </w:rPr>
              <w:br/>
              <w:t>$</w:t>
            </w:r>
            <w:r>
              <w:rPr>
                <w:rFonts w:ascii="Arial" w:hAnsi="Arial" w:cs="Arial"/>
                <w:color w:val="000000"/>
                <w:sz w:val="16"/>
                <w:szCs w:val="16"/>
              </w:rPr>
              <w:t>’</w:t>
            </w:r>
            <w:r w:rsidRPr="0093609D">
              <w:rPr>
                <w:rFonts w:ascii="Arial" w:hAnsi="Arial" w:cs="Arial"/>
                <w:color w:val="000000"/>
                <w:sz w:val="16"/>
                <w:szCs w:val="16"/>
              </w:rPr>
              <w:t>000</w:t>
            </w:r>
          </w:p>
        </w:tc>
        <w:tc>
          <w:tcPr>
            <w:tcW w:w="1134" w:type="dxa"/>
            <w:tcBorders>
              <w:top w:val="single" w:sz="4" w:space="0" w:color="auto"/>
              <w:left w:val="nil"/>
              <w:bottom w:val="single" w:sz="4" w:space="0" w:color="000000"/>
              <w:right w:val="nil"/>
            </w:tcBorders>
            <w:shd w:val="clear" w:color="auto" w:fill="auto"/>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Contributed</w:t>
            </w:r>
            <w:r w:rsidRPr="0093609D">
              <w:rPr>
                <w:rFonts w:ascii="Arial" w:hAnsi="Arial" w:cs="Arial"/>
                <w:color w:val="000000"/>
                <w:sz w:val="16"/>
                <w:szCs w:val="16"/>
              </w:rPr>
              <w:br/>
              <w:t>equity/</w:t>
            </w:r>
            <w:r w:rsidRPr="0093609D">
              <w:rPr>
                <w:rFonts w:ascii="Arial" w:hAnsi="Arial" w:cs="Arial"/>
                <w:color w:val="000000"/>
                <w:sz w:val="16"/>
                <w:szCs w:val="16"/>
              </w:rPr>
              <w:br/>
              <w:t>capital</w:t>
            </w:r>
            <w:r w:rsidRPr="0093609D">
              <w:rPr>
                <w:rFonts w:ascii="Arial" w:hAnsi="Arial" w:cs="Arial"/>
                <w:color w:val="000000"/>
                <w:sz w:val="16"/>
                <w:szCs w:val="16"/>
              </w:rPr>
              <w:br/>
              <w:t>$</w:t>
            </w:r>
            <w:r>
              <w:rPr>
                <w:rFonts w:ascii="Arial" w:hAnsi="Arial" w:cs="Arial"/>
                <w:color w:val="000000"/>
                <w:sz w:val="16"/>
                <w:szCs w:val="16"/>
              </w:rPr>
              <w:t>’</w:t>
            </w:r>
            <w:r w:rsidRPr="0093609D">
              <w:rPr>
                <w:rFonts w:ascii="Arial" w:hAnsi="Arial" w:cs="Arial"/>
                <w:color w:val="000000"/>
                <w:sz w:val="16"/>
                <w:szCs w:val="16"/>
              </w:rPr>
              <w:t>000</w:t>
            </w:r>
          </w:p>
        </w:tc>
        <w:tc>
          <w:tcPr>
            <w:tcW w:w="932" w:type="dxa"/>
            <w:tcBorders>
              <w:top w:val="single" w:sz="4" w:space="0" w:color="auto"/>
              <w:left w:val="nil"/>
              <w:bottom w:val="single" w:sz="4" w:space="0" w:color="000000"/>
              <w:right w:val="nil"/>
            </w:tcBorders>
            <w:shd w:val="clear" w:color="auto" w:fill="auto"/>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Total</w:t>
            </w:r>
            <w:r w:rsidRPr="0093609D">
              <w:rPr>
                <w:rFonts w:ascii="Arial" w:hAnsi="Arial" w:cs="Arial"/>
                <w:color w:val="000000"/>
                <w:sz w:val="16"/>
                <w:szCs w:val="16"/>
              </w:rPr>
              <w:br/>
              <w:t xml:space="preserve">equity </w:t>
            </w:r>
            <w:r w:rsidRPr="0093609D">
              <w:rPr>
                <w:rFonts w:ascii="Arial" w:hAnsi="Arial" w:cs="Arial"/>
                <w:color w:val="000000"/>
                <w:sz w:val="16"/>
                <w:szCs w:val="16"/>
              </w:rPr>
              <w:br/>
            </w:r>
            <w:r w:rsidRPr="0093609D">
              <w:rPr>
                <w:rFonts w:ascii="Arial" w:hAnsi="Arial" w:cs="Arial"/>
                <w:color w:val="000000"/>
                <w:sz w:val="16"/>
                <w:szCs w:val="16"/>
              </w:rPr>
              <w:br/>
              <w:t>$</w:t>
            </w:r>
            <w:r>
              <w:rPr>
                <w:rFonts w:ascii="Arial" w:hAnsi="Arial" w:cs="Arial"/>
                <w:color w:val="000000"/>
                <w:sz w:val="16"/>
                <w:szCs w:val="16"/>
              </w:rPr>
              <w:t>’</w:t>
            </w:r>
            <w:r w:rsidRPr="0093609D">
              <w:rPr>
                <w:rFonts w:ascii="Arial" w:hAnsi="Arial" w:cs="Arial"/>
                <w:color w:val="000000"/>
                <w:sz w:val="16"/>
                <w:szCs w:val="16"/>
              </w:rPr>
              <w:t>000</w:t>
            </w:r>
          </w:p>
        </w:tc>
      </w:tr>
      <w:tr w:rsidR="005449D2" w:rsidRPr="0093609D" w:rsidTr="003F0F8A">
        <w:trPr>
          <w:trHeight w:val="210"/>
        </w:trPr>
        <w:tc>
          <w:tcPr>
            <w:tcW w:w="3694" w:type="dxa"/>
            <w:tcBorders>
              <w:top w:val="nil"/>
              <w:left w:val="nil"/>
              <w:bottom w:val="nil"/>
              <w:right w:val="nil"/>
            </w:tcBorders>
            <w:shd w:val="clear" w:color="auto" w:fill="auto"/>
            <w:vAlign w:val="center"/>
            <w:hideMark/>
          </w:tcPr>
          <w:p w:rsidR="005449D2" w:rsidRPr="0093609D" w:rsidRDefault="005449D2" w:rsidP="003F0F8A">
            <w:pPr>
              <w:spacing w:after="0" w:line="240" w:lineRule="auto"/>
              <w:rPr>
                <w:rFonts w:ascii="Arial" w:hAnsi="Arial" w:cs="Arial"/>
                <w:b/>
                <w:bCs/>
                <w:color w:val="000000"/>
                <w:sz w:val="16"/>
                <w:szCs w:val="16"/>
              </w:rPr>
            </w:pPr>
            <w:r w:rsidRPr="0093609D">
              <w:rPr>
                <w:rFonts w:ascii="Arial" w:hAnsi="Arial" w:cs="Arial"/>
                <w:b/>
                <w:bCs/>
                <w:color w:val="000000"/>
                <w:sz w:val="16"/>
                <w:szCs w:val="16"/>
              </w:rPr>
              <w:t>Opening balance as at 1 July 2017</w:t>
            </w:r>
          </w:p>
        </w:tc>
        <w:tc>
          <w:tcPr>
            <w:tcW w:w="857"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rPr>
                <w:rFonts w:ascii="Arial" w:hAnsi="Arial" w:cs="Arial"/>
                <w:color w:val="000000"/>
                <w:sz w:val="16"/>
                <w:szCs w:val="16"/>
              </w:rPr>
            </w:pPr>
          </w:p>
        </w:tc>
        <w:tc>
          <w:tcPr>
            <w:tcW w:w="932"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rPr>
                <w:rFonts w:ascii="Arial" w:hAnsi="Arial" w:cs="Arial"/>
                <w:color w:val="000000"/>
                <w:sz w:val="16"/>
                <w:szCs w:val="16"/>
              </w:rPr>
            </w:pPr>
          </w:p>
        </w:tc>
      </w:tr>
      <w:tr w:rsidR="005449D2" w:rsidRPr="0093609D" w:rsidTr="003F0F8A">
        <w:trPr>
          <w:trHeight w:val="286"/>
        </w:trPr>
        <w:tc>
          <w:tcPr>
            <w:tcW w:w="3694" w:type="dxa"/>
            <w:tcBorders>
              <w:top w:val="nil"/>
              <w:left w:val="nil"/>
              <w:bottom w:val="nil"/>
              <w:right w:val="nil"/>
            </w:tcBorders>
            <w:shd w:val="clear" w:color="auto" w:fill="auto"/>
            <w:vAlign w:val="center"/>
            <w:hideMark/>
          </w:tcPr>
          <w:p w:rsidR="005449D2" w:rsidRPr="0093609D" w:rsidRDefault="005449D2" w:rsidP="003F0F8A">
            <w:pPr>
              <w:spacing w:after="0" w:line="240" w:lineRule="auto"/>
              <w:ind w:firstLineChars="100" w:firstLine="160"/>
              <w:rPr>
                <w:rFonts w:ascii="Arial" w:hAnsi="Arial" w:cs="Arial"/>
                <w:color w:val="000000"/>
                <w:sz w:val="16"/>
                <w:szCs w:val="16"/>
              </w:rPr>
            </w:pPr>
            <w:r w:rsidRPr="0093609D">
              <w:rPr>
                <w:rFonts w:ascii="Arial" w:hAnsi="Arial" w:cs="Arial"/>
                <w:color w:val="000000"/>
                <w:sz w:val="16"/>
                <w:szCs w:val="16"/>
              </w:rPr>
              <w:t>Balance carried forward from</w:t>
            </w:r>
            <w:r>
              <w:rPr>
                <w:rFonts w:ascii="Arial" w:hAnsi="Arial" w:cs="Arial"/>
                <w:color w:val="000000"/>
                <w:sz w:val="16"/>
                <w:szCs w:val="16"/>
              </w:rPr>
              <w:t xml:space="preserve"> </w:t>
            </w:r>
            <w:r w:rsidRPr="0093609D">
              <w:rPr>
                <w:rFonts w:ascii="Arial" w:hAnsi="Arial" w:cs="Arial"/>
                <w:color w:val="000000"/>
                <w:sz w:val="16"/>
                <w:szCs w:val="16"/>
              </w:rPr>
              <w:t>previous period</w:t>
            </w:r>
          </w:p>
        </w:tc>
        <w:tc>
          <w:tcPr>
            <w:tcW w:w="857"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4,955 </w:t>
            </w: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4,271 </w:t>
            </w: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7,717 </w:t>
            </w:r>
          </w:p>
        </w:tc>
        <w:tc>
          <w:tcPr>
            <w:tcW w:w="932"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16,943 </w:t>
            </w:r>
          </w:p>
        </w:tc>
      </w:tr>
      <w:tr w:rsidR="005449D2" w:rsidRPr="0093609D" w:rsidTr="003F0F8A">
        <w:trPr>
          <w:trHeight w:val="162"/>
        </w:trPr>
        <w:tc>
          <w:tcPr>
            <w:tcW w:w="3694" w:type="dxa"/>
            <w:tcBorders>
              <w:top w:val="nil"/>
              <w:left w:val="nil"/>
              <w:bottom w:val="nil"/>
              <w:right w:val="nil"/>
            </w:tcBorders>
            <w:shd w:val="clear" w:color="auto" w:fill="auto"/>
            <w:vAlign w:val="center"/>
            <w:hideMark/>
          </w:tcPr>
          <w:p w:rsidR="005449D2" w:rsidRPr="0093609D" w:rsidRDefault="005449D2" w:rsidP="003F0F8A">
            <w:pPr>
              <w:spacing w:after="0" w:line="240" w:lineRule="auto"/>
              <w:ind w:firstLineChars="100" w:firstLine="160"/>
              <w:rPr>
                <w:rFonts w:ascii="Arial" w:hAnsi="Arial" w:cs="Arial"/>
                <w:color w:val="000000"/>
                <w:sz w:val="16"/>
                <w:szCs w:val="16"/>
              </w:rPr>
            </w:pPr>
            <w:r w:rsidRPr="0093609D">
              <w:rPr>
                <w:rFonts w:ascii="Arial" w:hAnsi="Arial" w:cs="Arial"/>
                <w:color w:val="000000"/>
                <w:sz w:val="16"/>
                <w:szCs w:val="16"/>
              </w:rPr>
              <w:t>Adjustment for changes in</w:t>
            </w:r>
            <w:r>
              <w:rPr>
                <w:rFonts w:ascii="Arial" w:hAnsi="Arial" w:cs="Arial"/>
                <w:color w:val="000000"/>
                <w:sz w:val="16"/>
                <w:szCs w:val="16"/>
              </w:rPr>
              <w:t xml:space="preserve"> </w:t>
            </w:r>
            <w:r w:rsidRPr="0093609D">
              <w:rPr>
                <w:rFonts w:ascii="Arial" w:hAnsi="Arial" w:cs="Arial"/>
                <w:color w:val="000000"/>
                <w:sz w:val="16"/>
                <w:szCs w:val="16"/>
              </w:rPr>
              <w:t>accounting policies</w:t>
            </w:r>
          </w:p>
        </w:tc>
        <w:tc>
          <w:tcPr>
            <w:tcW w:w="857"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c>
          <w:tcPr>
            <w:tcW w:w="932"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r>
      <w:tr w:rsidR="005449D2" w:rsidRPr="0093609D" w:rsidTr="003F0F8A">
        <w:trPr>
          <w:trHeight w:val="210"/>
        </w:trPr>
        <w:tc>
          <w:tcPr>
            <w:tcW w:w="3694" w:type="dxa"/>
            <w:tcBorders>
              <w:top w:val="nil"/>
              <w:left w:val="nil"/>
              <w:bottom w:val="nil"/>
              <w:right w:val="nil"/>
            </w:tcBorders>
            <w:shd w:val="clear" w:color="auto" w:fill="auto"/>
            <w:vAlign w:val="center"/>
            <w:hideMark/>
          </w:tcPr>
          <w:p w:rsidR="005449D2" w:rsidRPr="0093609D" w:rsidRDefault="005449D2" w:rsidP="003F0F8A">
            <w:pPr>
              <w:spacing w:after="0" w:line="240" w:lineRule="auto"/>
              <w:rPr>
                <w:rFonts w:ascii="Arial" w:hAnsi="Arial" w:cs="Arial"/>
                <w:b/>
                <w:bCs/>
                <w:i/>
                <w:iCs/>
                <w:color w:val="000000"/>
                <w:sz w:val="16"/>
                <w:szCs w:val="16"/>
              </w:rPr>
            </w:pPr>
            <w:r w:rsidRPr="0093609D">
              <w:rPr>
                <w:rFonts w:ascii="Arial" w:hAnsi="Arial" w:cs="Arial"/>
                <w:b/>
                <w:bCs/>
                <w:i/>
                <w:iCs/>
                <w:color w:val="000000"/>
                <w:sz w:val="16"/>
                <w:szCs w:val="16"/>
              </w:rPr>
              <w:t>Adjusted opening balance</w:t>
            </w:r>
          </w:p>
        </w:tc>
        <w:tc>
          <w:tcPr>
            <w:tcW w:w="857" w:type="dxa"/>
            <w:tcBorders>
              <w:top w:val="single" w:sz="4" w:space="0" w:color="000000"/>
              <w:left w:val="nil"/>
              <w:bottom w:val="single" w:sz="4" w:space="0" w:color="000000"/>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i/>
                <w:iCs/>
                <w:color w:val="000000"/>
                <w:sz w:val="16"/>
                <w:szCs w:val="16"/>
              </w:rPr>
            </w:pPr>
            <w:r w:rsidRPr="0093609D">
              <w:rPr>
                <w:rFonts w:ascii="Arial" w:hAnsi="Arial" w:cs="Arial"/>
                <w:b/>
                <w:bCs/>
                <w:i/>
                <w:iCs/>
                <w:color w:val="000000"/>
                <w:sz w:val="16"/>
                <w:szCs w:val="16"/>
              </w:rPr>
              <w:t xml:space="preserve">4,955 </w:t>
            </w:r>
          </w:p>
        </w:tc>
        <w:tc>
          <w:tcPr>
            <w:tcW w:w="1134" w:type="dxa"/>
            <w:tcBorders>
              <w:top w:val="single" w:sz="4" w:space="0" w:color="000000"/>
              <w:left w:val="nil"/>
              <w:bottom w:val="single" w:sz="4" w:space="0" w:color="000000"/>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i/>
                <w:iCs/>
                <w:color w:val="000000"/>
                <w:sz w:val="16"/>
                <w:szCs w:val="16"/>
              </w:rPr>
            </w:pPr>
            <w:r w:rsidRPr="0093609D">
              <w:rPr>
                <w:rFonts w:ascii="Arial" w:hAnsi="Arial" w:cs="Arial"/>
                <w:b/>
                <w:bCs/>
                <w:i/>
                <w:iCs/>
                <w:color w:val="000000"/>
                <w:sz w:val="16"/>
                <w:szCs w:val="16"/>
              </w:rPr>
              <w:t xml:space="preserve">4,271 </w:t>
            </w:r>
          </w:p>
        </w:tc>
        <w:tc>
          <w:tcPr>
            <w:tcW w:w="1134" w:type="dxa"/>
            <w:tcBorders>
              <w:top w:val="single" w:sz="4" w:space="0" w:color="000000"/>
              <w:left w:val="nil"/>
              <w:bottom w:val="single" w:sz="4" w:space="0" w:color="000000"/>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i/>
                <w:iCs/>
                <w:color w:val="000000"/>
                <w:sz w:val="16"/>
                <w:szCs w:val="16"/>
              </w:rPr>
            </w:pPr>
            <w:r w:rsidRPr="0093609D">
              <w:rPr>
                <w:rFonts w:ascii="Arial" w:hAnsi="Arial" w:cs="Arial"/>
                <w:b/>
                <w:bCs/>
                <w:i/>
                <w:iCs/>
                <w:color w:val="000000"/>
                <w:sz w:val="16"/>
                <w:szCs w:val="16"/>
              </w:rPr>
              <w:t xml:space="preserve">7,717 </w:t>
            </w:r>
          </w:p>
        </w:tc>
        <w:tc>
          <w:tcPr>
            <w:tcW w:w="932" w:type="dxa"/>
            <w:tcBorders>
              <w:top w:val="single" w:sz="4" w:space="0" w:color="000000"/>
              <w:left w:val="nil"/>
              <w:bottom w:val="single" w:sz="4" w:space="0" w:color="000000"/>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i/>
                <w:iCs/>
                <w:color w:val="000000"/>
                <w:sz w:val="16"/>
                <w:szCs w:val="16"/>
              </w:rPr>
            </w:pPr>
            <w:r w:rsidRPr="0093609D">
              <w:rPr>
                <w:rFonts w:ascii="Arial" w:hAnsi="Arial" w:cs="Arial"/>
                <w:b/>
                <w:bCs/>
                <w:i/>
                <w:iCs/>
                <w:color w:val="000000"/>
                <w:sz w:val="16"/>
                <w:szCs w:val="16"/>
              </w:rPr>
              <w:t xml:space="preserve">16,943 </w:t>
            </w:r>
          </w:p>
        </w:tc>
      </w:tr>
      <w:tr w:rsidR="005449D2" w:rsidRPr="0093609D" w:rsidTr="003F0F8A">
        <w:trPr>
          <w:trHeight w:val="210"/>
        </w:trPr>
        <w:tc>
          <w:tcPr>
            <w:tcW w:w="369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rPr>
                <w:rFonts w:ascii="Arial" w:hAnsi="Arial" w:cs="Arial"/>
                <w:b/>
                <w:bCs/>
                <w:color w:val="000000"/>
                <w:sz w:val="16"/>
                <w:szCs w:val="16"/>
              </w:rPr>
            </w:pPr>
            <w:r w:rsidRPr="0093609D">
              <w:rPr>
                <w:rFonts w:ascii="Arial" w:hAnsi="Arial" w:cs="Arial"/>
                <w:b/>
                <w:bCs/>
                <w:color w:val="000000"/>
                <w:sz w:val="16"/>
                <w:szCs w:val="16"/>
              </w:rPr>
              <w:t>Comprehensive income</w:t>
            </w:r>
          </w:p>
        </w:tc>
        <w:tc>
          <w:tcPr>
            <w:tcW w:w="857"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rPr>
                <w:rFonts w:ascii="Arial" w:hAnsi="Arial" w:cs="Arial"/>
                <w:color w:val="000000"/>
                <w:sz w:val="16"/>
                <w:szCs w:val="16"/>
              </w:rPr>
            </w:pP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rPr>
                <w:rFonts w:ascii="Arial" w:hAnsi="Arial" w:cs="Arial"/>
                <w:color w:val="000000"/>
                <w:sz w:val="16"/>
                <w:szCs w:val="16"/>
              </w:rPr>
            </w:pPr>
          </w:p>
        </w:tc>
        <w:tc>
          <w:tcPr>
            <w:tcW w:w="932"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rPr>
                <w:rFonts w:ascii="Arial" w:hAnsi="Arial" w:cs="Arial"/>
                <w:color w:val="000000"/>
                <w:sz w:val="16"/>
                <w:szCs w:val="16"/>
              </w:rPr>
            </w:pPr>
          </w:p>
        </w:tc>
      </w:tr>
      <w:tr w:rsidR="005449D2" w:rsidRPr="0093609D" w:rsidTr="003F0F8A">
        <w:trPr>
          <w:trHeight w:val="210"/>
        </w:trPr>
        <w:tc>
          <w:tcPr>
            <w:tcW w:w="369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ind w:firstLineChars="100" w:firstLine="160"/>
              <w:rPr>
                <w:rFonts w:ascii="Arial" w:hAnsi="Arial" w:cs="Arial"/>
                <w:color w:val="000000"/>
                <w:sz w:val="16"/>
                <w:szCs w:val="16"/>
              </w:rPr>
            </w:pPr>
            <w:r w:rsidRPr="0093609D">
              <w:rPr>
                <w:rFonts w:ascii="Arial" w:hAnsi="Arial" w:cs="Arial"/>
                <w:color w:val="000000"/>
                <w:sz w:val="16"/>
                <w:szCs w:val="16"/>
              </w:rPr>
              <w:t>Other comprehensive income</w:t>
            </w:r>
          </w:p>
        </w:tc>
        <w:tc>
          <w:tcPr>
            <w:tcW w:w="857"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c>
          <w:tcPr>
            <w:tcW w:w="932"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r>
      <w:tr w:rsidR="005449D2" w:rsidRPr="0093609D" w:rsidTr="003F0F8A">
        <w:trPr>
          <w:trHeight w:val="210"/>
        </w:trPr>
        <w:tc>
          <w:tcPr>
            <w:tcW w:w="369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ind w:firstLineChars="100" w:firstLine="160"/>
              <w:rPr>
                <w:rFonts w:ascii="Arial" w:hAnsi="Arial" w:cs="Arial"/>
                <w:sz w:val="16"/>
                <w:szCs w:val="16"/>
              </w:rPr>
            </w:pPr>
            <w:r w:rsidRPr="0093609D">
              <w:rPr>
                <w:rFonts w:ascii="Arial" w:hAnsi="Arial" w:cs="Arial"/>
                <w:sz w:val="16"/>
                <w:szCs w:val="16"/>
              </w:rPr>
              <w:t>Surplus/(deficit) for the period</w:t>
            </w:r>
          </w:p>
        </w:tc>
        <w:tc>
          <w:tcPr>
            <w:tcW w:w="857"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19,757 </w:t>
            </w: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3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32"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19,757 </w:t>
            </w:r>
          </w:p>
        </w:tc>
      </w:tr>
      <w:tr w:rsidR="005449D2" w:rsidRPr="0093609D" w:rsidTr="003F0F8A">
        <w:trPr>
          <w:trHeight w:val="210"/>
        </w:trPr>
        <w:tc>
          <w:tcPr>
            <w:tcW w:w="3694" w:type="dxa"/>
            <w:tcBorders>
              <w:top w:val="nil"/>
              <w:left w:val="nil"/>
              <w:bottom w:val="nil"/>
              <w:right w:val="nil"/>
            </w:tcBorders>
            <w:shd w:val="clear" w:color="auto" w:fill="auto"/>
            <w:vAlign w:val="center"/>
            <w:hideMark/>
          </w:tcPr>
          <w:p w:rsidR="005449D2" w:rsidRPr="0093609D" w:rsidRDefault="005449D2" w:rsidP="003F0F8A">
            <w:pPr>
              <w:spacing w:after="0" w:line="240" w:lineRule="auto"/>
              <w:rPr>
                <w:rFonts w:ascii="Arial" w:hAnsi="Arial" w:cs="Arial"/>
                <w:b/>
                <w:bCs/>
                <w:i/>
                <w:iCs/>
                <w:color w:val="000000"/>
                <w:sz w:val="16"/>
                <w:szCs w:val="16"/>
              </w:rPr>
            </w:pPr>
            <w:r w:rsidRPr="0093609D">
              <w:rPr>
                <w:rFonts w:ascii="Arial" w:hAnsi="Arial" w:cs="Arial"/>
                <w:b/>
                <w:bCs/>
                <w:i/>
                <w:iCs/>
                <w:color w:val="000000"/>
                <w:sz w:val="16"/>
                <w:szCs w:val="16"/>
              </w:rPr>
              <w:t>Total comprehensive income</w:t>
            </w:r>
          </w:p>
        </w:tc>
        <w:tc>
          <w:tcPr>
            <w:tcW w:w="857" w:type="dxa"/>
            <w:tcBorders>
              <w:top w:val="single" w:sz="4" w:space="0" w:color="000000"/>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i/>
                <w:iCs/>
                <w:color w:val="000000"/>
                <w:sz w:val="16"/>
                <w:szCs w:val="16"/>
              </w:rPr>
            </w:pPr>
            <w:r w:rsidRPr="0093609D">
              <w:rPr>
                <w:rFonts w:ascii="Arial" w:hAnsi="Arial" w:cs="Arial"/>
                <w:b/>
                <w:bCs/>
                <w:i/>
                <w:iCs/>
                <w:color w:val="000000"/>
                <w:sz w:val="16"/>
                <w:szCs w:val="16"/>
              </w:rPr>
              <w:t xml:space="preserve">19,757 </w:t>
            </w:r>
          </w:p>
        </w:tc>
        <w:tc>
          <w:tcPr>
            <w:tcW w:w="1134" w:type="dxa"/>
            <w:tcBorders>
              <w:top w:val="single" w:sz="4" w:space="0" w:color="000000"/>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i/>
                <w:iCs/>
                <w:color w:val="000000"/>
                <w:sz w:val="16"/>
                <w:szCs w:val="16"/>
              </w:rPr>
            </w:pPr>
            <w:r w:rsidRPr="0093609D">
              <w:rPr>
                <w:rFonts w:ascii="Arial" w:hAnsi="Arial" w:cs="Arial"/>
                <w:b/>
                <w:bCs/>
                <w:i/>
                <w:iCs/>
                <w:color w:val="000000"/>
                <w:sz w:val="16"/>
                <w:szCs w:val="16"/>
              </w:rPr>
              <w:t xml:space="preserve">- </w:t>
            </w:r>
          </w:p>
        </w:tc>
        <w:tc>
          <w:tcPr>
            <w:tcW w:w="1134" w:type="dxa"/>
            <w:tcBorders>
              <w:top w:val="single" w:sz="4" w:space="0" w:color="000000"/>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i/>
                <w:iCs/>
                <w:color w:val="000000"/>
                <w:sz w:val="16"/>
                <w:szCs w:val="16"/>
              </w:rPr>
            </w:pPr>
            <w:r w:rsidRPr="0093609D">
              <w:rPr>
                <w:rFonts w:ascii="Arial" w:hAnsi="Arial" w:cs="Arial"/>
                <w:b/>
                <w:bCs/>
                <w:i/>
                <w:iCs/>
                <w:color w:val="000000"/>
                <w:sz w:val="16"/>
                <w:szCs w:val="16"/>
              </w:rPr>
              <w:t xml:space="preserve">- </w:t>
            </w:r>
          </w:p>
        </w:tc>
        <w:tc>
          <w:tcPr>
            <w:tcW w:w="932" w:type="dxa"/>
            <w:tcBorders>
              <w:top w:val="single" w:sz="4" w:space="0" w:color="000000"/>
              <w:left w:val="nil"/>
              <w:bottom w:val="nil"/>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i/>
                <w:iCs/>
                <w:color w:val="000000"/>
                <w:sz w:val="16"/>
                <w:szCs w:val="16"/>
              </w:rPr>
            </w:pPr>
            <w:r w:rsidRPr="0093609D">
              <w:rPr>
                <w:rFonts w:ascii="Arial" w:hAnsi="Arial" w:cs="Arial"/>
                <w:b/>
                <w:bCs/>
                <w:i/>
                <w:iCs/>
                <w:color w:val="000000"/>
                <w:sz w:val="16"/>
                <w:szCs w:val="16"/>
              </w:rPr>
              <w:t xml:space="preserve">19,757 </w:t>
            </w:r>
          </w:p>
        </w:tc>
      </w:tr>
      <w:tr w:rsidR="005449D2" w:rsidRPr="0093609D" w:rsidTr="003F0F8A">
        <w:trPr>
          <w:trHeight w:val="142"/>
        </w:trPr>
        <w:tc>
          <w:tcPr>
            <w:tcW w:w="3694" w:type="dxa"/>
            <w:tcBorders>
              <w:top w:val="nil"/>
              <w:left w:val="nil"/>
              <w:bottom w:val="nil"/>
              <w:right w:val="nil"/>
            </w:tcBorders>
            <w:shd w:val="clear" w:color="auto" w:fill="auto"/>
            <w:vAlign w:val="center"/>
            <w:hideMark/>
          </w:tcPr>
          <w:p w:rsidR="005449D2" w:rsidRPr="0093609D" w:rsidRDefault="005449D2" w:rsidP="003F0F8A">
            <w:pPr>
              <w:spacing w:after="0" w:line="240" w:lineRule="auto"/>
              <w:rPr>
                <w:rFonts w:ascii="Arial" w:hAnsi="Arial" w:cs="Arial"/>
                <w:b/>
                <w:bCs/>
                <w:color w:val="000000"/>
                <w:sz w:val="16"/>
                <w:szCs w:val="16"/>
              </w:rPr>
            </w:pPr>
            <w:r w:rsidRPr="0093609D">
              <w:rPr>
                <w:rFonts w:ascii="Arial" w:hAnsi="Arial" w:cs="Arial"/>
                <w:b/>
                <w:bCs/>
                <w:color w:val="000000"/>
                <w:sz w:val="16"/>
                <w:szCs w:val="16"/>
              </w:rPr>
              <w:t>Estimated closing balance as at</w:t>
            </w:r>
            <w:r>
              <w:rPr>
                <w:rFonts w:ascii="Arial" w:hAnsi="Arial" w:cs="Arial"/>
                <w:b/>
                <w:bCs/>
                <w:color w:val="000000"/>
                <w:sz w:val="16"/>
                <w:szCs w:val="16"/>
              </w:rPr>
              <w:t xml:space="preserve"> </w:t>
            </w:r>
            <w:r w:rsidRPr="0093609D">
              <w:rPr>
                <w:rFonts w:ascii="Arial" w:hAnsi="Arial" w:cs="Arial"/>
                <w:b/>
                <w:bCs/>
                <w:color w:val="000000"/>
                <w:sz w:val="16"/>
                <w:szCs w:val="16"/>
              </w:rPr>
              <w:t>30 June 2018</w:t>
            </w:r>
          </w:p>
        </w:tc>
        <w:tc>
          <w:tcPr>
            <w:tcW w:w="857" w:type="dxa"/>
            <w:tcBorders>
              <w:top w:val="single" w:sz="4" w:space="0" w:color="auto"/>
              <w:left w:val="nil"/>
              <w:bottom w:val="single" w:sz="4" w:space="0" w:color="auto"/>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color w:val="000000"/>
                <w:sz w:val="16"/>
                <w:szCs w:val="16"/>
              </w:rPr>
            </w:pPr>
            <w:r w:rsidRPr="0093609D">
              <w:rPr>
                <w:rFonts w:ascii="Arial" w:hAnsi="Arial" w:cs="Arial"/>
                <w:b/>
                <w:bCs/>
                <w:color w:val="000000"/>
                <w:sz w:val="16"/>
                <w:szCs w:val="16"/>
              </w:rPr>
              <w:t xml:space="preserve">24,712 </w:t>
            </w:r>
          </w:p>
        </w:tc>
        <w:tc>
          <w:tcPr>
            <w:tcW w:w="1134" w:type="dxa"/>
            <w:tcBorders>
              <w:top w:val="single" w:sz="4" w:space="0" w:color="auto"/>
              <w:left w:val="nil"/>
              <w:bottom w:val="single" w:sz="4" w:space="0" w:color="auto"/>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color w:val="000000"/>
                <w:sz w:val="16"/>
                <w:szCs w:val="16"/>
              </w:rPr>
            </w:pPr>
            <w:r w:rsidRPr="0093609D">
              <w:rPr>
                <w:rFonts w:ascii="Arial" w:hAnsi="Arial" w:cs="Arial"/>
                <w:b/>
                <w:bCs/>
                <w:color w:val="000000"/>
                <w:sz w:val="16"/>
                <w:szCs w:val="16"/>
              </w:rPr>
              <w:t xml:space="preserve">4,271 </w:t>
            </w:r>
          </w:p>
        </w:tc>
        <w:tc>
          <w:tcPr>
            <w:tcW w:w="1134" w:type="dxa"/>
            <w:tcBorders>
              <w:top w:val="single" w:sz="4" w:space="0" w:color="auto"/>
              <w:left w:val="nil"/>
              <w:bottom w:val="single" w:sz="4" w:space="0" w:color="auto"/>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color w:val="000000"/>
                <w:sz w:val="16"/>
                <w:szCs w:val="16"/>
              </w:rPr>
            </w:pPr>
            <w:r w:rsidRPr="0093609D">
              <w:rPr>
                <w:rFonts w:ascii="Arial" w:hAnsi="Arial" w:cs="Arial"/>
                <w:b/>
                <w:bCs/>
                <w:color w:val="000000"/>
                <w:sz w:val="16"/>
                <w:szCs w:val="16"/>
              </w:rPr>
              <w:t xml:space="preserve">7,717 </w:t>
            </w:r>
          </w:p>
        </w:tc>
        <w:tc>
          <w:tcPr>
            <w:tcW w:w="932" w:type="dxa"/>
            <w:tcBorders>
              <w:top w:val="single" w:sz="4" w:space="0" w:color="auto"/>
              <w:left w:val="nil"/>
              <w:bottom w:val="single" w:sz="4" w:space="0" w:color="auto"/>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b/>
                <w:bCs/>
                <w:color w:val="000000"/>
                <w:sz w:val="16"/>
                <w:szCs w:val="16"/>
              </w:rPr>
            </w:pPr>
            <w:r w:rsidRPr="0093609D">
              <w:rPr>
                <w:rFonts w:ascii="Arial" w:hAnsi="Arial" w:cs="Arial"/>
                <w:b/>
                <w:bCs/>
                <w:color w:val="000000"/>
                <w:sz w:val="16"/>
                <w:szCs w:val="16"/>
              </w:rPr>
              <w:t xml:space="preserve">36,700 </w:t>
            </w:r>
          </w:p>
        </w:tc>
      </w:tr>
      <w:tr w:rsidR="005449D2" w:rsidRPr="0093609D" w:rsidTr="003F0F8A">
        <w:trPr>
          <w:trHeight w:val="210"/>
        </w:trPr>
        <w:tc>
          <w:tcPr>
            <w:tcW w:w="3694" w:type="dxa"/>
            <w:tcBorders>
              <w:top w:val="nil"/>
              <w:left w:val="nil"/>
              <w:bottom w:val="nil"/>
              <w:right w:val="nil"/>
            </w:tcBorders>
            <w:shd w:val="clear" w:color="auto" w:fill="auto"/>
            <w:noWrap/>
            <w:vAlign w:val="center"/>
            <w:hideMark/>
          </w:tcPr>
          <w:p w:rsidR="005449D2" w:rsidRPr="0093609D" w:rsidRDefault="005449D2" w:rsidP="003F0F8A">
            <w:pPr>
              <w:spacing w:after="0" w:line="240" w:lineRule="auto"/>
              <w:ind w:firstLineChars="100" w:firstLine="160"/>
              <w:rPr>
                <w:rFonts w:ascii="Arial" w:hAnsi="Arial" w:cs="Arial"/>
                <w:color w:val="000000"/>
                <w:sz w:val="16"/>
                <w:szCs w:val="16"/>
              </w:rPr>
            </w:pPr>
            <w:r w:rsidRPr="0093609D">
              <w:rPr>
                <w:rFonts w:ascii="Arial" w:hAnsi="Arial" w:cs="Arial"/>
                <w:color w:val="000000"/>
                <w:sz w:val="16"/>
                <w:szCs w:val="16"/>
              </w:rPr>
              <w:t>Less: non-controlling interests</w:t>
            </w:r>
          </w:p>
        </w:tc>
        <w:tc>
          <w:tcPr>
            <w:tcW w:w="857" w:type="dxa"/>
            <w:tcBorders>
              <w:top w:val="nil"/>
              <w:left w:val="nil"/>
              <w:bottom w:val="single" w:sz="4" w:space="0" w:color="auto"/>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c>
          <w:tcPr>
            <w:tcW w:w="1134" w:type="dxa"/>
            <w:tcBorders>
              <w:top w:val="nil"/>
              <w:left w:val="nil"/>
              <w:bottom w:val="single" w:sz="4" w:space="0" w:color="auto"/>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c>
          <w:tcPr>
            <w:tcW w:w="1134" w:type="dxa"/>
            <w:tcBorders>
              <w:top w:val="nil"/>
              <w:left w:val="nil"/>
              <w:bottom w:val="single" w:sz="4" w:space="0" w:color="auto"/>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c>
          <w:tcPr>
            <w:tcW w:w="932" w:type="dxa"/>
            <w:tcBorders>
              <w:top w:val="nil"/>
              <w:left w:val="nil"/>
              <w:bottom w:val="single" w:sz="4" w:space="0" w:color="auto"/>
              <w:right w:val="nil"/>
            </w:tcBorders>
            <w:shd w:val="clear" w:color="auto" w:fill="auto"/>
            <w:noWrap/>
            <w:vAlign w:val="center"/>
            <w:hideMark/>
          </w:tcPr>
          <w:p w:rsidR="005449D2" w:rsidRPr="0093609D" w:rsidRDefault="005449D2" w:rsidP="003F0F8A">
            <w:pPr>
              <w:spacing w:after="0" w:line="240" w:lineRule="auto"/>
              <w:jc w:val="right"/>
              <w:rPr>
                <w:rFonts w:ascii="Arial" w:hAnsi="Arial" w:cs="Arial"/>
                <w:color w:val="000000"/>
                <w:sz w:val="16"/>
                <w:szCs w:val="16"/>
              </w:rPr>
            </w:pPr>
            <w:r w:rsidRPr="0093609D">
              <w:rPr>
                <w:rFonts w:ascii="Arial" w:hAnsi="Arial" w:cs="Arial"/>
                <w:color w:val="000000"/>
                <w:sz w:val="16"/>
                <w:szCs w:val="16"/>
              </w:rPr>
              <w:t xml:space="preserve">- </w:t>
            </w:r>
          </w:p>
        </w:tc>
      </w:tr>
      <w:tr w:rsidR="005449D2" w:rsidRPr="0093609D" w:rsidTr="003F0F8A">
        <w:trPr>
          <w:trHeight w:val="421"/>
        </w:trPr>
        <w:tc>
          <w:tcPr>
            <w:tcW w:w="3694" w:type="dxa"/>
            <w:tcBorders>
              <w:top w:val="nil"/>
              <w:left w:val="nil"/>
              <w:bottom w:val="single" w:sz="4" w:space="0" w:color="000000"/>
              <w:right w:val="nil"/>
            </w:tcBorders>
            <w:shd w:val="clear" w:color="auto" w:fill="auto"/>
            <w:vAlign w:val="center"/>
            <w:hideMark/>
          </w:tcPr>
          <w:p w:rsidR="005449D2" w:rsidRPr="0093609D" w:rsidRDefault="005449D2" w:rsidP="003F0F8A">
            <w:pPr>
              <w:tabs>
                <w:tab w:val="left" w:pos="191"/>
              </w:tabs>
              <w:spacing w:after="0" w:line="240" w:lineRule="auto"/>
              <w:rPr>
                <w:rFonts w:ascii="Arial" w:hAnsi="Arial" w:cs="Arial"/>
                <w:b/>
                <w:bCs/>
                <w:color w:val="000000"/>
                <w:sz w:val="16"/>
                <w:szCs w:val="16"/>
              </w:rPr>
            </w:pPr>
            <w:r w:rsidRPr="0093609D">
              <w:rPr>
                <w:rFonts w:ascii="Arial" w:hAnsi="Arial" w:cs="Arial"/>
                <w:b/>
                <w:bCs/>
                <w:color w:val="000000"/>
                <w:sz w:val="16"/>
                <w:szCs w:val="16"/>
              </w:rPr>
              <w:t>Closing balance attributable to</w:t>
            </w:r>
            <w:r>
              <w:rPr>
                <w:rFonts w:ascii="Arial" w:hAnsi="Arial" w:cs="Arial"/>
                <w:b/>
                <w:bCs/>
                <w:color w:val="000000"/>
                <w:sz w:val="16"/>
                <w:szCs w:val="16"/>
              </w:rPr>
              <w:t xml:space="preserve"> </w:t>
            </w:r>
            <w:r w:rsidRPr="0093609D">
              <w:rPr>
                <w:rFonts w:ascii="Arial" w:hAnsi="Arial" w:cs="Arial"/>
                <w:b/>
                <w:bCs/>
                <w:color w:val="000000"/>
                <w:sz w:val="16"/>
                <w:szCs w:val="16"/>
              </w:rPr>
              <w:t xml:space="preserve">the </w:t>
            </w:r>
            <w:r>
              <w:rPr>
                <w:rFonts w:ascii="Arial" w:hAnsi="Arial" w:cs="Arial"/>
                <w:b/>
                <w:bCs/>
                <w:color w:val="000000"/>
                <w:sz w:val="16"/>
                <w:szCs w:val="16"/>
              </w:rPr>
              <w:br/>
            </w:r>
            <w:r>
              <w:rPr>
                <w:rFonts w:ascii="Arial" w:hAnsi="Arial" w:cs="Arial"/>
                <w:b/>
                <w:bCs/>
                <w:color w:val="000000"/>
                <w:sz w:val="16"/>
                <w:szCs w:val="16"/>
              </w:rPr>
              <w:tab/>
              <w:t>A</w:t>
            </w:r>
            <w:r w:rsidRPr="0093609D">
              <w:rPr>
                <w:rFonts w:ascii="Arial" w:hAnsi="Arial" w:cs="Arial"/>
                <w:b/>
                <w:bCs/>
                <w:color w:val="000000"/>
                <w:sz w:val="16"/>
                <w:szCs w:val="16"/>
              </w:rPr>
              <w:t>ustralian Government</w:t>
            </w:r>
          </w:p>
        </w:tc>
        <w:tc>
          <w:tcPr>
            <w:tcW w:w="857" w:type="dxa"/>
            <w:tcBorders>
              <w:top w:val="nil"/>
              <w:left w:val="nil"/>
              <w:bottom w:val="single" w:sz="4" w:space="0" w:color="auto"/>
              <w:right w:val="nil"/>
            </w:tcBorders>
            <w:shd w:val="clear" w:color="auto" w:fill="auto"/>
            <w:noWrap/>
            <w:vAlign w:val="bottom"/>
            <w:hideMark/>
          </w:tcPr>
          <w:p w:rsidR="005449D2" w:rsidRPr="0093609D" w:rsidRDefault="005449D2" w:rsidP="003F0F8A">
            <w:pPr>
              <w:spacing w:after="0" w:line="240" w:lineRule="auto"/>
              <w:jc w:val="right"/>
              <w:rPr>
                <w:rFonts w:ascii="Arial" w:hAnsi="Arial" w:cs="Arial"/>
                <w:b/>
                <w:bCs/>
                <w:color w:val="000000"/>
                <w:sz w:val="16"/>
                <w:szCs w:val="16"/>
              </w:rPr>
            </w:pPr>
            <w:r w:rsidRPr="0093609D">
              <w:rPr>
                <w:rFonts w:ascii="Arial" w:hAnsi="Arial" w:cs="Arial"/>
                <w:b/>
                <w:bCs/>
                <w:color w:val="000000"/>
                <w:sz w:val="16"/>
                <w:szCs w:val="16"/>
              </w:rPr>
              <w:t xml:space="preserve">24,712 </w:t>
            </w:r>
          </w:p>
        </w:tc>
        <w:tc>
          <w:tcPr>
            <w:tcW w:w="1134" w:type="dxa"/>
            <w:tcBorders>
              <w:top w:val="nil"/>
              <w:left w:val="nil"/>
              <w:bottom w:val="single" w:sz="4" w:space="0" w:color="auto"/>
              <w:right w:val="nil"/>
            </w:tcBorders>
            <w:shd w:val="clear" w:color="auto" w:fill="auto"/>
            <w:noWrap/>
            <w:vAlign w:val="bottom"/>
            <w:hideMark/>
          </w:tcPr>
          <w:p w:rsidR="005449D2" w:rsidRPr="0093609D" w:rsidRDefault="005449D2" w:rsidP="003F0F8A">
            <w:pPr>
              <w:spacing w:after="0" w:line="240" w:lineRule="auto"/>
              <w:jc w:val="right"/>
              <w:rPr>
                <w:rFonts w:ascii="Arial" w:hAnsi="Arial" w:cs="Arial"/>
                <w:b/>
                <w:bCs/>
                <w:color w:val="000000"/>
                <w:sz w:val="16"/>
                <w:szCs w:val="16"/>
              </w:rPr>
            </w:pPr>
            <w:r w:rsidRPr="0093609D">
              <w:rPr>
                <w:rFonts w:ascii="Arial" w:hAnsi="Arial" w:cs="Arial"/>
                <w:b/>
                <w:bCs/>
                <w:color w:val="000000"/>
                <w:sz w:val="16"/>
                <w:szCs w:val="16"/>
              </w:rPr>
              <w:t xml:space="preserve">4,271 </w:t>
            </w:r>
          </w:p>
        </w:tc>
        <w:tc>
          <w:tcPr>
            <w:tcW w:w="1134" w:type="dxa"/>
            <w:tcBorders>
              <w:top w:val="nil"/>
              <w:left w:val="nil"/>
              <w:bottom w:val="single" w:sz="4" w:space="0" w:color="auto"/>
              <w:right w:val="nil"/>
            </w:tcBorders>
            <w:shd w:val="clear" w:color="auto" w:fill="auto"/>
            <w:noWrap/>
            <w:vAlign w:val="bottom"/>
            <w:hideMark/>
          </w:tcPr>
          <w:p w:rsidR="005449D2" w:rsidRPr="0093609D" w:rsidRDefault="005449D2" w:rsidP="003F0F8A">
            <w:pPr>
              <w:spacing w:after="0" w:line="240" w:lineRule="auto"/>
              <w:jc w:val="right"/>
              <w:rPr>
                <w:rFonts w:ascii="Arial" w:hAnsi="Arial" w:cs="Arial"/>
                <w:b/>
                <w:bCs/>
                <w:color w:val="000000"/>
                <w:sz w:val="16"/>
                <w:szCs w:val="16"/>
              </w:rPr>
            </w:pPr>
            <w:r w:rsidRPr="0093609D">
              <w:rPr>
                <w:rFonts w:ascii="Arial" w:hAnsi="Arial" w:cs="Arial"/>
                <w:b/>
                <w:bCs/>
                <w:color w:val="000000"/>
                <w:sz w:val="16"/>
                <w:szCs w:val="16"/>
              </w:rPr>
              <w:t xml:space="preserve">7,717 </w:t>
            </w:r>
          </w:p>
        </w:tc>
        <w:tc>
          <w:tcPr>
            <w:tcW w:w="932" w:type="dxa"/>
            <w:tcBorders>
              <w:top w:val="nil"/>
              <w:left w:val="nil"/>
              <w:bottom w:val="single" w:sz="4" w:space="0" w:color="auto"/>
              <w:right w:val="nil"/>
            </w:tcBorders>
            <w:shd w:val="clear" w:color="auto" w:fill="auto"/>
            <w:noWrap/>
            <w:vAlign w:val="bottom"/>
            <w:hideMark/>
          </w:tcPr>
          <w:p w:rsidR="005449D2" w:rsidRPr="0093609D" w:rsidRDefault="005449D2" w:rsidP="003F0F8A">
            <w:pPr>
              <w:spacing w:after="0" w:line="240" w:lineRule="auto"/>
              <w:jc w:val="right"/>
              <w:rPr>
                <w:rFonts w:ascii="Arial" w:hAnsi="Arial" w:cs="Arial"/>
                <w:b/>
                <w:bCs/>
                <w:color w:val="000000"/>
                <w:sz w:val="16"/>
                <w:szCs w:val="16"/>
              </w:rPr>
            </w:pPr>
            <w:r w:rsidRPr="0093609D">
              <w:rPr>
                <w:rFonts w:ascii="Arial" w:hAnsi="Arial" w:cs="Arial"/>
                <w:b/>
                <w:bCs/>
                <w:color w:val="000000"/>
                <w:sz w:val="16"/>
                <w:szCs w:val="16"/>
              </w:rPr>
              <w:t xml:space="preserve">36,700 </w:t>
            </w:r>
          </w:p>
        </w:tc>
      </w:tr>
    </w:tbl>
    <w:p w:rsidR="005449D2" w:rsidRDefault="005449D2" w:rsidP="005449D2">
      <w:pPr>
        <w:pStyle w:val="Source"/>
        <w:spacing w:before="120"/>
      </w:pPr>
      <w:r>
        <w:t>Prepared on Australian Accounting Standards basis.</w:t>
      </w:r>
    </w:p>
    <w:p w:rsidR="005449D2" w:rsidRDefault="005449D2" w:rsidP="005449D2">
      <w:pPr>
        <w:pStyle w:val="TableHeading"/>
      </w:pPr>
      <w:r>
        <w:br w:type="page"/>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752" w:type="dxa"/>
        <w:tblInd w:w="93" w:type="dxa"/>
        <w:tblCellMar>
          <w:left w:w="57" w:type="dxa"/>
          <w:right w:w="57" w:type="dxa"/>
        </w:tblCellMar>
        <w:tblLook w:val="04A0" w:firstRow="1" w:lastRow="0" w:firstColumn="1" w:lastColumn="0" w:noHBand="0" w:noVBand="1"/>
      </w:tblPr>
      <w:tblGrid>
        <w:gridCol w:w="3112"/>
        <w:gridCol w:w="956"/>
        <w:gridCol w:w="886"/>
        <w:gridCol w:w="886"/>
        <w:gridCol w:w="956"/>
        <w:gridCol w:w="956"/>
      </w:tblGrid>
      <w:tr w:rsidR="005449D2" w:rsidRPr="00316F2B" w:rsidTr="003F0F8A">
        <w:trPr>
          <w:trHeight w:val="826"/>
        </w:trPr>
        <w:tc>
          <w:tcPr>
            <w:tcW w:w="3112" w:type="dxa"/>
            <w:tcBorders>
              <w:top w:val="single" w:sz="4" w:space="0" w:color="auto"/>
              <w:left w:val="nil"/>
              <w:bottom w:val="nil"/>
              <w:right w:val="nil"/>
            </w:tcBorders>
            <w:shd w:val="clear" w:color="auto" w:fill="auto"/>
            <w:noWrap/>
            <w:hideMark/>
          </w:tcPr>
          <w:p w:rsidR="005449D2" w:rsidRPr="00316F2B" w:rsidRDefault="005449D2" w:rsidP="003F0F8A">
            <w:pPr>
              <w:spacing w:after="0" w:line="240" w:lineRule="auto"/>
              <w:rPr>
                <w:rFonts w:ascii="Arial" w:hAnsi="Arial" w:cs="Arial"/>
                <w:b/>
                <w:bCs/>
                <w:sz w:val="16"/>
                <w:szCs w:val="16"/>
              </w:rPr>
            </w:pPr>
            <w:r w:rsidRPr="00316F2B">
              <w:rPr>
                <w:rFonts w:ascii="Arial" w:hAnsi="Arial" w:cs="Arial"/>
                <w:b/>
                <w:bCs/>
                <w:sz w:val="16"/>
                <w:szCs w:val="16"/>
              </w:rPr>
              <w:t> </w:t>
            </w:r>
          </w:p>
        </w:tc>
        <w:tc>
          <w:tcPr>
            <w:tcW w:w="956" w:type="dxa"/>
            <w:tcBorders>
              <w:top w:val="single" w:sz="4" w:space="0" w:color="auto"/>
              <w:left w:val="nil"/>
              <w:bottom w:val="single" w:sz="4" w:space="0" w:color="auto"/>
              <w:right w:val="nil"/>
            </w:tcBorders>
            <w:shd w:val="clear" w:color="auto" w:fill="auto"/>
            <w:vAlign w:val="center"/>
            <w:hideMark/>
          </w:tcPr>
          <w:p w:rsidR="005449D2" w:rsidRPr="00316F2B" w:rsidRDefault="005449D2" w:rsidP="003F0F8A">
            <w:pPr>
              <w:spacing w:after="0" w:line="240" w:lineRule="auto"/>
              <w:jc w:val="right"/>
              <w:rPr>
                <w:rFonts w:ascii="Arial" w:hAnsi="Arial" w:cs="Arial"/>
                <w:sz w:val="16"/>
                <w:szCs w:val="16"/>
              </w:rPr>
            </w:pPr>
            <w:r w:rsidRPr="00316F2B">
              <w:rPr>
                <w:rFonts w:ascii="Arial" w:hAnsi="Arial" w:cs="Arial"/>
                <w:sz w:val="16"/>
                <w:szCs w:val="16"/>
              </w:rPr>
              <w:t>2016–17 Estimated actual</w:t>
            </w:r>
            <w:r w:rsidRPr="00316F2B">
              <w:rPr>
                <w:rFonts w:ascii="Arial" w:hAnsi="Arial" w:cs="Arial"/>
                <w:sz w:val="16"/>
                <w:szCs w:val="16"/>
              </w:rPr>
              <w:br/>
              <w:t>$</w:t>
            </w:r>
            <w:r>
              <w:rPr>
                <w:rFonts w:ascii="Arial" w:hAnsi="Arial" w:cs="Arial"/>
                <w:sz w:val="16"/>
                <w:szCs w:val="16"/>
              </w:rPr>
              <w:t>’</w:t>
            </w:r>
            <w:r w:rsidRPr="00316F2B">
              <w:rPr>
                <w:rFonts w:ascii="Arial" w:hAnsi="Arial" w:cs="Arial"/>
                <w:sz w:val="16"/>
                <w:szCs w:val="16"/>
              </w:rPr>
              <w:t>000</w:t>
            </w:r>
          </w:p>
        </w:tc>
        <w:tc>
          <w:tcPr>
            <w:tcW w:w="886" w:type="dxa"/>
            <w:tcBorders>
              <w:top w:val="single" w:sz="4" w:space="0" w:color="auto"/>
              <w:left w:val="nil"/>
              <w:bottom w:val="single" w:sz="4" w:space="0" w:color="auto"/>
              <w:right w:val="nil"/>
            </w:tcBorders>
            <w:shd w:val="clear" w:color="000000" w:fill="E6E6E6"/>
            <w:vAlign w:val="center"/>
            <w:hideMark/>
          </w:tcPr>
          <w:p w:rsidR="005449D2" w:rsidRPr="00316F2B" w:rsidRDefault="005449D2" w:rsidP="003F0F8A">
            <w:pPr>
              <w:spacing w:after="0" w:line="240" w:lineRule="auto"/>
              <w:jc w:val="right"/>
              <w:rPr>
                <w:rFonts w:ascii="Arial" w:hAnsi="Arial" w:cs="Arial"/>
                <w:sz w:val="16"/>
                <w:szCs w:val="16"/>
              </w:rPr>
            </w:pPr>
            <w:r w:rsidRPr="00316F2B">
              <w:rPr>
                <w:rFonts w:ascii="Arial" w:hAnsi="Arial" w:cs="Arial"/>
                <w:sz w:val="16"/>
                <w:szCs w:val="16"/>
              </w:rPr>
              <w:t>2017–18</w:t>
            </w:r>
            <w:r w:rsidRPr="00316F2B">
              <w:rPr>
                <w:rFonts w:ascii="Arial" w:hAnsi="Arial" w:cs="Arial"/>
                <w:sz w:val="16"/>
                <w:szCs w:val="16"/>
              </w:rPr>
              <w:br/>
              <w:t>Budget</w:t>
            </w:r>
            <w:r w:rsidRPr="00316F2B">
              <w:rPr>
                <w:rFonts w:ascii="Arial" w:hAnsi="Arial" w:cs="Arial"/>
                <w:sz w:val="16"/>
                <w:szCs w:val="16"/>
              </w:rPr>
              <w:br/>
            </w:r>
            <w:r w:rsidRPr="00316F2B">
              <w:rPr>
                <w:rFonts w:ascii="Arial" w:hAnsi="Arial" w:cs="Arial"/>
                <w:sz w:val="16"/>
                <w:szCs w:val="16"/>
              </w:rPr>
              <w:br/>
              <w:t>$</w:t>
            </w:r>
            <w:r>
              <w:rPr>
                <w:rFonts w:ascii="Arial" w:hAnsi="Arial" w:cs="Arial"/>
                <w:sz w:val="16"/>
                <w:szCs w:val="16"/>
              </w:rPr>
              <w:t>’</w:t>
            </w:r>
            <w:r w:rsidRPr="00316F2B">
              <w:rPr>
                <w:rFonts w:ascii="Arial" w:hAnsi="Arial" w:cs="Arial"/>
                <w:sz w:val="16"/>
                <w:szCs w:val="16"/>
              </w:rPr>
              <w:t>000</w:t>
            </w:r>
          </w:p>
        </w:tc>
        <w:tc>
          <w:tcPr>
            <w:tcW w:w="886" w:type="dxa"/>
            <w:tcBorders>
              <w:top w:val="single" w:sz="4" w:space="0" w:color="auto"/>
              <w:left w:val="nil"/>
              <w:bottom w:val="single" w:sz="4" w:space="0" w:color="auto"/>
              <w:right w:val="nil"/>
            </w:tcBorders>
            <w:shd w:val="clear" w:color="auto" w:fill="auto"/>
            <w:vAlign w:val="center"/>
            <w:hideMark/>
          </w:tcPr>
          <w:p w:rsidR="005449D2" w:rsidRPr="00316F2B" w:rsidRDefault="005449D2" w:rsidP="003F0F8A">
            <w:pPr>
              <w:spacing w:after="0" w:line="240" w:lineRule="auto"/>
              <w:jc w:val="right"/>
              <w:rPr>
                <w:rFonts w:ascii="Arial" w:hAnsi="Arial" w:cs="Arial"/>
                <w:sz w:val="16"/>
                <w:szCs w:val="16"/>
              </w:rPr>
            </w:pPr>
            <w:r w:rsidRPr="00316F2B">
              <w:rPr>
                <w:rFonts w:ascii="Arial" w:hAnsi="Arial" w:cs="Arial"/>
                <w:sz w:val="16"/>
                <w:szCs w:val="16"/>
              </w:rPr>
              <w:t>2018–19 Forward estimate</w:t>
            </w:r>
            <w:r w:rsidRPr="00316F2B">
              <w:rPr>
                <w:rFonts w:ascii="Arial" w:hAnsi="Arial" w:cs="Arial"/>
                <w:sz w:val="16"/>
                <w:szCs w:val="16"/>
              </w:rPr>
              <w:br/>
              <w:t>$</w:t>
            </w:r>
            <w:r>
              <w:rPr>
                <w:rFonts w:ascii="Arial" w:hAnsi="Arial" w:cs="Arial"/>
                <w:sz w:val="16"/>
                <w:szCs w:val="16"/>
              </w:rPr>
              <w:t>’</w:t>
            </w:r>
            <w:r w:rsidRPr="00316F2B">
              <w:rPr>
                <w:rFonts w:ascii="Arial" w:hAnsi="Arial" w:cs="Arial"/>
                <w:sz w:val="16"/>
                <w:szCs w:val="16"/>
              </w:rPr>
              <w:t>000</w:t>
            </w:r>
          </w:p>
        </w:tc>
        <w:tc>
          <w:tcPr>
            <w:tcW w:w="956" w:type="dxa"/>
            <w:tcBorders>
              <w:top w:val="single" w:sz="4" w:space="0" w:color="auto"/>
              <w:left w:val="nil"/>
              <w:bottom w:val="single" w:sz="4" w:space="0" w:color="auto"/>
              <w:right w:val="nil"/>
            </w:tcBorders>
            <w:shd w:val="clear" w:color="auto" w:fill="auto"/>
            <w:vAlign w:val="center"/>
            <w:hideMark/>
          </w:tcPr>
          <w:p w:rsidR="005449D2" w:rsidRPr="00316F2B" w:rsidRDefault="005449D2" w:rsidP="003F0F8A">
            <w:pPr>
              <w:spacing w:after="0" w:line="240" w:lineRule="auto"/>
              <w:jc w:val="right"/>
              <w:rPr>
                <w:rFonts w:ascii="Arial" w:hAnsi="Arial" w:cs="Arial"/>
                <w:sz w:val="16"/>
                <w:szCs w:val="16"/>
              </w:rPr>
            </w:pPr>
            <w:r w:rsidRPr="00316F2B">
              <w:rPr>
                <w:rFonts w:ascii="Arial" w:hAnsi="Arial" w:cs="Arial"/>
                <w:sz w:val="16"/>
                <w:szCs w:val="16"/>
              </w:rPr>
              <w:t>2019–20 Forward estimate</w:t>
            </w:r>
            <w:r w:rsidRPr="00316F2B">
              <w:rPr>
                <w:rFonts w:ascii="Arial" w:hAnsi="Arial" w:cs="Arial"/>
                <w:sz w:val="16"/>
                <w:szCs w:val="16"/>
              </w:rPr>
              <w:br/>
              <w:t>$</w:t>
            </w:r>
            <w:r>
              <w:rPr>
                <w:rFonts w:ascii="Arial" w:hAnsi="Arial" w:cs="Arial"/>
                <w:sz w:val="16"/>
                <w:szCs w:val="16"/>
              </w:rPr>
              <w:t>’</w:t>
            </w:r>
            <w:r w:rsidRPr="00316F2B">
              <w:rPr>
                <w:rFonts w:ascii="Arial" w:hAnsi="Arial" w:cs="Arial"/>
                <w:sz w:val="16"/>
                <w:szCs w:val="16"/>
              </w:rPr>
              <w:t>000</w:t>
            </w:r>
          </w:p>
        </w:tc>
        <w:tc>
          <w:tcPr>
            <w:tcW w:w="956" w:type="dxa"/>
            <w:tcBorders>
              <w:top w:val="single" w:sz="4" w:space="0" w:color="auto"/>
              <w:left w:val="nil"/>
              <w:bottom w:val="single" w:sz="4" w:space="0" w:color="auto"/>
              <w:right w:val="nil"/>
            </w:tcBorders>
            <w:shd w:val="clear" w:color="auto" w:fill="auto"/>
            <w:vAlign w:val="center"/>
            <w:hideMark/>
          </w:tcPr>
          <w:p w:rsidR="005449D2" w:rsidRPr="00316F2B" w:rsidRDefault="005449D2" w:rsidP="003F0F8A">
            <w:pPr>
              <w:spacing w:after="0" w:line="240" w:lineRule="auto"/>
              <w:jc w:val="right"/>
              <w:rPr>
                <w:rFonts w:ascii="Arial" w:hAnsi="Arial" w:cs="Arial"/>
                <w:sz w:val="16"/>
                <w:szCs w:val="16"/>
              </w:rPr>
            </w:pPr>
            <w:r w:rsidRPr="00316F2B">
              <w:rPr>
                <w:rFonts w:ascii="Arial" w:hAnsi="Arial" w:cs="Arial"/>
                <w:sz w:val="16"/>
                <w:szCs w:val="16"/>
              </w:rPr>
              <w:t>2020–21</w:t>
            </w:r>
            <w:r w:rsidRPr="00316F2B">
              <w:rPr>
                <w:rFonts w:ascii="Arial" w:hAnsi="Arial" w:cs="Arial"/>
                <w:sz w:val="16"/>
                <w:szCs w:val="16"/>
              </w:rPr>
              <w:br/>
              <w:t>Forward estimate</w:t>
            </w:r>
            <w:r w:rsidRPr="00316F2B">
              <w:rPr>
                <w:rFonts w:ascii="Arial" w:hAnsi="Arial" w:cs="Arial"/>
                <w:sz w:val="16"/>
                <w:szCs w:val="16"/>
              </w:rPr>
              <w:br/>
              <w:t>$</w:t>
            </w:r>
            <w:r>
              <w:rPr>
                <w:rFonts w:ascii="Arial" w:hAnsi="Arial" w:cs="Arial"/>
                <w:sz w:val="16"/>
                <w:szCs w:val="16"/>
              </w:rPr>
              <w:t>’</w:t>
            </w:r>
            <w:r w:rsidRPr="00316F2B">
              <w:rPr>
                <w:rFonts w:ascii="Arial" w:hAnsi="Arial" w:cs="Arial"/>
                <w:sz w:val="16"/>
                <w:szCs w:val="16"/>
              </w:rPr>
              <w:t>000</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OPERATING ACTIVITIES</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Cash received</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Appropriations</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6,104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6,020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5,983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5,989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6,016 </w:t>
            </w:r>
          </w:p>
        </w:tc>
      </w:tr>
      <w:tr w:rsidR="005449D2" w:rsidRPr="00316F2B" w:rsidTr="003F0F8A">
        <w:trPr>
          <w:trHeight w:val="206"/>
        </w:trPr>
        <w:tc>
          <w:tcPr>
            <w:tcW w:w="3112" w:type="dxa"/>
            <w:tcBorders>
              <w:top w:val="nil"/>
              <w:left w:val="nil"/>
              <w:bottom w:val="nil"/>
              <w:right w:val="nil"/>
            </w:tcBorders>
            <w:shd w:val="clear" w:color="auto" w:fill="auto"/>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Sale of goods and rendering of services</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37,785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38,161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37,914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38,653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39,289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Interest</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29,712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31,313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32,879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34,523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36,249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 xml:space="preserve">Grants from Portfolio Agencies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64,227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66,874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61,330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60,723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59,850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Net GST received</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37,058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19,023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18,866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19,738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21,037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 xml:space="preserve">Other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408,142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289,768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276,942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285,013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298,847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i/>
                <w:iCs/>
                <w:color w:val="000000"/>
                <w:sz w:val="16"/>
                <w:szCs w:val="16"/>
              </w:rPr>
            </w:pPr>
            <w:r w:rsidRPr="00316F2B">
              <w:rPr>
                <w:rFonts w:ascii="Arial" w:hAnsi="Arial" w:cs="Arial"/>
                <w:b/>
                <w:bCs/>
                <w:i/>
                <w:iCs/>
                <w:color w:val="000000"/>
                <w:sz w:val="16"/>
                <w:szCs w:val="16"/>
              </w:rPr>
              <w:t>Total cash received</w:t>
            </w:r>
          </w:p>
        </w:tc>
        <w:tc>
          <w:tcPr>
            <w:tcW w:w="956"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583,028 </w:t>
            </w:r>
          </w:p>
        </w:tc>
        <w:tc>
          <w:tcPr>
            <w:tcW w:w="886" w:type="dxa"/>
            <w:tcBorders>
              <w:top w:val="single" w:sz="4" w:space="0" w:color="000000"/>
              <w:left w:val="nil"/>
              <w:bottom w:val="single" w:sz="4" w:space="0" w:color="000000"/>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451,159 </w:t>
            </w:r>
          </w:p>
        </w:tc>
        <w:tc>
          <w:tcPr>
            <w:tcW w:w="886"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433,914 </w:t>
            </w:r>
          </w:p>
        </w:tc>
        <w:tc>
          <w:tcPr>
            <w:tcW w:w="956"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444,639 </w:t>
            </w:r>
          </w:p>
        </w:tc>
        <w:tc>
          <w:tcPr>
            <w:tcW w:w="956"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461,288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Cash used</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Employees</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62,892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60,709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60,109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59,512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58,912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Suppliers</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37,562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40,036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34,736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33,012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32,764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sz w:val="16"/>
                <w:szCs w:val="16"/>
              </w:rPr>
            </w:pPr>
            <w:r w:rsidRPr="00316F2B">
              <w:rPr>
                <w:rFonts w:ascii="Arial" w:hAnsi="Arial" w:cs="Arial"/>
                <w:sz w:val="16"/>
                <w:szCs w:val="16"/>
              </w:rPr>
              <w:t>Net GST paid</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37,058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19,023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18,866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19,738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21,037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ind w:firstLineChars="100" w:firstLine="160"/>
              <w:rPr>
                <w:rFonts w:ascii="Arial" w:hAnsi="Arial" w:cs="Arial"/>
                <w:color w:val="000000"/>
                <w:sz w:val="16"/>
                <w:szCs w:val="16"/>
              </w:rPr>
            </w:pPr>
            <w:r>
              <w:rPr>
                <w:rFonts w:ascii="Arial" w:hAnsi="Arial" w:cs="Arial"/>
                <w:color w:val="000000"/>
                <w:sz w:val="16"/>
                <w:szCs w:val="16"/>
              </w:rPr>
              <w:t>Cash Used—</w:t>
            </w:r>
            <w:r w:rsidRPr="00316F2B">
              <w:rPr>
                <w:rFonts w:ascii="Arial" w:hAnsi="Arial" w:cs="Arial"/>
                <w:color w:val="000000"/>
                <w:sz w:val="16"/>
                <w:szCs w:val="16"/>
              </w:rPr>
              <w:t>Other</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303,367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297,404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298,863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305,511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314,934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i/>
                <w:iCs/>
                <w:color w:val="000000"/>
                <w:sz w:val="16"/>
                <w:szCs w:val="16"/>
              </w:rPr>
            </w:pPr>
            <w:r w:rsidRPr="00316F2B">
              <w:rPr>
                <w:rFonts w:ascii="Arial" w:hAnsi="Arial" w:cs="Arial"/>
                <w:b/>
                <w:bCs/>
                <w:i/>
                <w:iCs/>
                <w:color w:val="000000"/>
                <w:sz w:val="16"/>
                <w:szCs w:val="16"/>
              </w:rPr>
              <w:t>Total cash used</w:t>
            </w:r>
          </w:p>
        </w:tc>
        <w:tc>
          <w:tcPr>
            <w:tcW w:w="956" w:type="dxa"/>
            <w:tcBorders>
              <w:top w:val="single" w:sz="4" w:space="0" w:color="000000"/>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440,879 </w:t>
            </w:r>
          </w:p>
        </w:tc>
        <w:tc>
          <w:tcPr>
            <w:tcW w:w="886" w:type="dxa"/>
            <w:tcBorders>
              <w:top w:val="single" w:sz="4" w:space="0" w:color="000000"/>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417,172 </w:t>
            </w:r>
          </w:p>
        </w:tc>
        <w:tc>
          <w:tcPr>
            <w:tcW w:w="886" w:type="dxa"/>
            <w:tcBorders>
              <w:top w:val="single" w:sz="4" w:space="0" w:color="000000"/>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412,574 </w:t>
            </w:r>
          </w:p>
        </w:tc>
        <w:tc>
          <w:tcPr>
            <w:tcW w:w="956" w:type="dxa"/>
            <w:tcBorders>
              <w:top w:val="single" w:sz="4" w:space="0" w:color="000000"/>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417,773 </w:t>
            </w:r>
          </w:p>
        </w:tc>
        <w:tc>
          <w:tcPr>
            <w:tcW w:w="956" w:type="dxa"/>
            <w:tcBorders>
              <w:top w:val="single" w:sz="4" w:space="0" w:color="000000"/>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427,647 </w:t>
            </w:r>
          </w:p>
        </w:tc>
      </w:tr>
      <w:tr w:rsidR="005449D2" w:rsidRPr="00316F2B" w:rsidTr="003F0F8A">
        <w:trPr>
          <w:trHeight w:val="413"/>
        </w:trPr>
        <w:tc>
          <w:tcPr>
            <w:tcW w:w="3112" w:type="dxa"/>
            <w:tcBorders>
              <w:top w:val="nil"/>
              <w:left w:val="nil"/>
              <w:bottom w:val="nil"/>
              <w:right w:val="nil"/>
            </w:tcBorders>
            <w:shd w:val="clear" w:color="auto" w:fill="auto"/>
            <w:vAlign w:val="center"/>
            <w:hideMark/>
          </w:tcPr>
          <w:p w:rsidR="005449D2" w:rsidRPr="00316F2B" w:rsidRDefault="005449D2" w:rsidP="003F0F8A">
            <w:pPr>
              <w:tabs>
                <w:tab w:val="left" w:pos="168"/>
              </w:tabs>
              <w:spacing w:after="0" w:line="240" w:lineRule="auto"/>
              <w:rPr>
                <w:rFonts w:ascii="Arial" w:hAnsi="Arial" w:cs="Arial"/>
                <w:b/>
                <w:bCs/>
                <w:color w:val="000000"/>
                <w:sz w:val="16"/>
                <w:szCs w:val="16"/>
              </w:rPr>
            </w:pPr>
            <w:r w:rsidRPr="00316F2B">
              <w:rPr>
                <w:rFonts w:ascii="Arial" w:hAnsi="Arial" w:cs="Arial"/>
                <w:b/>
                <w:bCs/>
                <w:color w:val="000000"/>
                <w:sz w:val="16"/>
                <w:szCs w:val="16"/>
              </w:rPr>
              <w:t>Net cash from/(used by)</w:t>
            </w:r>
            <w:r>
              <w:rPr>
                <w:rFonts w:ascii="Arial" w:hAnsi="Arial" w:cs="Arial"/>
                <w:b/>
                <w:bCs/>
                <w:color w:val="000000"/>
                <w:sz w:val="16"/>
                <w:szCs w:val="16"/>
              </w:rPr>
              <w:t xml:space="preserve"> </w:t>
            </w:r>
            <w:r w:rsidRPr="00316F2B">
              <w:rPr>
                <w:rFonts w:ascii="Arial" w:hAnsi="Arial" w:cs="Arial"/>
                <w:b/>
                <w:bCs/>
                <w:color w:val="000000"/>
                <w:sz w:val="16"/>
                <w:szCs w:val="16"/>
              </w:rPr>
              <w:t xml:space="preserve">operating </w:t>
            </w:r>
            <w:r>
              <w:rPr>
                <w:rFonts w:ascii="Arial" w:hAnsi="Arial" w:cs="Arial"/>
                <w:b/>
                <w:bCs/>
                <w:color w:val="000000"/>
                <w:sz w:val="16"/>
                <w:szCs w:val="16"/>
              </w:rPr>
              <w:tab/>
            </w:r>
            <w:r w:rsidRPr="00316F2B">
              <w:rPr>
                <w:rFonts w:ascii="Arial" w:hAnsi="Arial" w:cs="Arial"/>
                <w:b/>
                <w:bCs/>
                <w:color w:val="000000"/>
                <w:sz w:val="16"/>
                <w:szCs w:val="16"/>
              </w:rPr>
              <w:t>activities</w:t>
            </w:r>
          </w:p>
        </w:tc>
        <w:tc>
          <w:tcPr>
            <w:tcW w:w="956" w:type="dxa"/>
            <w:tcBorders>
              <w:top w:val="single" w:sz="4" w:space="0" w:color="auto"/>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142,149 </w:t>
            </w:r>
          </w:p>
        </w:tc>
        <w:tc>
          <w:tcPr>
            <w:tcW w:w="886" w:type="dxa"/>
            <w:tcBorders>
              <w:top w:val="single" w:sz="4" w:space="0" w:color="auto"/>
              <w:left w:val="nil"/>
              <w:bottom w:val="single" w:sz="4" w:space="0" w:color="auto"/>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33,987 </w:t>
            </w:r>
          </w:p>
        </w:tc>
        <w:tc>
          <w:tcPr>
            <w:tcW w:w="886" w:type="dxa"/>
            <w:tcBorders>
              <w:top w:val="single" w:sz="4" w:space="0" w:color="auto"/>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21,340 </w:t>
            </w:r>
          </w:p>
        </w:tc>
        <w:tc>
          <w:tcPr>
            <w:tcW w:w="956" w:type="dxa"/>
            <w:tcBorders>
              <w:top w:val="single" w:sz="4" w:space="0" w:color="auto"/>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26,866 </w:t>
            </w:r>
          </w:p>
        </w:tc>
        <w:tc>
          <w:tcPr>
            <w:tcW w:w="956" w:type="dxa"/>
            <w:tcBorders>
              <w:top w:val="single" w:sz="4" w:space="0" w:color="auto"/>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33,641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INVESTING ACTIVITIES</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Cash used</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rPr>
                <w:rFonts w:ascii="Arial" w:hAnsi="Arial" w:cs="Arial"/>
                <w:color w:val="000000"/>
                <w:sz w:val="16"/>
                <w:szCs w:val="16"/>
              </w:rPr>
            </w:pPr>
            <w:r w:rsidRPr="00316F2B">
              <w:rPr>
                <w:rFonts w:ascii="Arial" w:hAnsi="Arial" w:cs="Arial"/>
                <w:color w:val="000000"/>
                <w:sz w:val="16"/>
                <w:szCs w:val="16"/>
              </w:rPr>
              <w:t>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color w:val="000000"/>
                <w:sz w:val="16"/>
                <w:szCs w:val="16"/>
              </w:rPr>
            </w:pPr>
          </w:p>
        </w:tc>
      </w:tr>
      <w:tr w:rsidR="005449D2" w:rsidRPr="00316F2B" w:rsidTr="003F0F8A">
        <w:trPr>
          <w:trHeight w:val="413"/>
        </w:trPr>
        <w:tc>
          <w:tcPr>
            <w:tcW w:w="3112" w:type="dxa"/>
            <w:tcBorders>
              <w:top w:val="nil"/>
              <w:left w:val="nil"/>
              <w:bottom w:val="nil"/>
              <w:right w:val="nil"/>
            </w:tcBorders>
            <w:shd w:val="clear" w:color="auto" w:fill="auto"/>
            <w:vAlign w:val="center"/>
            <w:hideMark/>
          </w:tcPr>
          <w:p w:rsidR="005449D2" w:rsidRPr="00316F2B" w:rsidRDefault="005449D2" w:rsidP="003F0F8A">
            <w:pPr>
              <w:tabs>
                <w:tab w:val="left" w:pos="387"/>
              </w:tabs>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Purchase of property, plant and</w:t>
            </w:r>
            <w:r w:rsidRPr="00316F2B">
              <w:rPr>
                <w:rFonts w:ascii="Arial" w:hAnsi="Arial" w:cs="Arial"/>
                <w:color w:val="000000"/>
                <w:sz w:val="16"/>
                <w:szCs w:val="16"/>
              </w:rPr>
              <w:br/>
            </w:r>
            <w:r>
              <w:rPr>
                <w:rFonts w:ascii="Arial" w:hAnsi="Arial" w:cs="Arial"/>
                <w:color w:val="000000"/>
                <w:sz w:val="16"/>
                <w:szCs w:val="16"/>
              </w:rPr>
              <w:tab/>
            </w:r>
            <w:r w:rsidRPr="00316F2B">
              <w:rPr>
                <w:rFonts w:ascii="Arial" w:hAnsi="Arial" w:cs="Arial"/>
                <w:color w:val="000000"/>
                <w:sz w:val="16"/>
                <w:szCs w:val="16"/>
              </w:rPr>
              <w:t>equipment and intangibles</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13,300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8,810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6,175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3,080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4,100 </w:t>
            </w:r>
          </w:p>
        </w:tc>
      </w:tr>
      <w:tr w:rsidR="005449D2" w:rsidRPr="00316F2B" w:rsidTr="003F0F8A">
        <w:trPr>
          <w:trHeight w:val="206"/>
        </w:trPr>
        <w:tc>
          <w:tcPr>
            <w:tcW w:w="3112"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rPr>
                <w:rFonts w:ascii="Arial" w:hAnsi="Arial" w:cs="Arial"/>
                <w:b/>
                <w:bCs/>
                <w:i/>
                <w:iCs/>
                <w:color w:val="000000"/>
                <w:sz w:val="16"/>
                <w:szCs w:val="16"/>
              </w:rPr>
            </w:pPr>
            <w:r w:rsidRPr="00316F2B">
              <w:rPr>
                <w:rFonts w:ascii="Arial" w:hAnsi="Arial" w:cs="Arial"/>
                <w:b/>
                <w:bCs/>
                <w:i/>
                <w:iCs/>
                <w:color w:val="000000"/>
                <w:sz w:val="16"/>
                <w:szCs w:val="16"/>
              </w:rPr>
              <w:t>Total cash used</w:t>
            </w:r>
          </w:p>
        </w:tc>
        <w:tc>
          <w:tcPr>
            <w:tcW w:w="956"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13,300 </w:t>
            </w:r>
          </w:p>
        </w:tc>
        <w:tc>
          <w:tcPr>
            <w:tcW w:w="886" w:type="dxa"/>
            <w:tcBorders>
              <w:top w:val="single" w:sz="4" w:space="0" w:color="000000"/>
              <w:left w:val="nil"/>
              <w:bottom w:val="single" w:sz="4" w:space="0" w:color="000000"/>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8,810 </w:t>
            </w:r>
          </w:p>
        </w:tc>
        <w:tc>
          <w:tcPr>
            <w:tcW w:w="886"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6,175 </w:t>
            </w:r>
          </w:p>
        </w:tc>
        <w:tc>
          <w:tcPr>
            <w:tcW w:w="956"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3,080 </w:t>
            </w:r>
          </w:p>
        </w:tc>
        <w:tc>
          <w:tcPr>
            <w:tcW w:w="956" w:type="dxa"/>
            <w:tcBorders>
              <w:top w:val="single" w:sz="4" w:space="0" w:color="000000"/>
              <w:left w:val="nil"/>
              <w:bottom w:val="single" w:sz="4" w:space="0" w:color="000000"/>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i/>
                <w:iCs/>
                <w:color w:val="000000"/>
                <w:sz w:val="16"/>
                <w:szCs w:val="16"/>
              </w:rPr>
            </w:pPr>
            <w:r w:rsidRPr="00316F2B">
              <w:rPr>
                <w:rFonts w:ascii="Arial" w:hAnsi="Arial" w:cs="Arial"/>
                <w:b/>
                <w:bCs/>
                <w:i/>
                <w:iCs/>
                <w:color w:val="000000"/>
                <w:sz w:val="16"/>
                <w:szCs w:val="16"/>
              </w:rPr>
              <w:t xml:space="preserve">4,100 </w:t>
            </w:r>
          </w:p>
        </w:tc>
      </w:tr>
      <w:tr w:rsidR="005449D2" w:rsidRPr="00316F2B" w:rsidTr="003F0F8A">
        <w:trPr>
          <w:trHeight w:val="413"/>
        </w:trPr>
        <w:tc>
          <w:tcPr>
            <w:tcW w:w="3112" w:type="dxa"/>
            <w:tcBorders>
              <w:top w:val="nil"/>
              <w:left w:val="nil"/>
              <w:bottom w:val="nil"/>
              <w:right w:val="nil"/>
            </w:tcBorders>
            <w:shd w:val="clear" w:color="auto" w:fill="auto"/>
            <w:vAlign w:val="center"/>
            <w:hideMark/>
          </w:tcPr>
          <w:p w:rsidR="005449D2" w:rsidRPr="00316F2B" w:rsidRDefault="005449D2" w:rsidP="003F0F8A">
            <w:pPr>
              <w:tabs>
                <w:tab w:val="left" w:pos="191"/>
              </w:tabs>
              <w:spacing w:after="0" w:line="240" w:lineRule="auto"/>
              <w:rPr>
                <w:rFonts w:ascii="Arial" w:hAnsi="Arial" w:cs="Arial"/>
                <w:b/>
                <w:bCs/>
                <w:color w:val="000000"/>
                <w:sz w:val="16"/>
                <w:szCs w:val="16"/>
              </w:rPr>
            </w:pPr>
            <w:r w:rsidRPr="00316F2B">
              <w:rPr>
                <w:rFonts w:ascii="Arial" w:hAnsi="Arial" w:cs="Arial"/>
                <w:b/>
                <w:bCs/>
                <w:color w:val="000000"/>
                <w:sz w:val="16"/>
                <w:szCs w:val="16"/>
              </w:rPr>
              <w:t>Net cash from/(used by)</w:t>
            </w:r>
            <w:r>
              <w:rPr>
                <w:rFonts w:ascii="Arial" w:hAnsi="Arial" w:cs="Arial"/>
                <w:b/>
                <w:bCs/>
                <w:color w:val="000000"/>
                <w:sz w:val="16"/>
                <w:szCs w:val="16"/>
              </w:rPr>
              <w:t xml:space="preserve"> </w:t>
            </w:r>
            <w:r w:rsidRPr="00316F2B">
              <w:rPr>
                <w:rFonts w:ascii="Arial" w:hAnsi="Arial" w:cs="Arial"/>
                <w:b/>
                <w:bCs/>
                <w:color w:val="000000"/>
                <w:sz w:val="16"/>
                <w:szCs w:val="16"/>
              </w:rPr>
              <w:t xml:space="preserve">investing </w:t>
            </w:r>
            <w:r>
              <w:rPr>
                <w:rFonts w:ascii="Arial" w:hAnsi="Arial" w:cs="Arial"/>
                <w:b/>
                <w:bCs/>
                <w:color w:val="000000"/>
                <w:sz w:val="16"/>
                <w:szCs w:val="16"/>
              </w:rPr>
              <w:tab/>
            </w:r>
            <w:r w:rsidRPr="00316F2B">
              <w:rPr>
                <w:rFonts w:ascii="Arial" w:hAnsi="Arial" w:cs="Arial"/>
                <w:b/>
                <w:bCs/>
                <w:color w:val="000000"/>
                <w:sz w:val="16"/>
                <w:szCs w:val="16"/>
              </w:rPr>
              <w:t>activities</w:t>
            </w:r>
          </w:p>
        </w:tc>
        <w:tc>
          <w:tcPr>
            <w:tcW w:w="956"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(13,300)</w:t>
            </w:r>
          </w:p>
        </w:tc>
        <w:tc>
          <w:tcPr>
            <w:tcW w:w="886" w:type="dxa"/>
            <w:tcBorders>
              <w:top w:val="nil"/>
              <w:left w:val="nil"/>
              <w:bottom w:val="single" w:sz="4" w:space="0" w:color="auto"/>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(8,810)</w:t>
            </w:r>
          </w:p>
        </w:tc>
        <w:tc>
          <w:tcPr>
            <w:tcW w:w="886"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(6,175)</w:t>
            </w:r>
          </w:p>
        </w:tc>
        <w:tc>
          <w:tcPr>
            <w:tcW w:w="956"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(3,080)</w:t>
            </w:r>
          </w:p>
        </w:tc>
        <w:tc>
          <w:tcPr>
            <w:tcW w:w="956" w:type="dxa"/>
            <w:tcBorders>
              <w:top w:val="nil"/>
              <w:left w:val="nil"/>
              <w:bottom w:val="single" w:sz="4" w:space="0" w:color="auto"/>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(4,100)</w:t>
            </w:r>
          </w:p>
        </w:tc>
      </w:tr>
      <w:tr w:rsidR="005449D2" w:rsidRPr="00316F2B" w:rsidTr="003F0F8A">
        <w:trPr>
          <w:trHeight w:val="173"/>
        </w:trPr>
        <w:tc>
          <w:tcPr>
            <w:tcW w:w="3112" w:type="dxa"/>
            <w:tcBorders>
              <w:top w:val="nil"/>
              <w:left w:val="nil"/>
              <w:bottom w:val="nil"/>
              <w:right w:val="nil"/>
            </w:tcBorders>
            <w:shd w:val="clear" w:color="auto" w:fill="auto"/>
            <w:vAlign w:val="center"/>
            <w:hideMark/>
          </w:tcPr>
          <w:p w:rsidR="005449D2" w:rsidRPr="00316F2B" w:rsidRDefault="005449D2" w:rsidP="003F0F8A">
            <w:pPr>
              <w:spacing w:after="0" w:line="240" w:lineRule="auto"/>
              <w:rPr>
                <w:rFonts w:ascii="Arial" w:hAnsi="Arial" w:cs="Arial"/>
                <w:b/>
                <w:bCs/>
                <w:color w:val="000000"/>
                <w:sz w:val="16"/>
                <w:szCs w:val="16"/>
              </w:rPr>
            </w:pPr>
            <w:r w:rsidRPr="00316F2B">
              <w:rPr>
                <w:rFonts w:ascii="Arial" w:hAnsi="Arial" w:cs="Arial"/>
                <w:b/>
                <w:bCs/>
                <w:color w:val="000000"/>
                <w:sz w:val="16"/>
                <w:szCs w:val="16"/>
              </w:rPr>
              <w:t>Net increase/(decrease) in cash</w:t>
            </w:r>
            <w:r>
              <w:rPr>
                <w:rFonts w:ascii="Arial" w:hAnsi="Arial" w:cs="Arial"/>
                <w:b/>
                <w:bCs/>
                <w:color w:val="000000"/>
                <w:sz w:val="16"/>
                <w:szCs w:val="16"/>
              </w:rPr>
              <w:t xml:space="preserve"> </w:t>
            </w:r>
            <w:r w:rsidRPr="00316F2B">
              <w:rPr>
                <w:rFonts w:ascii="Arial" w:hAnsi="Arial" w:cs="Arial"/>
                <w:b/>
                <w:bCs/>
                <w:color w:val="000000"/>
                <w:sz w:val="16"/>
                <w:szCs w:val="16"/>
              </w:rPr>
              <w:t>held</w:t>
            </w:r>
          </w:p>
        </w:tc>
        <w:tc>
          <w:tcPr>
            <w:tcW w:w="956" w:type="dxa"/>
            <w:tcBorders>
              <w:top w:val="nil"/>
              <w:left w:val="nil"/>
              <w:bottom w:val="single" w:sz="4" w:space="0" w:color="000000"/>
              <w:right w:val="nil"/>
            </w:tcBorders>
            <w:shd w:val="clear" w:color="auto" w:fill="auto"/>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128,849 </w:t>
            </w:r>
          </w:p>
        </w:tc>
        <w:tc>
          <w:tcPr>
            <w:tcW w:w="886" w:type="dxa"/>
            <w:tcBorders>
              <w:top w:val="nil"/>
              <w:left w:val="nil"/>
              <w:bottom w:val="single" w:sz="4" w:space="0" w:color="000000"/>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25,177 </w:t>
            </w:r>
          </w:p>
        </w:tc>
        <w:tc>
          <w:tcPr>
            <w:tcW w:w="886" w:type="dxa"/>
            <w:tcBorders>
              <w:top w:val="nil"/>
              <w:left w:val="nil"/>
              <w:bottom w:val="single" w:sz="4" w:space="0" w:color="000000"/>
              <w:right w:val="nil"/>
            </w:tcBorders>
            <w:shd w:val="clear" w:color="auto" w:fill="auto"/>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15,165 </w:t>
            </w:r>
          </w:p>
        </w:tc>
        <w:tc>
          <w:tcPr>
            <w:tcW w:w="956" w:type="dxa"/>
            <w:tcBorders>
              <w:top w:val="nil"/>
              <w:left w:val="nil"/>
              <w:bottom w:val="single" w:sz="4" w:space="0" w:color="000000"/>
              <w:right w:val="nil"/>
            </w:tcBorders>
            <w:shd w:val="clear" w:color="auto" w:fill="auto"/>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23,786 </w:t>
            </w:r>
          </w:p>
        </w:tc>
        <w:tc>
          <w:tcPr>
            <w:tcW w:w="956" w:type="dxa"/>
            <w:tcBorders>
              <w:top w:val="nil"/>
              <w:left w:val="nil"/>
              <w:bottom w:val="single" w:sz="4" w:space="0" w:color="000000"/>
              <w:right w:val="nil"/>
            </w:tcBorders>
            <w:shd w:val="clear" w:color="auto" w:fill="auto"/>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29,541 </w:t>
            </w:r>
          </w:p>
        </w:tc>
      </w:tr>
      <w:tr w:rsidR="005449D2" w:rsidRPr="00316F2B" w:rsidTr="003F0F8A">
        <w:trPr>
          <w:trHeight w:val="413"/>
        </w:trPr>
        <w:tc>
          <w:tcPr>
            <w:tcW w:w="3112" w:type="dxa"/>
            <w:tcBorders>
              <w:top w:val="nil"/>
              <w:left w:val="nil"/>
              <w:bottom w:val="nil"/>
              <w:right w:val="nil"/>
            </w:tcBorders>
            <w:shd w:val="clear" w:color="auto" w:fill="auto"/>
            <w:vAlign w:val="center"/>
            <w:hideMark/>
          </w:tcPr>
          <w:p w:rsidR="005449D2" w:rsidRPr="00316F2B" w:rsidRDefault="005449D2" w:rsidP="003F0F8A">
            <w:pPr>
              <w:tabs>
                <w:tab w:val="left" w:pos="401"/>
              </w:tabs>
              <w:spacing w:after="0" w:line="240" w:lineRule="auto"/>
              <w:ind w:firstLineChars="100" w:firstLine="160"/>
              <w:rPr>
                <w:rFonts w:ascii="Arial" w:hAnsi="Arial" w:cs="Arial"/>
                <w:color w:val="000000"/>
                <w:sz w:val="16"/>
                <w:szCs w:val="16"/>
              </w:rPr>
            </w:pPr>
            <w:r w:rsidRPr="00316F2B">
              <w:rPr>
                <w:rFonts w:ascii="Arial" w:hAnsi="Arial" w:cs="Arial"/>
                <w:color w:val="000000"/>
                <w:sz w:val="16"/>
                <w:szCs w:val="16"/>
              </w:rPr>
              <w:t>Cash and cash equivalents at the</w:t>
            </w:r>
            <w:r w:rsidRPr="00316F2B">
              <w:rPr>
                <w:rFonts w:ascii="Arial" w:hAnsi="Arial" w:cs="Arial"/>
                <w:color w:val="000000"/>
                <w:sz w:val="16"/>
                <w:szCs w:val="16"/>
              </w:rPr>
              <w:br/>
            </w:r>
            <w:r>
              <w:rPr>
                <w:rFonts w:ascii="Arial" w:hAnsi="Arial" w:cs="Arial"/>
                <w:color w:val="000000"/>
                <w:sz w:val="16"/>
                <w:szCs w:val="16"/>
              </w:rPr>
              <w:tab/>
            </w:r>
            <w:r w:rsidRPr="00316F2B">
              <w:rPr>
                <w:rFonts w:ascii="Arial" w:hAnsi="Arial" w:cs="Arial"/>
                <w:color w:val="000000"/>
                <w:sz w:val="16"/>
                <w:szCs w:val="16"/>
              </w:rPr>
              <w:t>beginning of the reporting period</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820,339 </w:t>
            </w:r>
          </w:p>
        </w:tc>
        <w:tc>
          <w:tcPr>
            <w:tcW w:w="886" w:type="dxa"/>
            <w:tcBorders>
              <w:top w:val="nil"/>
              <w:left w:val="nil"/>
              <w:bottom w:val="nil"/>
              <w:right w:val="nil"/>
            </w:tcBorders>
            <w:shd w:val="clear" w:color="000000" w:fill="E6E6E6"/>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949,189 </w:t>
            </w:r>
          </w:p>
        </w:tc>
        <w:tc>
          <w:tcPr>
            <w:tcW w:w="88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974,365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989,530 </w:t>
            </w:r>
          </w:p>
        </w:tc>
        <w:tc>
          <w:tcPr>
            <w:tcW w:w="956" w:type="dxa"/>
            <w:tcBorders>
              <w:top w:val="nil"/>
              <w:left w:val="nil"/>
              <w:bottom w:val="nil"/>
              <w:right w:val="nil"/>
            </w:tcBorders>
            <w:shd w:val="clear" w:color="auto" w:fill="auto"/>
            <w:noWrap/>
            <w:vAlign w:val="center"/>
            <w:hideMark/>
          </w:tcPr>
          <w:p w:rsidR="005449D2" w:rsidRPr="00316F2B" w:rsidRDefault="005449D2" w:rsidP="003F0F8A">
            <w:pPr>
              <w:spacing w:after="0" w:line="240" w:lineRule="auto"/>
              <w:jc w:val="right"/>
              <w:rPr>
                <w:rFonts w:ascii="Arial" w:hAnsi="Arial" w:cs="Arial"/>
                <w:color w:val="000000"/>
                <w:sz w:val="16"/>
                <w:szCs w:val="16"/>
              </w:rPr>
            </w:pPr>
            <w:r w:rsidRPr="00316F2B">
              <w:rPr>
                <w:rFonts w:ascii="Arial" w:hAnsi="Arial" w:cs="Arial"/>
                <w:color w:val="000000"/>
                <w:sz w:val="16"/>
                <w:szCs w:val="16"/>
              </w:rPr>
              <w:t xml:space="preserve">1,013,315 </w:t>
            </w:r>
          </w:p>
        </w:tc>
      </w:tr>
      <w:tr w:rsidR="005449D2" w:rsidRPr="00316F2B" w:rsidTr="003F0F8A">
        <w:trPr>
          <w:trHeight w:val="413"/>
        </w:trPr>
        <w:tc>
          <w:tcPr>
            <w:tcW w:w="3112" w:type="dxa"/>
            <w:tcBorders>
              <w:top w:val="nil"/>
              <w:left w:val="nil"/>
              <w:bottom w:val="single" w:sz="4" w:space="0" w:color="auto"/>
              <w:right w:val="nil"/>
            </w:tcBorders>
            <w:shd w:val="clear" w:color="auto" w:fill="auto"/>
            <w:vAlign w:val="center"/>
            <w:hideMark/>
          </w:tcPr>
          <w:p w:rsidR="005449D2" w:rsidRPr="00316F2B" w:rsidRDefault="005449D2" w:rsidP="003F0F8A">
            <w:pPr>
              <w:tabs>
                <w:tab w:val="left" w:pos="179"/>
              </w:tabs>
              <w:spacing w:after="0" w:line="240" w:lineRule="auto"/>
              <w:rPr>
                <w:rFonts w:ascii="Arial" w:hAnsi="Arial" w:cs="Arial"/>
                <w:b/>
                <w:bCs/>
                <w:color w:val="000000"/>
                <w:sz w:val="16"/>
                <w:szCs w:val="16"/>
              </w:rPr>
            </w:pPr>
            <w:r w:rsidRPr="00316F2B">
              <w:rPr>
                <w:rFonts w:ascii="Arial" w:hAnsi="Arial" w:cs="Arial"/>
                <w:b/>
                <w:bCs/>
                <w:color w:val="000000"/>
                <w:sz w:val="16"/>
                <w:szCs w:val="16"/>
              </w:rPr>
              <w:t>Cash and cash equivalents at</w:t>
            </w:r>
            <w:r>
              <w:rPr>
                <w:rFonts w:ascii="Arial" w:hAnsi="Arial" w:cs="Arial"/>
                <w:b/>
                <w:bCs/>
                <w:color w:val="000000"/>
                <w:sz w:val="16"/>
                <w:szCs w:val="16"/>
              </w:rPr>
              <w:t xml:space="preserve"> </w:t>
            </w:r>
            <w:r w:rsidRPr="00316F2B">
              <w:rPr>
                <w:rFonts w:ascii="Arial" w:hAnsi="Arial" w:cs="Arial"/>
                <w:b/>
                <w:bCs/>
                <w:color w:val="000000"/>
                <w:sz w:val="16"/>
                <w:szCs w:val="16"/>
              </w:rPr>
              <w:t xml:space="preserve">the end </w:t>
            </w:r>
            <w:r>
              <w:rPr>
                <w:rFonts w:ascii="Arial" w:hAnsi="Arial" w:cs="Arial"/>
                <w:b/>
                <w:bCs/>
                <w:color w:val="000000"/>
                <w:sz w:val="16"/>
                <w:szCs w:val="16"/>
              </w:rPr>
              <w:tab/>
            </w:r>
            <w:r w:rsidRPr="00316F2B">
              <w:rPr>
                <w:rFonts w:ascii="Arial" w:hAnsi="Arial" w:cs="Arial"/>
                <w:b/>
                <w:bCs/>
                <w:color w:val="000000"/>
                <w:sz w:val="16"/>
                <w:szCs w:val="16"/>
              </w:rPr>
              <w:t>of the reporting period</w:t>
            </w:r>
          </w:p>
        </w:tc>
        <w:tc>
          <w:tcPr>
            <w:tcW w:w="956" w:type="dxa"/>
            <w:tcBorders>
              <w:top w:val="single" w:sz="4" w:space="0" w:color="000000"/>
              <w:left w:val="nil"/>
              <w:bottom w:val="single" w:sz="4" w:space="0" w:color="auto"/>
              <w:right w:val="nil"/>
            </w:tcBorders>
            <w:shd w:val="clear" w:color="auto" w:fill="auto"/>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949,189 </w:t>
            </w:r>
          </w:p>
        </w:tc>
        <w:tc>
          <w:tcPr>
            <w:tcW w:w="886" w:type="dxa"/>
            <w:tcBorders>
              <w:top w:val="single" w:sz="4" w:space="0" w:color="000000"/>
              <w:left w:val="nil"/>
              <w:bottom w:val="single" w:sz="4" w:space="0" w:color="auto"/>
              <w:right w:val="nil"/>
            </w:tcBorders>
            <w:shd w:val="clear" w:color="000000" w:fill="E6E6E6"/>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974,365 </w:t>
            </w:r>
          </w:p>
        </w:tc>
        <w:tc>
          <w:tcPr>
            <w:tcW w:w="886" w:type="dxa"/>
            <w:tcBorders>
              <w:top w:val="single" w:sz="4" w:space="0" w:color="000000"/>
              <w:left w:val="nil"/>
              <w:bottom w:val="single" w:sz="4" w:space="0" w:color="auto"/>
              <w:right w:val="nil"/>
            </w:tcBorders>
            <w:shd w:val="clear" w:color="auto" w:fill="auto"/>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989,530 </w:t>
            </w:r>
          </w:p>
        </w:tc>
        <w:tc>
          <w:tcPr>
            <w:tcW w:w="956" w:type="dxa"/>
            <w:tcBorders>
              <w:top w:val="single" w:sz="4" w:space="0" w:color="000000"/>
              <w:left w:val="nil"/>
              <w:bottom w:val="single" w:sz="4" w:space="0" w:color="auto"/>
              <w:right w:val="nil"/>
            </w:tcBorders>
            <w:shd w:val="clear" w:color="auto" w:fill="auto"/>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1,013,315 </w:t>
            </w:r>
          </w:p>
        </w:tc>
        <w:tc>
          <w:tcPr>
            <w:tcW w:w="956" w:type="dxa"/>
            <w:tcBorders>
              <w:top w:val="single" w:sz="4" w:space="0" w:color="000000"/>
              <w:left w:val="nil"/>
              <w:bottom w:val="single" w:sz="4" w:space="0" w:color="auto"/>
              <w:right w:val="nil"/>
            </w:tcBorders>
            <w:shd w:val="clear" w:color="auto" w:fill="auto"/>
            <w:noWrap/>
            <w:vAlign w:val="bottom"/>
            <w:hideMark/>
          </w:tcPr>
          <w:p w:rsidR="005449D2" w:rsidRPr="00316F2B" w:rsidRDefault="005449D2" w:rsidP="003F0F8A">
            <w:pPr>
              <w:spacing w:after="0" w:line="240" w:lineRule="auto"/>
              <w:jc w:val="right"/>
              <w:rPr>
                <w:rFonts w:ascii="Arial" w:hAnsi="Arial" w:cs="Arial"/>
                <w:b/>
                <w:bCs/>
                <w:color w:val="000000"/>
                <w:sz w:val="16"/>
                <w:szCs w:val="16"/>
              </w:rPr>
            </w:pPr>
            <w:r w:rsidRPr="00316F2B">
              <w:rPr>
                <w:rFonts w:ascii="Arial" w:hAnsi="Arial" w:cs="Arial"/>
                <w:b/>
                <w:bCs/>
                <w:color w:val="000000"/>
                <w:sz w:val="16"/>
                <w:szCs w:val="16"/>
              </w:rPr>
              <w:t xml:space="preserve">1,042,855 </w:t>
            </w:r>
          </w:p>
        </w:tc>
      </w:tr>
    </w:tbl>
    <w:p w:rsidR="005449D2" w:rsidRDefault="005449D2" w:rsidP="005449D2">
      <w:pPr>
        <w:pStyle w:val="Source"/>
        <w:spacing w:before="120" w:after="360"/>
      </w:pPr>
      <w:r>
        <w:t>Prepared on Australian Accounting Standards basis.</w:t>
      </w:r>
    </w:p>
    <w:p w:rsidR="005449D2" w:rsidRPr="0041404E" w:rsidRDefault="005449D2" w:rsidP="005449D2">
      <w:pPr>
        <w:pStyle w:val="TableHeading"/>
        <w:spacing w:before="360"/>
      </w:pPr>
      <w:r w:rsidRPr="00D30CBA">
        <w:t>Table</w:t>
      </w:r>
      <w:r>
        <w:t xml:space="preserve"> 3.5</w:t>
      </w:r>
      <w:r w:rsidRPr="00D30CBA">
        <w:t xml:space="preserve">: </w:t>
      </w:r>
      <w:r>
        <w:t>Departmental capital budget statement (for the period ended 30 June)</w:t>
      </w:r>
    </w:p>
    <w:tbl>
      <w:tblPr>
        <w:tblW w:w="7658" w:type="dxa"/>
        <w:tblInd w:w="93" w:type="dxa"/>
        <w:tblCellMar>
          <w:left w:w="57" w:type="dxa"/>
          <w:right w:w="57" w:type="dxa"/>
        </w:tblCellMar>
        <w:tblLook w:val="04A0" w:firstRow="1" w:lastRow="0" w:firstColumn="1" w:lastColumn="0" w:noHBand="0" w:noVBand="1"/>
      </w:tblPr>
      <w:tblGrid>
        <w:gridCol w:w="3366"/>
        <w:gridCol w:w="851"/>
        <w:gridCol w:w="850"/>
        <w:gridCol w:w="801"/>
        <w:gridCol w:w="895"/>
        <w:gridCol w:w="895"/>
      </w:tblGrid>
      <w:tr w:rsidR="005449D2" w:rsidRPr="00241296" w:rsidTr="003F0F8A">
        <w:trPr>
          <w:trHeight w:val="832"/>
        </w:trPr>
        <w:tc>
          <w:tcPr>
            <w:tcW w:w="3366" w:type="dxa"/>
            <w:tcBorders>
              <w:top w:val="single" w:sz="4" w:space="0" w:color="auto"/>
              <w:left w:val="nil"/>
              <w:bottom w:val="nil"/>
              <w:right w:val="nil"/>
            </w:tcBorders>
            <w:shd w:val="clear" w:color="auto" w:fill="auto"/>
            <w:noWrap/>
            <w:hideMark/>
          </w:tcPr>
          <w:p w:rsidR="005449D2" w:rsidRPr="00241296" w:rsidRDefault="005449D2" w:rsidP="003F0F8A">
            <w:pPr>
              <w:spacing w:after="0" w:line="240" w:lineRule="auto"/>
              <w:rPr>
                <w:rFonts w:ascii="Arial" w:hAnsi="Arial" w:cs="Arial"/>
                <w:b/>
                <w:bCs/>
                <w:sz w:val="16"/>
                <w:szCs w:val="16"/>
              </w:rPr>
            </w:pPr>
            <w:r w:rsidRPr="00241296">
              <w:rPr>
                <w:rFonts w:ascii="Arial" w:hAnsi="Arial" w:cs="Arial"/>
                <w:b/>
                <w:bCs/>
                <w:sz w:val="16"/>
                <w:szCs w:val="16"/>
              </w:rPr>
              <w:t> </w:t>
            </w:r>
          </w:p>
        </w:tc>
        <w:tc>
          <w:tcPr>
            <w:tcW w:w="851" w:type="dxa"/>
            <w:tcBorders>
              <w:top w:val="single" w:sz="4" w:space="0" w:color="auto"/>
              <w:left w:val="nil"/>
              <w:bottom w:val="single" w:sz="4" w:space="0" w:color="auto"/>
              <w:right w:val="nil"/>
            </w:tcBorders>
            <w:shd w:val="clear" w:color="auto" w:fill="auto"/>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2016–17 Estimated actual</w:t>
            </w:r>
            <w:r w:rsidRPr="00241296">
              <w:rPr>
                <w:rFonts w:ascii="Arial" w:hAnsi="Arial" w:cs="Arial"/>
                <w:sz w:val="16"/>
                <w:szCs w:val="16"/>
              </w:rPr>
              <w:br/>
              <w:t>$</w:t>
            </w:r>
            <w:r>
              <w:rPr>
                <w:rFonts w:ascii="Arial" w:hAnsi="Arial" w:cs="Arial"/>
                <w:sz w:val="16"/>
                <w:szCs w:val="16"/>
              </w:rPr>
              <w:t>’</w:t>
            </w:r>
            <w:r w:rsidRPr="00241296">
              <w:rPr>
                <w:rFonts w:ascii="Arial" w:hAnsi="Arial" w:cs="Arial"/>
                <w:sz w:val="16"/>
                <w:szCs w:val="16"/>
              </w:rPr>
              <w:t>000</w:t>
            </w:r>
          </w:p>
        </w:tc>
        <w:tc>
          <w:tcPr>
            <w:tcW w:w="850" w:type="dxa"/>
            <w:tcBorders>
              <w:top w:val="single" w:sz="4" w:space="0" w:color="auto"/>
              <w:left w:val="nil"/>
              <w:bottom w:val="single" w:sz="4" w:space="0" w:color="auto"/>
              <w:right w:val="nil"/>
            </w:tcBorders>
            <w:shd w:val="clear" w:color="000000" w:fill="E6E6E6"/>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2017–18</w:t>
            </w:r>
            <w:r w:rsidRPr="00241296">
              <w:rPr>
                <w:rFonts w:ascii="Arial" w:hAnsi="Arial" w:cs="Arial"/>
                <w:sz w:val="16"/>
                <w:szCs w:val="16"/>
              </w:rPr>
              <w:br/>
              <w:t>Budget</w:t>
            </w:r>
            <w:r w:rsidRPr="00241296">
              <w:rPr>
                <w:rFonts w:ascii="Arial" w:hAnsi="Arial" w:cs="Arial"/>
                <w:sz w:val="16"/>
                <w:szCs w:val="16"/>
              </w:rPr>
              <w:br/>
            </w:r>
            <w:r w:rsidRPr="00241296">
              <w:rPr>
                <w:rFonts w:ascii="Arial" w:hAnsi="Arial" w:cs="Arial"/>
                <w:sz w:val="16"/>
                <w:szCs w:val="16"/>
              </w:rPr>
              <w:br/>
              <w:t>$</w:t>
            </w:r>
            <w:r>
              <w:rPr>
                <w:rFonts w:ascii="Arial" w:hAnsi="Arial" w:cs="Arial"/>
                <w:sz w:val="16"/>
                <w:szCs w:val="16"/>
              </w:rPr>
              <w:t>’</w:t>
            </w:r>
            <w:r w:rsidRPr="00241296">
              <w:rPr>
                <w:rFonts w:ascii="Arial" w:hAnsi="Arial" w:cs="Arial"/>
                <w:sz w:val="16"/>
                <w:szCs w:val="16"/>
              </w:rPr>
              <w:t>000</w:t>
            </w:r>
          </w:p>
        </w:tc>
        <w:tc>
          <w:tcPr>
            <w:tcW w:w="801" w:type="dxa"/>
            <w:tcBorders>
              <w:top w:val="single" w:sz="4" w:space="0" w:color="auto"/>
              <w:left w:val="nil"/>
              <w:bottom w:val="single" w:sz="4" w:space="0" w:color="auto"/>
              <w:right w:val="nil"/>
            </w:tcBorders>
            <w:shd w:val="clear" w:color="auto" w:fill="auto"/>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2018–19 Forward estimate</w:t>
            </w:r>
            <w:r w:rsidRPr="00241296">
              <w:rPr>
                <w:rFonts w:ascii="Arial" w:hAnsi="Arial" w:cs="Arial"/>
                <w:sz w:val="16"/>
                <w:szCs w:val="16"/>
              </w:rPr>
              <w:br/>
              <w:t>$</w:t>
            </w:r>
            <w:r>
              <w:rPr>
                <w:rFonts w:ascii="Arial" w:hAnsi="Arial" w:cs="Arial"/>
                <w:sz w:val="16"/>
                <w:szCs w:val="16"/>
              </w:rPr>
              <w:t>’</w:t>
            </w:r>
            <w:r w:rsidRPr="00241296">
              <w:rPr>
                <w:rFonts w:ascii="Arial" w:hAnsi="Arial" w:cs="Arial"/>
                <w:sz w:val="16"/>
                <w:szCs w:val="16"/>
              </w:rPr>
              <w:t>000</w:t>
            </w:r>
          </w:p>
        </w:tc>
        <w:tc>
          <w:tcPr>
            <w:tcW w:w="895" w:type="dxa"/>
            <w:tcBorders>
              <w:top w:val="single" w:sz="4" w:space="0" w:color="auto"/>
              <w:left w:val="nil"/>
              <w:bottom w:val="single" w:sz="4" w:space="0" w:color="auto"/>
              <w:right w:val="nil"/>
            </w:tcBorders>
            <w:shd w:val="clear" w:color="auto" w:fill="auto"/>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2019–20 Forward estimate</w:t>
            </w:r>
            <w:r w:rsidRPr="00241296">
              <w:rPr>
                <w:rFonts w:ascii="Arial" w:hAnsi="Arial" w:cs="Arial"/>
                <w:sz w:val="16"/>
                <w:szCs w:val="16"/>
              </w:rPr>
              <w:br/>
              <w:t>$</w:t>
            </w:r>
            <w:r>
              <w:rPr>
                <w:rFonts w:ascii="Arial" w:hAnsi="Arial" w:cs="Arial"/>
                <w:sz w:val="16"/>
                <w:szCs w:val="16"/>
              </w:rPr>
              <w:t>’</w:t>
            </w:r>
            <w:r w:rsidRPr="00241296">
              <w:rPr>
                <w:rFonts w:ascii="Arial" w:hAnsi="Arial" w:cs="Arial"/>
                <w:sz w:val="16"/>
                <w:szCs w:val="16"/>
              </w:rPr>
              <w:t>000</w:t>
            </w:r>
          </w:p>
        </w:tc>
        <w:tc>
          <w:tcPr>
            <w:tcW w:w="895" w:type="dxa"/>
            <w:tcBorders>
              <w:top w:val="single" w:sz="4" w:space="0" w:color="auto"/>
              <w:left w:val="nil"/>
              <w:bottom w:val="single" w:sz="4" w:space="0" w:color="auto"/>
              <w:right w:val="nil"/>
            </w:tcBorders>
            <w:shd w:val="clear" w:color="auto" w:fill="auto"/>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2020–21</w:t>
            </w:r>
            <w:r w:rsidRPr="00241296">
              <w:rPr>
                <w:rFonts w:ascii="Arial" w:hAnsi="Arial" w:cs="Arial"/>
                <w:sz w:val="16"/>
                <w:szCs w:val="16"/>
              </w:rPr>
              <w:br/>
              <w:t>Forward estimate</w:t>
            </w:r>
            <w:r w:rsidRPr="00241296">
              <w:rPr>
                <w:rFonts w:ascii="Arial" w:hAnsi="Arial" w:cs="Arial"/>
                <w:sz w:val="16"/>
                <w:szCs w:val="16"/>
              </w:rPr>
              <w:br/>
              <w:t>$</w:t>
            </w:r>
            <w:r>
              <w:rPr>
                <w:rFonts w:ascii="Arial" w:hAnsi="Arial" w:cs="Arial"/>
                <w:sz w:val="16"/>
                <w:szCs w:val="16"/>
              </w:rPr>
              <w:t>’</w:t>
            </w:r>
            <w:r w:rsidRPr="00241296">
              <w:rPr>
                <w:rFonts w:ascii="Arial" w:hAnsi="Arial" w:cs="Arial"/>
                <w:sz w:val="16"/>
                <w:szCs w:val="16"/>
              </w:rPr>
              <w:t>000</w:t>
            </w:r>
          </w:p>
        </w:tc>
      </w:tr>
      <w:tr w:rsidR="005449D2" w:rsidRPr="00241296" w:rsidTr="003F0F8A">
        <w:trPr>
          <w:trHeight w:val="184"/>
        </w:trPr>
        <w:tc>
          <w:tcPr>
            <w:tcW w:w="3366" w:type="dxa"/>
            <w:tcBorders>
              <w:top w:val="nil"/>
              <w:left w:val="nil"/>
              <w:bottom w:val="nil"/>
              <w:right w:val="nil"/>
            </w:tcBorders>
            <w:shd w:val="clear" w:color="auto" w:fill="auto"/>
            <w:vAlign w:val="center"/>
            <w:hideMark/>
          </w:tcPr>
          <w:p w:rsidR="005449D2" w:rsidRPr="00241296" w:rsidRDefault="005449D2" w:rsidP="003F0F8A">
            <w:pPr>
              <w:spacing w:after="0" w:line="240" w:lineRule="auto"/>
              <w:rPr>
                <w:rFonts w:ascii="Arial" w:hAnsi="Arial" w:cs="Arial"/>
                <w:b/>
                <w:bCs/>
                <w:sz w:val="16"/>
                <w:szCs w:val="16"/>
              </w:rPr>
            </w:pPr>
            <w:r w:rsidRPr="00241296">
              <w:rPr>
                <w:rFonts w:ascii="Arial" w:hAnsi="Arial" w:cs="Arial"/>
                <w:b/>
                <w:bCs/>
                <w:sz w:val="16"/>
                <w:szCs w:val="16"/>
              </w:rPr>
              <w:t>PURCHASE OF NON-FINANCIAL</w:t>
            </w:r>
            <w:r>
              <w:rPr>
                <w:rFonts w:ascii="Arial" w:hAnsi="Arial" w:cs="Arial"/>
                <w:b/>
                <w:bCs/>
                <w:sz w:val="16"/>
                <w:szCs w:val="16"/>
              </w:rPr>
              <w:t xml:space="preserve"> </w:t>
            </w:r>
            <w:r w:rsidRPr="00241296">
              <w:rPr>
                <w:rFonts w:ascii="Arial" w:hAnsi="Arial" w:cs="Arial"/>
                <w:b/>
                <w:bCs/>
                <w:sz w:val="16"/>
                <w:szCs w:val="16"/>
              </w:rPr>
              <w:t>ASSETS</w:t>
            </w:r>
          </w:p>
        </w:tc>
        <w:tc>
          <w:tcPr>
            <w:tcW w:w="851" w:type="dxa"/>
            <w:tcBorders>
              <w:top w:val="nil"/>
              <w:left w:val="nil"/>
              <w:bottom w:val="nil"/>
              <w:right w:val="nil"/>
            </w:tcBorders>
            <w:shd w:val="clear" w:color="auto" w:fill="auto"/>
            <w:vAlign w:val="center"/>
            <w:hideMark/>
          </w:tcPr>
          <w:p w:rsidR="005449D2" w:rsidRPr="00241296" w:rsidRDefault="005449D2" w:rsidP="003F0F8A">
            <w:pPr>
              <w:spacing w:after="0" w:line="240" w:lineRule="auto"/>
              <w:rPr>
                <w:rFonts w:ascii="Arial" w:hAnsi="Arial" w:cs="Arial"/>
                <w:sz w:val="16"/>
                <w:szCs w:val="16"/>
              </w:rPr>
            </w:pPr>
          </w:p>
        </w:tc>
        <w:tc>
          <w:tcPr>
            <w:tcW w:w="850" w:type="dxa"/>
            <w:tcBorders>
              <w:top w:val="nil"/>
              <w:left w:val="nil"/>
              <w:bottom w:val="nil"/>
              <w:right w:val="nil"/>
            </w:tcBorders>
            <w:shd w:val="clear" w:color="000000" w:fill="E6E6E6"/>
            <w:vAlign w:val="center"/>
            <w:hideMark/>
          </w:tcPr>
          <w:p w:rsidR="005449D2" w:rsidRPr="00241296" w:rsidRDefault="005449D2" w:rsidP="003F0F8A">
            <w:pPr>
              <w:spacing w:after="0" w:line="240" w:lineRule="auto"/>
              <w:rPr>
                <w:rFonts w:ascii="Arial" w:hAnsi="Arial" w:cs="Arial"/>
                <w:sz w:val="16"/>
                <w:szCs w:val="16"/>
              </w:rPr>
            </w:pPr>
            <w:r w:rsidRPr="00241296">
              <w:rPr>
                <w:rFonts w:ascii="Arial" w:hAnsi="Arial" w:cs="Arial"/>
                <w:sz w:val="16"/>
                <w:szCs w:val="16"/>
              </w:rPr>
              <w:t> </w:t>
            </w:r>
          </w:p>
        </w:tc>
        <w:tc>
          <w:tcPr>
            <w:tcW w:w="801" w:type="dxa"/>
            <w:tcBorders>
              <w:top w:val="nil"/>
              <w:left w:val="nil"/>
              <w:bottom w:val="nil"/>
              <w:right w:val="nil"/>
            </w:tcBorders>
            <w:shd w:val="clear" w:color="auto" w:fill="auto"/>
            <w:vAlign w:val="center"/>
            <w:hideMark/>
          </w:tcPr>
          <w:p w:rsidR="005449D2" w:rsidRPr="00241296" w:rsidRDefault="005449D2" w:rsidP="003F0F8A">
            <w:pPr>
              <w:spacing w:after="0" w:line="240" w:lineRule="auto"/>
              <w:rPr>
                <w:rFonts w:ascii="Arial" w:hAnsi="Arial" w:cs="Arial"/>
                <w:sz w:val="16"/>
                <w:szCs w:val="16"/>
              </w:rPr>
            </w:pPr>
          </w:p>
        </w:tc>
        <w:tc>
          <w:tcPr>
            <w:tcW w:w="895" w:type="dxa"/>
            <w:tcBorders>
              <w:top w:val="nil"/>
              <w:left w:val="nil"/>
              <w:bottom w:val="nil"/>
              <w:right w:val="nil"/>
            </w:tcBorders>
            <w:shd w:val="clear" w:color="auto" w:fill="auto"/>
            <w:vAlign w:val="center"/>
            <w:hideMark/>
          </w:tcPr>
          <w:p w:rsidR="005449D2" w:rsidRPr="00241296" w:rsidRDefault="005449D2" w:rsidP="003F0F8A">
            <w:pPr>
              <w:spacing w:after="0" w:line="240" w:lineRule="auto"/>
              <w:rPr>
                <w:rFonts w:ascii="Arial" w:hAnsi="Arial" w:cs="Arial"/>
                <w:sz w:val="16"/>
                <w:szCs w:val="16"/>
              </w:rPr>
            </w:pPr>
          </w:p>
        </w:tc>
        <w:tc>
          <w:tcPr>
            <w:tcW w:w="895" w:type="dxa"/>
            <w:tcBorders>
              <w:top w:val="nil"/>
              <w:left w:val="nil"/>
              <w:bottom w:val="nil"/>
              <w:right w:val="nil"/>
            </w:tcBorders>
            <w:shd w:val="clear" w:color="auto" w:fill="auto"/>
            <w:vAlign w:val="center"/>
            <w:hideMark/>
          </w:tcPr>
          <w:p w:rsidR="005449D2" w:rsidRPr="00241296" w:rsidRDefault="005449D2" w:rsidP="003F0F8A">
            <w:pPr>
              <w:spacing w:after="0" w:line="240" w:lineRule="auto"/>
              <w:rPr>
                <w:rFonts w:ascii="Arial" w:hAnsi="Arial" w:cs="Arial"/>
                <w:sz w:val="16"/>
                <w:szCs w:val="16"/>
              </w:rPr>
            </w:pPr>
          </w:p>
        </w:tc>
      </w:tr>
      <w:tr w:rsidR="005449D2" w:rsidRPr="00241296" w:rsidTr="003F0F8A">
        <w:trPr>
          <w:trHeight w:val="416"/>
        </w:trPr>
        <w:tc>
          <w:tcPr>
            <w:tcW w:w="3366" w:type="dxa"/>
            <w:tcBorders>
              <w:top w:val="nil"/>
              <w:left w:val="nil"/>
              <w:bottom w:val="nil"/>
              <w:right w:val="nil"/>
            </w:tcBorders>
            <w:shd w:val="clear" w:color="auto" w:fill="auto"/>
            <w:vAlign w:val="center"/>
            <w:hideMark/>
          </w:tcPr>
          <w:p w:rsidR="005449D2" w:rsidRPr="00241296" w:rsidRDefault="005449D2" w:rsidP="003F0F8A">
            <w:pPr>
              <w:tabs>
                <w:tab w:val="left" w:pos="315"/>
              </w:tabs>
              <w:spacing w:after="0" w:line="240" w:lineRule="auto"/>
              <w:ind w:firstLineChars="100" w:firstLine="160"/>
              <w:rPr>
                <w:rFonts w:ascii="Arial" w:hAnsi="Arial" w:cs="Arial"/>
                <w:sz w:val="16"/>
                <w:szCs w:val="16"/>
              </w:rPr>
            </w:pPr>
            <w:r w:rsidRPr="00241296">
              <w:rPr>
                <w:rFonts w:ascii="Arial" w:hAnsi="Arial" w:cs="Arial"/>
                <w:sz w:val="16"/>
                <w:szCs w:val="16"/>
              </w:rPr>
              <w:t>Funded internally from departmental</w:t>
            </w:r>
            <w:r>
              <w:rPr>
                <w:rFonts w:ascii="Arial" w:hAnsi="Arial" w:cs="Arial"/>
                <w:sz w:val="16"/>
                <w:szCs w:val="16"/>
              </w:rPr>
              <w:t xml:space="preserve"> </w:t>
            </w:r>
            <w:r>
              <w:rPr>
                <w:rFonts w:ascii="Arial" w:hAnsi="Arial" w:cs="Arial"/>
                <w:sz w:val="16"/>
                <w:szCs w:val="16"/>
              </w:rPr>
              <w:tab/>
            </w:r>
            <w:r w:rsidRPr="00241296">
              <w:rPr>
                <w:rFonts w:ascii="Arial" w:hAnsi="Arial" w:cs="Arial"/>
                <w:sz w:val="16"/>
                <w:szCs w:val="16"/>
              </w:rPr>
              <w:t>resources</w:t>
            </w:r>
          </w:p>
        </w:tc>
        <w:tc>
          <w:tcPr>
            <w:tcW w:w="851"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xml:space="preserve">13,300 </w:t>
            </w:r>
          </w:p>
        </w:tc>
        <w:tc>
          <w:tcPr>
            <w:tcW w:w="850" w:type="dxa"/>
            <w:tcBorders>
              <w:top w:val="nil"/>
              <w:left w:val="nil"/>
              <w:bottom w:val="nil"/>
              <w:right w:val="nil"/>
            </w:tcBorders>
            <w:shd w:val="clear" w:color="000000" w:fill="E6E6E6"/>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xml:space="preserve">8,810 </w:t>
            </w:r>
          </w:p>
        </w:tc>
        <w:tc>
          <w:tcPr>
            <w:tcW w:w="801"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xml:space="preserve">6,175 </w:t>
            </w:r>
          </w:p>
        </w:tc>
        <w:tc>
          <w:tcPr>
            <w:tcW w:w="895"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xml:space="preserve">3,080 </w:t>
            </w:r>
          </w:p>
        </w:tc>
        <w:tc>
          <w:tcPr>
            <w:tcW w:w="895"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xml:space="preserve">4,100 </w:t>
            </w:r>
          </w:p>
        </w:tc>
      </w:tr>
      <w:tr w:rsidR="005449D2" w:rsidRPr="00241296" w:rsidTr="003F0F8A">
        <w:trPr>
          <w:trHeight w:val="230"/>
        </w:trPr>
        <w:tc>
          <w:tcPr>
            <w:tcW w:w="3366"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rPr>
                <w:rFonts w:ascii="Arial" w:hAnsi="Arial" w:cs="Arial"/>
                <w:b/>
                <w:bCs/>
                <w:sz w:val="16"/>
                <w:szCs w:val="16"/>
              </w:rPr>
            </w:pPr>
            <w:r w:rsidRPr="00241296">
              <w:rPr>
                <w:rFonts w:ascii="Arial" w:hAnsi="Arial" w:cs="Arial"/>
                <w:b/>
                <w:bCs/>
                <w:sz w:val="16"/>
                <w:szCs w:val="16"/>
              </w:rPr>
              <w:t>TOTAL</w:t>
            </w:r>
          </w:p>
        </w:tc>
        <w:tc>
          <w:tcPr>
            <w:tcW w:w="851" w:type="dxa"/>
            <w:tcBorders>
              <w:top w:val="single" w:sz="4" w:space="0" w:color="auto"/>
              <w:left w:val="nil"/>
              <w:bottom w:val="single" w:sz="4" w:space="0" w:color="auto"/>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b/>
                <w:bCs/>
                <w:sz w:val="16"/>
                <w:szCs w:val="16"/>
              </w:rPr>
            </w:pPr>
            <w:r w:rsidRPr="00241296">
              <w:rPr>
                <w:rFonts w:ascii="Arial" w:hAnsi="Arial" w:cs="Arial"/>
                <w:b/>
                <w:bCs/>
                <w:sz w:val="16"/>
                <w:szCs w:val="16"/>
              </w:rPr>
              <w:t xml:space="preserve">13,300 </w:t>
            </w:r>
          </w:p>
        </w:tc>
        <w:tc>
          <w:tcPr>
            <w:tcW w:w="850" w:type="dxa"/>
            <w:tcBorders>
              <w:top w:val="single" w:sz="4" w:space="0" w:color="auto"/>
              <w:left w:val="nil"/>
              <w:bottom w:val="single" w:sz="4" w:space="0" w:color="auto"/>
              <w:right w:val="nil"/>
            </w:tcBorders>
            <w:shd w:val="clear" w:color="000000" w:fill="E6E6E6"/>
            <w:noWrap/>
            <w:vAlign w:val="center"/>
            <w:hideMark/>
          </w:tcPr>
          <w:p w:rsidR="005449D2" w:rsidRPr="00241296" w:rsidRDefault="005449D2" w:rsidP="003F0F8A">
            <w:pPr>
              <w:spacing w:after="0" w:line="240" w:lineRule="auto"/>
              <w:jc w:val="right"/>
              <w:rPr>
                <w:rFonts w:ascii="Arial" w:hAnsi="Arial" w:cs="Arial"/>
                <w:b/>
                <w:bCs/>
                <w:sz w:val="16"/>
                <w:szCs w:val="16"/>
              </w:rPr>
            </w:pPr>
            <w:r w:rsidRPr="00241296">
              <w:rPr>
                <w:rFonts w:ascii="Arial" w:hAnsi="Arial" w:cs="Arial"/>
                <w:b/>
                <w:bCs/>
                <w:sz w:val="16"/>
                <w:szCs w:val="16"/>
              </w:rPr>
              <w:t xml:space="preserve">8,810 </w:t>
            </w:r>
          </w:p>
        </w:tc>
        <w:tc>
          <w:tcPr>
            <w:tcW w:w="801" w:type="dxa"/>
            <w:tcBorders>
              <w:top w:val="single" w:sz="4" w:space="0" w:color="auto"/>
              <w:left w:val="nil"/>
              <w:bottom w:val="single" w:sz="4" w:space="0" w:color="auto"/>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b/>
                <w:bCs/>
                <w:sz w:val="16"/>
                <w:szCs w:val="16"/>
              </w:rPr>
            </w:pPr>
            <w:r w:rsidRPr="00241296">
              <w:rPr>
                <w:rFonts w:ascii="Arial" w:hAnsi="Arial" w:cs="Arial"/>
                <w:b/>
                <w:bCs/>
                <w:sz w:val="16"/>
                <w:szCs w:val="16"/>
              </w:rPr>
              <w:t xml:space="preserve">6,175 </w:t>
            </w:r>
          </w:p>
        </w:tc>
        <w:tc>
          <w:tcPr>
            <w:tcW w:w="895" w:type="dxa"/>
            <w:tcBorders>
              <w:top w:val="single" w:sz="4" w:space="0" w:color="auto"/>
              <w:left w:val="nil"/>
              <w:bottom w:val="single" w:sz="4" w:space="0" w:color="auto"/>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b/>
                <w:bCs/>
                <w:sz w:val="16"/>
                <w:szCs w:val="16"/>
              </w:rPr>
            </w:pPr>
            <w:r w:rsidRPr="00241296">
              <w:rPr>
                <w:rFonts w:ascii="Arial" w:hAnsi="Arial" w:cs="Arial"/>
                <w:b/>
                <w:bCs/>
                <w:sz w:val="16"/>
                <w:szCs w:val="16"/>
              </w:rPr>
              <w:t xml:space="preserve">3,080 </w:t>
            </w:r>
          </w:p>
        </w:tc>
        <w:tc>
          <w:tcPr>
            <w:tcW w:w="895" w:type="dxa"/>
            <w:tcBorders>
              <w:top w:val="single" w:sz="4" w:space="0" w:color="auto"/>
              <w:left w:val="nil"/>
              <w:bottom w:val="single" w:sz="4" w:space="0" w:color="auto"/>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b/>
                <w:bCs/>
                <w:sz w:val="16"/>
                <w:szCs w:val="16"/>
              </w:rPr>
            </w:pPr>
            <w:r w:rsidRPr="00241296">
              <w:rPr>
                <w:rFonts w:ascii="Arial" w:hAnsi="Arial" w:cs="Arial"/>
                <w:b/>
                <w:bCs/>
                <w:sz w:val="16"/>
                <w:szCs w:val="16"/>
              </w:rPr>
              <w:t xml:space="preserve">4,100 </w:t>
            </w:r>
          </w:p>
        </w:tc>
      </w:tr>
      <w:tr w:rsidR="005449D2" w:rsidRPr="00241296" w:rsidTr="003F0F8A">
        <w:trPr>
          <w:trHeight w:val="624"/>
        </w:trPr>
        <w:tc>
          <w:tcPr>
            <w:tcW w:w="3366" w:type="dxa"/>
            <w:tcBorders>
              <w:top w:val="nil"/>
              <w:left w:val="nil"/>
              <w:bottom w:val="nil"/>
              <w:right w:val="nil"/>
            </w:tcBorders>
            <w:shd w:val="clear" w:color="auto" w:fill="auto"/>
            <w:vAlign w:val="center"/>
            <w:hideMark/>
          </w:tcPr>
          <w:p w:rsidR="005449D2" w:rsidRPr="00241296" w:rsidRDefault="005449D2" w:rsidP="003F0F8A">
            <w:pPr>
              <w:tabs>
                <w:tab w:val="left" w:pos="333"/>
              </w:tabs>
              <w:spacing w:after="0" w:line="240" w:lineRule="auto"/>
              <w:rPr>
                <w:rFonts w:ascii="Arial" w:hAnsi="Arial" w:cs="Arial"/>
                <w:b/>
                <w:bCs/>
                <w:sz w:val="16"/>
                <w:szCs w:val="16"/>
              </w:rPr>
            </w:pPr>
            <w:r w:rsidRPr="00241296">
              <w:rPr>
                <w:rFonts w:ascii="Arial" w:hAnsi="Arial" w:cs="Arial"/>
                <w:b/>
                <w:bCs/>
                <w:sz w:val="16"/>
                <w:szCs w:val="16"/>
              </w:rPr>
              <w:t>RECONCILIATION OF CASH USED</w:t>
            </w:r>
            <w:r>
              <w:rPr>
                <w:rFonts w:ascii="Arial" w:hAnsi="Arial" w:cs="Arial"/>
                <w:b/>
                <w:bCs/>
                <w:sz w:val="16"/>
                <w:szCs w:val="16"/>
              </w:rPr>
              <w:t xml:space="preserve"> </w:t>
            </w:r>
            <w:r w:rsidRPr="00241296">
              <w:rPr>
                <w:rFonts w:ascii="Arial" w:hAnsi="Arial" w:cs="Arial"/>
                <w:b/>
                <w:bCs/>
                <w:sz w:val="16"/>
                <w:szCs w:val="16"/>
              </w:rPr>
              <w:t xml:space="preserve">TO </w:t>
            </w:r>
            <w:r>
              <w:rPr>
                <w:rFonts w:ascii="Arial" w:hAnsi="Arial" w:cs="Arial"/>
                <w:b/>
                <w:bCs/>
                <w:sz w:val="16"/>
                <w:szCs w:val="16"/>
              </w:rPr>
              <w:tab/>
            </w:r>
            <w:r w:rsidRPr="00241296">
              <w:rPr>
                <w:rFonts w:ascii="Arial" w:hAnsi="Arial" w:cs="Arial"/>
                <w:b/>
                <w:bCs/>
                <w:sz w:val="16"/>
                <w:szCs w:val="16"/>
              </w:rPr>
              <w:t>ACQUIRE ASSETS TO ASSET</w:t>
            </w:r>
            <w:r>
              <w:rPr>
                <w:rFonts w:ascii="Arial" w:hAnsi="Arial" w:cs="Arial"/>
                <w:b/>
                <w:bCs/>
                <w:sz w:val="16"/>
                <w:szCs w:val="16"/>
              </w:rPr>
              <w:t xml:space="preserve"> </w:t>
            </w:r>
            <w:r>
              <w:rPr>
                <w:rFonts w:ascii="Arial" w:hAnsi="Arial" w:cs="Arial"/>
                <w:b/>
                <w:bCs/>
                <w:sz w:val="16"/>
                <w:szCs w:val="16"/>
              </w:rPr>
              <w:tab/>
            </w:r>
            <w:r w:rsidRPr="00241296">
              <w:rPr>
                <w:rFonts w:ascii="Arial" w:hAnsi="Arial" w:cs="Arial"/>
                <w:b/>
                <w:bCs/>
                <w:sz w:val="16"/>
                <w:szCs w:val="16"/>
              </w:rPr>
              <w:t>MOVEMENT TABLE</w:t>
            </w:r>
          </w:p>
        </w:tc>
        <w:tc>
          <w:tcPr>
            <w:tcW w:w="851"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p>
        </w:tc>
        <w:tc>
          <w:tcPr>
            <w:tcW w:w="850" w:type="dxa"/>
            <w:tcBorders>
              <w:top w:val="nil"/>
              <w:left w:val="nil"/>
              <w:bottom w:val="nil"/>
              <w:right w:val="nil"/>
            </w:tcBorders>
            <w:shd w:val="clear" w:color="000000" w:fill="E6E6E6"/>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w:t>
            </w:r>
          </w:p>
        </w:tc>
        <w:tc>
          <w:tcPr>
            <w:tcW w:w="801"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p>
        </w:tc>
        <w:tc>
          <w:tcPr>
            <w:tcW w:w="895"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p>
        </w:tc>
        <w:tc>
          <w:tcPr>
            <w:tcW w:w="895"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p>
        </w:tc>
      </w:tr>
      <w:tr w:rsidR="005449D2" w:rsidRPr="00241296" w:rsidTr="003F0F8A">
        <w:trPr>
          <w:trHeight w:val="230"/>
        </w:trPr>
        <w:tc>
          <w:tcPr>
            <w:tcW w:w="3366"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ind w:firstLineChars="100" w:firstLine="160"/>
              <w:rPr>
                <w:rFonts w:ascii="Arial" w:hAnsi="Arial" w:cs="Arial"/>
                <w:sz w:val="16"/>
                <w:szCs w:val="16"/>
              </w:rPr>
            </w:pPr>
            <w:r w:rsidRPr="00241296">
              <w:rPr>
                <w:rFonts w:ascii="Arial" w:hAnsi="Arial" w:cs="Arial"/>
                <w:sz w:val="16"/>
                <w:szCs w:val="16"/>
              </w:rPr>
              <w:t>Total purchases</w:t>
            </w:r>
          </w:p>
        </w:tc>
        <w:tc>
          <w:tcPr>
            <w:tcW w:w="851"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xml:space="preserve">13,300 </w:t>
            </w:r>
          </w:p>
        </w:tc>
        <w:tc>
          <w:tcPr>
            <w:tcW w:w="850" w:type="dxa"/>
            <w:tcBorders>
              <w:top w:val="nil"/>
              <w:left w:val="nil"/>
              <w:bottom w:val="nil"/>
              <w:right w:val="nil"/>
            </w:tcBorders>
            <w:shd w:val="clear" w:color="000000" w:fill="E6E6E6"/>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xml:space="preserve">8,810 </w:t>
            </w:r>
          </w:p>
        </w:tc>
        <w:tc>
          <w:tcPr>
            <w:tcW w:w="801"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xml:space="preserve">6,175 </w:t>
            </w:r>
          </w:p>
        </w:tc>
        <w:tc>
          <w:tcPr>
            <w:tcW w:w="895"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xml:space="preserve">3,080 </w:t>
            </w:r>
          </w:p>
        </w:tc>
        <w:tc>
          <w:tcPr>
            <w:tcW w:w="895" w:type="dxa"/>
            <w:tcBorders>
              <w:top w:val="nil"/>
              <w:left w:val="nil"/>
              <w:bottom w:val="nil"/>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sz w:val="16"/>
                <w:szCs w:val="16"/>
              </w:rPr>
            </w:pPr>
            <w:r w:rsidRPr="00241296">
              <w:rPr>
                <w:rFonts w:ascii="Arial" w:hAnsi="Arial" w:cs="Arial"/>
                <w:sz w:val="16"/>
                <w:szCs w:val="16"/>
              </w:rPr>
              <w:t xml:space="preserve">4,100 </w:t>
            </w:r>
          </w:p>
        </w:tc>
      </w:tr>
      <w:tr w:rsidR="005449D2" w:rsidRPr="00241296" w:rsidTr="003F0F8A">
        <w:trPr>
          <w:trHeight w:val="230"/>
        </w:trPr>
        <w:tc>
          <w:tcPr>
            <w:tcW w:w="3366" w:type="dxa"/>
            <w:tcBorders>
              <w:top w:val="nil"/>
              <w:left w:val="nil"/>
              <w:bottom w:val="single" w:sz="4" w:space="0" w:color="auto"/>
              <w:right w:val="nil"/>
            </w:tcBorders>
            <w:shd w:val="clear" w:color="auto" w:fill="auto"/>
            <w:vAlign w:val="center"/>
            <w:hideMark/>
          </w:tcPr>
          <w:p w:rsidR="005449D2" w:rsidRPr="00241296" w:rsidRDefault="005449D2" w:rsidP="003F0F8A">
            <w:pPr>
              <w:spacing w:after="0" w:line="240" w:lineRule="auto"/>
              <w:rPr>
                <w:rFonts w:ascii="Arial" w:hAnsi="Arial" w:cs="Arial"/>
                <w:b/>
                <w:bCs/>
                <w:sz w:val="16"/>
                <w:szCs w:val="16"/>
              </w:rPr>
            </w:pPr>
            <w:r w:rsidRPr="00241296">
              <w:rPr>
                <w:rFonts w:ascii="Arial" w:hAnsi="Arial" w:cs="Arial"/>
                <w:b/>
                <w:bCs/>
                <w:sz w:val="16"/>
                <w:szCs w:val="16"/>
              </w:rPr>
              <w:t>Total cash used to acquire assets</w:t>
            </w:r>
          </w:p>
        </w:tc>
        <w:tc>
          <w:tcPr>
            <w:tcW w:w="851" w:type="dxa"/>
            <w:tcBorders>
              <w:top w:val="single" w:sz="4" w:space="0" w:color="auto"/>
              <w:left w:val="nil"/>
              <w:bottom w:val="single" w:sz="4" w:space="0" w:color="auto"/>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b/>
                <w:bCs/>
                <w:sz w:val="16"/>
                <w:szCs w:val="16"/>
              </w:rPr>
            </w:pPr>
            <w:r w:rsidRPr="00241296">
              <w:rPr>
                <w:rFonts w:ascii="Arial" w:hAnsi="Arial" w:cs="Arial"/>
                <w:b/>
                <w:bCs/>
                <w:sz w:val="16"/>
                <w:szCs w:val="16"/>
              </w:rPr>
              <w:t xml:space="preserve">13,300 </w:t>
            </w:r>
          </w:p>
        </w:tc>
        <w:tc>
          <w:tcPr>
            <w:tcW w:w="850" w:type="dxa"/>
            <w:tcBorders>
              <w:top w:val="single" w:sz="4" w:space="0" w:color="auto"/>
              <w:left w:val="nil"/>
              <w:bottom w:val="single" w:sz="4" w:space="0" w:color="auto"/>
              <w:right w:val="nil"/>
            </w:tcBorders>
            <w:shd w:val="clear" w:color="000000" w:fill="E6E6E6"/>
            <w:noWrap/>
            <w:vAlign w:val="center"/>
            <w:hideMark/>
          </w:tcPr>
          <w:p w:rsidR="005449D2" w:rsidRPr="00241296" w:rsidRDefault="005449D2" w:rsidP="003F0F8A">
            <w:pPr>
              <w:spacing w:after="0" w:line="240" w:lineRule="auto"/>
              <w:jc w:val="right"/>
              <w:rPr>
                <w:rFonts w:ascii="Arial" w:hAnsi="Arial" w:cs="Arial"/>
                <w:b/>
                <w:bCs/>
                <w:sz w:val="16"/>
                <w:szCs w:val="16"/>
              </w:rPr>
            </w:pPr>
            <w:r w:rsidRPr="00241296">
              <w:rPr>
                <w:rFonts w:ascii="Arial" w:hAnsi="Arial" w:cs="Arial"/>
                <w:b/>
                <w:bCs/>
                <w:sz w:val="16"/>
                <w:szCs w:val="16"/>
              </w:rPr>
              <w:t xml:space="preserve">8,810 </w:t>
            </w:r>
          </w:p>
        </w:tc>
        <w:tc>
          <w:tcPr>
            <w:tcW w:w="801" w:type="dxa"/>
            <w:tcBorders>
              <w:top w:val="single" w:sz="4" w:space="0" w:color="auto"/>
              <w:left w:val="nil"/>
              <w:bottom w:val="single" w:sz="4" w:space="0" w:color="auto"/>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b/>
                <w:bCs/>
                <w:sz w:val="16"/>
                <w:szCs w:val="16"/>
              </w:rPr>
            </w:pPr>
            <w:r w:rsidRPr="00241296">
              <w:rPr>
                <w:rFonts w:ascii="Arial" w:hAnsi="Arial" w:cs="Arial"/>
                <w:b/>
                <w:bCs/>
                <w:sz w:val="16"/>
                <w:szCs w:val="16"/>
              </w:rPr>
              <w:t xml:space="preserve">6,175 </w:t>
            </w:r>
          </w:p>
        </w:tc>
        <w:tc>
          <w:tcPr>
            <w:tcW w:w="895" w:type="dxa"/>
            <w:tcBorders>
              <w:top w:val="single" w:sz="4" w:space="0" w:color="auto"/>
              <w:left w:val="nil"/>
              <w:bottom w:val="single" w:sz="4" w:space="0" w:color="auto"/>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b/>
                <w:bCs/>
                <w:sz w:val="16"/>
                <w:szCs w:val="16"/>
              </w:rPr>
            </w:pPr>
            <w:r w:rsidRPr="00241296">
              <w:rPr>
                <w:rFonts w:ascii="Arial" w:hAnsi="Arial" w:cs="Arial"/>
                <w:b/>
                <w:bCs/>
                <w:sz w:val="16"/>
                <w:szCs w:val="16"/>
              </w:rPr>
              <w:t xml:space="preserve">3,080 </w:t>
            </w:r>
          </w:p>
        </w:tc>
        <w:tc>
          <w:tcPr>
            <w:tcW w:w="895" w:type="dxa"/>
            <w:tcBorders>
              <w:top w:val="single" w:sz="4" w:space="0" w:color="auto"/>
              <w:left w:val="nil"/>
              <w:bottom w:val="single" w:sz="4" w:space="0" w:color="auto"/>
              <w:right w:val="nil"/>
            </w:tcBorders>
            <w:shd w:val="clear" w:color="auto" w:fill="auto"/>
            <w:noWrap/>
            <w:vAlign w:val="center"/>
            <w:hideMark/>
          </w:tcPr>
          <w:p w:rsidR="005449D2" w:rsidRPr="00241296" w:rsidRDefault="005449D2" w:rsidP="003F0F8A">
            <w:pPr>
              <w:spacing w:after="0" w:line="240" w:lineRule="auto"/>
              <w:jc w:val="right"/>
              <w:rPr>
                <w:rFonts w:ascii="Arial" w:hAnsi="Arial" w:cs="Arial"/>
                <w:b/>
                <w:bCs/>
                <w:sz w:val="16"/>
                <w:szCs w:val="16"/>
              </w:rPr>
            </w:pPr>
            <w:r w:rsidRPr="00241296">
              <w:rPr>
                <w:rFonts w:ascii="Arial" w:hAnsi="Arial" w:cs="Arial"/>
                <w:b/>
                <w:bCs/>
                <w:sz w:val="16"/>
                <w:szCs w:val="16"/>
              </w:rPr>
              <w:t xml:space="preserve">4,100 </w:t>
            </w:r>
          </w:p>
        </w:tc>
      </w:tr>
    </w:tbl>
    <w:p w:rsidR="005449D2" w:rsidRDefault="005449D2" w:rsidP="005449D2">
      <w:pPr>
        <w:pStyle w:val="Source"/>
        <w:spacing w:before="120"/>
      </w:pPr>
      <w:r>
        <w:t>Prepared on Australian Accounting Standards basis.</w:t>
      </w:r>
    </w:p>
    <w:p w:rsidR="005449D2" w:rsidRDefault="005449D2" w:rsidP="005449D2">
      <w:pPr>
        <w:pStyle w:val="TableHeading"/>
        <w:spacing w:before="480"/>
      </w:pPr>
      <w:r w:rsidRPr="00D30CBA">
        <w:t>Table</w:t>
      </w:r>
      <w:r>
        <w:t xml:space="preserve"> 3.6</w:t>
      </w:r>
      <w:r w:rsidRPr="00D30CBA">
        <w:t xml:space="preserve">: </w:t>
      </w:r>
      <w:r>
        <w:t>Statement of asset movements (Budget year 2017</w:t>
      </w:r>
      <w:r>
        <w:rPr>
          <w:lang w:val="en-AU"/>
        </w:rPr>
        <w:t>–</w:t>
      </w:r>
      <w:r>
        <w:t>18)</w:t>
      </w:r>
    </w:p>
    <w:tbl>
      <w:tblPr>
        <w:tblW w:w="7668" w:type="dxa"/>
        <w:tblInd w:w="93" w:type="dxa"/>
        <w:tblCellMar>
          <w:left w:w="85" w:type="dxa"/>
          <w:right w:w="85" w:type="dxa"/>
        </w:tblCellMar>
        <w:tblLook w:val="04A0" w:firstRow="1" w:lastRow="0" w:firstColumn="1" w:lastColumn="0" w:noHBand="0" w:noVBand="1"/>
      </w:tblPr>
      <w:tblGrid>
        <w:gridCol w:w="4103"/>
        <w:gridCol w:w="1276"/>
        <w:gridCol w:w="1276"/>
        <w:gridCol w:w="1013"/>
      </w:tblGrid>
      <w:tr w:rsidR="005449D2" w:rsidRPr="00BE46C0" w:rsidTr="003F0F8A">
        <w:trPr>
          <w:trHeight w:val="740"/>
        </w:trPr>
        <w:tc>
          <w:tcPr>
            <w:tcW w:w="4103" w:type="dxa"/>
            <w:tcBorders>
              <w:top w:val="single" w:sz="4" w:space="0" w:color="auto"/>
              <w:left w:val="nil"/>
              <w:bottom w:val="nil"/>
              <w:right w:val="nil"/>
            </w:tcBorders>
            <w:shd w:val="clear" w:color="auto" w:fill="auto"/>
            <w:noWrap/>
            <w:vAlign w:val="center"/>
            <w:hideMark/>
          </w:tcPr>
          <w:p w:rsidR="005449D2" w:rsidRPr="00BE46C0" w:rsidRDefault="005449D2" w:rsidP="003F0F8A">
            <w:pPr>
              <w:spacing w:after="0" w:line="240" w:lineRule="auto"/>
              <w:rPr>
                <w:rFonts w:ascii="Arial" w:hAnsi="Arial" w:cs="Arial"/>
                <w:sz w:val="16"/>
                <w:szCs w:val="15"/>
              </w:rPr>
            </w:pPr>
            <w:r w:rsidRPr="00BE46C0">
              <w:rPr>
                <w:rFonts w:ascii="Arial" w:hAnsi="Arial" w:cs="Arial"/>
                <w:sz w:val="16"/>
                <w:szCs w:val="15"/>
              </w:rPr>
              <w:t> </w:t>
            </w:r>
          </w:p>
        </w:tc>
        <w:tc>
          <w:tcPr>
            <w:tcW w:w="1276" w:type="dxa"/>
            <w:tcBorders>
              <w:top w:val="single" w:sz="4" w:space="0" w:color="auto"/>
              <w:left w:val="nil"/>
              <w:bottom w:val="single" w:sz="4" w:space="0" w:color="auto"/>
              <w:right w:val="nil"/>
            </w:tcBorders>
            <w:shd w:val="clear" w:color="auto" w:fill="auto"/>
            <w:vAlign w:val="center"/>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Other property,</w:t>
            </w:r>
            <w:r w:rsidRPr="00BE46C0">
              <w:rPr>
                <w:rFonts w:ascii="Arial" w:hAnsi="Arial" w:cs="Arial"/>
                <w:sz w:val="16"/>
                <w:szCs w:val="15"/>
              </w:rPr>
              <w:br/>
              <w:t>plant and</w:t>
            </w:r>
            <w:r w:rsidRPr="00BE46C0">
              <w:rPr>
                <w:rFonts w:ascii="Arial" w:hAnsi="Arial" w:cs="Arial"/>
                <w:sz w:val="16"/>
                <w:szCs w:val="15"/>
              </w:rPr>
              <w:br/>
              <w:t>equipment</w:t>
            </w:r>
            <w:r w:rsidRPr="00BE46C0">
              <w:rPr>
                <w:rFonts w:ascii="Arial" w:hAnsi="Arial" w:cs="Arial"/>
                <w:sz w:val="16"/>
                <w:szCs w:val="15"/>
              </w:rPr>
              <w:br/>
              <w:t>$</w:t>
            </w:r>
            <w:r>
              <w:rPr>
                <w:rFonts w:ascii="Arial" w:hAnsi="Arial" w:cs="Arial"/>
                <w:sz w:val="16"/>
                <w:szCs w:val="15"/>
              </w:rPr>
              <w:t>’</w:t>
            </w:r>
            <w:r w:rsidRPr="00BE46C0">
              <w:rPr>
                <w:rFonts w:ascii="Arial" w:hAnsi="Arial" w:cs="Arial"/>
                <w:sz w:val="16"/>
                <w:szCs w:val="15"/>
              </w:rPr>
              <w:t>000</w:t>
            </w:r>
          </w:p>
        </w:tc>
        <w:tc>
          <w:tcPr>
            <w:tcW w:w="1276" w:type="dxa"/>
            <w:tcBorders>
              <w:top w:val="single" w:sz="4" w:space="0" w:color="auto"/>
              <w:left w:val="nil"/>
              <w:bottom w:val="single" w:sz="4" w:space="0" w:color="auto"/>
              <w:right w:val="nil"/>
            </w:tcBorders>
            <w:shd w:val="clear" w:color="auto" w:fill="auto"/>
            <w:vAlign w:val="center"/>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Computer</w:t>
            </w:r>
            <w:r w:rsidRPr="00BE46C0">
              <w:rPr>
                <w:rFonts w:ascii="Arial" w:hAnsi="Arial" w:cs="Arial"/>
                <w:sz w:val="16"/>
                <w:szCs w:val="15"/>
              </w:rPr>
              <w:br/>
              <w:t>software and</w:t>
            </w:r>
            <w:r w:rsidRPr="00BE46C0">
              <w:rPr>
                <w:rFonts w:ascii="Arial" w:hAnsi="Arial" w:cs="Arial"/>
                <w:sz w:val="16"/>
                <w:szCs w:val="15"/>
              </w:rPr>
              <w:br/>
              <w:t>intangibles</w:t>
            </w:r>
            <w:r w:rsidRPr="00BE46C0">
              <w:rPr>
                <w:rFonts w:ascii="Arial" w:hAnsi="Arial" w:cs="Arial"/>
                <w:sz w:val="16"/>
                <w:szCs w:val="15"/>
              </w:rPr>
              <w:br/>
              <w:t>$</w:t>
            </w:r>
            <w:r>
              <w:rPr>
                <w:rFonts w:ascii="Arial" w:hAnsi="Arial" w:cs="Arial"/>
                <w:sz w:val="16"/>
                <w:szCs w:val="15"/>
              </w:rPr>
              <w:t>’</w:t>
            </w:r>
            <w:r w:rsidRPr="00BE46C0">
              <w:rPr>
                <w:rFonts w:ascii="Arial" w:hAnsi="Arial" w:cs="Arial"/>
                <w:sz w:val="16"/>
                <w:szCs w:val="15"/>
              </w:rPr>
              <w:t>000</w:t>
            </w:r>
          </w:p>
        </w:tc>
        <w:tc>
          <w:tcPr>
            <w:tcW w:w="1013" w:type="dxa"/>
            <w:tcBorders>
              <w:top w:val="single" w:sz="4" w:space="0" w:color="auto"/>
              <w:left w:val="nil"/>
              <w:bottom w:val="single" w:sz="4" w:space="0" w:color="auto"/>
              <w:right w:val="nil"/>
            </w:tcBorders>
            <w:shd w:val="clear" w:color="auto" w:fill="auto"/>
            <w:vAlign w:val="center"/>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Total</w:t>
            </w:r>
            <w:r w:rsidRPr="00BE46C0">
              <w:rPr>
                <w:rFonts w:ascii="Arial" w:hAnsi="Arial" w:cs="Arial"/>
                <w:sz w:val="16"/>
                <w:szCs w:val="15"/>
              </w:rPr>
              <w:br/>
            </w:r>
            <w:r w:rsidRPr="00BE46C0">
              <w:rPr>
                <w:rFonts w:ascii="Arial" w:hAnsi="Arial" w:cs="Arial"/>
                <w:sz w:val="16"/>
                <w:szCs w:val="15"/>
              </w:rPr>
              <w:br/>
            </w:r>
            <w:r w:rsidRPr="00BE46C0">
              <w:rPr>
                <w:rFonts w:ascii="Arial" w:hAnsi="Arial" w:cs="Arial"/>
                <w:sz w:val="16"/>
                <w:szCs w:val="15"/>
              </w:rPr>
              <w:br/>
              <w:t>$</w:t>
            </w:r>
            <w:r>
              <w:rPr>
                <w:rFonts w:ascii="Arial" w:hAnsi="Arial" w:cs="Arial"/>
                <w:sz w:val="16"/>
                <w:szCs w:val="15"/>
              </w:rPr>
              <w:t>’</w:t>
            </w:r>
            <w:r w:rsidRPr="00BE46C0">
              <w:rPr>
                <w:rFonts w:ascii="Arial" w:hAnsi="Arial" w:cs="Arial"/>
                <w:sz w:val="16"/>
                <w:szCs w:val="15"/>
              </w:rPr>
              <w:t>000</w:t>
            </w: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rPr>
                <w:rFonts w:ascii="Arial" w:hAnsi="Arial" w:cs="Arial"/>
                <w:b/>
                <w:bCs/>
                <w:sz w:val="16"/>
                <w:szCs w:val="15"/>
              </w:rPr>
            </w:pPr>
            <w:r w:rsidRPr="00BE46C0">
              <w:rPr>
                <w:rFonts w:ascii="Arial" w:hAnsi="Arial" w:cs="Arial"/>
                <w:b/>
                <w:bCs/>
                <w:sz w:val="16"/>
                <w:szCs w:val="15"/>
              </w:rPr>
              <w:t>As at 1 July 2017</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sz w:val="16"/>
                <w:szCs w:val="15"/>
              </w:rPr>
            </w:pP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sz w:val="16"/>
                <w:szCs w:val="15"/>
              </w:rPr>
            </w:pPr>
          </w:p>
        </w:tc>
        <w:tc>
          <w:tcPr>
            <w:tcW w:w="1013"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ind w:firstLineChars="100" w:firstLine="160"/>
              <w:rPr>
                <w:rFonts w:ascii="Arial" w:hAnsi="Arial" w:cs="Arial"/>
                <w:sz w:val="16"/>
                <w:szCs w:val="15"/>
              </w:rPr>
            </w:pPr>
            <w:r w:rsidRPr="00BE46C0">
              <w:rPr>
                <w:rFonts w:ascii="Arial" w:hAnsi="Arial" w:cs="Arial"/>
                <w:sz w:val="16"/>
                <w:szCs w:val="15"/>
              </w:rPr>
              <w:t xml:space="preserve">Gross book value </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 xml:space="preserve">39,751 </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 xml:space="preserve">22,989 </w:t>
            </w:r>
          </w:p>
        </w:tc>
        <w:tc>
          <w:tcPr>
            <w:tcW w:w="1013"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 xml:space="preserve">62,740 </w:t>
            </w:r>
          </w:p>
        </w:tc>
      </w:tr>
      <w:tr w:rsidR="005449D2" w:rsidRPr="00BE46C0" w:rsidTr="003F0F8A">
        <w:trPr>
          <w:trHeight w:val="143"/>
        </w:trPr>
        <w:tc>
          <w:tcPr>
            <w:tcW w:w="4103" w:type="dxa"/>
            <w:tcBorders>
              <w:top w:val="nil"/>
              <w:left w:val="nil"/>
              <w:bottom w:val="nil"/>
              <w:right w:val="nil"/>
            </w:tcBorders>
            <w:shd w:val="clear" w:color="auto" w:fill="auto"/>
            <w:vAlign w:val="bottom"/>
            <w:hideMark/>
          </w:tcPr>
          <w:p w:rsidR="005449D2" w:rsidRPr="00BE46C0" w:rsidRDefault="005449D2" w:rsidP="003F0F8A">
            <w:pPr>
              <w:tabs>
                <w:tab w:val="left" w:pos="333"/>
              </w:tabs>
              <w:spacing w:after="0" w:line="240" w:lineRule="auto"/>
              <w:ind w:firstLineChars="100" w:firstLine="160"/>
              <w:rPr>
                <w:rFonts w:ascii="Arial" w:hAnsi="Arial" w:cs="Arial"/>
                <w:sz w:val="16"/>
                <w:szCs w:val="15"/>
              </w:rPr>
            </w:pPr>
            <w:r w:rsidRPr="00BE46C0">
              <w:rPr>
                <w:rFonts w:ascii="Arial" w:hAnsi="Arial" w:cs="Arial"/>
                <w:sz w:val="16"/>
                <w:szCs w:val="15"/>
              </w:rPr>
              <w:t xml:space="preserve">Accumulated depreciation/amortisation and </w:t>
            </w:r>
            <w:r>
              <w:rPr>
                <w:rFonts w:ascii="Arial" w:hAnsi="Arial" w:cs="Arial"/>
                <w:sz w:val="16"/>
                <w:szCs w:val="15"/>
              </w:rPr>
              <w:tab/>
            </w:r>
            <w:r w:rsidRPr="00BE46C0">
              <w:rPr>
                <w:rFonts w:ascii="Arial" w:hAnsi="Arial" w:cs="Arial"/>
                <w:sz w:val="16"/>
                <w:szCs w:val="15"/>
              </w:rPr>
              <w:t>impairment</w:t>
            </w:r>
          </w:p>
        </w:tc>
        <w:tc>
          <w:tcPr>
            <w:tcW w:w="1276" w:type="dxa"/>
            <w:tcBorders>
              <w:top w:val="nil"/>
              <w:left w:val="nil"/>
              <w:bottom w:val="nil"/>
              <w:right w:val="nil"/>
            </w:tcBorders>
            <w:shd w:val="clear" w:color="auto" w:fill="auto"/>
            <w:noWrap/>
            <w:vAlign w:val="center"/>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(20,263)</w:t>
            </w:r>
          </w:p>
        </w:tc>
        <w:tc>
          <w:tcPr>
            <w:tcW w:w="1276" w:type="dxa"/>
            <w:tcBorders>
              <w:top w:val="nil"/>
              <w:left w:val="nil"/>
              <w:bottom w:val="nil"/>
              <w:right w:val="nil"/>
            </w:tcBorders>
            <w:shd w:val="clear" w:color="auto" w:fill="auto"/>
            <w:noWrap/>
            <w:vAlign w:val="center"/>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(18,561)</w:t>
            </w:r>
          </w:p>
        </w:tc>
        <w:tc>
          <w:tcPr>
            <w:tcW w:w="1013" w:type="dxa"/>
            <w:tcBorders>
              <w:top w:val="nil"/>
              <w:left w:val="nil"/>
              <w:bottom w:val="nil"/>
              <w:right w:val="nil"/>
            </w:tcBorders>
            <w:shd w:val="clear" w:color="auto" w:fill="auto"/>
            <w:noWrap/>
            <w:vAlign w:val="center"/>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(38,824)</w:t>
            </w: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rPr>
                <w:rFonts w:ascii="Arial" w:hAnsi="Arial" w:cs="Arial"/>
                <w:b/>
                <w:bCs/>
                <w:sz w:val="16"/>
                <w:szCs w:val="15"/>
              </w:rPr>
            </w:pPr>
            <w:r w:rsidRPr="00BE46C0">
              <w:rPr>
                <w:rFonts w:ascii="Arial" w:hAnsi="Arial" w:cs="Arial"/>
                <w:b/>
                <w:bCs/>
                <w:sz w:val="16"/>
                <w:szCs w:val="15"/>
              </w:rPr>
              <w:t>Opening net book balance</w:t>
            </w:r>
          </w:p>
        </w:tc>
        <w:tc>
          <w:tcPr>
            <w:tcW w:w="1276" w:type="dxa"/>
            <w:tcBorders>
              <w:top w:val="single" w:sz="4" w:space="0" w:color="auto"/>
              <w:left w:val="nil"/>
              <w:bottom w:val="single" w:sz="4" w:space="0" w:color="auto"/>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 xml:space="preserve">19,488 </w:t>
            </w:r>
          </w:p>
        </w:tc>
        <w:tc>
          <w:tcPr>
            <w:tcW w:w="1276" w:type="dxa"/>
            <w:tcBorders>
              <w:top w:val="single" w:sz="4" w:space="0" w:color="auto"/>
              <w:left w:val="nil"/>
              <w:bottom w:val="single" w:sz="4" w:space="0" w:color="auto"/>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 xml:space="preserve">4,428 </w:t>
            </w:r>
          </w:p>
        </w:tc>
        <w:tc>
          <w:tcPr>
            <w:tcW w:w="1013" w:type="dxa"/>
            <w:tcBorders>
              <w:top w:val="single" w:sz="4" w:space="0" w:color="auto"/>
              <w:left w:val="nil"/>
              <w:bottom w:val="single" w:sz="4" w:space="0" w:color="auto"/>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 xml:space="preserve">23,916 </w:t>
            </w: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rPr>
                <w:rFonts w:ascii="Arial" w:hAnsi="Arial" w:cs="Arial"/>
                <w:b/>
                <w:bCs/>
                <w:sz w:val="16"/>
                <w:szCs w:val="15"/>
              </w:rPr>
            </w:pPr>
            <w:r w:rsidRPr="00BE46C0">
              <w:rPr>
                <w:rFonts w:ascii="Arial" w:hAnsi="Arial" w:cs="Arial"/>
                <w:b/>
                <w:bCs/>
                <w:sz w:val="16"/>
                <w:szCs w:val="15"/>
              </w:rPr>
              <w:t>Capital asset additions</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sz w:val="16"/>
                <w:szCs w:val="15"/>
              </w:rPr>
            </w:pP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sz w:val="16"/>
                <w:szCs w:val="15"/>
              </w:rPr>
            </w:pPr>
          </w:p>
        </w:tc>
        <w:tc>
          <w:tcPr>
            <w:tcW w:w="1013"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p>
        </w:tc>
      </w:tr>
      <w:tr w:rsidR="005449D2" w:rsidRPr="00BE46C0" w:rsidTr="003F0F8A">
        <w:trPr>
          <w:trHeight w:val="352"/>
        </w:trPr>
        <w:tc>
          <w:tcPr>
            <w:tcW w:w="4103" w:type="dxa"/>
            <w:tcBorders>
              <w:top w:val="nil"/>
              <w:left w:val="nil"/>
              <w:bottom w:val="nil"/>
              <w:right w:val="nil"/>
            </w:tcBorders>
            <w:shd w:val="clear" w:color="auto" w:fill="auto"/>
            <w:vAlign w:val="bottom"/>
            <w:hideMark/>
          </w:tcPr>
          <w:p w:rsidR="005449D2" w:rsidRPr="00BE46C0" w:rsidRDefault="005449D2" w:rsidP="003F0F8A">
            <w:pPr>
              <w:tabs>
                <w:tab w:val="left" w:pos="376"/>
              </w:tabs>
              <w:spacing w:after="0" w:line="240" w:lineRule="auto"/>
              <w:ind w:firstLineChars="100" w:firstLine="161"/>
              <w:rPr>
                <w:rFonts w:ascii="Arial" w:hAnsi="Arial" w:cs="Arial"/>
                <w:b/>
                <w:bCs/>
                <w:sz w:val="16"/>
                <w:szCs w:val="15"/>
              </w:rPr>
            </w:pPr>
            <w:r w:rsidRPr="00BE46C0">
              <w:rPr>
                <w:rFonts w:ascii="Arial" w:hAnsi="Arial" w:cs="Arial"/>
                <w:b/>
                <w:bCs/>
                <w:sz w:val="16"/>
                <w:szCs w:val="15"/>
              </w:rPr>
              <w:t xml:space="preserve">Estimated expenditure on new or replacement </w:t>
            </w:r>
            <w:r w:rsidRPr="00BE46C0">
              <w:rPr>
                <w:rFonts w:ascii="Arial" w:hAnsi="Arial" w:cs="Arial"/>
                <w:b/>
                <w:bCs/>
                <w:sz w:val="16"/>
                <w:szCs w:val="15"/>
              </w:rPr>
              <w:tab/>
              <w:t>assets</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sz w:val="16"/>
                <w:szCs w:val="15"/>
              </w:rPr>
            </w:pP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sz w:val="16"/>
                <w:szCs w:val="15"/>
              </w:rPr>
            </w:pPr>
          </w:p>
        </w:tc>
        <w:tc>
          <w:tcPr>
            <w:tcW w:w="1013"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ind w:firstLineChars="100" w:firstLine="160"/>
              <w:rPr>
                <w:rFonts w:ascii="Arial" w:hAnsi="Arial" w:cs="Arial"/>
                <w:sz w:val="16"/>
                <w:szCs w:val="15"/>
              </w:rPr>
            </w:pPr>
            <w:r w:rsidRPr="00BE46C0">
              <w:rPr>
                <w:rFonts w:ascii="Arial" w:hAnsi="Arial" w:cs="Arial"/>
                <w:sz w:val="16"/>
                <w:szCs w:val="15"/>
              </w:rPr>
              <w:t>By purchase—other</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 xml:space="preserve">4,160 </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 xml:space="preserve">4,650 </w:t>
            </w:r>
          </w:p>
        </w:tc>
        <w:tc>
          <w:tcPr>
            <w:tcW w:w="1013"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 xml:space="preserve">8,810 </w:t>
            </w: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ind w:firstLineChars="100" w:firstLine="161"/>
              <w:rPr>
                <w:rFonts w:ascii="Arial" w:hAnsi="Arial" w:cs="Arial"/>
                <w:b/>
                <w:bCs/>
                <w:sz w:val="16"/>
                <w:szCs w:val="15"/>
              </w:rPr>
            </w:pPr>
            <w:r w:rsidRPr="00BE46C0">
              <w:rPr>
                <w:rFonts w:ascii="Arial" w:hAnsi="Arial" w:cs="Arial"/>
                <w:b/>
                <w:bCs/>
                <w:sz w:val="16"/>
                <w:szCs w:val="15"/>
              </w:rPr>
              <w:t>Total additions</w:t>
            </w:r>
          </w:p>
        </w:tc>
        <w:tc>
          <w:tcPr>
            <w:tcW w:w="1276" w:type="dxa"/>
            <w:tcBorders>
              <w:top w:val="single" w:sz="4" w:space="0" w:color="auto"/>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 xml:space="preserve">4,160 </w:t>
            </w:r>
          </w:p>
        </w:tc>
        <w:tc>
          <w:tcPr>
            <w:tcW w:w="1276" w:type="dxa"/>
            <w:tcBorders>
              <w:top w:val="single" w:sz="4" w:space="0" w:color="auto"/>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 xml:space="preserve">4,650 </w:t>
            </w:r>
          </w:p>
        </w:tc>
        <w:tc>
          <w:tcPr>
            <w:tcW w:w="1013" w:type="dxa"/>
            <w:tcBorders>
              <w:top w:val="single" w:sz="4" w:space="0" w:color="auto"/>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 xml:space="preserve">8,810 </w:t>
            </w: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ind w:firstLineChars="100" w:firstLine="161"/>
              <w:rPr>
                <w:rFonts w:ascii="Arial" w:hAnsi="Arial" w:cs="Arial"/>
                <w:b/>
                <w:bCs/>
                <w:sz w:val="16"/>
                <w:szCs w:val="15"/>
              </w:rPr>
            </w:pPr>
            <w:r w:rsidRPr="00BE46C0">
              <w:rPr>
                <w:rFonts w:ascii="Arial" w:hAnsi="Arial" w:cs="Arial"/>
                <w:b/>
                <w:bCs/>
                <w:sz w:val="16"/>
                <w:szCs w:val="15"/>
              </w:rPr>
              <w:t>Other movements</w:t>
            </w:r>
          </w:p>
        </w:tc>
        <w:tc>
          <w:tcPr>
            <w:tcW w:w="1276" w:type="dxa"/>
            <w:tcBorders>
              <w:top w:val="single" w:sz="4" w:space="0" w:color="auto"/>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b/>
                <w:bCs/>
                <w:sz w:val="16"/>
                <w:szCs w:val="15"/>
              </w:rPr>
            </w:pPr>
            <w:r w:rsidRPr="00BE46C0">
              <w:rPr>
                <w:rFonts w:ascii="Arial" w:hAnsi="Arial" w:cs="Arial"/>
                <w:b/>
                <w:bCs/>
                <w:sz w:val="16"/>
                <w:szCs w:val="15"/>
              </w:rPr>
              <w:t> </w:t>
            </w:r>
          </w:p>
        </w:tc>
        <w:tc>
          <w:tcPr>
            <w:tcW w:w="1276" w:type="dxa"/>
            <w:tcBorders>
              <w:top w:val="single" w:sz="4" w:space="0" w:color="auto"/>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b/>
                <w:bCs/>
                <w:sz w:val="16"/>
                <w:szCs w:val="15"/>
              </w:rPr>
            </w:pPr>
            <w:r w:rsidRPr="00BE46C0">
              <w:rPr>
                <w:rFonts w:ascii="Arial" w:hAnsi="Arial" w:cs="Arial"/>
                <w:b/>
                <w:bCs/>
                <w:sz w:val="16"/>
                <w:szCs w:val="15"/>
              </w:rPr>
              <w:t> </w:t>
            </w:r>
          </w:p>
        </w:tc>
        <w:tc>
          <w:tcPr>
            <w:tcW w:w="1013" w:type="dxa"/>
            <w:tcBorders>
              <w:top w:val="single" w:sz="4" w:space="0" w:color="auto"/>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b/>
                <w:bCs/>
                <w:sz w:val="16"/>
                <w:szCs w:val="15"/>
              </w:rPr>
            </w:pPr>
            <w:r w:rsidRPr="00BE46C0">
              <w:rPr>
                <w:rFonts w:ascii="Arial" w:hAnsi="Arial" w:cs="Arial"/>
                <w:b/>
                <w:bCs/>
                <w:sz w:val="16"/>
                <w:szCs w:val="15"/>
              </w:rPr>
              <w:t> </w:t>
            </w: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ind w:firstLineChars="100" w:firstLine="160"/>
              <w:rPr>
                <w:rFonts w:ascii="Arial" w:hAnsi="Arial" w:cs="Arial"/>
                <w:sz w:val="16"/>
                <w:szCs w:val="15"/>
              </w:rPr>
            </w:pPr>
            <w:r w:rsidRPr="00BE46C0">
              <w:rPr>
                <w:rFonts w:ascii="Arial" w:hAnsi="Arial" w:cs="Arial"/>
                <w:sz w:val="16"/>
                <w:szCs w:val="15"/>
              </w:rPr>
              <w:t>Depreciation/amortisation expense</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(3,735)</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(1,455)</w:t>
            </w:r>
          </w:p>
        </w:tc>
        <w:tc>
          <w:tcPr>
            <w:tcW w:w="1013"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(5,190)</w:t>
            </w: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ind w:firstLineChars="100" w:firstLine="161"/>
              <w:rPr>
                <w:rFonts w:ascii="Arial" w:hAnsi="Arial" w:cs="Arial"/>
                <w:b/>
                <w:bCs/>
                <w:sz w:val="16"/>
                <w:szCs w:val="15"/>
              </w:rPr>
            </w:pPr>
            <w:r w:rsidRPr="00BE46C0">
              <w:rPr>
                <w:rFonts w:ascii="Arial" w:hAnsi="Arial" w:cs="Arial"/>
                <w:b/>
                <w:bCs/>
                <w:sz w:val="16"/>
                <w:szCs w:val="15"/>
              </w:rPr>
              <w:t>Total other movements</w:t>
            </w:r>
          </w:p>
        </w:tc>
        <w:tc>
          <w:tcPr>
            <w:tcW w:w="1276" w:type="dxa"/>
            <w:tcBorders>
              <w:top w:val="single" w:sz="4" w:space="0" w:color="auto"/>
              <w:left w:val="nil"/>
              <w:bottom w:val="single" w:sz="4" w:space="0" w:color="auto"/>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(3,735)</w:t>
            </w:r>
          </w:p>
        </w:tc>
        <w:tc>
          <w:tcPr>
            <w:tcW w:w="1276" w:type="dxa"/>
            <w:tcBorders>
              <w:top w:val="single" w:sz="4" w:space="0" w:color="auto"/>
              <w:left w:val="nil"/>
              <w:bottom w:val="single" w:sz="4" w:space="0" w:color="auto"/>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(1,455)</w:t>
            </w:r>
          </w:p>
        </w:tc>
        <w:tc>
          <w:tcPr>
            <w:tcW w:w="1013" w:type="dxa"/>
            <w:tcBorders>
              <w:top w:val="single" w:sz="4" w:space="0" w:color="auto"/>
              <w:left w:val="nil"/>
              <w:bottom w:val="single" w:sz="4" w:space="0" w:color="auto"/>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(5,190)</w:t>
            </w: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rPr>
                <w:rFonts w:ascii="Arial" w:hAnsi="Arial" w:cs="Arial"/>
                <w:b/>
                <w:bCs/>
                <w:sz w:val="16"/>
                <w:szCs w:val="15"/>
              </w:rPr>
            </w:pPr>
            <w:r w:rsidRPr="00BE46C0">
              <w:rPr>
                <w:rFonts w:ascii="Arial" w:hAnsi="Arial" w:cs="Arial"/>
                <w:b/>
                <w:bCs/>
                <w:sz w:val="16"/>
                <w:szCs w:val="15"/>
              </w:rPr>
              <w:t>As at 30 June 2018</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sz w:val="16"/>
                <w:szCs w:val="15"/>
              </w:rPr>
            </w:pP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rPr>
                <w:rFonts w:ascii="Arial" w:hAnsi="Arial" w:cs="Arial"/>
                <w:sz w:val="16"/>
                <w:szCs w:val="15"/>
              </w:rPr>
            </w:pPr>
          </w:p>
        </w:tc>
        <w:tc>
          <w:tcPr>
            <w:tcW w:w="1013"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p>
        </w:tc>
      </w:tr>
      <w:tr w:rsidR="005449D2" w:rsidRPr="00BE46C0" w:rsidTr="003F0F8A">
        <w:trPr>
          <w:trHeight w:val="206"/>
        </w:trPr>
        <w:tc>
          <w:tcPr>
            <w:tcW w:w="4103" w:type="dxa"/>
            <w:tcBorders>
              <w:top w:val="nil"/>
              <w:left w:val="nil"/>
              <w:bottom w:val="nil"/>
              <w:right w:val="nil"/>
            </w:tcBorders>
            <w:shd w:val="clear" w:color="auto" w:fill="auto"/>
            <w:vAlign w:val="bottom"/>
            <w:hideMark/>
          </w:tcPr>
          <w:p w:rsidR="005449D2" w:rsidRPr="00BE46C0" w:rsidRDefault="005449D2" w:rsidP="003F0F8A">
            <w:pPr>
              <w:spacing w:after="0" w:line="240" w:lineRule="auto"/>
              <w:ind w:firstLineChars="100" w:firstLine="160"/>
              <w:rPr>
                <w:rFonts w:ascii="Arial" w:hAnsi="Arial" w:cs="Arial"/>
                <w:sz w:val="16"/>
                <w:szCs w:val="15"/>
              </w:rPr>
            </w:pPr>
            <w:r w:rsidRPr="00BE46C0">
              <w:rPr>
                <w:rFonts w:ascii="Arial" w:hAnsi="Arial" w:cs="Arial"/>
                <w:sz w:val="16"/>
                <w:szCs w:val="15"/>
              </w:rPr>
              <w:t>Gross book value</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 xml:space="preserve">43,911 </w:t>
            </w:r>
          </w:p>
        </w:tc>
        <w:tc>
          <w:tcPr>
            <w:tcW w:w="1276"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 xml:space="preserve">27,639 </w:t>
            </w:r>
          </w:p>
        </w:tc>
        <w:tc>
          <w:tcPr>
            <w:tcW w:w="1013" w:type="dxa"/>
            <w:tcBorders>
              <w:top w:val="nil"/>
              <w:left w:val="nil"/>
              <w:bottom w:val="nil"/>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 xml:space="preserve">71,550 </w:t>
            </w:r>
          </w:p>
        </w:tc>
      </w:tr>
      <w:tr w:rsidR="005449D2" w:rsidRPr="00BE46C0" w:rsidTr="003F0F8A">
        <w:trPr>
          <w:trHeight w:val="105"/>
        </w:trPr>
        <w:tc>
          <w:tcPr>
            <w:tcW w:w="4103" w:type="dxa"/>
            <w:tcBorders>
              <w:top w:val="nil"/>
              <w:left w:val="nil"/>
              <w:bottom w:val="nil"/>
              <w:right w:val="nil"/>
            </w:tcBorders>
            <w:shd w:val="clear" w:color="auto" w:fill="auto"/>
            <w:vAlign w:val="bottom"/>
            <w:hideMark/>
          </w:tcPr>
          <w:p w:rsidR="005449D2" w:rsidRPr="00BE46C0" w:rsidRDefault="005449D2" w:rsidP="003F0F8A">
            <w:pPr>
              <w:tabs>
                <w:tab w:val="left" w:pos="381"/>
              </w:tabs>
              <w:spacing w:after="0" w:line="240" w:lineRule="auto"/>
              <w:ind w:firstLineChars="100" w:firstLine="160"/>
              <w:rPr>
                <w:rFonts w:ascii="Arial" w:hAnsi="Arial" w:cs="Arial"/>
                <w:sz w:val="16"/>
                <w:szCs w:val="15"/>
              </w:rPr>
            </w:pPr>
            <w:r w:rsidRPr="00BE46C0">
              <w:rPr>
                <w:rFonts w:ascii="Arial" w:hAnsi="Arial" w:cs="Arial"/>
                <w:sz w:val="16"/>
                <w:szCs w:val="15"/>
              </w:rPr>
              <w:t xml:space="preserve">Accumulated depreciation/amortisation and </w:t>
            </w:r>
            <w:r>
              <w:rPr>
                <w:rFonts w:ascii="Arial" w:hAnsi="Arial" w:cs="Arial"/>
                <w:sz w:val="16"/>
                <w:szCs w:val="15"/>
              </w:rPr>
              <w:tab/>
            </w:r>
            <w:r w:rsidRPr="00BE46C0">
              <w:rPr>
                <w:rFonts w:ascii="Arial" w:hAnsi="Arial" w:cs="Arial"/>
                <w:sz w:val="16"/>
                <w:szCs w:val="15"/>
              </w:rPr>
              <w:t>impairment</w:t>
            </w:r>
          </w:p>
        </w:tc>
        <w:tc>
          <w:tcPr>
            <w:tcW w:w="1276" w:type="dxa"/>
            <w:tcBorders>
              <w:top w:val="nil"/>
              <w:left w:val="nil"/>
              <w:bottom w:val="nil"/>
              <w:right w:val="nil"/>
            </w:tcBorders>
            <w:shd w:val="clear" w:color="auto" w:fill="auto"/>
            <w:noWrap/>
            <w:vAlign w:val="center"/>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(23,998)</w:t>
            </w:r>
          </w:p>
        </w:tc>
        <w:tc>
          <w:tcPr>
            <w:tcW w:w="1276" w:type="dxa"/>
            <w:tcBorders>
              <w:top w:val="nil"/>
              <w:left w:val="nil"/>
              <w:bottom w:val="nil"/>
              <w:right w:val="nil"/>
            </w:tcBorders>
            <w:shd w:val="clear" w:color="auto" w:fill="auto"/>
            <w:noWrap/>
            <w:vAlign w:val="center"/>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(20,016)</w:t>
            </w:r>
          </w:p>
        </w:tc>
        <w:tc>
          <w:tcPr>
            <w:tcW w:w="1013" w:type="dxa"/>
            <w:tcBorders>
              <w:top w:val="nil"/>
              <w:left w:val="nil"/>
              <w:bottom w:val="nil"/>
              <w:right w:val="nil"/>
            </w:tcBorders>
            <w:shd w:val="clear" w:color="auto" w:fill="auto"/>
            <w:noWrap/>
            <w:vAlign w:val="center"/>
            <w:hideMark/>
          </w:tcPr>
          <w:p w:rsidR="005449D2" w:rsidRPr="00BE46C0" w:rsidRDefault="005449D2" w:rsidP="003F0F8A">
            <w:pPr>
              <w:spacing w:after="0" w:line="240" w:lineRule="auto"/>
              <w:jc w:val="right"/>
              <w:rPr>
                <w:rFonts w:ascii="Arial" w:hAnsi="Arial" w:cs="Arial"/>
                <w:sz w:val="16"/>
                <w:szCs w:val="15"/>
              </w:rPr>
            </w:pPr>
            <w:r w:rsidRPr="00BE46C0">
              <w:rPr>
                <w:rFonts w:ascii="Arial" w:hAnsi="Arial" w:cs="Arial"/>
                <w:sz w:val="16"/>
                <w:szCs w:val="15"/>
              </w:rPr>
              <w:t>(44,014)</w:t>
            </w:r>
          </w:p>
        </w:tc>
      </w:tr>
      <w:tr w:rsidR="005449D2" w:rsidRPr="00BE46C0" w:rsidTr="003F0F8A">
        <w:trPr>
          <w:trHeight w:val="206"/>
        </w:trPr>
        <w:tc>
          <w:tcPr>
            <w:tcW w:w="4103" w:type="dxa"/>
            <w:tcBorders>
              <w:top w:val="nil"/>
              <w:left w:val="nil"/>
              <w:bottom w:val="single" w:sz="4" w:space="0" w:color="auto"/>
              <w:right w:val="nil"/>
            </w:tcBorders>
            <w:shd w:val="clear" w:color="auto" w:fill="auto"/>
            <w:noWrap/>
            <w:vAlign w:val="bottom"/>
            <w:hideMark/>
          </w:tcPr>
          <w:p w:rsidR="005449D2" w:rsidRPr="00BE46C0" w:rsidRDefault="005449D2" w:rsidP="003F0F8A">
            <w:pPr>
              <w:spacing w:after="0" w:line="240" w:lineRule="auto"/>
              <w:rPr>
                <w:rFonts w:ascii="Arial" w:hAnsi="Arial" w:cs="Arial"/>
                <w:b/>
                <w:bCs/>
                <w:sz w:val="16"/>
                <w:szCs w:val="15"/>
              </w:rPr>
            </w:pPr>
            <w:r w:rsidRPr="00BE46C0">
              <w:rPr>
                <w:rFonts w:ascii="Arial" w:hAnsi="Arial" w:cs="Arial"/>
                <w:b/>
                <w:bCs/>
                <w:sz w:val="16"/>
                <w:szCs w:val="15"/>
              </w:rPr>
              <w:t>Closing net book balance</w:t>
            </w:r>
          </w:p>
        </w:tc>
        <w:tc>
          <w:tcPr>
            <w:tcW w:w="1276" w:type="dxa"/>
            <w:tcBorders>
              <w:top w:val="single" w:sz="4" w:space="0" w:color="auto"/>
              <w:left w:val="nil"/>
              <w:bottom w:val="single" w:sz="4" w:space="0" w:color="auto"/>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 xml:space="preserve">19,913 </w:t>
            </w:r>
          </w:p>
        </w:tc>
        <w:tc>
          <w:tcPr>
            <w:tcW w:w="1276" w:type="dxa"/>
            <w:tcBorders>
              <w:top w:val="single" w:sz="4" w:space="0" w:color="auto"/>
              <w:left w:val="nil"/>
              <w:bottom w:val="single" w:sz="4" w:space="0" w:color="auto"/>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 xml:space="preserve">7,623 </w:t>
            </w:r>
          </w:p>
        </w:tc>
        <w:tc>
          <w:tcPr>
            <w:tcW w:w="1013" w:type="dxa"/>
            <w:tcBorders>
              <w:top w:val="single" w:sz="4" w:space="0" w:color="auto"/>
              <w:left w:val="nil"/>
              <w:bottom w:val="single" w:sz="4" w:space="0" w:color="auto"/>
              <w:right w:val="nil"/>
            </w:tcBorders>
            <w:shd w:val="clear" w:color="auto" w:fill="auto"/>
            <w:noWrap/>
            <w:vAlign w:val="bottom"/>
            <w:hideMark/>
          </w:tcPr>
          <w:p w:rsidR="005449D2" w:rsidRPr="00BE46C0" w:rsidRDefault="005449D2" w:rsidP="003F0F8A">
            <w:pPr>
              <w:spacing w:after="0" w:line="240" w:lineRule="auto"/>
              <w:jc w:val="right"/>
              <w:rPr>
                <w:rFonts w:ascii="Arial" w:hAnsi="Arial" w:cs="Arial"/>
                <w:b/>
                <w:bCs/>
                <w:sz w:val="16"/>
                <w:szCs w:val="15"/>
              </w:rPr>
            </w:pPr>
            <w:r w:rsidRPr="00BE46C0">
              <w:rPr>
                <w:rFonts w:ascii="Arial" w:hAnsi="Arial" w:cs="Arial"/>
                <w:b/>
                <w:bCs/>
                <w:sz w:val="16"/>
                <w:szCs w:val="15"/>
              </w:rPr>
              <w:t xml:space="preserve">27,536 </w:t>
            </w:r>
          </w:p>
        </w:tc>
      </w:tr>
    </w:tbl>
    <w:p w:rsidR="005449D2" w:rsidRDefault="005449D2" w:rsidP="005449D2">
      <w:pPr>
        <w:pStyle w:val="Source"/>
        <w:spacing w:before="120" w:after="360"/>
      </w:pPr>
      <w:r w:rsidRPr="003458E0">
        <w:t>Prepared on Australian Accounting Standards basis.</w:t>
      </w:r>
    </w:p>
    <w:p w:rsidR="005449D2" w:rsidRPr="006359B4" w:rsidRDefault="005449D2" w:rsidP="005449D2">
      <w:pPr>
        <w:pStyle w:val="TableHeading"/>
        <w:spacing w:before="360"/>
        <w:rPr>
          <w:lang w:val="en-AU"/>
        </w:rPr>
      </w:pPr>
      <w:r w:rsidRPr="00D30CBA">
        <w:t>Table</w:t>
      </w:r>
      <w:r>
        <w:t xml:space="preserve"> 3.</w:t>
      </w:r>
      <w:r>
        <w:rPr>
          <w:lang w:val="en-AU"/>
        </w:rPr>
        <w:t>7</w:t>
      </w:r>
      <w:r w:rsidRPr="00D30CBA">
        <w:t xml:space="preserve">: Schedule of </w:t>
      </w:r>
      <w:r>
        <w:t>b</w:t>
      </w:r>
      <w:r w:rsidRPr="00D30CBA">
        <w:t xml:space="preserve">udgeted </w:t>
      </w:r>
      <w:r>
        <w:rPr>
          <w:lang w:val="en-AU"/>
        </w:rPr>
        <w:t>income</w:t>
      </w:r>
      <w:r w:rsidRPr="00D30CBA">
        <w:t xml:space="preserve"> and </w:t>
      </w:r>
      <w:r>
        <w:rPr>
          <w:lang w:val="en-AU"/>
        </w:rPr>
        <w:t>expenses</w:t>
      </w:r>
      <w:r w:rsidRPr="00D30CBA">
        <w:t xml:space="preserve"> </w:t>
      </w:r>
      <w:r>
        <w:t>a</w:t>
      </w:r>
      <w:r w:rsidRPr="00D30CBA">
        <w:t>dministered o</w:t>
      </w:r>
      <w:r>
        <w:t>n behalf of G</w:t>
      </w:r>
      <w:r w:rsidRPr="00D30CBA">
        <w:t>overnment (</w:t>
      </w:r>
      <w:r>
        <w:rPr>
          <w:lang w:val="en-AU"/>
        </w:rPr>
        <w:t xml:space="preserve">for the period ended </w:t>
      </w:r>
      <w:r w:rsidRPr="00D30CBA">
        <w:t>30 June)</w:t>
      </w:r>
    </w:p>
    <w:tbl>
      <w:tblPr>
        <w:tblW w:w="7662" w:type="dxa"/>
        <w:tblInd w:w="93" w:type="dxa"/>
        <w:tblCellMar>
          <w:left w:w="85" w:type="dxa"/>
          <w:right w:w="85" w:type="dxa"/>
        </w:tblCellMar>
        <w:tblLook w:val="04A0" w:firstRow="1" w:lastRow="0" w:firstColumn="1" w:lastColumn="0" w:noHBand="0" w:noVBand="1"/>
      </w:tblPr>
      <w:tblGrid>
        <w:gridCol w:w="3500"/>
        <w:gridCol w:w="882"/>
        <w:gridCol w:w="820"/>
        <w:gridCol w:w="820"/>
        <w:gridCol w:w="820"/>
        <w:gridCol w:w="820"/>
      </w:tblGrid>
      <w:tr w:rsidR="005449D2" w:rsidRPr="009A29FD" w:rsidTr="003F0F8A">
        <w:trPr>
          <w:trHeight w:val="816"/>
        </w:trPr>
        <w:tc>
          <w:tcPr>
            <w:tcW w:w="3500" w:type="dxa"/>
            <w:tcBorders>
              <w:top w:val="single" w:sz="4" w:space="0" w:color="000000"/>
              <w:left w:val="nil"/>
              <w:bottom w:val="nil"/>
              <w:right w:val="nil"/>
            </w:tcBorders>
            <w:shd w:val="clear" w:color="auto" w:fill="auto"/>
            <w:noWrap/>
            <w:hideMark/>
          </w:tcPr>
          <w:p w:rsidR="005449D2" w:rsidRPr="009A29FD" w:rsidRDefault="005449D2" w:rsidP="003F0F8A">
            <w:pPr>
              <w:spacing w:after="0" w:line="240" w:lineRule="auto"/>
              <w:rPr>
                <w:rFonts w:ascii="Arial" w:hAnsi="Arial" w:cs="Arial"/>
                <w:b/>
                <w:bCs/>
                <w:sz w:val="16"/>
                <w:szCs w:val="16"/>
              </w:rPr>
            </w:pPr>
            <w:r w:rsidRPr="009A29FD">
              <w:rPr>
                <w:rFonts w:ascii="Arial" w:hAnsi="Arial" w:cs="Arial"/>
                <w:b/>
                <w:bCs/>
                <w:sz w:val="16"/>
                <w:szCs w:val="16"/>
              </w:rPr>
              <w:t> </w:t>
            </w:r>
          </w:p>
        </w:tc>
        <w:tc>
          <w:tcPr>
            <w:tcW w:w="882" w:type="dxa"/>
            <w:tcBorders>
              <w:top w:val="single" w:sz="4" w:space="0" w:color="auto"/>
              <w:left w:val="nil"/>
              <w:bottom w:val="single" w:sz="4" w:space="0" w:color="auto"/>
              <w:right w:val="nil"/>
            </w:tcBorders>
            <w:shd w:val="clear" w:color="auto" w:fill="auto"/>
            <w:vAlign w:val="center"/>
            <w:hideMark/>
          </w:tcPr>
          <w:p w:rsidR="005449D2" w:rsidRPr="009A29FD" w:rsidRDefault="005449D2" w:rsidP="003F0F8A">
            <w:pPr>
              <w:spacing w:after="0" w:line="240" w:lineRule="auto"/>
              <w:jc w:val="right"/>
              <w:rPr>
                <w:rFonts w:ascii="Arial" w:hAnsi="Arial" w:cs="Arial"/>
                <w:sz w:val="16"/>
                <w:szCs w:val="16"/>
              </w:rPr>
            </w:pPr>
            <w:r w:rsidRPr="009A29FD">
              <w:rPr>
                <w:rFonts w:ascii="Arial" w:hAnsi="Arial" w:cs="Arial"/>
                <w:sz w:val="16"/>
                <w:szCs w:val="16"/>
              </w:rPr>
              <w:t>2016–17 Estimated actual</w:t>
            </w:r>
            <w:r w:rsidRPr="009A29FD">
              <w:rPr>
                <w:rFonts w:ascii="Arial" w:hAnsi="Arial" w:cs="Arial"/>
                <w:sz w:val="16"/>
                <w:szCs w:val="16"/>
              </w:rPr>
              <w:br/>
              <w:t>$</w:t>
            </w:r>
            <w:r>
              <w:rPr>
                <w:rFonts w:ascii="Arial" w:hAnsi="Arial" w:cs="Arial"/>
                <w:sz w:val="16"/>
                <w:szCs w:val="16"/>
              </w:rPr>
              <w:t>’</w:t>
            </w:r>
            <w:r w:rsidRPr="009A29FD">
              <w:rPr>
                <w:rFonts w:ascii="Arial" w:hAnsi="Arial" w:cs="Arial"/>
                <w:sz w:val="16"/>
                <w:szCs w:val="16"/>
              </w:rPr>
              <w:t>000</w:t>
            </w:r>
          </w:p>
        </w:tc>
        <w:tc>
          <w:tcPr>
            <w:tcW w:w="820" w:type="dxa"/>
            <w:tcBorders>
              <w:top w:val="single" w:sz="4" w:space="0" w:color="auto"/>
              <w:left w:val="nil"/>
              <w:bottom w:val="single" w:sz="4" w:space="0" w:color="auto"/>
              <w:right w:val="nil"/>
            </w:tcBorders>
            <w:shd w:val="clear" w:color="000000" w:fill="E6E6E6"/>
            <w:vAlign w:val="center"/>
            <w:hideMark/>
          </w:tcPr>
          <w:p w:rsidR="005449D2" w:rsidRPr="009A29FD" w:rsidRDefault="005449D2" w:rsidP="003F0F8A">
            <w:pPr>
              <w:spacing w:after="0" w:line="240" w:lineRule="auto"/>
              <w:jc w:val="right"/>
              <w:rPr>
                <w:rFonts w:ascii="Arial" w:hAnsi="Arial" w:cs="Arial"/>
                <w:sz w:val="16"/>
                <w:szCs w:val="16"/>
              </w:rPr>
            </w:pPr>
            <w:r w:rsidRPr="009A29FD">
              <w:rPr>
                <w:rFonts w:ascii="Arial" w:hAnsi="Arial" w:cs="Arial"/>
                <w:sz w:val="16"/>
                <w:szCs w:val="16"/>
              </w:rPr>
              <w:t>2017–18</w:t>
            </w:r>
            <w:r w:rsidRPr="009A29FD">
              <w:rPr>
                <w:rFonts w:ascii="Arial" w:hAnsi="Arial" w:cs="Arial"/>
                <w:sz w:val="16"/>
                <w:szCs w:val="16"/>
              </w:rPr>
              <w:br/>
              <w:t>Budget</w:t>
            </w:r>
            <w:r w:rsidRPr="009A29FD">
              <w:rPr>
                <w:rFonts w:ascii="Arial" w:hAnsi="Arial" w:cs="Arial"/>
                <w:sz w:val="16"/>
                <w:szCs w:val="16"/>
              </w:rPr>
              <w:br/>
            </w:r>
            <w:r w:rsidRPr="009A29FD">
              <w:rPr>
                <w:rFonts w:ascii="Arial" w:hAnsi="Arial" w:cs="Arial"/>
                <w:sz w:val="16"/>
                <w:szCs w:val="16"/>
              </w:rPr>
              <w:br/>
              <w:t>$</w:t>
            </w:r>
            <w:r>
              <w:rPr>
                <w:rFonts w:ascii="Arial" w:hAnsi="Arial" w:cs="Arial"/>
                <w:sz w:val="16"/>
                <w:szCs w:val="16"/>
              </w:rPr>
              <w:t>’</w:t>
            </w:r>
            <w:r w:rsidRPr="009A29FD">
              <w:rPr>
                <w:rFonts w:ascii="Arial" w:hAnsi="Arial" w:cs="Arial"/>
                <w:sz w:val="16"/>
                <w:szCs w:val="16"/>
              </w:rPr>
              <w:t>000</w:t>
            </w:r>
          </w:p>
        </w:tc>
        <w:tc>
          <w:tcPr>
            <w:tcW w:w="820" w:type="dxa"/>
            <w:tcBorders>
              <w:top w:val="single" w:sz="4" w:space="0" w:color="auto"/>
              <w:left w:val="nil"/>
              <w:bottom w:val="single" w:sz="4" w:space="0" w:color="auto"/>
              <w:right w:val="nil"/>
            </w:tcBorders>
            <w:shd w:val="clear" w:color="auto" w:fill="auto"/>
            <w:vAlign w:val="center"/>
            <w:hideMark/>
          </w:tcPr>
          <w:p w:rsidR="005449D2" w:rsidRPr="009A29FD" w:rsidRDefault="005449D2" w:rsidP="003F0F8A">
            <w:pPr>
              <w:spacing w:after="0" w:line="240" w:lineRule="auto"/>
              <w:jc w:val="right"/>
              <w:rPr>
                <w:rFonts w:ascii="Arial" w:hAnsi="Arial" w:cs="Arial"/>
                <w:sz w:val="16"/>
                <w:szCs w:val="16"/>
              </w:rPr>
            </w:pPr>
            <w:r w:rsidRPr="009A29FD">
              <w:rPr>
                <w:rFonts w:ascii="Arial" w:hAnsi="Arial" w:cs="Arial"/>
                <w:sz w:val="16"/>
                <w:szCs w:val="16"/>
              </w:rPr>
              <w:t>2018–19 Forward estimate</w:t>
            </w:r>
            <w:r w:rsidRPr="009A29FD">
              <w:rPr>
                <w:rFonts w:ascii="Arial" w:hAnsi="Arial" w:cs="Arial"/>
                <w:sz w:val="16"/>
                <w:szCs w:val="16"/>
              </w:rPr>
              <w:br/>
              <w:t>$</w:t>
            </w:r>
            <w:r>
              <w:rPr>
                <w:rFonts w:ascii="Arial" w:hAnsi="Arial" w:cs="Arial"/>
                <w:sz w:val="16"/>
                <w:szCs w:val="16"/>
              </w:rPr>
              <w:t>’</w:t>
            </w:r>
            <w:r w:rsidRPr="009A29FD">
              <w:rPr>
                <w:rFonts w:ascii="Arial" w:hAnsi="Arial" w:cs="Arial"/>
                <w:sz w:val="16"/>
                <w:szCs w:val="16"/>
              </w:rPr>
              <w:t>000</w:t>
            </w:r>
          </w:p>
        </w:tc>
        <w:tc>
          <w:tcPr>
            <w:tcW w:w="820" w:type="dxa"/>
            <w:tcBorders>
              <w:top w:val="single" w:sz="4" w:space="0" w:color="auto"/>
              <w:left w:val="nil"/>
              <w:bottom w:val="single" w:sz="4" w:space="0" w:color="auto"/>
              <w:right w:val="nil"/>
            </w:tcBorders>
            <w:shd w:val="clear" w:color="auto" w:fill="auto"/>
            <w:vAlign w:val="center"/>
            <w:hideMark/>
          </w:tcPr>
          <w:p w:rsidR="005449D2" w:rsidRPr="009A29FD" w:rsidRDefault="005449D2" w:rsidP="003F0F8A">
            <w:pPr>
              <w:spacing w:after="0" w:line="240" w:lineRule="auto"/>
              <w:jc w:val="right"/>
              <w:rPr>
                <w:rFonts w:ascii="Arial" w:hAnsi="Arial" w:cs="Arial"/>
                <w:sz w:val="16"/>
                <w:szCs w:val="16"/>
              </w:rPr>
            </w:pPr>
            <w:r w:rsidRPr="009A29FD">
              <w:rPr>
                <w:rFonts w:ascii="Arial" w:hAnsi="Arial" w:cs="Arial"/>
                <w:sz w:val="16"/>
                <w:szCs w:val="16"/>
              </w:rPr>
              <w:t>2019–20 Forward estimate</w:t>
            </w:r>
            <w:r w:rsidRPr="009A29FD">
              <w:rPr>
                <w:rFonts w:ascii="Arial" w:hAnsi="Arial" w:cs="Arial"/>
                <w:sz w:val="16"/>
                <w:szCs w:val="16"/>
              </w:rPr>
              <w:br/>
              <w:t>$</w:t>
            </w:r>
            <w:r>
              <w:rPr>
                <w:rFonts w:ascii="Arial" w:hAnsi="Arial" w:cs="Arial"/>
                <w:sz w:val="16"/>
                <w:szCs w:val="16"/>
              </w:rPr>
              <w:t>’</w:t>
            </w:r>
            <w:r w:rsidRPr="009A29FD">
              <w:rPr>
                <w:rFonts w:ascii="Arial" w:hAnsi="Arial" w:cs="Arial"/>
                <w:sz w:val="16"/>
                <w:szCs w:val="16"/>
              </w:rPr>
              <w:t>000</w:t>
            </w:r>
          </w:p>
        </w:tc>
        <w:tc>
          <w:tcPr>
            <w:tcW w:w="820" w:type="dxa"/>
            <w:tcBorders>
              <w:top w:val="single" w:sz="4" w:space="0" w:color="auto"/>
              <w:left w:val="nil"/>
              <w:bottom w:val="single" w:sz="4" w:space="0" w:color="auto"/>
              <w:right w:val="nil"/>
            </w:tcBorders>
            <w:shd w:val="clear" w:color="auto" w:fill="auto"/>
            <w:vAlign w:val="center"/>
            <w:hideMark/>
          </w:tcPr>
          <w:p w:rsidR="005449D2" w:rsidRPr="009A29FD" w:rsidRDefault="005449D2" w:rsidP="003F0F8A">
            <w:pPr>
              <w:spacing w:after="0" w:line="240" w:lineRule="auto"/>
              <w:jc w:val="right"/>
              <w:rPr>
                <w:rFonts w:ascii="Arial" w:hAnsi="Arial" w:cs="Arial"/>
                <w:sz w:val="16"/>
                <w:szCs w:val="16"/>
              </w:rPr>
            </w:pPr>
            <w:r w:rsidRPr="009A29FD">
              <w:rPr>
                <w:rFonts w:ascii="Arial" w:hAnsi="Arial" w:cs="Arial"/>
                <w:sz w:val="16"/>
                <w:szCs w:val="16"/>
              </w:rPr>
              <w:t>2020–21</w:t>
            </w:r>
            <w:r w:rsidRPr="009A29FD">
              <w:rPr>
                <w:rFonts w:ascii="Arial" w:hAnsi="Arial" w:cs="Arial"/>
                <w:sz w:val="16"/>
                <w:szCs w:val="16"/>
              </w:rPr>
              <w:br/>
              <w:t>Forward estimate</w:t>
            </w:r>
            <w:r w:rsidRPr="009A29FD">
              <w:rPr>
                <w:rFonts w:ascii="Arial" w:hAnsi="Arial" w:cs="Arial"/>
                <w:sz w:val="16"/>
                <w:szCs w:val="16"/>
              </w:rPr>
              <w:br/>
              <w:t>$</w:t>
            </w:r>
            <w:r>
              <w:rPr>
                <w:rFonts w:ascii="Arial" w:hAnsi="Arial" w:cs="Arial"/>
                <w:sz w:val="16"/>
                <w:szCs w:val="16"/>
              </w:rPr>
              <w:t>’</w:t>
            </w:r>
            <w:r w:rsidRPr="009A29FD">
              <w:rPr>
                <w:rFonts w:ascii="Arial" w:hAnsi="Arial" w:cs="Arial"/>
                <w:sz w:val="16"/>
                <w:szCs w:val="16"/>
              </w:rPr>
              <w:t>000</w:t>
            </w:r>
          </w:p>
        </w:tc>
      </w:tr>
      <w:tr w:rsidR="005449D2" w:rsidRPr="009A29FD" w:rsidTr="003F0F8A">
        <w:trPr>
          <w:trHeight w:val="225"/>
        </w:trPr>
        <w:tc>
          <w:tcPr>
            <w:tcW w:w="350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EXPENSES</w:t>
            </w:r>
          </w:p>
        </w:tc>
        <w:tc>
          <w:tcPr>
            <w:tcW w:w="88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rPr>
                <w:rFonts w:ascii="Arial" w:hAnsi="Arial" w:cs="Arial"/>
                <w:color w:val="000000"/>
                <w:sz w:val="16"/>
                <w:szCs w:val="16"/>
              </w:rPr>
            </w:pPr>
            <w:r w:rsidRPr="009A29FD">
              <w:rPr>
                <w:rFonts w:ascii="Arial" w:hAnsi="Arial" w:cs="Arial"/>
                <w:color w:val="000000"/>
                <w:sz w:val="16"/>
                <w:szCs w:val="16"/>
              </w:rPr>
              <w:t>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r>
      <w:tr w:rsidR="005449D2" w:rsidRPr="009A29FD" w:rsidTr="003F0F8A">
        <w:trPr>
          <w:trHeight w:val="225"/>
        </w:trPr>
        <w:tc>
          <w:tcPr>
            <w:tcW w:w="350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ind w:firstLineChars="100" w:firstLine="160"/>
              <w:rPr>
                <w:rFonts w:ascii="Arial" w:hAnsi="Arial" w:cs="Arial"/>
                <w:color w:val="000000"/>
                <w:sz w:val="16"/>
                <w:szCs w:val="16"/>
              </w:rPr>
            </w:pPr>
            <w:r w:rsidRPr="009A29FD">
              <w:rPr>
                <w:rFonts w:ascii="Arial" w:hAnsi="Arial" w:cs="Arial"/>
                <w:color w:val="000000"/>
                <w:sz w:val="16"/>
                <w:szCs w:val="16"/>
              </w:rPr>
              <w:t>Suppliers</w:t>
            </w:r>
          </w:p>
        </w:tc>
        <w:tc>
          <w:tcPr>
            <w:tcW w:w="88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155 </w:t>
            </w:r>
          </w:p>
        </w:tc>
        <w:tc>
          <w:tcPr>
            <w:tcW w:w="82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155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155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155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155 </w:t>
            </w:r>
          </w:p>
        </w:tc>
      </w:tr>
      <w:tr w:rsidR="005449D2" w:rsidRPr="009A29FD" w:rsidTr="003F0F8A">
        <w:trPr>
          <w:trHeight w:val="408"/>
        </w:trPr>
        <w:tc>
          <w:tcPr>
            <w:tcW w:w="3500" w:type="dxa"/>
            <w:tcBorders>
              <w:top w:val="nil"/>
              <w:left w:val="nil"/>
              <w:bottom w:val="nil"/>
              <w:right w:val="nil"/>
            </w:tcBorders>
            <w:shd w:val="clear" w:color="auto" w:fill="auto"/>
            <w:vAlign w:val="center"/>
            <w:hideMark/>
          </w:tcPr>
          <w:p w:rsidR="005449D2" w:rsidRPr="009A29FD" w:rsidRDefault="005449D2" w:rsidP="003F0F8A">
            <w:pPr>
              <w:tabs>
                <w:tab w:val="left" w:pos="191"/>
              </w:tabs>
              <w:spacing w:after="0" w:line="240" w:lineRule="auto"/>
              <w:rPr>
                <w:rFonts w:ascii="Arial" w:hAnsi="Arial" w:cs="Arial"/>
                <w:b/>
                <w:bCs/>
                <w:color w:val="000000"/>
                <w:sz w:val="16"/>
                <w:szCs w:val="16"/>
              </w:rPr>
            </w:pPr>
            <w:r w:rsidRPr="009A29FD">
              <w:rPr>
                <w:rFonts w:ascii="Arial" w:hAnsi="Arial" w:cs="Arial"/>
                <w:b/>
                <w:bCs/>
                <w:color w:val="000000"/>
                <w:sz w:val="16"/>
                <w:szCs w:val="16"/>
              </w:rPr>
              <w:t>Total expenses administered on</w:t>
            </w:r>
            <w:r>
              <w:rPr>
                <w:rFonts w:ascii="Arial" w:hAnsi="Arial" w:cs="Arial"/>
                <w:b/>
                <w:bCs/>
                <w:color w:val="000000"/>
                <w:sz w:val="16"/>
                <w:szCs w:val="16"/>
              </w:rPr>
              <w:t xml:space="preserve"> </w:t>
            </w:r>
            <w:r w:rsidRPr="009A29FD">
              <w:rPr>
                <w:rFonts w:ascii="Arial" w:hAnsi="Arial" w:cs="Arial"/>
                <w:b/>
                <w:bCs/>
                <w:color w:val="000000"/>
                <w:sz w:val="16"/>
                <w:szCs w:val="16"/>
              </w:rPr>
              <w:t xml:space="preserve">behalf of </w:t>
            </w:r>
            <w:r>
              <w:rPr>
                <w:rFonts w:ascii="Arial" w:hAnsi="Arial" w:cs="Arial"/>
                <w:b/>
                <w:bCs/>
                <w:color w:val="000000"/>
                <w:sz w:val="16"/>
                <w:szCs w:val="16"/>
              </w:rPr>
              <w:tab/>
            </w:r>
            <w:r w:rsidRPr="009A29FD">
              <w:rPr>
                <w:rFonts w:ascii="Arial" w:hAnsi="Arial" w:cs="Arial"/>
                <w:b/>
                <w:bCs/>
                <w:color w:val="000000"/>
                <w:sz w:val="16"/>
                <w:szCs w:val="16"/>
              </w:rPr>
              <w:t>Government</w:t>
            </w:r>
          </w:p>
        </w:tc>
        <w:tc>
          <w:tcPr>
            <w:tcW w:w="882" w:type="dxa"/>
            <w:tcBorders>
              <w:top w:val="single" w:sz="4" w:space="0" w:color="auto"/>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single" w:sz="4" w:space="0" w:color="auto"/>
              <w:left w:val="nil"/>
              <w:bottom w:val="single" w:sz="4" w:space="0" w:color="auto"/>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single" w:sz="4" w:space="0" w:color="auto"/>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single" w:sz="4" w:space="0" w:color="auto"/>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single" w:sz="4" w:space="0" w:color="auto"/>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r>
      <w:tr w:rsidR="005449D2" w:rsidRPr="009A29FD" w:rsidTr="003F0F8A">
        <w:trPr>
          <w:trHeight w:val="225"/>
        </w:trPr>
        <w:tc>
          <w:tcPr>
            <w:tcW w:w="350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LESS:</w:t>
            </w:r>
          </w:p>
        </w:tc>
        <w:tc>
          <w:tcPr>
            <w:tcW w:w="88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rPr>
                <w:rFonts w:ascii="Arial" w:hAnsi="Arial" w:cs="Arial"/>
                <w:color w:val="000000"/>
                <w:sz w:val="16"/>
                <w:szCs w:val="16"/>
              </w:rPr>
            </w:pPr>
            <w:r w:rsidRPr="009A29FD">
              <w:rPr>
                <w:rFonts w:ascii="Arial" w:hAnsi="Arial" w:cs="Arial"/>
                <w:color w:val="000000"/>
                <w:sz w:val="16"/>
                <w:szCs w:val="16"/>
              </w:rPr>
              <w:t>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r>
      <w:tr w:rsidR="005449D2" w:rsidRPr="009A29FD" w:rsidTr="003F0F8A">
        <w:trPr>
          <w:trHeight w:val="225"/>
        </w:trPr>
        <w:tc>
          <w:tcPr>
            <w:tcW w:w="350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OWN-SOURCE INCOME</w:t>
            </w:r>
          </w:p>
        </w:tc>
        <w:tc>
          <w:tcPr>
            <w:tcW w:w="88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rPr>
                <w:rFonts w:ascii="Arial" w:hAnsi="Arial" w:cs="Arial"/>
                <w:color w:val="000000"/>
                <w:sz w:val="16"/>
                <w:szCs w:val="16"/>
              </w:rPr>
            </w:pPr>
            <w:r w:rsidRPr="009A29FD">
              <w:rPr>
                <w:rFonts w:ascii="Arial" w:hAnsi="Arial" w:cs="Arial"/>
                <w:color w:val="000000"/>
                <w:sz w:val="16"/>
                <w:szCs w:val="16"/>
              </w:rPr>
              <w:t>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r>
      <w:tr w:rsidR="005449D2" w:rsidRPr="009A29FD" w:rsidTr="003F0F8A">
        <w:trPr>
          <w:trHeight w:val="225"/>
        </w:trPr>
        <w:tc>
          <w:tcPr>
            <w:tcW w:w="350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Own-source revenue</w:t>
            </w:r>
          </w:p>
        </w:tc>
        <w:tc>
          <w:tcPr>
            <w:tcW w:w="88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rPr>
                <w:rFonts w:ascii="Arial" w:hAnsi="Arial" w:cs="Arial"/>
                <w:color w:val="000000"/>
                <w:sz w:val="16"/>
                <w:szCs w:val="16"/>
              </w:rPr>
            </w:pPr>
            <w:r w:rsidRPr="009A29FD">
              <w:rPr>
                <w:rFonts w:ascii="Arial" w:hAnsi="Arial" w:cs="Arial"/>
                <w:color w:val="000000"/>
                <w:sz w:val="16"/>
                <w:szCs w:val="16"/>
              </w:rPr>
              <w:t>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r>
      <w:tr w:rsidR="005449D2" w:rsidRPr="009A29FD" w:rsidTr="003F0F8A">
        <w:trPr>
          <w:trHeight w:val="225"/>
        </w:trPr>
        <w:tc>
          <w:tcPr>
            <w:tcW w:w="350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Non-taxation revenue</w:t>
            </w:r>
          </w:p>
        </w:tc>
        <w:tc>
          <w:tcPr>
            <w:tcW w:w="88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rPr>
                <w:rFonts w:ascii="Arial" w:hAnsi="Arial" w:cs="Arial"/>
                <w:color w:val="000000"/>
                <w:sz w:val="16"/>
                <w:szCs w:val="16"/>
              </w:rPr>
            </w:pPr>
            <w:r w:rsidRPr="009A29FD">
              <w:rPr>
                <w:rFonts w:ascii="Arial" w:hAnsi="Arial" w:cs="Arial"/>
                <w:color w:val="000000"/>
                <w:sz w:val="16"/>
                <w:szCs w:val="16"/>
              </w:rPr>
              <w:t>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r>
      <w:tr w:rsidR="005449D2" w:rsidRPr="009A29FD" w:rsidTr="003F0F8A">
        <w:trPr>
          <w:trHeight w:val="166"/>
        </w:trPr>
        <w:tc>
          <w:tcPr>
            <w:tcW w:w="350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ind w:firstLineChars="100" w:firstLine="160"/>
              <w:rPr>
                <w:rFonts w:ascii="Arial" w:hAnsi="Arial" w:cs="Arial"/>
                <w:color w:val="000000"/>
                <w:sz w:val="16"/>
                <w:szCs w:val="16"/>
              </w:rPr>
            </w:pPr>
            <w:r w:rsidRPr="009A29FD">
              <w:rPr>
                <w:rFonts w:ascii="Arial" w:hAnsi="Arial" w:cs="Arial"/>
                <w:color w:val="000000"/>
                <w:sz w:val="16"/>
                <w:szCs w:val="16"/>
              </w:rPr>
              <w:t>Other revenue</w:t>
            </w:r>
          </w:p>
        </w:tc>
        <w:tc>
          <w:tcPr>
            <w:tcW w:w="88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155 </w:t>
            </w:r>
          </w:p>
        </w:tc>
        <w:tc>
          <w:tcPr>
            <w:tcW w:w="82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155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155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155 </w:t>
            </w:r>
          </w:p>
        </w:tc>
        <w:tc>
          <w:tcPr>
            <w:tcW w:w="82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155 </w:t>
            </w:r>
          </w:p>
        </w:tc>
      </w:tr>
      <w:tr w:rsidR="005449D2" w:rsidRPr="009A29FD" w:rsidTr="003F0F8A">
        <w:trPr>
          <w:trHeight w:val="257"/>
        </w:trPr>
        <w:tc>
          <w:tcPr>
            <w:tcW w:w="350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i/>
                <w:iCs/>
                <w:color w:val="000000"/>
                <w:sz w:val="16"/>
                <w:szCs w:val="16"/>
              </w:rPr>
            </w:pPr>
            <w:r w:rsidRPr="009A29FD">
              <w:rPr>
                <w:rFonts w:ascii="Arial" w:hAnsi="Arial" w:cs="Arial"/>
                <w:b/>
                <w:bCs/>
                <w:i/>
                <w:iCs/>
                <w:color w:val="000000"/>
                <w:sz w:val="16"/>
                <w:szCs w:val="16"/>
              </w:rPr>
              <w:t>Total non-taxation revenue</w:t>
            </w:r>
          </w:p>
        </w:tc>
        <w:tc>
          <w:tcPr>
            <w:tcW w:w="882" w:type="dxa"/>
            <w:tcBorders>
              <w:top w:val="single" w:sz="4" w:space="0" w:color="auto"/>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155 </w:t>
            </w:r>
          </w:p>
        </w:tc>
        <w:tc>
          <w:tcPr>
            <w:tcW w:w="820" w:type="dxa"/>
            <w:tcBorders>
              <w:top w:val="single" w:sz="4" w:space="0" w:color="auto"/>
              <w:left w:val="nil"/>
              <w:bottom w:val="single" w:sz="4" w:space="0" w:color="auto"/>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155 </w:t>
            </w:r>
          </w:p>
        </w:tc>
        <w:tc>
          <w:tcPr>
            <w:tcW w:w="820" w:type="dxa"/>
            <w:tcBorders>
              <w:top w:val="single" w:sz="4" w:space="0" w:color="auto"/>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155 </w:t>
            </w:r>
          </w:p>
        </w:tc>
        <w:tc>
          <w:tcPr>
            <w:tcW w:w="820" w:type="dxa"/>
            <w:tcBorders>
              <w:top w:val="single" w:sz="4" w:space="0" w:color="auto"/>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155 </w:t>
            </w:r>
          </w:p>
        </w:tc>
        <w:tc>
          <w:tcPr>
            <w:tcW w:w="820" w:type="dxa"/>
            <w:tcBorders>
              <w:top w:val="single" w:sz="4" w:space="0" w:color="auto"/>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155 </w:t>
            </w:r>
          </w:p>
        </w:tc>
      </w:tr>
      <w:tr w:rsidR="005449D2" w:rsidRPr="009A29FD" w:rsidTr="003F0F8A">
        <w:trPr>
          <w:trHeight w:val="408"/>
        </w:trPr>
        <w:tc>
          <w:tcPr>
            <w:tcW w:w="3500" w:type="dxa"/>
            <w:tcBorders>
              <w:top w:val="nil"/>
              <w:left w:val="nil"/>
              <w:bottom w:val="nil"/>
              <w:right w:val="nil"/>
            </w:tcBorders>
            <w:shd w:val="clear" w:color="auto" w:fill="auto"/>
            <w:vAlign w:val="center"/>
            <w:hideMark/>
          </w:tcPr>
          <w:p w:rsidR="005449D2" w:rsidRPr="009A29FD" w:rsidRDefault="005449D2" w:rsidP="003F0F8A">
            <w:pPr>
              <w:tabs>
                <w:tab w:val="left" w:pos="223"/>
              </w:tabs>
              <w:spacing w:after="0" w:line="240" w:lineRule="auto"/>
              <w:rPr>
                <w:rFonts w:ascii="Arial" w:hAnsi="Arial" w:cs="Arial"/>
                <w:b/>
                <w:bCs/>
                <w:color w:val="000000"/>
                <w:sz w:val="16"/>
                <w:szCs w:val="16"/>
              </w:rPr>
            </w:pPr>
            <w:r w:rsidRPr="009A29FD">
              <w:rPr>
                <w:rFonts w:ascii="Arial" w:hAnsi="Arial" w:cs="Arial"/>
                <w:b/>
                <w:bCs/>
                <w:color w:val="000000"/>
                <w:sz w:val="16"/>
                <w:szCs w:val="16"/>
              </w:rPr>
              <w:t>Total own-source rev</w:t>
            </w:r>
            <w:r>
              <w:rPr>
                <w:rFonts w:ascii="Arial" w:hAnsi="Arial" w:cs="Arial"/>
                <w:b/>
                <w:bCs/>
                <w:color w:val="000000"/>
                <w:sz w:val="16"/>
                <w:szCs w:val="16"/>
              </w:rPr>
              <w:t xml:space="preserve">enue administered on </w:t>
            </w:r>
            <w:r>
              <w:rPr>
                <w:rFonts w:ascii="Arial" w:hAnsi="Arial" w:cs="Arial"/>
                <w:b/>
                <w:bCs/>
                <w:color w:val="000000"/>
                <w:sz w:val="16"/>
                <w:szCs w:val="16"/>
              </w:rPr>
              <w:tab/>
              <w:t xml:space="preserve">behalf of </w:t>
            </w:r>
            <w:r w:rsidRPr="009A29FD">
              <w:rPr>
                <w:rFonts w:ascii="Arial" w:hAnsi="Arial" w:cs="Arial"/>
                <w:b/>
                <w:bCs/>
                <w:color w:val="000000"/>
                <w:sz w:val="16"/>
                <w:szCs w:val="16"/>
              </w:rPr>
              <w:t>Government</w:t>
            </w:r>
          </w:p>
        </w:tc>
        <w:tc>
          <w:tcPr>
            <w:tcW w:w="882"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nil"/>
              <w:left w:val="nil"/>
              <w:bottom w:val="single" w:sz="4" w:space="0" w:color="auto"/>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r>
      <w:tr w:rsidR="005449D2" w:rsidRPr="009A29FD" w:rsidTr="003F0F8A">
        <w:trPr>
          <w:trHeight w:val="408"/>
        </w:trPr>
        <w:tc>
          <w:tcPr>
            <w:tcW w:w="3500" w:type="dxa"/>
            <w:tcBorders>
              <w:top w:val="nil"/>
              <w:left w:val="nil"/>
              <w:bottom w:val="nil"/>
              <w:right w:val="nil"/>
            </w:tcBorders>
            <w:shd w:val="clear" w:color="auto" w:fill="auto"/>
            <w:vAlign w:val="center"/>
            <w:hideMark/>
          </w:tcPr>
          <w:p w:rsidR="005449D2" w:rsidRPr="009A29FD" w:rsidRDefault="005449D2" w:rsidP="003F0F8A">
            <w:pPr>
              <w:tabs>
                <w:tab w:val="left" w:pos="191"/>
              </w:tabs>
              <w:spacing w:after="0" w:line="240" w:lineRule="auto"/>
              <w:rPr>
                <w:rFonts w:ascii="Arial" w:hAnsi="Arial" w:cs="Arial"/>
                <w:b/>
                <w:bCs/>
                <w:color w:val="000000"/>
                <w:sz w:val="16"/>
                <w:szCs w:val="16"/>
              </w:rPr>
            </w:pPr>
            <w:r w:rsidRPr="009A29FD">
              <w:rPr>
                <w:rFonts w:ascii="Arial" w:hAnsi="Arial" w:cs="Arial"/>
                <w:b/>
                <w:bCs/>
                <w:color w:val="000000"/>
                <w:sz w:val="16"/>
                <w:szCs w:val="16"/>
              </w:rPr>
              <w:t xml:space="preserve">Total own-sourced income administered on </w:t>
            </w:r>
            <w:r>
              <w:rPr>
                <w:rFonts w:ascii="Arial" w:hAnsi="Arial" w:cs="Arial"/>
                <w:b/>
                <w:bCs/>
                <w:color w:val="000000"/>
                <w:sz w:val="16"/>
                <w:szCs w:val="16"/>
              </w:rPr>
              <w:tab/>
              <w:t xml:space="preserve">behalf of </w:t>
            </w:r>
            <w:r w:rsidRPr="009A29FD">
              <w:rPr>
                <w:rFonts w:ascii="Arial" w:hAnsi="Arial" w:cs="Arial"/>
                <w:b/>
                <w:bCs/>
                <w:color w:val="000000"/>
                <w:sz w:val="16"/>
                <w:szCs w:val="16"/>
              </w:rPr>
              <w:t>Government</w:t>
            </w:r>
          </w:p>
        </w:tc>
        <w:tc>
          <w:tcPr>
            <w:tcW w:w="882"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nil"/>
              <w:left w:val="nil"/>
              <w:bottom w:val="single" w:sz="4" w:space="0" w:color="auto"/>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155 </w:t>
            </w:r>
          </w:p>
        </w:tc>
      </w:tr>
      <w:tr w:rsidR="005449D2" w:rsidRPr="009A29FD" w:rsidTr="003F0F8A">
        <w:trPr>
          <w:trHeight w:val="204"/>
        </w:trPr>
        <w:tc>
          <w:tcPr>
            <w:tcW w:w="3500" w:type="dxa"/>
            <w:tcBorders>
              <w:top w:val="nil"/>
              <w:left w:val="nil"/>
              <w:bottom w:val="nil"/>
              <w:right w:val="nil"/>
            </w:tcBorders>
            <w:shd w:val="clear" w:color="auto" w:fill="auto"/>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Net cost of/contribution by services</w:t>
            </w:r>
          </w:p>
        </w:tc>
        <w:tc>
          <w:tcPr>
            <w:tcW w:w="882"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 </w:t>
            </w:r>
          </w:p>
        </w:tc>
        <w:tc>
          <w:tcPr>
            <w:tcW w:w="820" w:type="dxa"/>
            <w:tcBorders>
              <w:top w:val="nil"/>
              <w:left w:val="nil"/>
              <w:bottom w:val="single" w:sz="4" w:space="0" w:color="auto"/>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 </w:t>
            </w:r>
          </w:p>
        </w:tc>
      </w:tr>
      <w:tr w:rsidR="005449D2" w:rsidRPr="009A29FD" w:rsidTr="003F0F8A">
        <w:trPr>
          <w:trHeight w:val="204"/>
        </w:trPr>
        <w:tc>
          <w:tcPr>
            <w:tcW w:w="3500" w:type="dxa"/>
            <w:tcBorders>
              <w:top w:val="nil"/>
              <w:left w:val="nil"/>
              <w:bottom w:val="single" w:sz="4" w:space="0" w:color="auto"/>
              <w:right w:val="nil"/>
            </w:tcBorders>
            <w:shd w:val="clear" w:color="auto" w:fill="auto"/>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Total comprehensive income/(loss)</w:t>
            </w:r>
          </w:p>
        </w:tc>
        <w:tc>
          <w:tcPr>
            <w:tcW w:w="882"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 </w:t>
            </w:r>
          </w:p>
        </w:tc>
        <w:tc>
          <w:tcPr>
            <w:tcW w:w="820" w:type="dxa"/>
            <w:tcBorders>
              <w:top w:val="nil"/>
              <w:left w:val="nil"/>
              <w:bottom w:val="single" w:sz="4" w:space="0" w:color="auto"/>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 </w:t>
            </w:r>
          </w:p>
        </w:tc>
        <w:tc>
          <w:tcPr>
            <w:tcW w:w="82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 </w:t>
            </w:r>
          </w:p>
        </w:tc>
      </w:tr>
    </w:tbl>
    <w:p w:rsidR="005449D2" w:rsidRDefault="005449D2" w:rsidP="005449D2">
      <w:pPr>
        <w:pStyle w:val="Source"/>
        <w:spacing w:before="120"/>
      </w:pPr>
      <w:r w:rsidRPr="00E4582E">
        <w:t>Prepared on Australian Accounting Standards basis</w:t>
      </w:r>
      <w:r>
        <w:t>.</w:t>
      </w:r>
    </w:p>
    <w:p w:rsidR="005449D2" w:rsidRDefault="005449D2" w:rsidP="005449D2">
      <w:pPr>
        <w:pStyle w:val="TableColumnHeadingBase"/>
        <w:spacing w:before="120"/>
      </w:pPr>
      <w:r>
        <w:br w:type="page"/>
      </w:r>
      <w:r w:rsidRPr="00BD210E">
        <w:t>Table</w:t>
      </w:r>
      <w:r>
        <w:t xml:space="preserve"> 3.</w:t>
      </w:r>
      <w:r w:rsidRPr="00BD210E">
        <w:t>8: Schedule of budgeted assets and liabilities administered on behalf of Government (as at 30 June)</w:t>
      </w:r>
    </w:p>
    <w:tbl>
      <w:tblPr>
        <w:tblW w:w="7655" w:type="dxa"/>
        <w:tblInd w:w="93" w:type="dxa"/>
        <w:tblCellMar>
          <w:left w:w="85" w:type="dxa"/>
          <w:right w:w="85" w:type="dxa"/>
        </w:tblCellMar>
        <w:tblLook w:val="04A0" w:firstRow="1" w:lastRow="0" w:firstColumn="1" w:lastColumn="0" w:noHBand="0" w:noVBand="1"/>
      </w:tblPr>
      <w:tblGrid>
        <w:gridCol w:w="3276"/>
        <w:gridCol w:w="992"/>
        <w:gridCol w:w="850"/>
        <w:gridCol w:w="851"/>
        <w:gridCol w:w="850"/>
        <w:gridCol w:w="836"/>
      </w:tblGrid>
      <w:tr w:rsidR="005449D2" w:rsidRPr="009A29FD" w:rsidTr="003F0F8A">
        <w:trPr>
          <w:trHeight w:val="823"/>
        </w:trPr>
        <w:tc>
          <w:tcPr>
            <w:tcW w:w="3276" w:type="dxa"/>
            <w:tcBorders>
              <w:top w:val="single" w:sz="4" w:space="0" w:color="auto"/>
              <w:left w:val="nil"/>
              <w:bottom w:val="nil"/>
              <w:right w:val="nil"/>
            </w:tcBorders>
            <w:shd w:val="clear" w:color="auto" w:fill="auto"/>
            <w:noWrap/>
            <w:hideMark/>
          </w:tcPr>
          <w:p w:rsidR="005449D2" w:rsidRPr="009A29FD" w:rsidRDefault="005449D2" w:rsidP="003F0F8A">
            <w:pPr>
              <w:spacing w:after="0" w:line="240" w:lineRule="auto"/>
              <w:rPr>
                <w:rFonts w:ascii="Arial" w:hAnsi="Arial" w:cs="Arial"/>
                <w:b/>
                <w:bCs/>
                <w:sz w:val="16"/>
                <w:szCs w:val="16"/>
              </w:rPr>
            </w:pPr>
            <w:r w:rsidRPr="009A29FD">
              <w:rPr>
                <w:rFonts w:ascii="Arial" w:hAnsi="Arial" w:cs="Arial"/>
                <w:b/>
                <w:bCs/>
                <w:sz w:val="16"/>
                <w:szCs w:val="16"/>
              </w:rPr>
              <w:t> </w:t>
            </w:r>
          </w:p>
        </w:tc>
        <w:tc>
          <w:tcPr>
            <w:tcW w:w="992" w:type="dxa"/>
            <w:tcBorders>
              <w:top w:val="single" w:sz="4" w:space="0" w:color="auto"/>
              <w:left w:val="nil"/>
              <w:bottom w:val="single" w:sz="4" w:space="0" w:color="auto"/>
              <w:right w:val="nil"/>
            </w:tcBorders>
            <w:shd w:val="clear" w:color="auto" w:fill="auto"/>
            <w:vAlign w:val="center"/>
            <w:hideMark/>
          </w:tcPr>
          <w:p w:rsidR="005449D2" w:rsidRPr="009A29FD" w:rsidRDefault="005449D2" w:rsidP="003F0F8A">
            <w:pPr>
              <w:spacing w:after="0" w:line="240" w:lineRule="auto"/>
              <w:jc w:val="right"/>
              <w:rPr>
                <w:rFonts w:ascii="Arial" w:hAnsi="Arial" w:cs="Arial"/>
                <w:sz w:val="16"/>
                <w:szCs w:val="16"/>
              </w:rPr>
            </w:pPr>
            <w:r w:rsidRPr="009A29FD">
              <w:rPr>
                <w:rFonts w:ascii="Arial" w:hAnsi="Arial" w:cs="Arial"/>
                <w:sz w:val="16"/>
                <w:szCs w:val="16"/>
              </w:rPr>
              <w:t>2016–17 Estimated actual</w:t>
            </w:r>
            <w:r w:rsidRPr="009A29FD">
              <w:rPr>
                <w:rFonts w:ascii="Arial" w:hAnsi="Arial" w:cs="Arial"/>
                <w:sz w:val="16"/>
                <w:szCs w:val="16"/>
              </w:rPr>
              <w:br/>
              <w:t>$</w:t>
            </w:r>
            <w:r>
              <w:rPr>
                <w:rFonts w:ascii="Arial" w:hAnsi="Arial" w:cs="Arial"/>
                <w:sz w:val="16"/>
                <w:szCs w:val="16"/>
              </w:rPr>
              <w:t>’</w:t>
            </w:r>
            <w:r w:rsidRPr="009A29FD">
              <w:rPr>
                <w:rFonts w:ascii="Arial" w:hAnsi="Arial" w:cs="Arial"/>
                <w:sz w:val="16"/>
                <w:szCs w:val="16"/>
              </w:rPr>
              <w:t>000</w:t>
            </w:r>
          </w:p>
        </w:tc>
        <w:tc>
          <w:tcPr>
            <w:tcW w:w="850" w:type="dxa"/>
            <w:tcBorders>
              <w:top w:val="single" w:sz="4" w:space="0" w:color="auto"/>
              <w:left w:val="nil"/>
              <w:bottom w:val="single" w:sz="4" w:space="0" w:color="auto"/>
              <w:right w:val="nil"/>
            </w:tcBorders>
            <w:shd w:val="clear" w:color="000000" w:fill="E6E6E6"/>
            <w:vAlign w:val="center"/>
            <w:hideMark/>
          </w:tcPr>
          <w:p w:rsidR="005449D2" w:rsidRPr="009A29FD" w:rsidRDefault="005449D2" w:rsidP="003F0F8A">
            <w:pPr>
              <w:spacing w:after="0" w:line="240" w:lineRule="auto"/>
              <w:jc w:val="right"/>
              <w:rPr>
                <w:rFonts w:ascii="Arial" w:hAnsi="Arial" w:cs="Arial"/>
                <w:sz w:val="16"/>
                <w:szCs w:val="16"/>
              </w:rPr>
            </w:pPr>
            <w:r w:rsidRPr="009A29FD">
              <w:rPr>
                <w:rFonts w:ascii="Arial" w:hAnsi="Arial" w:cs="Arial"/>
                <w:sz w:val="16"/>
                <w:szCs w:val="16"/>
              </w:rPr>
              <w:t>2017–18</w:t>
            </w:r>
            <w:r w:rsidRPr="009A29FD">
              <w:rPr>
                <w:rFonts w:ascii="Arial" w:hAnsi="Arial" w:cs="Arial"/>
                <w:sz w:val="16"/>
                <w:szCs w:val="16"/>
              </w:rPr>
              <w:br/>
              <w:t>Budget</w:t>
            </w:r>
            <w:r w:rsidRPr="009A29FD">
              <w:rPr>
                <w:rFonts w:ascii="Arial" w:hAnsi="Arial" w:cs="Arial"/>
                <w:sz w:val="16"/>
                <w:szCs w:val="16"/>
              </w:rPr>
              <w:br/>
            </w:r>
            <w:r w:rsidRPr="009A29FD">
              <w:rPr>
                <w:rFonts w:ascii="Arial" w:hAnsi="Arial" w:cs="Arial"/>
                <w:sz w:val="16"/>
                <w:szCs w:val="16"/>
              </w:rPr>
              <w:br/>
              <w:t>$</w:t>
            </w:r>
            <w:r>
              <w:rPr>
                <w:rFonts w:ascii="Arial" w:hAnsi="Arial" w:cs="Arial"/>
                <w:sz w:val="16"/>
                <w:szCs w:val="16"/>
              </w:rPr>
              <w:t>’</w:t>
            </w:r>
            <w:r w:rsidRPr="009A29FD">
              <w:rPr>
                <w:rFonts w:ascii="Arial" w:hAnsi="Arial" w:cs="Arial"/>
                <w:sz w:val="16"/>
                <w:szCs w:val="16"/>
              </w:rPr>
              <w:t>000</w:t>
            </w:r>
          </w:p>
        </w:tc>
        <w:tc>
          <w:tcPr>
            <w:tcW w:w="851" w:type="dxa"/>
            <w:tcBorders>
              <w:top w:val="single" w:sz="4" w:space="0" w:color="auto"/>
              <w:left w:val="nil"/>
              <w:bottom w:val="single" w:sz="4" w:space="0" w:color="auto"/>
              <w:right w:val="nil"/>
            </w:tcBorders>
            <w:shd w:val="clear" w:color="auto" w:fill="auto"/>
            <w:vAlign w:val="center"/>
            <w:hideMark/>
          </w:tcPr>
          <w:p w:rsidR="005449D2" w:rsidRPr="009A29FD" w:rsidRDefault="005449D2" w:rsidP="003F0F8A">
            <w:pPr>
              <w:spacing w:after="0" w:line="240" w:lineRule="auto"/>
              <w:jc w:val="right"/>
              <w:rPr>
                <w:rFonts w:ascii="Arial" w:hAnsi="Arial" w:cs="Arial"/>
                <w:sz w:val="16"/>
                <w:szCs w:val="16"/>
              </w:rPr>
            </w:pPr>
            <w:r w:rsidRPr="009A29FD">
              <w:rPr>
                <w:rFonts w:ascii="Arial" w:hAnsi="Arial" w:cs="Arial"/>
                <w:sz w:val="16"/>
                <w:szCs w:val="16"/>
              </w:rPr>
              <w:t>2018–19 Forward estimate</w:t>
            </w:r>
            <w:r w:rsidRPr="009A29FD">
              <w:rPr>
                <w:rFonts w:ascii="Arial" w:hAnsi="Arial" w:cs="Arial"/>
                <w:sz w:val="16"/>
                <w:szCs w:val="16"/>
              </w:rPr>
              <w:br/>
              <w:t>$</w:t>
            </w:r>
            <w:r>
              <w:rPr>
                <w:rFonts w:ascii="Arial" w:hAnsi="Arial" w:cs="Arial"/>
                <w:sz w:val="16"/>
                <w:szCs w:val="16"/>
              </w:rPr>
              <w:t>’</w:t>
            </w:r>
            <w:r w:rsidRPr="009A29FD">
              <w:rPr>
                <w:rFonts w:ascii="Arial" w:hAnsi="Arial" w:cs="Arial"/>
                <w:sz w:val="16"/>
                <w:szCs w:val="16"/>
              </w:rPr>
              <w:t>000</w:t>
            </w:r>
          </w:p>
        </w:tc>
        <w:tc>
          <w:tcPr>
            <w:tcW w:w="850" w:type="dxa"/>
            <w:tcBorders>
              <w:top w:val="single" w:sz="4" w:space="0" w:color="auto"/>
              <w:left w:val="nil"/>
              <w:bottom w:val="single" w:sz="4" w:space="0" w:color="auto"/>
              <w:right w:val="nil"/>
            </w:tcBorders>
            <w:shd w:val="clear" w:color="auto" w:fill="auto"/>
            <w:vAlign w:val="center"/>
            <w:hideMark/>
          </w:tcPr>
          <w:p w:rsidR="005449D2" w:rsidRPr="009A29FD" w:rsidRDefault="005449D2" w:rsidP="003F0F8A">
            <w:pPr>
              <w:spacing w:after="0" w:line="240" w:lineRule="auto"/>
              <w:jc w:val="right"/>
              <w:rPr>
                <w:rFonts w:ascii="Arial" w:hAnsi="Arial" w:cs="Arial"/>
                <w:sz w:val="16"/>
                <w:szCs w:val="16"/>
              </w:rPr>
            </w:pPr>
            <w:r w:rsidRPr="009A29FD">
              <w:rPr>
                <w:rFonts w:ascii="Arial" w:hAnsi="Arial" w:cs="Arial"/>
                <w:sz w:val="16"/>
                <w:szCs w:val="16"/>
              </w:rPr>
              <w:t>2019–20 Forward estimate</w:t>
            </w:r>
            <w:r w:rsidRPr="009A29FD">
              <w:rPr>
                <w:rFonts w:ascii="Arial" w:hAnsi="Arial" w:cs="Arial"/>
                <w:sz w:val="16"/>
                <w:szCs w:val="16"/>
              </w:rPr>
              <w:br/>
              <w:t>$</w:t>
            </w:r>
            <w:r>
              <w:rPr>
                <w:rFonts w:ascii="Arial" w:hAnsi="Arial" w:cs="Arial"/>
                <w:sz w:val="16"/>
                <w:szCs w:val="16"/>
              </w:rPr>
              <w:t>’</w:t>
            </w:r>
            <w:r w:rsidRPr="009A29FD">
              <w:rPr>
                <w:rFonts w:ascii="Arial" w:hAnsi="Arial" w:cs="Arial"/>
                <w:sz w:val="16"/>
                <w:szCs w:val="16"/>
              </w:rPr>
              <w:t>000</w:t>
            </w:r>
          </w:p>
        </w:tc>
        <w:tc>
          <w:tcPr>
            <w:tcW w:w="836" w:type="dxa"/>
            <w:tcBorders>
              <w:top w:val="single" w:sz="4" w:space="0" w:color="auto"/>
              <w:left w:val="nil"/>
              <w:bottom w:val="single" w:sz="4" w:space="0" w:color="auto"/>
              <w:right w:val="nil"/>
            </w:tcBorders>
            <w:shd w:val="clear" w:color="auto" w:fill="auto"/>
            <w:vAlign w:val="center"/>
            <w:hideMark/>
          </w:tcPr>
          <w:p w:rsidR="005449D2" w:rsidRPr="009A29FD" w:rsidRDefault="005449D2" w:rsidP="003F0F8A">
            <w:pPr>
              <w:spacing w:after="0" w:line="240" w:lineRule="auto"/>
              <w:jc w:val="right"/>
              <w:rPr>
                <w:rFonts w:ascii="Arial" w:hAnsi="Arial" w:cs="Arial"/>
                <w:sz w:val="16"/>
                <w:szCs w:val="16"/>
              </w:rPr>
            </w:pPr>
            <w:r w:rsidRPr="009A29FD">
              <w:rPr>
                <w:rFonts w:ascii="Arial" w:hAnsi="Arial" w:cs="Arial"/>
                <w:sz w:val="16"/>
                <w:szCs w:val="16"/>
              </w:rPr>
              <w:t>2020–21</w:t>
            </w:r>
            <w:r w:rsidRPr="009A29FD">
              <w:rPr>
                <w:rFonts w:ascii="Arial" w:hAnsi="Arial" w:cs="Arial"/>
                <w:sz w:val="16"/>
                <w:szCs w:val="16"/>
              </w:rPr>
              <w:br/>
              <w:t>Forward estimate</w:t>
            </w:r>
            <w:r w:rsidRPr="009A29FD">
              <w:rPr>
                <w:rFonts w:ascii="Arial" w:hAnsi="Arial" w:cs="Arial"/>
                <w:sz w:val="16"/>
                <w:szCs w:val="16"/>
              </w:rPr>
              <w:br/>
              <w:t>$</w:t>
            </w:r>
            <w:r>
              <w:rPr>
                <w:rFonts w:ascii="Arial" w:hAnsi="Arial" w:cs="Arial"/>
                <w:sz w:val="16"/>
                <w:szCs w:val="16"/>
              </w:rPr>
              <w:t>’</w:t>
            </w:r>
            <w:r w:rsidRPr="009A29FD">
              <w:rPr>
                <w:rFonts w:ascii="Arial" w:hAnsi="Arial" w:cs="Arial"/>
                <w:sz w:val="16"/>
                <w:szCs w:val="16"/>
              </w:rPr>
              <w:t>000</w:t>
            </w:r>
          </w:p>
        </w:tc>
      </w:tr>
      <w:tr w:rsidR="005449D2" w:rsidRPr="009A29FD" w:rsidTr="003F0F8A">
        <w:trPr>
          <w:trHeight w:val="206"/>
        </w:trPr>
        <w:tc>
          <w:tcPr>
            <w:tcW w:w="327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 xml:space="preserve">ASSETS </w:t>
            </w:r>
          </w:p>
        </w:tc>
        <w:tc>
          <w:tcPr>
            <w:tcW w:w="99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rPr>
                <w:rFonts w:ascii="Arial" w:hAnsi="Arial" w:cs="Arial"/>
                <w:color w:val="000000"/>
                <w:sz w:val="16"/>
                <w:szCs w:val="16"/>
              </w:rPr>
            </w:pPr>
            <w:r w:rsidRPr="009A29FD">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3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r>
      <w:tr w:rsidR="005449D2" w:rsidRPr="009A29FD" w:rsidTr="003F0F8A">
        <w:trPr>
          <w:trHeight w:val="206"/>
        </w:trPr>
        <w:tc>
          <w:tcPr>
            <w:tcW w:w="327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Financial assets</w:t>
            </w:r>
          </w:p>
        </w:tc>
        <w:tc>
          <w:tcPr>
            <w:tcW w:w="99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rPr>
                <w:rFonts w:ascii="Arial" w:hAnsi="Arial" w:cs="Arial"/>
                <w:color w:val="000000"/>
                <w:sz w:val="16"/>
                <w:szCs w:val="16"/>
              </w:rPr>
            </w:pPr>
            <w:r w:rsidRPr="009A29FD">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3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r>
      <w:tr w:rsidR="005449D2" w:rsidRPr="009A29FD" w:rsidTr="003F0F8A">
        <w:trPr>
          <w:trHeight w:val="206"/>
        </w:trPr>
        <w:tc>
          <w:tcPr>
            <w:tcW w:w="327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ind w:firstLineChars="100" w:firstLine="160"/>
              <w:rPr>
                <w:rFonts w:ascii="Arial" w:hAnsi="Arial" w:cs="Arial"/>
                <w:color w:val="000000"/>
                <w:sz w:val="16"/>
                <w:szCs w:val="16"/>
              </w:rPr>
            </w:pPr>
            <w:r w:rsidRPr="009A29FD">
              <w:rPr>
                <w:rFonts w:ascii="Arial" w:hAnsi="Arial" w:cs="Arial"/>
                <w:color w:val="000000"/>
                <w:sz w:val="16"/>
                <w:szCs w:val="16"/>
              </w:rPr>
              <w:t>Trade and other receivables</w:t>
            </w:r>
          </w:p>
        </w:tc>
        <w:tc>
          <w:tcPr>
            <w:tcW w:w="99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1,305 </w:t>
            </w:r>
          </w:p>
        </w:tc>
        <w:tc>
          <w:tcPr>
            <w:tcW w:w="85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1,305 </w:t>
            </w:r>
          </w:p>
        </w:tc>
        <w:tc>
          <w:tcPr>
            <w:tcW w:w="851"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1,305 </w:t>
            </w:r>
          </w:p>
        </w:tc>
        <w:tc>
          <w:tcPr>
            <w:tcW w:w="85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1,305 </w:t>
            </w:r>
          </w:p>
        </w:tc>
        <w:tc>
          <w:tcPr>
            <w:tcW w:w="83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1,305 </w:t>
            </w:r>
          </w:p>
        </w:tc>
      </w:tr>
      <w:tr w:rsidR="005449D2" w:rsidRPr="009A29FD" w:rsidTr="003F0F8A">
        <w:trPr>
          <w:trHeight w:val="206"/>
        </w:trPr>
        <w:tc>
          <w:tcPr>
            <w:tcW w:w="327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i/>
                <w:iCs/>
                <w:color w:val="000000"/>
                <w:sz w:val="16"/>
                <w:szCs w:val="16"/>
              </w:rPr>
            </w:pPr>
            <w:r w:rsidRPr="009A29FD">
              <w:rPr>
                <w:rFonts w:ascii="Arial" w:hAnsi="Arial" w:cs="Arial"/>
                <w:b/>
                <w:bCs/>
                <w:i/>
                <w:iCs/>
                <w:color w:val="000000"/>
                <w:sz w:val="16"/>
                <w:szCs w:val="16"/>
              </w:rPr>
              <w:t>Total financial assets</w:t>
            </w:r>
          </w:p>
        </w:tc>
        <w:tc>
          <w:tcPr>
            <w:tcW w:w="992" w:type="dxa"/>
            <w:tcBorders>
              <w:top w:val="single" w:sz="4" w:space="0" w:color="000000"/>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1,305 </w:t>
            </w:r>
          </w:p>
        </w:tc>
        <w:tc>
          <w:tcPr>
            <w:tcW w:w="850" w:type="dxa"/>
            <w:tcBorders>
              <w:top w:val="single" w:sz="4" w:space="0" w:color="000000"/>
              <w:left w:val="nil"/>
              <w:bottom w:val="single" w:sz="4" w:space="0" w:color="000000"/>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1,305 </w:t>
            </w:r>
          </w:p>
        </w:tc>
        <w:tc>
          <w:tcPr>
            <w:tcW w:w="851" w:type="dxa"/>
            <w:tcBorders>
              <w:top w:val="single" w:sz="4" w:space="0" w:color="000000"/>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1,305 </w:t>
            </w:r>
          </w:p>
        </w:tc>
        <w:tc>
          <w:tcPr>
            <w:tcW w:w="850" w:type="dxa"/>
            <w:tcBorders>
              <w:top w:val="single" w:sz="4" w:space="0" w:color="000000"/>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1,305 </w:t>
            </w:r>
          </w:p>
        </w:tc>
        <w:tc>
          <w:tcPr>
            <w:tcW w:w="836" w:type="dxa"/>
            <w:tcBorders>
              <w:top w:val="single" w:sz="4" w:space="0" w:color="000000"/>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1,305 </w:t>
            </w:r>
          </w:p>
        </w:tc>
      </w:tr>
      <w:tr w:rsidR="005449D2" w:rsidRPr="009A29FD" w:rsidTr="003F0F8A">
        <w:trPr>
          <w:trHeight w:val="412"/>
        </w:trPr>
        <w:tc>
          <w:tcPr>
            <w:tcW w:w="3276" w:type="dxa"/>
            <w:tcBorders>
              <w:top w:val="nil"/>
              <w:left w:val="nil"/>
              <w:bottom w:val="nil"/>
              <w:right w:val="nil"/>
            </w:tcBorders>
            <w:shd w:val="clear" w:color="auto" w:fill="auto"/>
            <w:vAlign w:val="center"/>
            <w:hideMark/>
          </w:tcPr>
          <w:p w:rsidR="005449D2" w:rsidRPr="009A29FD" w:rsidRDefault="005449D2" w:rsidP="003F0F8A">
            <w:pPr>
              <w:tabs>
                <w:tab w:val="left" w:pos="212"/>
              </w:tabs>
              <w:spacing w:after="0" w:line="240" w:lineRule="auto"/>
              <w:rPr>
                <w:rFonts w:ascii="Arial" w:hAnsi="Arial" w:cs="Arial"/>
                <w:b/>
                <w:bCs/>
                <w:color w:val="000000"/>
                <w:sz w:val="16"/>
                <w:szCs w:val="16"/>
              </w:rPr>
            </w:pPr>
            <w:r w:rsidRPr="009A29FD">
              <w:rPr>
                <w:rFonts w:ascii="Arial" w:hAnsi="Arial" w:cs="Arial"/>
                <w:b/>
                <w:bCs/>
                <w:color w:val="000000"/>
                <w:sz w:val="16"/>
                <w:szCs w:val="16"/>
              </w:rPr>
              <w:t>Total assets administered on</w:t>
            </w:r>
            <w:r>
              <w:rPr>
                <w:rFonts w:ascii="Arial" w:hAnsi="Arial" w:cs="Arial"/>
                <w:b/>
                <w:bCs/>
                <w:color w:val="000000"/>
                <w:sz w:val="16"/>
                <w:szCs w:val="16"/>
              </w:rPr>
              <w:t xml:space="preserve"> </w:t>
            </w:r>
            <w:r w:rsidRPr="009A29FD">
              <w:rPr>
                <w:rFonts w:ascii="Arial" w:hAnsi="Arial" w:cs="Arial"/>
                <w:b/>
                <w:bCs/>
                <w:color w:val="000000"/>
                <w:sz w:val="16"/>
                <w:szCs w:val="16"/>
              </w:rPr>
              <w:t xml:space="preserve">behalf of </w:t>
            </w:r>
            <w:r>
              <w:rPr>
                <w:rFonts w:ascii="Arial" w:hAnsi="Arial" w:cs="Arial"/>
                <w:b/>
                <w:bCs/>
                <w:color w:val="000000"/>
                <w:sz w:val="16"/>
                <w:szCs w:val="16"/>
              </w:rPr>
              <w:tab/>
            </w:r>
            <w:r w:rsidRPr="009A29FD">
              <w:rPr>
                <w:rFonts w:ascii="Arial" w:hAnsi="Arial" w:cs="Arial"/>
                <w:b/>
                <w:bCs/>
                <w:color w:val="000000"/>
                <w:sz w:val="16"/>
                <w:szCs w:val="16"/>
              </w:rPr>
              <w:t>Government</w:t>
            </w:r>
          </w:p>
        </w:tc>
        <w:tc>
          <w:tcPr>
            <w:tcW w:w="992"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1,305 </w:t>
            </w:r>
          </w:p>
        </w:tc>
        <w:tc>
          <w:tcPr>
            <w:tcW w:w="850" w:type="dxa"/>
            <w:tcBorders>
              <w:top w:val="nil"/>
              <w:left w:val="nil"/>
              <w:bottom w:val="single" w:sz="4" w:space="0" w:color="auto"/>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1,305 </w:t>
            </w:r>
          </w:p>
        </w:tc>
        <w:tc>
          <w:tcPr>
            <w:tcW w:w="851"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1,305 </w:t>
            </w:r>
          </w:p>
        </w:tc>
        <w:tc>
          <w:tcPr>
            <w:tcW w:w="850"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1,305 </w:t>
            </w:r>
          </w:p>
        </w:tc>
        <w:tc>
          <w:tcPr>
            <w:tcW w:w="836" w:type="dxa"/>
            <w:tcBorders>
              <w:top w:val="nil"/>
              <w:left w:val="nil"/>
              <w:bottom w:val="single" w:sz="4" w:space="0" w:color="auto"/>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1,305 </w:t>
            </w:r>
          </w:p>
        </w:tc>
      </w:tr>
      <w:tr w:rsidR="005449D2" w:rsidRPr="009A29FD" w:rsidTr="003F0F8A">
        <w:trPr>
          <w:trHeight w:val="206"/>
        </w:trPr>
        <w:tc>
          <w:tcPr>
            <w:tcW w:w="327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LIABILITIES</w:t>
            </w:r>
          </w:p>
        </w:tc>
        <w:tc>
          <w:tcPr>
            <w:tcW w:w="99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rPr>
                <w:rFonts w:ascii="Arial" w:hAnsi="Arial" w:cs="Arial"/>
                <w:color w:val="000000"/>
                <w:sz w:val="16"/>
                <w:szCs w:val="16"/>
              </w:rPr>
            </w:pPr>
            <w:r w:rsidRPr="009A29FD">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3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r>
      <w:tr w:rsidR="005449D2" w:rsidRPr="009A29FD" w:rsidTr="003F0F8A">
        <w:trPr>
          <w:trHeight w:val="206"/>
        </w:trPr>
        <w:tc>
          <w:tcPr>
            <w:tcW w:w="327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Provisions</w:t>
            </w:r>
          </w:p>
        </w:tc>
        <w:tc>
          <w:tcPr>
            <w:tcW w:w="99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rPr>
                <w:rFonts w:ascii="Arial" w:hAnsi="Arial" w:cs="Arial"/>
                <w:color w:val="000000"/>
                <w:sz w:val="16"/>
                <w:szCs w:val="16"/>
              </w:rPr>
            </w:pPr>
            <w:r w:rsidRPr="009A29FD">
              <w:rPr>
                <w:rFonts w:ascii="Arial" w:hAnsi="Arial" w:cs="Arial"/>
                <w:color w:val="000000"/>
                <w:sz w:val="16"/>
                <w:szCs w:val="16"/>
              </w:rPr>
              <w:t> </w:t>
            </w:r>
          </w:p>
        </w:tc>
        <w:tc>
          <w:tcPr>
            <w:tcW w:w="851"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5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c>
          <w:tcPr>
            <w:tcW w:w="83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color w:val="000000"/>
                <w:sz w:val="16"/>
                <w:szCs w:val="16"/>
              </w:rPr>
            </w:pPr>
          </w:p>
        </w:tc>
      </w:tr>
      <w:tr w:rsidR="005449D2" w:rsidRPr="009A29FD" w:rsidTr="003F0F8A">
        <w:trPr>
          <w:trHeight w:val="206"/>
        </w:trPr>
        <w:tc>
          <w:tcPr>
            <w:tcW w:w="327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ind w:firstLineChars="100" w:firstLine="160"/>
              <w:rPr>
                <w:rFonts w:ascii="Arial" w:hAnsi="Arial" w:cs="Arial"/>
                <w:color w:val="000000"/>
                <w:sz w:val="16"/>
                <w:szCs w:val="16"/>
              </w:rPr>
            </w:pPr>
            <w:r w:rsidRPr="009A29FD">
              <w:rPr>
                <w:rFonts w:ascii="Arial" w:hAnsi="Arial" w:cs="Arial"/>
                <w:color w:val="000000"/>
                <w:sz w:val="16"/>
                <w:szCs w:val="16"/>
              </w:rPr>
              <w:t>Other provisions</w:t>
            </w:r>
          </w:p>
        </w:tc>
        <w:tc>
          <w:tcPr>
            <w:tcW w:w="992"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621 </w:t>
            </w:r>
          </w:p>
        </w:tc>
        <w:tc>
          <w:tcPr>
            <w:tcW w:w="850" w:type="dxa"/>
            <w:tcBorders>
              <w:top w:val="nil"/>
              <w:left w:val="nil"/>
              <w:bottom w:val="nil"/>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621 </w:t>
            </w:r>
          </w:p>
        </w:tc>
        <w:tc>
          <w:tcPr>
            <w:tcW w:w="851"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621 </w:t>
            </w:r>
          </w:p>
        </w:tc>
        <w:tc>
          <w:tcPr>
            <w:tcW w:w="850"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621 </w:t>
            </w:r>
          </w:p>
        </w:tc>
        <w:tc>
          <w:tcPr>
            <w:tcW w:w="83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color w:val="000000"/>
                <w:sz w:val="16"/>
                <w:szCs w:val="16"/>
              </w:rPr>
            </w:pPr>
            <w:r w:rsidRPr="009A29FD">
              <w:rPr>
                <w:rFonts w:ascii="Arial" w:hAnsi="Arial" w:cs="Arial"/>
                <w:color w:val="000000"/>
                <w:sz w:val="16"/>
                <w:szCs w:val="16"/>
              </w:rPr>
              <w:t xml:space="preserve">621 </w:t>
            </w:r>
          </w:p>
        </w:tc>
      </w:tr>
      <w:tr w:rsidR="005449D2" w:rsidRPr="009A29FD" w:rsidTr="003F0F8A">
        <w:trPr>
          <w:trHeight w:val="206"/>
        </w:trPr>
        <w:tc>
          <w:tcPr>
            <w:tcW w:w="3276" w:type="dxa"/>
            <w:tcBorders>
              <w:top w:val="nil"/>
              <w:left w:val="nil"/>
              <w:bottom w:val="nil"/>
              <w:right w:val="nil"/>
            </w:tcBorders>
            <w:shd w:val="clear" w:color="auto" w:fill="auto"/>
            <w:noWrap/>
            <w:vAlign w:val="center"/>
            <w:hideMark/>
          </w:tcPr>
          <w:p w:rsidR="005449D2" w:rsidRPr="009A29FD" w:rsidRDefault="005449D2" w:rsidP="003F0F8A">
            <w:pPr>
              <w:spacing w:after="0" w:line="240" w:lineRule="auto"/>
              <w:rPr>
                <w:rFonts w:ascii="Arial" w:hAnsi="Arial" w:cs="Arial"/>
                <w:b/>
                <w:bCs/>
                <w:i/>
                <w:iCs/>
                <w:color w:val="000000"/>
                <w:sz w:val="16"/>
                <w:szCs w:val="16"/>
              </w:rPr>
            </w:pPr>
            <w:r w:rsidRPr="009A29FD">
              <w:rPr>
                <w:rFonts w:ascii="Arial" w:hAnsi="Arial" w:cs="Arial"/>
                <w:b/>
                <w:bCs/>
                <w:i/>
                <w:iCs/>
                <w:color w:val="000000"/>
                <w:sz w:val="16"/>
                <w:szCs w:val="16"/>
              </w:rPr>
              <w:t>Total provisions</w:t>
            </w:r>
          </w:p>
        </w:tc>
        <w:tc>
          <w:tcPr>
            <w:tcW w:w="992" w:type="dxa"/>
            <w:tcBorders>
              <w:top w:val="single" w:sz="4" w:space="0" w:color="000000"/>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621 </w:t>
            </w:r>
          </w:p>
        </w:tc>
        <w:tc>
          <w:tcPr>
            <w:tcW w:w="850" w:type="dxa"/>
            <w:tcBorders>
              <w:top w:val="single" w:sz="4" w:space="0" w:color="000000"/>
              <w:left w:val="nil"/>
              <w:bottom w:val="single" w:sz="4" w:space="0" w:color="000000"/>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621 </w:t>
            </w:r>
          </w:p>
        </w:tc>
        <w:tc>
          <w:tcPr>
            <w:tcW w:w="851" w:type="dxa"/>
            <w:tcBorders>
              <w:top w:val="single" w:sz="4" w:space="0" w:color="000000"/>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621 </w:t>
            </w:r>
          </w:p>
        </w:tc>
        <w:tc>
          <w:tcPr>
            <w:tcW w:w="850" w:type="dxa"/>
            <w:tcBorders>
              <w:top w:val="single" w:sz="4" w:space="0" w:color="000000"/>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621 </w:t>
            </w:r>
          </w:p>
        </w:tc>
        <w:tc>
          <w:tcPr>
            <w:tcW w:w="836" w:type="dxa"/>
            <w:tcBorders>
              <w:top w:val="single" w:sz="4" w:space="0" w:color="000000"/>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i/>
                <w:iCs/>
                <w:color w:val="000000"/>
                <w:sz w:val="16"/>
                <w:szCs w:val="16"/>
              </w:rPr>
            </w:pPr>
            <w:r w:rsidRPr="009A29FD">
              <w:rPr>
                <w:rFonts w:ascii="Arial" w:hAnsi="Arial" w:cs="Arial"/>
                <w:b/>
                <w:bCs/>
                <w:i/>
                <w:iCs/>
                <w:color w:val="000000"/>
                <w:sz w:val="16"/>
                <w:szCs w:val="16"/>
              </w:rPr>
              <w:t xml:space="preserve">621 </w:t>
            </w:r>
          </w:p>
        </w:tc>
      </w:tr>
      <w:tr w:rsidR="005449D2" w:rsidRPr="009A29FD" w:rsidTr="003F0F8A">
        <w:trPr>
          <w:trHeight w:val="412"/>
        </w:trPr>
        <w:tc>
          <w:tcPr>
            <w:tcW w:w="3276" w:type="dxa"/>
            <w:tcBorders>
              <w:top w:val="nil"/>
              <w:left w:val="nil"/>
              <w:bottom w:val="nil"/>
              <w:right w:val="nil"/>
            </w:tcBorders>
            <w:shd w:val="clear" w:color="auto" w:fill="auto"/>
            <w:vAlign w:val="center"/>
            <w:hideMark/>
          </w:tcPr>
          <w:p w:rsidR="005449D2" w:rsidRPr="009A29FD" w:rsidRDefault="005449D2" w:rsidP="003F0F8A">
            <w:pPr>
              <w:tabs>
                <w:tab w:val="left" w:pos="191"/>
              </w:tabs>
              <w:spacing w:after="0" w:line="240" w:lineRule="auto"/>
              <w:rPr>
                <w:rFonts w:ascii="Arial" w:hAnsi="Arial" w:cs="Arial"/>
                <w:b/>
                <w:bCs/>
                <w:color w:val="000000"/>
                <w:sz w:val="16"/>
                <w:szCs w:val="16"/>
              </w:rPr>
            </w:pPr>
            <w:r w:rsidRPr="009A29FD">
              <w:rPr>
                <w:rFonts w:ascii="Arial" w:hAnsi="Arial" w:cs="Arial"/>
                <w:b/>
                <w:bCs/>
                <w:color w:val="000000"/>
                <w:sz w:val="16"/>
                <w:szCs w:val="16"/>
              </w:rPr>
              <w:t>Tota</w:t>
            </w:r>
            <w:r>
              <w:rPr>
                <w:rFonts w:ascii="Arial" w:hAnsi="Arial" w:cs="Arial"/>
                <w:b/>
                <w:bCs/>
                <w:color w:val="000000"/>
                <w:sz w:val="16"/>
                <w:szCs w:val="16"/>
              </w:rPr>
              <w:t xml:space="preserve">l liabilities administered on </w:t>
            </w:r>
            <w:r w:rsidRPr="009A29FD">
              <w:rPr>
                <w:rFonts w:ascii="Arial" w:hAnsi="Arial" w:cs="Arial"/>
                <w:b/>
                <w:bCs/>
                <w:color w:val="000000"/>
                <w:sz w:val="16"/>
                <w:szCs w:val="16"/>
              </w:rPr>
              <w:t xml:space="preserve">behalf of </w:t>
            </w:r>
            <w:r>
              <w:rPr>
                <w:rFonts w:ascii="Arial" w:hAnsi="Arial" w:cs="Arial"/>
                <w:b/>
                <w:bCs/>
                <w:color w:val="000000"/>
                <w:sz w:val="16"/>
                <w:szCs w:val="16"/>
              </w:rPr>
              <w:tab/>
            </w:r>
            <w:r w:rsidRPr="009A29FD">
              <w:rPr>
                <w:rFonts w:ascii="Arial" w:hAnsi="Arial" w:cs="Arial"/>
                <w:b/>
                <w:bCs/>
                <w:color w:val="000000"/>
                <w:sz w:val="16"/>
                <w:szCs w:val="16"/>
              </w:rPr>
              <w:t>Government</w:t>
            </w:r>
          </w:p>
        </w:tc>
        <w:tc>
          <w:tcPr>
            <w:tcW w:w="992" w:type="dxa"/>
            <w:tcBorders>
              <w:top w:val="nil"/>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621 </w:t>
            </w:r>
          </w:p>
        </w:tc>
        <w:tc>
          <w:tcPr>
            <w:tcW w:w="850" w:type="dxa"/>
            <w:tcBorders>
              <w:top w:val="nil"/>
              <w:left w:val="nil"/>
              <w:bottom w:val="single" w:sz="4" w:space="0" w:color="000000"/>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621 </w:t>
            </w:r>
          </w:p>
        </w:tc>
        <w:tc>
          <w:tcPr>
            <w:tcW w:w="851" w:type="dxa"/>
            <w:tcBorders>
              <w:top w:val="nil"/>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621 </w:t>
            </w:r>
          </w:p>
        </w:tc>
        <w:tc>
          <w:tcPr>
            <w:tcW w:w="850" w:type="dxa"/>
            <w:tcBorders>
              <w:top w:val="nil"/>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621 </w:t>
            </w:r>
          </w:p>
        </w:tc>
        <w:tc>
          <w:tcPr>
            <w:tcW w:w="836" w:type="dxa"/>
            <w:tcBorders>
              <w:top w:val="nil"/>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621 </w:t>
            </w:r>
          </w:p>
        </w:tc>
      </w:tr>
      <w:tr w:rsidR="005449D2" w:rsidRPr="009A29FD" w:rsidTr="003F0F8A">
        <w:trPr>
          <w:trHeight w:val="206"/>
        </w:trPr>
        <w:tc>
          <w:tcPr>
            <w:tcW w:w="3276" w:type="dxa"/>
            <w:tcBorders>
              <w:top w:val="nil"/>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rPr>
                <w:rFonts w:ascii="Arial" w:hAnsi="Arial" w:cs="Arial"/>
                <w:b/>
                <w:bCs/>
                <w:color w:val="000000"/>
                <w:sz w:val="16"/>
                <w:szCs w:val="16"/>
              </w:rPr>
            </w:pPr>
            <w:r w:rsidRPr="009A29FD">
              <w:rPr>
                <w:rFonts w:ascii="Arial" w:hAnsi="Arial" w:cs="Arial"/>
                <w:b/>
                <w:bCs/>
                <w:color w:val="000000"/>
                <w:sz w:val="16"/>
                <w:szCs w:val="16"/>
              </w:rPr>
              <w:t>Net assets/(liabilities)</w:t>
            </w:r>
          </w:p>
        </w:tc>
        <w:tc>
          <w:tcPr>
            <w:tcW w:w="992" w:type="dxa"/>
            <w:tcBorders>
              <w:top w:val="nil"/>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684 </w:t>
            </w:r>
          </w:p>
        </w:tc>
        <w:tc>
          <w:tcPr>
            <w:tcW w:w="850" w:type="dxa"/>
            <w:tcBorders>
              <w:top w:val="nil"/>
              <w:left w:val="nil"/>
              <w:bottom w:val="single" w:sz="4" w:space="0" w:color="000000"/>
              <w:right w:val="nil"/>
            </w:tcBorders>
            <w:shd w:val="clear" w:color="000000" w:fill="E6E6E6"/>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684 </w:t>
            </w:r>
          </w:p>
        </w:tc>
        <w:tc>
          <w:tcPr>
            <w:tcW w:w="851" w:type="dxa"/>
            <w:tcBorders>
              <w:top w:val="nil"/>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684 </w:t>
            </w:r>
          </w:p>
        </w:tc>
        <w:tc>
          <w:tcPr>
            <w:tcW w:w="850" w:type="dxa"/>
            <w:tcBorders>
              <w:top w:val="nil"/>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684 </w:t>
            </w:r>
          </w:p>
        </w:tc>
        <w:tc>
          <w:tcPr>
            <w:tcW w:w="836" w:type="dxa"/>
            <w:tcBorders>
              <w:top w:val="nil"/>
              <w:left w:val="nil"/>
              <w:bottom w:val="single" w:sz="4" w:space="0" w:color="000000"/>
              <w:right w:val="nil"/>
            </w:tcBorders>
            <w:shd w:val="clear" w:color="auto" w:fill="auto"/>
            <w:noWrap/>
            <w:vAlign w:val="center"/>
            <w:hideMark/>
          </w:tcPr>
          <w:p w:rsidR="005449D2" w:rsidRPr="009A29FD" w:rsidRDefault="005449D2" w:rsidP="003F0F8A">
            <w:pPr>
              <w:spacing w:after="0" w:line="240" w:lineRule="auto"/>
              <w:jc w:val="right"/>
              <w:rPr>
                <w:rFonts w:ascii="Arial" w:hAnsi="Arial" w:cs="Arial"/>
                <w:b/>
                <w:bCs/>
                <w:color w:val="000000"/>
                <w:sz w:val="16"/>
                <w:szCs w:val="16"/>
              </w:rPr>
            </w:pPr>
            <w:r w:rsidRPr="009A29FD">
              <w:rPr>
                <w:rFonts w:ascii="Arial" w:hAnsi="Arial" w:cs="Arial"/>
                <w:b/>
                <w:bCs/>
                <w:color w:val="000000"/>
                <w:sz w:val="16"/>
                <w:szCs w:val="16"/>
              </w:rPr>
              <w:t xml:space="preserve">684 </w:t>
            </w:r>
          </w:p>
        </w:tc>
      </w:tr>
    </w:tbl>
    <w:p w:rsidR="005449D2" w:rsidRDefault="005449D2" w:rsidP="005449D2">
      <w:pPr>
        <w:pStyle w:val="Source"/>
        <w:spacing w:before="120" w:after="480"/>
      </w:pPr>
      <w:r w:rsidRPr="00E4582E">
        <w:t>Prepared on Australian Accounting Standards basis</w:t>
      </w:r>
      <w:r>
        <w:t>.</w:t>
      </w:r>
    </w:p>
    <w:p w:rsidR="005449D2" w:rsidRDefault="005449D2" w:rsidP="005449D2">
      <w:pPr>
        <w:pStyle w:val="TableHeading"/>
      </w:pPr>
      <w:r>
        <w:t xml:space="preserve">Table 3.9: </w:t>
      </w:r>
      <w:r w:rsidRPr="00C41D55">
        <w:t xml:space="preserve">Schedule of </w:t>
      </w:r>
      <w:r>
        <w:t xml:space="preserve">budgeted administered cash flows </w:t>
      </w:r>
      <w:r w:rsidRPr="00C41D55">
        <w:t>(for</w:t>
      </w:r>
      <w:r>
        <w:t> the </w:t>
      </w:r>
      <w:r w:rsidRPr="00C41D55">
        <w:t>period ended 30 June)</w:t>
      </w:r>
    </w:p>
    <w:tbl>
      <w:tblPr>
        <w:tblW w:w="7694" w:type="dxa"/>
        <w:tblInd w:w="93" w:type="dxa"/>
        <w:tblLook w:val="04A0" w:firstRow="1" w:lastRow="0" w:firstColumn="1" w:lastColumn="0" w:noHBand="0" w:noVBand="1"/>
      </w:tblPr>
      <w:tblGrid>
        <w:gridCol w:w="3262"/>
        <w:gridCol w:w="977"/>
        <w:gridCol w:w="863"/>
        <w:gridCol w:w="864"/>
        <w:gridCol w:w="864"/>
        <w:gridCol w:w="864"/>
      </w:tblGrid>
      <w:tr w:rsidR="005449D2" w:rsidRPr="0058209E" w:rsidTr="003F0F8A">
        <w:trPr>
          <w:trHeight w:val="830"/>
        </w:trPr>
        <w:tc>
          <w:tcPr>
            <w:tcW w:w="3262" w:type="dxa"/>
            <w:tcBorders>
              <w:top w:val="single" w:sz="4" w:space="0" w:color="auto"/>
              <w:left w:val="nil"/>
              <w:bottom w:val="nil"/>
              <w:right w:val="nil"/>
            </w:tcBorders>
            <w:shd w:val="clear" w:color="auto" w:fill="auto"/>
            <w:noWrap/>
            <w:hideMark/>
          </w:tcPr>
          <w:p w:rsidR="005449D2" w:rsidRPr="0058209E" w:rsidRDefault="005449D2" w:rsidP="003F0F8A">
            <w:pPr>
              <w:spacing w:after="0" w:line="240" w:lineRule="auto"/>
              <w:rPr>
                <w:rFonts w:ascii="Arial" w:hAnsi="Arial" w:cs="Arial"/>
                <w:b/>
                <w:bCs/>
                <w:sz w:val="16"/>
                <w:szCs w:val="16"/>
              </w:rPr>
            </w:pPr>
            <w:r w:rsidRPr="0058209E">
              <w:rPr>
                <w:rFonts w:ascii="Arial" w:hAnsi="Arial" w:cs="Arial"/>
                <w:b/>
                <w:bCs/>
                <w:sz w:val="16"/>
                <w:szCs w:val="16"/>
              </w:rPr>
              <w:t> </w:t>
            </w:r>
          </w:p>
        </w:tc>
        <w:tc>
          <w:tcPr>
            <w:tcW w:w="977" w:type="dxa"/>
            <w:tcBorders>
              <w:top w:val="single" w:sz="4" w:space="0" w:color="auto"/>
              <w:left w:val="nil"/>
              <w:bottom w:val="single" w:sz="4" w:space="0" w:color="auto"/>
              <w:right w:val="nil"/>
            </w:tcBorders>
            <w:shd w:val="clear" w:color="auto" w:fill="auto"/>
            <w:vAlign w:val="center"/>
            <w:hideMark/>
          </w:tcPr>
          <w:p w:rsidR="005449D2" w:rsidRPr="0058209E" w:rsidRDefault="005449D2" w:rsidP="003F0F8A">
            <w:pPr>
              <w:spacing w:after="0" w:line="240" w:lineRule="auto"/>
              <w:jc w:val="right"/>
              <w:rPr>
                <w:rFonts w:ascii="Arial" w:hAnsi="Arial" w:cs="Arial"/>
                <w:sz w:val="16"/>
                <w:szCs w:val="16"/>
              </w:rPr>
            </w:pPr>
            <w:r w:rsidRPr="0058209E">
              <w:rPr>
                <w:rFonts w:ascii="Arial" w:hAnsi="Arial" w:cs="Arial"/>
                <w:sz w:val="16"/>
                <w:szCs w:val="16"/>
              </w:rPr>
              <w:t>2016–17 Estimated actual</w:t>
            </w:r>
            <w:r w:rsidRPr="0058209E">
              <w:rPr>
                <w:rFonts w:ascii="Arial" w:hAnsi="Arial" w:cs="Arial"/>
                <w:sz w:val="16"/>
                <w:szCs w:val="16"/>
              </w:rPr>
              <w:br/>
              <w:t>$</w:t>
            </w:r>
            <w:r>
              <w:rPr>
                <w:rFonts w:ascii="Arial" w:hAnsi="Arial" w:cs="Arial"/>
                <w:sz w:val="16"/>
                <w:szCs w:val="16"/>
              </w:rPr>
              <w:t>’</w:t>
            </w:r>
            <w:r w:rsidRPr="0058209E">
              <w:rPr>
                <w:rFonts w:ascii="Arial" w:hAnsi="Arial" w:cs="Arial"/>
                <w:sz w:val="16"/>
                <w:szCs w:val="16"/>
              </w:rPr>
              <w:t>000</w:t>
            </w:r>
          </w:p>
        </w:tc>
        <w:tc>
          <w:tcPr>
            <w:tcW w:w="863" w:type="dxa"/>
            <w:tcBorders>
              <w:top w:val="single" w:sz="4" w:space="0" w:color="auto"/>
              <w:left w:val="nil"/>
              <w:bottom w:val="single" w:sz="4" w:space="0" w:color="auto"/>
              <w:right w:val="nil"/>
            </w:tcBorders>
            <w:shd w:val="clear" w:color="000000" w:fill="E6E6E6"/>
            <w:vAlign w:val="center"/>
            <w:hideMark/>
          </w:tcPr>
          <w:p w:rsidR="005449D2" w:rsidRPr="0058209E" w:rsidRDefault="005449D2" w:rsidP="003F0F8A">
            <w:pPr>
              <w:spacing w:after="0" w:line="240" w:lineRule="auto"/>
              <w:jc w:val="right"/>
              <w:rPr>
                <w:rFonts w:ascii="Arial" w:hAnsi="Arial" w:cs="Arial"/>
                <w:sz w:val="16"/>
                <w:szCs w:val="16"/>
              </w:rPr>
            </w:pPr>
            <w:r w:rsidRPr="0058209E">
              <w:rPr>
                <w:rFonts w:ascii="Arial" w:hAnsi="Arial" w:cs="Arial"/>
                <w:sz w:val="16"/>
                <w:szCs w:val="16"/>
              </w:rPr>
              <w:t>2017–18</w:t>
            </w:r>
            <w:r w:rsidRPr="0058209E">
              <w:rPr>
                <w:rFonts w:ascii="Arial" w:hAnsi="Arial" w:cs="Arial"/>
                <w:sz w:val="16"/>
                <w:szCs w:val="16"/>
              </w:rPr>
              <w:br/>
              <w:t>Budget</w:t>
            </w:r>
            <w:r w:rsidRPr="0058209E">
              <w:rPr>
                <w:rFonts w:ascii="Arial" w:hAnsi="Arial" w:cs="Arial"/>
                <w:sz w:val="16"/>
                <w:szCs w:val="16"/>
              </w:rPr>
              <w:br/>
            </w:r>
            <w:r w:rsidRPr="0058209E">
              <w:rPr>
                <w:rFonts w:ascii="Arial" w:hAnsi="Arial" w:cs="Arial"/>
                <w:sz w:val="16"/>
                <w:szCs w:val="16"/>
              </w:rPr>
              <w:br/>
              <w:t>$</w:t>
            </w:r>
            <w:r>
              <w:rPr>
                <w:rFonts w:ascii="Arial" w:hAnsi="Arial" w:cs="Arial"/>
                <w:sz w:val="16"/>
                <w:szCs w:val="16"/>
              </w:rPr>
              <w:t>’</w:t>
            </w:r>
            <w:r w:rsidRPr="0058209E">
              <w:rPr>
                <w:rFonts w:ascii="Arial" w:hAnsi="Arial" w:cs="Arial"/>
                <w:sz w:val="16"/>
                <w:szCs w:val="16"/>
              </w:rPr>
              <w:t>000</w:t>
            </w:r>
          </w:p>
        </w:tc>
        <w:tc>
          <w:tcPr>
            <w:tcW w:w="864" w:type="dxa"/>
            <w:tcBorders>
              <w:top w:val="single" w:sz="4" w:space="0" w:color="auto"/>
              <w:left w:val="nil"/>
              <w:bottom w:val="single" w:sz="4" w:space="0" w:color="auto"/>
              <w:right w:val="nil"/>
            </w:tcBorders>
            <w:shd w:val="clear" w:color="auto" w:fill="auto"/>
            <w:vAlign w:val="center"/>
            <w:hideMark/>
          </w:tcPr>
          <w:p w:rsidR="005449D2" w:rsidRPr="0058209E" w:rsidRDefault="005449D2" w:rsidP="003F0F8A">
            <w:pPr>
              <w:spacing w:after="0" w:line="240" w:lineRule="auto"/>
              <w:jc w:val="right"/>
              <w:rPr>
                <w:rFonts w:ascii="Arial" w:hAnsi="Arial" w:cs="Arial"/>
                <w:sz w:val="16"/>
                <w:szCs w:val="16"/>
              </w:rPr>
            </w:pPr>
            <w:r w:rsidRPr="0058209E">
              <w:rPr>
                <w:rFonts w:ascii="Arial" w:hAnsi="Arial" w:cs="Arial"/>
                <w:sz w:val="16"/>
                <w:szCs w:val="16"/>
              </w:rPr>
              <w:t>2018–19 Forward estimate</w:t>
            </w:r>
            <w:r w:rsidRPr="0058209E">
              <w:rPr>
                <w:rFonts w:ascii="Arial" w:hAnsi="Arial" w:cs="Arial"/>
                <w:sz w:val="16"/>
                <w:szCs w:val="16"/>
              </w:rPr>
              <w:br/>
              <w:t>$</w:t>
            </w:r>
            <w:r>
              <w:rPr>
                <w:rFonts w:ascii="Arial" w:hAnsi="Arial" w:cs="Arial"/>
                <w:sz w:val="16"/>
                <w:szCs w:val="16"/>
              </w:rPr>
              <w:t>’</w:t>
            </w:r>
            <w:r w:rsidRPr="0058209E">
              <w:rPr>
                <w:rFonts w:ascii="Arial" w:hAnsi="Arial" w:cs="Arial"/>
                <w:sz w:val="16"/>
                <w:szCs w:val="16"/>
              </w:rPr>
              <w:t>000</w:t>
            </w:r>
          </w:p>
        </w:tc>
        <w:tc>
          <w:tcPr>
            <w:tcW w:w="864" w:type="dxa"/>
            <w:tcBorders>
              <w:top w:val="single" w:sz="4" w:space="0" w:color="auto"/>
              <w:left w:val="nil"/>
              <w:bottom w:val="single" w:sz="4" w:space="0" w:color="auto"/>
              <w:right w:val="nil"/>
            </w:tcBorders>
            <w:shd w:val="clear" w:color="auto" w:fill="auto"/>
            <w:vAlign w:val="center"/>
            <w:hideMark/>
          </w:tcPr>
          <w:p w:rsidR="005449D2" w:rsidRPr="0058209E" w:rsidRDefault="005449D2" w:rsidP="003F0F8A">
            <w:pPr>
              <w:spacing w:after="0" w:line="240" w:lineRule="auto"/>
              <w:jc w:val="right"/>
              <w:rPr>
                <w:rFonts w:ascii="Arial" w:hAnsi="Arial" w:cs="Arial"/>
                <w:sz w:val="16"/>
                <w:szCs w:val="16"/>
              </w:rPr>
            </w:pPr>
            <w:r w:rsidRPr="0058209E">
              <w:rPr>
                <w:rFonts w:ascii="Arial" w:hAnsi="Arial" w:cs="Arial"/>
                <w:sz w:val="16"/>
                <w:szCs w:val="16"/>
              </w:rPr>
              <w:t>2019–20 Forward estimate</w:t>
            </w:r>
            <w:r w:rsidRPr="0058209E">
              <w:rPr>
                <w:rFonts w:ascii="Arial" w:hAnsi="Arial" w:cs="Arial"/>
                <w:sz w:val="16"/>
                <w:szCs w:val="16"/>
              </w:rPr>
              <w:br/>
              <w:t>$</w:t>
            </w:r>
            <w:r>
              <w:rPr>
                <w:rFonts w:ascii="Arial" w:hAnsi="Arial" w:cs="Arial"/>
                <w:sz w:val="16"/>
                <w:szCs w:val="16"/>
              </w:rPr>
              <w:t>’</w:t>
            </w:r>
            <w:r w:rsidRPr="0058209E">
              <w:rPr>
                <w:rFonts w:ascii="Arial" w:hAnsi="Arial" w:cs="Arial"/>
                <w:sz w:val="16"/>
                <w:szCs w:val="16"/>
              </w:rPr>
              <w:t>000</w:t>
            </w:r>
          </w:p>
        </w:tc>
        <w:tc>
          <w:tcPr>
            <w:tcW w:w="864" w:type="dxa"/>
            <w:tcBorders>
              <w:top w:val="single" w:sz="4" w:space="0" w:color="auto"/>
              <w:left w:val="nil"/>
              <w:bottom w:val="single" w:sz="4" w:space="0" w:color="auto"/>
              <w:right w:val="nil"/>
            </w:tcBorders>
            <w:shd w:val="clear" w:color="auto" w:fill="auto"/>
            <w:vAlign w:val="center"/>
            <w:hideMark/>
          </w:tcPr>
          <w:p w:rsidR="005449D2" w:rsidRPr="0058209E" w:rsidRDefault="005449D2" w:rsidP="003F0F8A">
            <w:pPr>
              <w:spacing w:after="0" w:line="240" w:lineRule="auto"/>
              <w:jc w:val="right"/>
              <w:rPr>
                <w:rFonts w:ascii="Arial" w:hAnsi="Arial" w:cs="Arial"/>
                <w:sz w:val="16"/>
                <w:szCs w:val="16"/>
              </w:rPr>
            </w:pPr>
            <w:r w:rsidRPr="0058209E">
              <w:rPr>
                <w:rFonts w:ascii="Arial" w:hAnsi="Arial" w:cs="Arial"/>
                <w:sz w:val="16"/>
                <w:szCs w:val="16"/>
              </w:rPr>
              <w:t>2020–21</w:t>
            </w:r>
            <w:r w:rsidRPr="0058209E">
              <w:rPr>
                <w:rFonts w:ascii="Arial" w:hAnsi="Arial" w:cs="Arial"/>
                <w:sz w:val="16"/>
                <w:szCs w:val="16"/>
              </w:rPr>
              <w:br/>
              <w:t>Forward estimate</w:t>
            </w:r>
            <w:r w:rsidRPr="0058209E">
              <w:rPr>
                <w:rFonts w:ascii="Arial" w:hAnsi="Arial" w:cs="Arial"/>
                <w:sz w:val="16"/>
                <w:szCs w:val="16"/>
              </w:rPr>
              <w:br/>
              <w:t>$</w:t>
            </w:r>
            <w:r>
              <w:rPr>
                <w:rFonts w:ascii="Arial" w:hAnsi="Arial" w:cs="Arial"/>
                <w:sz w:val="16"/>
                <w:szCs w:val="16"/>
              </w:rPr>
              <w:t>’</w:t>
            </w:r>
            <w:r w:rsidRPr="0058209E">
              <w:rPr>
                <w:rFonts w:ascii="Arial" w:hAnsi="Arial" w:cs="Arial"/>
                <w:sz w:val="16"/>
                <w:szCs w:val="16"/>
              </w:rPr>
              <w:t>000</w:t>
            </w:r>
          </w:p>
        </w:tc>
      </w:tr>
      <w:tr w:rsidR="005449D2" w:rsidRPr="0058209E" w:rsidTr="003F0F8A">
        <w:trPr>
          <w:trHeight w:val="207"/>
        </w:trPr>
        <w:tc>
          <w:tcPr>
            <w:tcW w:w="3262"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b/>
                <w:bCs/>
                <w:color w:val="000000"/>
                <w:sz w:val="16"/>
                <w:szCs w:val="16"/>
              </w:rPr>
            </w:pPr>
            <w:r w:rsidRPr="0058209E">
              <w:rPr>
                <w:rFonts w:ascii="Arial" w:hAnsi="Arial" w:cs="Arial"/>
                <w:b/>
                <w:bCs/>
                <w:color w:val="000000"/>
                <w:sz w:val="16"/>
                <w:szCs w:val="16"/>
              </w:rPr>
              <w:t>OPERATING ACTIVITIES</w:t>
            </w:r>
          </w:p>
        </w:tc>
        <w:tc>
          <w:tcPr>
            <w:tcW w:w="977"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c>
          <w:tcPr>
            <w:tcW w:w="863" w:type="dxa"/>
            <w:tcBorders>
              <w:top w:val="nil"/>
              <w:left w:val="nil"/>
              <w:bottom w:val="nil"/>
              <w:right w:val="nil"/>
            </w:tcBorders>
            <w:shd w:val="clear" w:color="000000" w:fill="E6E6E6"/>
            <w:noWrap/>
            <w:vAlign w:val="center"/>
            <w:hideMark/>
          </w:tcPr>
          <w:p w:rsidR="005449D2" w:rsidRPr="0058209E" w:rsidRDefault="005449D2" w:rsidP="003F0F8A">
            <w:pPr>
              <w:spacing w:after="0" w:line="240" w:lineRule="auto"/>
              <w:rPr>
                <w:rFonts w:ascii="Arial" w:hAnsi="Arial" w:cs="Arial"/>
                <w:color w:val="000000"/>
                <w:sz w:val="16"/>
                <w:szCs w:val="16"/>
              </w:rPr>
            </w:pPr>
            <w:r w:rsidRPr="0058209E">
              <w:rPr>
                <w:rFonts w:ascii="Arial" w:hAnsi="Arial" w:cs="Arial"/>
                <w:color w:val="000000"/>
                <w:sz w:val="16"/>
                <w:szCs w:val="16"/>
              </w:rPr>
              <w:t> </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r>
      <w:tr w:rsidR="005449D2" w:rsidRPr="0058209E" w:rsidTr="003F0F8A">
        <w:trPr>
          <w:trHeight w:val="207"/>
        </w:trPr>
        <w:tc>
          <w:tcPr>
            <w:tcW w:w="3262"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b/>
                <w:bCs/>
                <w:color w:val="000000"/>
                <w:sz w:val="16"/>
                <w:szCs w:val="16"/>
              </w:rPr>
            </w:pPr>
            <w:r w:rsidRPr="0058209E">
              <w:rPr>
                <w:rFonts w:ascii="Arial" w:hAnsi="Arial" w:cs="Arial"/>
                <w:b/>
                <w:bCs/>
                <w:color w:val="000000"/>
                <w:sz w:val="16"/>
                <w:szCs w:val="16"/>
              </w:rPr>
              <w:t>Cash received</w:t>
            </w:r>
          </w:p>
        </w:tc>
        <w:tc>
          <w:tcPr>
            <w:tcW w:w="977"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c>
          <w:tcPr>
            <w:tcW w:w="863" w:type="dxa"/>
            <w:tcBorders>
              <w:top w:val="nil"/>
              <w:left w:val="nil"/>
              <w:bottom w:val="nil"/>
              <w:right w:val="nil"/>
            </w:tcBorders>
            <w:shd w:val="clear" w:color="000000" w:fill="E6E6E6"/>
            <w:noWrap/>
            <w:vAlign w:val="center"/>
            <w:hideMark/>
          </w:tcPr>
          <w:p w:rsidR="005449D2" w:rsidRPr="0058209E" w:rsidRDefault="005449D2" w:rsidP="003F0F8A">
            <w:pPr>
              <w:spacing w:after="0" w:line="240" w:lineRule="auto"/>
              <w:rPr>
                <w:rFonts w:ascii="Arial" w:hAnsi="Arial" w:cs="Arial"/>
                <w:color w:val="000000"/>
                <w:sz w:val="16"/>
                <w:szCs w:val="16"/>
              </w:rPr>
            </w:pPr>
            <w:r w:rsidRPr="0058209E">
              <w:rPr>
                <w:rFonts w:ascii="Arial" w:hAnsi="Arial" w:cs="Arial"/>
                <w:color w:val="000000"/>
                <w:sz w:val="16"/>
                <w:szCs w:val="16"/>
              </w:rPr>
              <w:t> </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r>
      <w:tr w:rsidR="005449D2" w:rsidRPr="0058209E" w:rsidTr="003F0F8A">
        <w:trPr>
          <w:trHeight w:val="207"/>
        </w:trPr>
        <w:tc>
          <w:tcPr>
            <w:tcW w:w="3262"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ind w:firstLineChars="100" w:firstLine="160"/>
              <w:rPr>
                <w:rFonts w:ascii="Arial" w:hAnsi="Arial" w:cs="Arial"/>
                <w:color w:val="000000"/>
                <w:sz w:val="16"/>
                <w:szCs w:val="16"/>
              </w:rPr>
            </w:pPr>
            <w:r w:rsidRPr="0058209E">
              <w:rPr>
                <w:rFonts w:ascii="Arial" w:hAnsi="Arial" w:cs="Arial"/>
                <w:color w:val="000000"/>
                <w:sz w:val="16"/>
                <w:szCs w:val="16"/>
              </w:rPr>
              <w:t>Other</w:t>
            </w:r>
          </w:p>
        </w:tc>
        <w:tc>
          <w:tcPr>
            <w:tcW w:w="977"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153 </w:t>
            </w:r>
          </w:p>
        </w:tc>
        <w:tc>
          <w:tcPr>
            <w:tcW w:w="863" w:type="dxa"/>
            <w:tcBorders>
              <w:top w:val="nil"/>
              <w:left w:val="nil"/>
              <w:bottom w:val="nil"/>
              <w:right w:val="nil"/>
            </w:tcBorders>
            <w:shd w:val="clear" w:color="000000" w:fill="E6E6E6"/>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155 </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155 </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155 </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155 </w:t>
            </w:r>
          </w:p>
        </w:tc>
      </w:tr>
      <w:tr w:rsidR="005449D2" w:rsidRPr="0058209E" w:rsidTr="003F0F8A">
        <w:trPr>
          <w:trHeight w:val="207"/>
        </w:trPr>
        <w:tc>
          <w:tcPr>
            <w:tcW w:w="3262"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b/>
                <w:bCs/>
                <w:i/>
                <w:iCs/>
                <w:color w:val="000000"/>
                <w:sz w:val="16"/>
                <w:szCs w:val="16"/>
              </w:rPr>
            </w:pPr>
            <w:r w:rsidRPr="0058209E">
              <w:rPr>
                <w:rFonts w:ascii="Arial" w:hAnsi="Arial" w:cs="Arial"/>
                <w:b/>
                <w:bCs/>
                <w:i/>
                <w:iCs/>
                <w:color w:val="000000"/>
                <w:sz w:val="16"/>
                <w:szCs w:val="16"/>
              </w:rPr>
              <w:t>Total cash received</w:t>
            </w:r>
          </w:p>
        </w:tc>
        <w:tc>
          <w:tcPr>
            <w:tcW w:w="977" w:type="dxa"/>
            <w:tcBorders>
              <w:top w:val="single" w:sz="4" w:space="0" w:color="000000"/>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153 </w:t>
            </w:r>
          </w:p>
        </w:tc>
        <w:tc>
          <w:tcPr>
            <w:tcW w:w="863" w:type="dxa"/>
            <w:tcBorders>
              <w:top w:val="single" w:sz="4" w:space="0" w:color="000000"/>
              <w:left w:val="nil"/>
              <w:bottom w:val="single" w:sz="4" w:space="0" w:color="000000"/>
              <w:right w:val="nil"/>
            </w:tcBorders>
            <w:shd w:val="clear" w:color="000000" w:fill="E6E6E6"/>
            <w:noWrap/>
            <w:vAlign w:val="center"/>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155 </w:t>
            </w:r>
          </w:p>
        </w:tc>
        <w:tc>
          <w:tcPr>
            <w:tcW w:w="864" w:type="dxa"/>
            <w:tcBorders>
              <w:top w:val="single" w:sz="4" w:space="0" w:color="000000"/>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155 </w:t>
            </w:r>
          </w:p>
        </w:tc>
        <w:tc>
          <w:tcPr>
            <w:tcW w:w="864" w:type="dxa"/>
            <w:tcBorders>
              <w:top w:val="single" w:sz="4" w:space="0" w:color="000000"/>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155 </w:t>
            </w:r>
          </w:p>
        </w:tc>
        <w:tc>
          <w:tcPr>
            <w:tcW w:w="864" w:type="dxa"/>
            <w:tcBorders>
              <w:top w:val="single" w:sz="4" w:space="0" w:color="000000"/>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155 </w:t>
            </w:r>
          </w:p>
        </w:tc>
      </w:tr>
      <w:tr w:rsidR="005449D2" w:rsidRPr="0058209E" w:rsidTr="003F0F8A">
        <w:trPr>
          <w:trHeight w:val="207"/>
        </w:trPr>
        <w:tc>
          <w:tcPr>
            <w:tcW w:w="3262"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b/>
                <w:bCs/>
                <w:color w:val="000000"/>
                <w:sz w:val="16"/>
                <w:szCs w:val="16"/>
              </w:rPr>
            </w:pPr>
            <w:r w:rsidRPr="0058209E">
              <w:rPr>
                <w:rFonts w:ascii="Arial" w:hAnsi="Arial" w:cs="Arial"/>
                <w:b/>
                <w:bCs/>
                <w:color w:val="000000"/>
                <w:sz w:val="16"/>
                <w:szCs w:val="16"/>
              </w:rPr>
              <w:t>Cash used</w:t>
            </w:r>
          </w:p>
        </w:tc>
        <w:tc>
          <w:tcPr>
            <w:tcW w:w="977"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c>
          <w:tcPr>
            <w:tcW w:w="863" w:type="dxa"/>
            <w:tcBorders>
              <w:top w:val="nil"/>
              <w:left w:val="nil"/>
              <w:bottom w:val="nil"/>
              <w:right w:val="nil"/>
            </w:tcBorders>
            <w:shd w:val="clear" w:color="000000" w:fill="E6E6E6"/>
            <w:noWrap/>
            <w:vAlign w:val="center"/>
            <w:hideMark/>
          </w:tcPr>
          <w:p w:rsidR="005449D2" w:rsidRPr="0058209E" w:rsidRDefault="005449D2" w:rsidP="003F0F8A">
            <w:pPr>
              <w:spacing w:after="0" w:line="240" w:lineRule="auto"/>
              <w:rPr>
                <w:rFonts w:ascii="Arial" w:hAnsi="Arial" w:cs="Arial"/>
                <w:color w:val="000000"/>
                <w:sz w:val="16"/>
                <w:szCs w:val="16"/>
              </w:rPr>
            </w:pPr>
            <w:r w:rsidRPr="0058209E">
              <w:rPr>
                <w:rFonts w:ascii="Arial" w:hAnsi="Arial" w:cs="Arial"/>
                <w:color w:val="000000"/>
                <w:sz w:val="16"/>
                <w:szCs w:val="16"/>
              </w:rPr>
              <w:t> </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color w:val="000000"/>
                <w:sz w:val="16"/>
                <w:szCs w:val="16"/>
              </w:rPr>
            </w:pPr>
          </w:p>
        </w:tc>
      </w:tr>
      <w:tr w:rsidR="005449D2" w:rsidRPr="0058209E" w:rsidTr="003F0F8A">
        <w:trPr>
          <w:trHeight w:val="207"/>
        </w:trPr>
        <w:tc>
          <w:tcPr>
            <w:tcW w:w="3262"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ind w:firstLineChars="100" w:firstLine="160"/>
              <w:rPr>
                <w:rFonts w:ascii="Arial" w:hAnsi="Arial" w:cs="Arial"/>
                <w:color w:val="000000"/>
                <w:sz w:val="16"/>
                <w:szCs w:val="16"/>
              </w:rPr>
            </w:pPr>
            <w:r w:rsidRPr="0058209E">
              <w:rPr>
                <w:rFonts w:ascii="Arial" w:hAnsi="Arial" w:cs="Arial"/>
                <w:color w:val="000000"/>
                <w:sz w:val="16"/>
                <w:szCs w:val="16"/>
              </w:rPr>
              <w:t>Other</w:t>
            </w:r>
          </w:p>
        </w:tc>
        <w:tc>
          <w:tcPr>
            <w:tcW w:w="977"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156 </w:t>
            </w:r>
          </w:p>
        </w:tc>
        <w:tc>
          <w:tcPr>
            <w:tcW w:w="863" w:type="dxa"/>
            <w:tcBorders>
              <w:top w:val="nil"/>
              <w:left w:val="nil"/>
              <w:bottom w:val="nil"/>
              <w:right w:val="nil"/>
            </w:tcBorders>
            <w:shd w:val="clear" w:color="000000" w:fill="E6E6E6"/>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155 </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155 </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155 </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155 </w:t>
            </w:r>
          </w:p>
        </w:tc>
      </w:tr>
      <w:tr w:rsidR="005449D2" w:rsidRPr="0058209E" w:rsidTr="003F0F8A">
        <w:trPr>
          <w:trHeight w:val="207"/>
        </w:trPr>
        <w:tc>
          <w:tcPr>
            <w:tcW w:w="3262"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rPr>
                <w:rFonts w:ascii="Arial" w:hAnsi="Arial" w:cs="Arial"/>
                <w:b/>
                <w:bCs/>
                <w:i/>
                <w:iCs/>
                <w:color w:val="000000"/>
                <w:sz w:val="16"/>
                <w:szCs w:val="16"/>
              </w:rPr>
            </w:pPr>
            <w:r w:rsidRPr="0058209E">
              <w:rPr>
                <w:rFonts w:ascii="Arial" w:hAnsi="Arial" w:cs="Arial"/>
                <w:b/>
                <w:bCs/>
                <w:i/>
                <w:iCs/>
                <w:color w:val="000000"/>
                <w:sz w:val="16"/>
                <w:szCs w:val="16"/>
              </w:rPr>
              <w:t>Total cash used</w:t>
            </w:r>
          </w:p>
        </w:tc>
        <w:tc>
          <w:tcPr>
            <w:tcW w:w="977" w:type="dxa"/>
            <w:tcBorders>
              <w:top w:val="single" w:sz="4" w:space="0" w:color="000000"/>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156 </w:t>
            </w:r>
          </w:p>
        </w:tc>
        <w:tc>
          <w:tcPr>
            <w:tcW w:w="863" w:type="dxa"/>
            <w:tcBorders>
              <w:top w:val="single" w:sz="4" w:space="0" w:color="000000"/>
              <w:left w:val="nil"/>
              <w:bottom w:val="single" w:sz="4" w:space="0" w:color="000000"/>
              <w:right w:val="nil"/>
            </w:tcBorders>
            <w:shd w:val="clear" w:color="000000" w:fill="E6E6E6"/>
            <w:noWrap/>
            <w:vAlign w:val="center"/>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155 </w:t>
            </w:r>
          </w:p>
        </w:tc>
        <w:tc>
          <w:tcPr>
            <w:tcW w:w="864" w:type="dxa"/>
            <w:tcBorders>
              <w:top w:val="single" w:sz="4" w:space="0" w:color="000000"/>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155 </w:t>
            </w:r>
          </w:p>
        </w:tc>
        <w:tc>
          <w:tcPr>
            <w:tcW w:w="864" w:type="dxa"/>
            <w:tcBorders>
              <w:top w:val="single" w:sz="4" w:space="0" w:color="000000"/>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155 </w:t>
            </w:r>
          </w:p>
        </w:tc>
        <w:tc>
          <w:tcPr>
            <w:tcW w:w="864" w:type="dxa"/>
            <w:tcBorders>
              <w:top w:val="single" w:sz="4" w:space="0" w:color="000000"/>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155 </w:t>
            </w:r>
          </w:p>
        </w:tc>
      </w:tr>
      <w:tr w:rsidR="005449D2" w:rsidRPr="0058209E" w:rsidTr="003F0F8A">
        <w:trPr>
          <w:trHeight w:val="297"/>
        </w:trPr>
        <w:tc>
          <w:tcPr>
            <w:tcW w:w="3262" w:type="dxa"/>
            <w:tcBorders>
              <w:top w:val="nil"/>
              <w:left w:val="nil"/>
              <w:bottom w:val="nil"/>
              <w:right w:val="nil"/>
            </w:tcBorders>
            <w:shd w:val="clear" w:color="auto" w:fill="auto"/>
            <w:vAlign w:val="center"/>
            <w:hideMark/>
          </w:tcPr>
          <w:p w:rsidR="005449D2" w:rsidRPr="0058209E" w:rsidRDefault="005449D2" w:rsidP="003F0F8A">
            <w:pPr>
              <w:tabs>
                <w:tab w:val="left" w:pos="190"/>
              </w:tabs>
              <w:spacing w:after="0" w:line="240" w:lineRule="auto"/>
              <w:rPr>
                <w:rFonts w:ascii="Arial" w:hAnsi="Arial" w:cs="Arial"/>
                <w:b/>
                <w:bCs/>
                <w:color w:val="000000"/>
                <w:sz w:val="16"/>
                <w:szCs w:val="16"/>
              </w:rPr>
            </w:pPr>
            <w:r w:rsidRPr="0058209E">
              <w:rPr>
                <w:rFonts w:ascii="Arial" w:hAnsi="Arial" w:cs="Arial"/>
                <w:b/>
                <w:bCs/>
                <w:color w:val="000000"/>
                <w:sz w:val="16"/>
                <w:szCs w:val="16"/>
              </w:rPr>
              <w:t>Net cash from/(used by)</w:t>
            </w:r>
            <w:r>
              <w:rPr>
                <w:rFonts w:ascii="Arial" w:hAnsi="Arial" w:cs="Arial"/>
                <w:b/>
                <w:bCs/>
                <w:color w:val="000000"/>
                <w:sz w:val="16"/>
                <w:szCs w:val="16"/>
              </w:rPr>
              <w:t xml:space="preserve"> </w:t>
            </w:r>
            <w:r w:rsidRPr="0058209E">
              <w:rPr>
                <w:rFonts w:ascii="Arial" w:hAnsi="Arial" w:cs="Arial"/>
                <w:b/>
                <w:bCs/>
                <w:color w:val="000000"/>
                <w:sz w:val="16"/>
                <w:szCs w:val="16"/>
              </w:rPr>
              <w:t xml:space="preserve">operating </w:t>
            </w:r>
            <w:r>
              <w:rPr>
                <w:rFonts w:ascii="Arial" w:hAnsi="Arial" w:cs="Arial"/>
                <w:b/>
                <w:bCs/>
                <w:color w:val="000000"/>
                <w:sz w:val="16"/>
                <w:szCs w:val="16"/>
              </w:rPr>
              <w:tab/>
            </w:r>
            <w:r w:rsidRPr="0058209E">
              <w:rPr>
                <w:rFonts w:ascii="Arial" w:hAnsi="Arial" w:cs="Arial"/>
                <w:b/>
                <w:bCs/>
                <w:color w:val="000000"/>
                <w:sz w:val="16"/>
                <w:szCs w:val="16"/>
              </w:rPr>
              <w:t>activities</w:t>
            </w:r>
          </w:p>
        </w:tc>
        <w:tc>
          <w:tcPr>
            <w:tcW w:w="977" w:type="dxa"/>
            <w:tcBorders>
              <w:top w:val="nil"/>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color w:val="000000"/>
                <w:sz w:val="16"/>
                <w:szCs w:val="16"/>
              </w:rPr>
            </w:pPr>
            <w:r w:rsidRPr="0058209E">
              <w:rPr>
                <w:rFonts w:ascii="Arial" w:hAnsi="Arial" w:cs="Arial"/>
                <w:b/>
                <w:bCs/>
                <w:color w:val="000000"/>
                <w:sz w:val="16"/>
                <w:szCs w:val="16"/>
              </w:rPr>
              <w:t>(3)</w:t>
            </w:r>
          </w:p>
        </w:tc>
        <w:tc>
          <w:tcPr>
            <w:tcW w:w="863" w:type="dxa"/>
            <w:tcBorders>
              <w:top w:val="nil"/>
              <w:left w:val="nil"/>
              <w:bottom w:val="single" w:sz="4" w:space="0" w:color="000000"/>
              <w:right w:val="nil"/>
            </w:tcBorders>
            <w:shd w:val="clear" w:color="000000" w:fill="E6E6E6"/>
            <w:noWrap/>
            <w:vAlign w:val="center"/>
            <w:hideMark/>
          </w:tcPr>
          <w:p w:rsidR="005449D2" w:rsidRPr="0058209E" w:rsidRDefault="005449D2" w:rsidP="003F0F8A">
            <w:pPr>
              <w:spacing w:after="0" w:line="240" w:lineRule="auto"/>
              <w:jc w:val="right"/>
              <w:rPr>
                <w:rFonts w:ascii="Arial" w:hAnsi="Arial" w:cs="Arial"/>
                <w:b/>
                <w:bCs/>
                <w:color w:val="000000"/>
                <w:sz w:val="16"/>
                <w:szCs w:val="16"/>
              </w:rPr>
            </w:pPr>
            <w:r w:rsidRPr="0058209E">
              <w:rPr>
                <w:rFonts w:ascii="Arial" w:hAnsi="Arial" w:cs="Arial"/>
                <w:b/>
                <w:bCs/>
                <w:color w:val="000000"/>
                <w:sz w:val="16"/>
                <w:szCs w:val="16"/>
              </w:rPr>
              <w:t xml:space="preserve">- </w:t>
            </w:r>
          </w:p>
        </w:tc>
        <w:tc>
          <w:tcPr>
            <w:tcW w:w="864" w:type="dxa"/>
            <w:tcBorders>
              <w:top w:val="nil"/>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color w:val="000000"/>
                <w:sz w:val="16"/>
                <w:szCs w:val="16"/>
              </w:rPr>
            </w:pPr>
            <w:r w:rsidRPr="0058209E">
              <w:rPr>
                <w:rFonts w:ascii="Arial" w:hAnsi="Arial" w:cs="Arial"/>
                <w:b/>
                <w:bCs/>
                <w:color w:val="000000"/>
                <w:sz w:val="16"/>
                <w:szCs w:val="16"/>
              </w:rPr>
              <w:t xml:space="preserve">- </w:t>
            </w:r>
          </w:p>
        </w:tc>
        <w:tc>
          <w:tcPr>
            <w:tcW w:w="864" w:type="dxa"/>
            <w:tcBorders>
              <w:top w:val="nil"/>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color w:val="000000"/>
                <w:sz w:val="16"/>
                <w:szCs w:val="16"/>
              </w:rPr>
            </w:pPr>
            <w:r w:rsidRPr="0058209E">
              <w:rPr>
                <w:rFonts w:ascii="Arial" w:hAnsi="Arial" w:cs="Arial"/>
                <w:b/>
                <w:bCs/>
                <w:color w:val="000000"/>
                <w:sz w:val="16"/>
                <w:szCs w:val="16"/>
              </w:rPr>
              <w:t xml:space="preserve">- </w:t>
            </w:r>
          </w:p>
        </w:tc>
        <w:tc>
          <w:tcPr>
            <w:tcW w:w="864" w:type="dxa"/>
            <w:tcBorders>
              <w:top w:val="nil"/>
              <w:left w:val="nil"/>
              <w:bottom w:val="single" w:sz="4" w:space="0" w:color="000000"/>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b/>
                <w:bCs/>
                <w:color w:val="000000"/>
                <w:sz w:val="16"/>
                <w:szCs w:val="16"/>
              </w:rPr>
            </w:pPr>
            <w:r w:rsidRPr="0058209E">
              <w:rPr>
                <w:rFonts w:ascii="Arial" w:hAnsi="Arial" w:cs="Arial"/>
                <w:b/>
                <w:bCs/>
                <w:color w:val="000000"/>
                <w:sz w:val="16"/>
                <w:szCs w:val="16"/>
              </w:rPr>
              <w:t xml:space="preserve">- </w:t>
            </w:r>
          </w:p>
        </w:tc>
      </w:tr>
      <w:tr w:rsidR="005449D2" w:rsidRPr="0058209E" w:rsidTr="003F0F8A">
        <w:trPr>
          <w:trHeight w:val="207"/>
        </w:trPr>
        <w:tc>
          <w:tcPr>
            <w:tcW w:w="3262" w:type="dxa"/>
            <w:tcBorders>
              <w:top w:val="nil"/>
              <w:left w:val="nil"/>
              <w:bottom w:val="nil"/>
              <w:right w:val="nil"/>
            </w:tcBorders>
            <w:shd w:val="clear" w:color="auto" w:fill="auto"/>
            <w:vAlign w:val="center"/>
            <w:hideMark/>
          </w:tcPr>
          <w:p w:rsidR="005449D2" w:rsidRPr="0058209E" w:rsidRDefault="005449D2" w:rsidP="003F0F8A">
            <w:pPr>
              <w:spacing w:after="0" w:line="240" w:lineRule="auto"/>
              <w:rPr>
                <w:rFonts w:ascii="Arial" w:hAnsi="Arial" w:cs="Arial"/>
                <w:b/>
                <w:bCs/>
                <w:i/>
                <w:iCs/>
                <w:color w:val="000000"/>
                <w:sz w:val="16"/>
                <w:szCs w:val="16"/>
              </w:rPr>
            </w:pPr>
            <w:r w:rsidRPr="0058209E">
              <w:rPr>
                <w:rFonts w:ascii="Arial" w:hAnsi="Arial" w:cs="Arial"/>
                <w:b/>
                <w:bCs/>
                <w:i/>
                <w:iCs/>
                <w:color w:val="000000"/>
                <w:sz w:val="16"/>
                <w:szCs w:val="16"/>
              </w:rPr>
              <w:t>Net increase/(decrease) in cash held</w:t>
            </w:r>
          </w:p>
        </w:tc>
        <w:tc>
          <w:tcPr>
            <w:tcW w:w="977" w:type="dxa"/>
            <w:tcBorders>
              <w:top w:val="nil"/>
              <w:left w:val="nil"/>
              <w:bottom w:val="single" w:sz="4" w:space="0" w:color="auto"/>
              <w:right w:val="nil"/>
            </w:tcBorders>
            <w:shd w:val="clear" w:color="auto" w:fill="auto"/>
            <w:noWrap/>
            <w:vAlign w:val="bottom"/>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(3)</w:t>
            </w:r>
          </w:p>
        </w:tc>
        <w:tc>
          <w:tcPr>
            <w:tcW w:w="863" w:type="dxa"/>
            <w:tcBorders>
              <w:top w:val="nil"/>
              <w:left w:val="nil"/>
              <w:bottom w:val="single" w:sz="4" w:space="0" w:color="auto"/>
              <w:right w:val="nil"/>
            </w:tcBorders>
            <w:shd w:val="clear" w:color="000000" w:fill="E6E6E6"/>
            <w:noWrap/>
            <w:vAlign w:val="bottom"/>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 </w:t>
            </w:r>
          </w:p>
        </w:tc>
        <w:tc>
          <w:tcPr>
            <w:tcW w:w="864" w:type="dxa"/>
            <w:tcBorders>
              <w:top w:val="nil"/>
              <w:left w:val="nil"/>
              <w:bottom w:val="single" w:sz="4" w:space="0" w:color="auto"/>
              <w:right w:val="nil"/>
            </w:tcBorders>
            <w:shd w:val="clear" w:color="auto" w:fill="auto"/>
            <w:noWrap/>
            <w:vAlign w:val="bottom"/>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 </w:t>
            </w:r>
          </w:p>
        </w:tc>
        <w:tc>
          <w:tcPr>
            <w:tcW w:w="864" w:type="dxa"/>
            <w:tcBorders>
              <w:top w:val="nil"/>
              <w:left w:val="nil"/>
              <w:bottom w:val="single" w:sz="4" w:space="0" w:color="auto"/>
              <w:right w:val="nil"/>
            </w:tcBorders>
            <w:shd w:val="clear" w:color="auto" w:fill="auto"/>
            <w:noWrap/>
            <w:vAlign w:val="bottom"/>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 </w:t>
            </w:r>
          </w:p>
        </w:tc>
        <w:tc>
          <w:tcPr>
            <w:tcW w:w="864" w:type="dxa"/>
            <w:tcBorders>
              <w:top w:val="nil"/>
              <w:left w:val="nil"/>
              <w:bottom w:val="single" w:sz="4" w:space="0" w:color="auto"/>
              <w:right w:val="nil"/>
            </w:tcBorders>
            <w:shd w:val="clear" w:color="auto" w:fill="auto"/>
            <w:noWrap/>
            <w:vAlign w:val="bottom"/>
            <w:hideMark/>
          </w:tcPr>
          <w:p w:rsidR="005449D2" w:rsidRPr="0058209E" w:rsidRDefault="005449D2" w:rsidP="003F0F8A">
            <w:pPr>
              <w:spacing w:after="0" w:line="240" w:lineRule="auto"/>
              <w:jc w:val="right"/>
              <w:rPr>
                <w:rFonts w:ascii="Arial" w:hAnsi="Arial" w:cs="Arial"/>
                <w:b/>
                <w:bCs/>
                <w:i/>
                <w:iCs/>
                <w:color w:val="000000"/>
                <w:sz w:val="16"/>
                <w:szCs w:val="16"/>
              </w:rPr>
            </w:pPr>
            <w:r w:rsidRPr="0058209E">
              <w:rPr>
                <w:rFonts w:ascii="Arial" w:hAnsi="Arial" w:cs="Arial"/>
                <w:b/>
                <w:bCs/>
                <w:i/>
                <w:iCs/>
                <w:color w:val="000000"/>
                <w:sz w:val="16"/>
                <w:szCs w:val="16"/>
              </w:rPr>
              <w:t xml:space="preserve">- </w:t>
            </w:r>
          </w:p>
        </w:tc>
      </w:tr>
      <w:tr w:rsidR="005449D2" w:rsidRPr="0058209E" w:rsidTr="003F0F8A">
        <w:trPr>
          <w:trHeight w:val="415"/>
        </w:trPr>
        <w:tc>
          <w:tcPr>
            <w:tcW w:w="3262" w:type="dxa"/>
            <w:tcBorders>
              <w:top w:val="nil"/>
              <w:left w:val="nil"/>
              <w:bottom w:val="nil"/>
              <w:right w:val="nil"/>
            </w:tcBorders>
            <w:shd w:val="clear" w:color="auto" w:fill="auto"/>
            <w:vAlign w:val="center"/>
            <w:hideMark/>
          </w:tcPr>
          <w:p w:rsidR="005449D2" w:rsidRPr="0058209E" w:rsidRDefault="005449D2" w:rsidP="003F0F8A">
            <w:pPr>
              <w:tabs>
                <w:tab w:val="left" w:pos="474"/>
              </w:tabs>
              <w:spacing w:after="0" w:line="240" w:lineRule="auto"/>
              <w:ind w:firstLineChars="100" w:firstLine="160"/>
              <w:rPr>
                <w:rFonts w:ascii="Arial" w:hAnsi="Arial" w:cs="Arial"/>
                <w:color w:val="000000"/>
                <w:sz w:val="16"/>
                <w:szCs w:val="16"/>
              </w:rPr>
            </w:pPr>
            <w:r w:rsidRPr="0058209E">
              <w:rPr>
                <w:rFonts w:ascii="Arial" w:hAnsi="Arial" w:cs="Arial"/>
                <w:color w:val="000000"/>
                <w:sz w:val="16"/>
                <w:szCs w:val="16"/>
              </w:rPr>
              <w:t>Cash and cash equivalents at</w:t>
            </w:r>
            <w:r>
              <w:rPr>
                <w:rFonts w:ascii="Arial" w:hAnsi="Arial" w:cs="Arial"/>
                <w:color w:val="000000"/>
                <w:sz w:val="16"/>
                <w:szCs w:val="16"/>
              </w:rPr>
              <w:t xml:space="preserve"> </w:t>
            </w:r>
            <w:r w:rsidRPr="0058209E">
              <w:rPr>
                <w:rFonts w:ascii="Arial" w:hAnsi="Arial" w:cs="Arial"/>
                <w:color w:val="000000"/>
                <w:sz w:val="16"/>
                <w:szCs w:val="16"/>
              </w:rPr>
              <w:t xml:space="preserve">beginning </w:t>
            </w:r>
            <w:r>
              <w:rPr>
                <w:rFonts w:ascii="Arial" w:hAnsi="Arial" w:cs="Arial"/>
                <w:color w:val="000000"/>
                <w:sz w:val="16"/>
                <w:szCs w:val="16"/>
              </w:rPr>
              <w:tab/>
            </w:r>
            <w:r w:rsidRPr="0058209E">
              <w:rPr>
                <w:rFonts w:ascii="Arial" w:hAnsi="Arial" w:cs="Arial"/>
                <w:color w:val="000000"/>
                <w:sz w:val="16"/>
                <w:szCs w:val="16"/>
              </w:rPr>
              <w:t>of reporting period</w:t>
            </w:r>
          </w:p>
        </w:tc>
        <w:tc>
          <w:tcPr>
            <w:tcW w:w="977"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xml:space="preserve">3 </w:t>
            </w:r>
          </w:p>
        </w:tc>
        <w:tc>
          <w:tcPr>
            <w:tcW w:w="863" w:type="dxa"/>
            <w:tcBorders>
              <w:top w:val="nil"/>
              <w:left w:val="nil"/>
              <w:bottom w:val="nil"/>
              <w:right w:val="nil"/>
            </w:tcBorders>
            <w:shd w:val="clear" w:color="000000" w:fill="E6E6E6"/>
            <w:noWrap/>
            <w:vAlign w:val="center"/>
            <w:hideMark/>
          </w:tcPr>
          <w:p w:rsidR="005449D2" w:rsidRPr="0058209E" w:rsidRDefault="005449D2" w:rsidP="003F0F8A">
            <w:pPr>
              <w:spacing w:after="0" w:line="240" w:lineRule="auto"/>
              <w:jc w:val="right"/>
              <w:rPr>
                <w:rFonts w:ascii="Arial" w:hAnsi="Arial" w:cs="Arial"/>
                <w:color w:val="000000"/>
                <w:sz w:val="16"/>
                <w:szCs w:val="16"/>
              </w:rPr>
            </w:pPr>
            <w:r w:rsidRPr="0058209E">
              <w:rPr>
                <w:rFonts w:ascii="Arial" w:hAnsi="Arial" w:cs="Arial"/>
                <w:color w:val="000000"/>
                <w:sz w:val="16"/>
                <w:szCs w:val="16"/>
              </w:rPr>
              <w:t> </w:t>
            </w:r>
            <w:r>
              <w:rPr>
                <w:rFonts w:ascii="Arial" w:hAnsi="Arial" w:cs="Arial"/>
                <w:color w:val="000000"/>
                <w:sz w:val="16"/>
                <w:szCs w:val="16"/>
              </w:rPr>
              <w:t>-</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64" w:type="dxa"/>
            <w:tcBorders>
              <w:top w:val="nil"/>
              <w:left w:val="nil"/>
              <w:bottom w:val="nil"/>
              <w:right w:val="nil"/>
            </w:tcBorders>
            <w:shd w:val="clear" w:color="auto" w:fill="auto"/>
            <w:noWrap/>
            <w:vAlign w:val="center"/>
            <w:hideMark/>
          </w:tcPr>
          <w:p w:rsidR="005449D2" w:rsidRPr="0058209E" w:rsidRDefault="005449D2"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5449D2" w:rsidRPr="0058209E" w:rsidTr="003F0F8A">
        <w:trPr>
          <w:trHeight w:val="415"/>
        </w:trPr>
        <w:tc>
          <w:tcPr>
            <w:tcW w:w="3262" w:type="dxa"/>
            <w:tcBorders>
              <w:top w:val="nil"/>
              <w:left w:val="nil"/>
              <w:bottom w:val="single" w:sz="4" w:space="0" w:color="auto"/>
              <w:right w:val="nil"/>
            </w:tcBorders>
            <w:shd w:val="clear" w:color="auto" w:fill="auto"/>
            <w:vAlign w:val="center"/>
            <w:hideMark/>
          </w:tcPr>
          <w:p w:rsidR="005449D2" w:rsidRPr="0058209E" w:rsidRDefault="005449D2" w:rsidP="003F0F8A">
            <w:pPr>
              <w:tabs>
                <w:tab w:val="left" w:pos="191"/>
              </w:tabs>
              <w:spacing w:after="0" w:line="240" w:lineRule="auto"/>
              <w:rPr>
                <w:rFonts w:ascii="Arial" w:hAnsi="Arial" w:cs="Arial"/>
                <w:b/>
                <w:bCs/>
                <w:color w:val="000000"/>
                <w:sz w:val="16"/>
                <w:szCs w:val="16"/>
              </w:rPr>
            </w:pPr>
            <w:r w:rsidRPr="0058209E">
              <w:rPr>
                <w:rFonts w:ascii="Arial" w:hAnsi="Arial" w:cs="Arial"/>
                <w:b/>
                <w:bCs/>
                <w:color w:val="000000"/>
                <w:sz w:val="16"/>
                <w:szCs w:val="16"/>
              </w:rPr>
              <w:t>Cash and cash equivalents at</w:t>
            </w:r>
            <w:r>
              <w:rPr>
                <w:rFonts w:ascii="Arial" w:hAnsi="Arial" w:cs="Arial"/>
                <w:b/>
                <w:bCs/>
                <w:color w:val="000000"/>
                <w:sz w:val="16"/>
                <w:szCs w:val="16"/>
              </w:rPr>
              <w:t xml:space="preserve"> </w:t>
            </w:r>
            <w:r w:rsidRPr="0058209E">
              <w:rPr>
                <w:rFonts w:ascii="Arial" w:hAnsi="Arial" w:cs="Arial"/>
                <w:b/>
                <w:bCs/>
                <w:color w:val="000000"/>
                <w:sz w:val="16"/>
                <w:szCs w:val="16"/>
              </w:rPr>
              <w:t xml:space="preserve">end of </w:t>
            </w:r>
            <w:r>
              <w:rPr>
                <w:rFonts w:ascii="Arial" w:hAnsi="Arial" w:cs="Arial"/>
                <w:b/>
                <w:bCs/>
                <w:color w:val="000000"/>
                <w:sz w:val="16"/>
                <w:szCs w:val="16"/>
              </w:rPr>
              <w:tab/>
            </w:r>
            <w:r w:rsidRPr="0058209E">
              <w:rPr>
                <w:rFonts w:ascii="Arial" w:hAnsi="Arial" w:cs="Arial"/>
                <w:b/>
                <w:bCs/>
                <w:color w:val="000000"/>
                <w:sz w:val="16"/>
                <w:szCs w:val="16"/>
              </w:rPr>
              <w:t>reporting period</w:t>
            </w:r>
          </w:p>
        </w:tc>
        <w:tc>
          <w:tcPr>
            <w:tcW w:w="977" w:type="dxa"/>
            <w:tcBorders>
              <w:top w:val="single" w:sz="4" w:space="0" w:color="000000"/>
              <w:left w:val="nil"/>
              <w:bottom w:val="single" w:sz="4" w:space="0" w:color="auto"/>
              <w:right w:val="nil"/>
            </w:tcBorders>
            <w:shd w:val="clear" w:color="auto" w:fill="auto"/>
            <w:noWrap/>
            <w:vAlign w:val="bottom"/>
            <w:hideMark/>
          </w:tcPr>
          <w:p w:rsidR="005449D2" w:rsidRPr="0058209E" w:rsidRDefault="005449D2" w:rsidP="003F0F8A">
            <w:pPr>
              <w:spacing w:after="0" w:line="240" w:lineRule="auto"/>
              <w:jc w:val="right"/>
              <w:rPr>
                <w:rFonts w:ascii="Arial" w:hAnsi="Arial" w:cs="Arial"/>
                <w:b/>
                <w:bCs/>
                <w:color w:val="000000"/>
                <w:sz w:val="16"/>
                <w:szCs w:val="16"/>
              </w:rPr>
            </w:pPr>
            <w:r w:rsidRPr="0058209E">
              <w:rPr>
                <w:rFonts w:ascii="Arial" w:hAnsi="Arial" w:cs="Arial"/>
                <w:b/>
                <w:bCs/>
                <w:color w:val="000000"/>
                <w:sz w:val="16"/>
                <w:szCs w:val="16"/>
              </w:rPr>
              <w:t xml:space="preserve">- </w:t>
            </w:r>
          </w:p>
        </w:tc>
        <w:tc>
          <w:tcPr>
            <w:tcW w:w="863" w:type="dxa"/>
            <w:tcBorders>
              <w:top w:val="single" w:sz="4" w:space="0" w:color="000000"/>
              <w:left w:val="nil"/>
              <w:bottom w:val="single" w:sz="4" w:space="0" w:color="auto"/>
              <w:right w:val="nil"/>
            </w:tcBorders>
            <w:shd w:val="clear" w:color="000000" w:fill="E6E6E6"/>
            <w:noWrap/>
            <w:vAlign w:val="bottom"/>
            <w:hideMark/>
          </w:tcPr>
          <w:p w:rsidR="005449D2" w:rsidRPr="0058209E" w:rsidRDefault="005449D2" w:rsidP="003F0F8A">
            <w:pPr>
              <w:spacing w:after="0" w:line="240" w:lineRule="auto"/>
              <w:jc w:val="right"/>
              <w:rPr>
                <w:rFonts w:ascii="Arial" w:hAnsi="Arial" w:cs="Arial"/>
                <w:b/>
                <w:bCs/>
                <w:color w:val="000000"/>
                <w:sz w:val="16"/>
                <w:szCs w:val="16"/>
              </w:rPr>
            </w:pPr>
            <w:r w:rsidRPr="0058209E">
              <w:rPr>
                <w:rFonts w:ascii="Arial" w:hAnsi="Arial" w:cs="Arial"/>
                <w:b/>
                <w:bCs/>
                <w:color w:val="000000"/>
                <w:sz w:val="16"/>
                <w:szCs w:val="16"/>
              </w:rPr>
              <w:t xml:space="preserve">- </w:t>
            </w:r>
          </w:p>
        </w:tc>
        <w:tc>
          <w:tcPr>
            <w:tcW w:w="864" w:type="dxa"/>
            <w:tcBorders>
              <w:top w:val="single" w:sz="4" w:space="0" w:color="000000"/>
              <w:left w:val="nil"/>
              <w:bottom w:val="single" w:sz="4" w:space="0" w:color="auto"/>
              <w:right w:val="nil"/>
            </w:tcBorders>
            <w:shd w:val="clear" w:color="auto" w:fill="auto"/>
            <w:noWrap/>
            <w:vAlign w:val="bottom"/>
            <w:hideMark/>
          </w:tcPr>
          <w:p w:rsidR="005449D2" w:rsidRPr="0058209E" w:rsidRDefault="005449D2" w:rsidP="003F0F8A">
            <w:pPr>
              <w:spacing w:after="0" w:line="240" w:lineRule="auto"/>
              <w:jc w:val="right"/>
              <w:rPr>
                <w:rFonts w:ascii="Arial" w:hAnsi="Arial" w:cs="Arial"/>
                <w:b/>
                <w:bCs/>
                <w:color w:val="000000"/>
                <w:sz w:val="16"/>
                <w:szCs w:val="16"/>
              </w:rPr>
            </w:pPr>
            <w:r w:rsidRPr="0058209E">
              <w:rPr>
                <w:rFonts w:ascii="Arial" w:hAnsi="Arial" w:cs="Arial"/>
                <w:b/>
                <w:bCs/>
                <w:color w:val="000000"/>
                <w:sz w:val="16"/>
                <w:szCs w:val="16"/>
              </w:rPr>
              <w:t xml:space="preserve">- </w:t>
            </w:r>
          </w:p>
        </w:tc>
        <w:tc>
          <w:tcPr>
            <w:tcW w:w="864" w:type="dxa"/>
            <w:tcBorders>
              <w:top w:val="single" w:sz="4" w:space="0" w:color="000000"/>
              <w:left w:val="nil"/>
              <w:bottom w:val="single" w:sz="4" w:space="0" w:color="auto"/>
              <w:right w:val="nil"/>
            </w:tcBorders>
            <w:shd w:val="clear" w:color="auto" w:fill="auto"/>
            <w:noWrap/>
            <w:vAlign w:val="bottom"/>
            <w:hideMark/>
          </w:tcPr>
          <w:p w:rsidR="005449D2" w:rsidRPr="0058209E" w:rsidRDefault="005449D2" w:rsidP="003F0F8A">
            <w:pPr>
              <w:spacing w:after="0" w:line="240" w:lineRule="auto"/>
              <w:jc w:val="right"/>
              <w:rPr>
                <w:rFonts w:ascii="Arial" w:hAnsi="Arial" w:cs="Arial"/>
                <w:b/>
                <w:bCs/>
                <w:color w:val="000000"/>
                <w:sz w:val="16"/>
                <w:szCs w:val="16"/>
              </w:rPr>
            </w:pPr>
            <w:r w:rsidRPr="0058209E">
              <w:rPr>
                <w:rFonts w:ascii="Arial" w:hAnsi="Arial" w:cs="Arial"/>
                <w:b/>
                <w:bCs/>
                <w:color w:val="000000"/>
                <w:sz w:val="16"/>
                <w:szCs w:val="16"/>
              </w:rPr>
              <w:t xml:space="preserve">- </w:t>
            </w:r>
          </w:p>
        </w:tc>
        <w:tc>
          <w:tcPr>
            <w:tcW w:w="864" w:type="dxa"/>
            <w:tcBorders>
              <w:top w:val="single" w:sz="4" w:space="0" w:color="000000"/>
              <w:left w:val="nil"/>
              <w:bottom w:val="single" w:sz="4" w:space="0" w:color="auto"/>
              <w:right w:val="nil"/>
            </w:tcBorders>
            <w:shd w:val="clear" w:color="auto" w:fill="auto"/>
            <w:noWrap/>
            <w:vAlign w:val="bottom"/>
            <w:hideMark/>
          </w:tcPr>
          <w:p w:rsidR="005449D2" w:rsidRPr="0058209E" w:rsidRDefault="005449D2" w:rsidP="003F0F8A">
            <w:pPr>
              <w:spacing w:after="0" w:line="240" w:lineRule="auto"/>
              <w:jc w:val="right"/>
              <w:rPr>
                <w:rFonts w:ascii="Arial" w:hAnsi="Arial" w:cs="Arial"/>
                <w:b/>
                <w:bCs/>
                <w:color w:val="000000"/>
                <w:sz w:val="16"/>
                <w:szCs w:val="16"/>
              </w:rPr>
            </w:pPr>
            <w:r w:rsidRPr="0058209E">
              <w:rPr>
                <w:rFonts w:ascii="Arial" w:hAnsi="Arial" w:cs="Arial"/>
                <w:b/>
                <w:bCs/>
                <w:color w:val="000000"/>
                <w:sz w:val="16"/>
                <w:szCs w:val="16"/>
              </w:rPr>
              <w:t xml:space="preserve">- </w:t>
            </w:r>
          </w:p>
        </w:tc>
      </w:tr>
    </w:tbl>
    <w:p w:rsidR="005449D2" w:rsidRDefault="005449D2" w:rsidP="005449D2">
      <w:pPr>
        <w:pStyle w:val="Source"/>
        <w:spacing w:before="120"/>
      </w:pPr>
      <w:r>
        <w:t>Prepared on Australian Accounting Standards basis.</w:t>
      </w:r>
    </w:p>
    <w:p w:rsidR="005449D2" w:rsidRDefault="005449D2" w:rsidP="005449D2">
      <w:pPr>
        <w:pStyle w:val="TableHeading"/>
        <w:spacing w:before="480"/>
        <w:rPr>
          <w:lang w:val="en-AU"/>
        </w:rPr>
      </w:pPr>
      <w:r>
        <w:br w:type="page"/>
      </w:r>
      <w:r w:rsidRPr="00D30CBA">
        <w:t>Table</w:t>
      </w:r>
      <w:r>
        <w:t xml:space="preserve"> 3.10</w:t>
      </w:r>
      <w:r w:rsidRPr="00D30CBA">
        <w:t xml:space="preserve">: </w:t>
      </w:r>
      <w:r>
        <w:t>Administered capital budget statement (for the period ended 30 June)</w:t>
      </w:r>
    </w:p>
    <w:p w:rsidR="005449D2" w:rsidRDefault="005449D2" w:rsidP="005449D2">
      <w:pPr>
        <w:pStyle w:val="TableGraphic"/>
        <w:rPr>
          <w:lang w:eastAsia="x-none"/>
        </w:rPr>
      </w:pPr>
      <w:r>
        <w:rPr>
          <w:lang w:eastAsia="x-none"/>
        </w:rPr>
        <w:t xml:space="preserve">Comcare has no administered capital purchases. For this reason Table 3.10 is not presented. </w:t>
      </w:r>
    </w:p>
    <w:p w:rsidR="005449D2" w:rsidRDefault="005449D2" w:rsidP="005449D2">
      <w:pPr>
        <w:pStyle w:val="TableHeading"/>
        <w:spacing w:before="360" w:after="0"/>
      </w:pPr>
      <w:r>
        <w:t xml:space="preserve">Table 3.11: Statement of administered asset movements (Budget year 2017-18) </w:t>
      </w:r>
    </w:p>
    <w:p w:rsidR="005449D2" w:rsidRPr="00390BC1" w:rsidRDefault="005449D2" w:rsidP="005449D2">
      <w:pPr>
        <w:spacing w:after="360"/>
      </w:pPr>
      <w:r>
        <w:t xml:space="preserve">Comcare has no administered non-financial assets. For this reason Table 3.11 is not presented. </w:t>
      </w:r>
    </w:p>
    <w:p w:rsidR="005449D2" w:rsidRDefault="005449D2" w:rsidP="005449D2">
      <w:pPr>
        <w:pStyle w:val="Heading4"/>
        <w:spacing w:before="360"/>
      </w:pPr>
      <w:r>
        <w:t>3.2.4</w:t>
      </w:r>
      <w:r>
        <w:tab/>
        <w:t>Notes to the financial statements</w:t>
      </w:r>
    </w:p>
    <w:p w:rsidR="005449D2" w:rsidRDefault="005449D2" w:rsidP="005449D2">
      <w:pPr>
        <w:pStyle w:val="Heading5"/>
        <w:rPr>
          <w:snapToGrid w:val="0"/>
          <w:lang w:eastAsia="en-US"/>
        </w:rPr>
      </w:pPr>
      <w:r>
        <w:rPr>
          <w:snapToGrid w:val="0"/>
          <w:lang w:eastAsia="en-US"/>
        </w:rPr>
        <w:t>Accounting policy</w:t>
      </w:r>
    </w:p>
    <w:p w:rsidR="005449D2" w:rsidRPr="00390BC1" w:rsidRDefault="005449D2" w:rsidP="005449D2">
      <w:r w:rsidRPr="00390BC1">
        <w:t xml:space="preserve">The budgeted financial statements have been prepared in accordance with the requirements of the </w:t>
      </w:r>
      <w:r w:rsidRPr="00390BC1">
        <w:rPr>
          <w:i/>
          <w:iCs/>
        </w:rPr>
        <w:t>Public Governance, Performance and Accountability (Financial Reporting) Rule 2015</w:t>
      </w:r>
      <w:r w:rsidRPr="00390BC1">
        <w:t xml:space="preserve">, and the </w:t>
      </w:r>
      <w:r w:rsidRPr="00390BC1">
        <w:rPr>
          <w:i/>
          <w:iCs/>
        </w:rPr>
        <w:t>Commonwealth Entities Financial Statement Preparation Guide.</w:t>
      </w:r>
    </w:p>
    <w:p w:rsidR="005449D2" w:rsidRPr="008C142C" w:rsidRDefault="005449D2" w:rsidP="005449D2">
      <w:pPr>
        <w:pStyle w:val="Heading5"/>
        <w:rPr>
          <w:snapToGrid w:val="0"/>
          <w:lang w:eastAsia="en-US"/>
        </w:rPr>
      </w:pPr>
      <w:r>
        <w:rPr>
          <w:snapToGrid w:val="0"/>
          <w:lang w:eastAsia="en-US"/>
        </w:rPr>
        <w:t>Entity</w:t>
      </w:r>
      <w:r w:rsidRPr="008C142C">
        <w:rPr>
          <w:snapToGrid w:val="0"/>
          <w:lang w:eastAsia="en-US"/>
        </w:rPr>
        <w:t xml:space="preserve"> items</w:t>
      </w:r>
    </w:p>
    <w:p w:rsidR="005449D2" w:rsidRPr="008C142C" w:rsidRDefault="005449D2" w:rsidP="005449D2">
      <w:pPr>
        <w:spacing w:after="120"/>
      </w:pPr>
      <w:r>
        <w:t>Entity</w:t>
      </w:r>
      <w:r w:rsidRPr="008C142C">
        <w:t xml:space="preserve"> assets, liabilities, revenues and expenses are those items that are controlled by Comcare.</w:t>
      </w:r>
    </w:p>
    <w:p w:rsidR="005449D2" w:rsidRDefault="005449D2" w:rsidP="005449D2">
      <w:r w:rsidRPr="008C142C">
        <w:t xml:space="preserve">Administered assets, liabilities, revenues and expenses relate to the Seafarers Safety, Rehabilitation and Compensation Authority (Seafarers Authority) which collects levies under the </w:t>
      </w:r>
      <w:r w:rsidRPr="008C142C">
        <w:rPr>
          <w:i/>
        </w:rPr>
        <w:t>Seafarers Rehabilitation and Compensation Levy Collection Act 1992</w:t>
      </w:r>
      <w:r w:rsidRPr="008C142C">
        <w:t>. The Seafarers Authority is controlled by the Government and managed by Comcare.</w:t>
      </w:r>
      <w:r>
        <w:t xml:space="preserve"> </w:t>
      </w:r>
    </w:p>
    <w:p w:rsidR="005449D2" w:rsidRDefault="005449D2" w:rsidP="005449D2">
      <w:pPr>
        <w:pStyle w:val="Heading4"/>
      </w:pPr>
      <w:r>
        <w:t>Comprehensive Income Statement</w:t>
      </w:r>
    </w:p>
    <w:p w:rsidR="005449D2" w:rsidRDefault="005449D2" w:rsidP="005449D2">
      <w:pPr>
        <w:pStyle w:val="Heading5"/>
      </w:pPr>
      <w:r>
        <w:t>Revenue from government</w:t>
      </w:r>
    </w:p>
    <w:p w:rsidR="005449D2" w:rsidRDefault="005449D2" w:rsidP="005449D2">
      <w:r>
        <w:t xml:space="preserve">Comcare receives an annual appropriation for the management of asbestos-related claims, the administration of the Seacare Authority and some of Comcare’s regulatory activities. </w:t>
      </w:r>
    </w:p>
    <w:p w:rsidR="005449D2" w:rsidRDefault="005449D2" w:rsidP="005449D2">
      <w:pPr>
        <w:pStyle w:val="Heading5"/>
      </w:pPr>
      <w:r>
        <w:t>Own source revenue</w:t>
      </w:r>
    </w:p>
    <w:p w:rsidR="005449D2" w:rsidRPr="008C142C" w:rsidRDefault="005449D2" w:rsidP="005449D2">
      <w:pPr>
        <w:spacing w:after="80"/>
      </w:pPr>
      <w:r w:rsidRPr="008C142C">
        <w:t xml:space="preserve">Comcare receives the following </w:t>
      </w:r>
      <w:r>
        <w:t xml:space="preserve">own-source </w:t>
      </w:r>
      <w:r w:rsidRPr="008C142C">
        <w:t>revenue:</w:t>
      </w:r>
    </w:p>
    <w:p w:rsidR="005449D2" w:rsidRDefault="005449D2" w:rsidP="005449D2">
      <w:pPr>
        <w:pStyle w:val="Bullets"/>
        <w:numPr>
          <w:ilvl w:val="0"/>
          <w:numId w:val="30"/>
        </w:numPr>
        <w:spacing w:before="0" w:after="80"/>
      </w:pPr>
      <w:r>
        <w:t>workers’ compensation premiums</w:t>
      </w:r>
    </w:p>
    <w:p w:rsidR="005449D2" w:rsidRDefault="005449D2" w:rsidP="005449D2">
      <w:pPr>
        <w:pStyle w:val="Bullets"/>
        <w:numPr>
          <w:ilvl w:val="0"/>
          <w:numId w:val="30"/>
        </w:numPr>
        <w:spacing w:before="0" w:after="80"/>
      </w:pPr>
      <w:r>
        <w:t>grants received from portfolio department</w:t>
      </w:r>
    </w:p>
    <w:p w:rsidR="005449D2" w:rsidRDefault="005449D2" w:rsidP="005449D2">
      <w:pPr>
        <w:pStyle w:val="Bullets"/>
        <w:numPr>
          <w:ilvl w:val="0"/>
          <w:numId w:val="30"/>
        </w:numPr>
        <w:spacing w:before="0" w:after="80"/>
      </w:pPr>
      <w:r>
        <w:t>other non-tax revenue</w:t>
      </w:r>
    </w:p>
    <w:p w:rsidR="005449D2" w:rsidRPr="008C142C" w:rsidRDefault="005449D2" w:rsidP="005449D2">
      <w:pPr>
        <w:pStyle w:val="Bullets"/>
        <w:numPr>
          <w:ilvl w:val="0"/>
          <w:numId w:val="30"/>
        </w:numPr>
        <w:spacing w:before="0" w:after="80"/>
      </w:pPr>
      <w:r w:rsidRPr="008C142C">
        <w:t>licence fees</w:t>
      </w:r>
    </w:p>
    <w:p w:rsidR="005449D2" w:rsidRPr="008C142C" w:rsidRDefault="005449D2" w:rsidP="005449D2">
      <w:pPr>
        <w:pStyle w:val="Bullets"/>
        <w:numPr>
          <w:ilvl w:val="0"/>
          <w:numId w:val="30"/>
        </w:numPr>
        <w:spacing w:before="0" w:after="80"/>
      </w:pPr>
      <w:r w:rsidRPr="008C142C">
        <w:t>regulatory contributions</w:t>
      </w:r>
    </w:p>
    <w:p w:rsidR="005449D2" w:rsidRPr="008C142C" w:rsidRDefault="005449D2" w:rsidP="005449D2">
      <w:pPr>
        <w:pStyle w:val="Bullets"/>
        <w:numPr>
          <w:ilvl w:val="0"/>
          <w:numId w:val="30"/>
        </w:numPr>
        <w:spacing w:before="0" w:after="80"/>
      </w:pPr>
      <w:r w:rsidRPr="008C142C">
        <w:t>interest</w:t>
      </w:r>
    </w:p>
    <w:p w:rsidR="005449D2" w:rsidRPr="008C142C" w:rsidRDefault="005449D2" w:rsidP="005449D2">
      <w:pPr>
        <w:pStyle w:val="Bullets"/>
        <w:numPr>
          <w:ilvl w:val="0"/>
          <w:numId w:val="30"/>
        </w:numPr>
        <w:spacing w:before="0" w:after="80"/>
      </w:pPr>
      <w:r>
        <w:t>sale of goods and rendering of services.</w:t>
      </w:r>
    </w:p>
    <w:p w:rsidR="005449D2" w:rsidRDefault="005449D2" w:rsidP="005449D2">
      <w:pPr>
        <w:pStyle w:val="Heading5"/>
      </w:pPr>
      <w:r>
        <w:t>Workers’ compensation premiums</w:t>
      </w:r>
    </w:p>
    <w:p w:rsidR="005449D2" w:rsidRPr="005240A9" w:rsidRDefault="005449D2" w:rsidP="005449D2">
      <w:pPr>
        <w:pStyle w:val="BodyText"/>
        <w:rPr>
          <w:rFonts w:ascii="Book Antiqua" w:hAnsi="Book Antiqua"/>
          <w:sz w:val="20"/>
          <w:szCs w:val="20"/>
        </w:rPr>
      </w:pPr>
      <w:r w:rsidRPr="005240A9">
        <w:rPr>
          <w:rFonts w:ascii="Book Antiqua" w:hAnsi="Book Antiqua"/>
          <w:sz w:val="20"/>
          <w:szCs w:val="20"/>
        </w:rPr>
        <w:t>The premium scheme covers employees of Commonwealth Government agencies and the ACT Government covered by the SRC Act for injuries and illnesses sustained on or after 1 July 1989. Premiums are determined to fully fund the expected scheme liabilities as advised by independent actuaries</w:t>
      </w:r>
      <w:r w:rsidRPr="005240A9">
        <w:rPr>
          <w:rFonts w:ascii="Book Antiqua" w:hAnsi="Book Antiqua"/>
          <w:i/>
          <w:sz w:val="20"/>
          <w:szCs w:val="20"/>
        </w:rPr>
        <w:t>.</w:t>
      </w:r>
    </w:p>
    <w:p w:rsidR="005449D2" w:rsidRPr="005240A9" w:rsidRDefault="005449D2" w:rsidP="005449D2">
      <w:pPr>
        <w:pStyle w:val="BodyText"/>
        <w:rPr>
          <w:rFonts w:ascii="Book Antiqua" w:hAnsi="Book Antiqua"/>
          <w:sz w:val="20"/>
          <w:szCs w:val="20"/>
        </w:rPr>
      </w:pPr>
      <w:r w:rsidRPr="005240A9">
        <w:rPr>
          <w:rFonts w:ascii="Book Antiqua" w:hAnsi="Book Antiqua"/>
          <w:sz w:val="20"/>
          <w:szCs w:val="20"/>
        </w:rPr>
        <w:t>Premiums do not cover liabilities for injuries or illness sustained prior to 1 July 1989. These liabilities are funded by Parliamentary appropriat</w:t>
      </w:r>
      <w:r>
        <w:rPr>
          <w:rFonts w:ascii="Book Antiqua" w:hAnsi="Book Antiqua"/>
          <w:sz w:val="20"/>
          <w:szCs w:val="20"/>
        </w:rPr>
        <w:t xml:space="preserve">ion and are referred to as </w:t>
      </w:r>
      <w:r>
        <w:rPr>
          <w:rFonts w:ascii="Book Antiqua" w:hAnsi="Book Antiqua"/>
          <w:sz w:val="20"/>
          <w:szCs w:val="20"/>
          <w:lang w:val="en-AU"/>
        </w:rPr>
        <w:br/>
      </w:r>
      <w:r>
        <w:rPr>
          <w:rFonts w:ascii="Book Antiqua" w:hAnsi="Book Antiqua"/>
          <w:sz w:val="20"/>
          <w:szCs w:val="20"/>
        </w:rPr>
        <w:t>‘pre</w:t>
      </w:r>
      <w:r>
        <w:rPr>
          <w:rFonts w:ascii="Book Antiqua" w:hAnsi="Book Antiqua"/>
          <w:sz w:val="20"/>
          <w:szCs w:val="20"/>
          <w:lang w:val="en-AU"/>
        </w:rPr>
        <w:t>-</w:t>
      </w:r>
      <w:r w:rsidRPr="005240A9">
        <w:rPr>
          <w:rFonts w:ascii="Book Antiqua" w:hAnsi="Book Antiqua"/>
          <w:sz w:val="20"/>
          <w:szCs w:val="20"/>
        </w:rPr>
        <w:t>premium’ liabilities.</w:t>
      </w:r>
    </w:p>
    <w:p w:rsidR="005449D2" w:rsidRPr="008C142C" w:rsidRDefault="005449D2" w:rsidP="005449D2">
      <w:pPr>
        <w:pStyle w:val="Heading5"/>
        <w:rPr>
          <w:snapToGrid w:val="0"/>
          <w:lang w:eastAsia="en-US"/>
        </w:rPr>
      </w:pPr>
      <w:r w:rsidRPr="008C142C">
        <w:rPr>
          <w:snapToGrid w:val="0"/>
          <w:lang w:eastAsia="en-US"/>
        </w:rPr>
        <w:t>Grants received from portfolio department</w:t>
      </w:r>
    </w:p>
    <w:p w:rsidR="005449D2" w:rsidRPr="008C142C" w:rsidRDefault="005449D2" w:rsidP="005449D2">
      <w:r w:rsidRPr="008C142C">
        <w:t xml:space="preserve">Grants received from </w:t>
      </w:r>
      <w:r>
        <w:t xml:space="preserve">the </w:t>
      </w:r>
      <w:r w:rsidRPr="008C142C">
        <w:t>portfolio department represent cash appropriation for the payment of pre-premium claims and administration costs, and asbestos claims costs.</w:t>
      </w:r>
    </w:p>
    <w:p w:rsidR="005449D2" w:rsidRPr="008C142C" w:rsidRDefault="005449D2" w:rsidP="005449D2">
      <w:pPr>
        <w:pStyle w:val="Heading5"/>
        <w:rPr>
          <w:snapToGrid w:val="0"/>
          <w:lang w:eastAsia="en-US"/>
        </w:rPr>
      </w:pPr>
      <w:r w:rsidRPr="008C142C">
        <w:rPr>
          <w:snapToGrid w:val="0"/>
          <w:lang w:eastAsia="en-US"/>
        </w:rPr>
        <w:t>Other non-tax revenue</w:t>
      </w:r>
    </w:p>
    <w:p w:rsidR="005449D2" w:rsidRPr="008C142C" w:rsidRDefault="005449D2" w:rsidP="005449D2">
      <w:pPr>
        <w:spacing w:after="80"/>
      </w:pPr>
      <w:r w:rsidRPr="008C142C">
        <w:t>‘Other non-tax revenue’ is a non-cash appropriation representing:</w:t>
      </w:r>
    </w:p>
    <w:p w:rsidR="005449D2" w:rsidRPr="008C142C" w:rsidRDefault="005449D2" w:rsidP="005449D2">
      <w:pPr>
        <w:pStyle w:val="Bullets"/>
        <w:numPr>
          <w:ilvl w:val="0"/>
          <w:numId w:val="30"/>
        </w:numPr>
        <w:spacing w:before="0" w:after="80"/>
      </w:pPr>
      <w:r w:rsidRPr="008C142C">
        <w:t>the notional interest on retained premium funds held with the Australian Government; and</w:t>
      </w:r>
    </w:p>
    <w:p w:rsidR="005449D2" w:rsidRPr="008C142C" w:rsidRDefault="005449D2" w:rsidP="005449D2">
      <w:pPr>
        <w:pStyle w:val="Bullets"/>
        <w:numPr>
          <w:ilvl w:val="0"/>
          <w:numId w:val="30"/>
        </w:numPr>
        <w:spacing w:before="0" w:after="240"/>
      </w:pPr>
      <w:r w:rsidRPr="008C142C">
        <w:t>the movement in claims liabilities payable in future years based on independent actuarial assessment.</w:t>
      </w:r>
    </w:p>
    <w:p w:rsidR="005449D2" w:rsidRPr="008C142C" w:rsidRDefault="005449D2" w:rsidP="005449D2">
      <w:pPr>
        <w:pStyle w:val="Heading5"/>
        <w:rPr>
          <w:snapToGrid w:val="0"/>
          <w:lang w:eastAsia="en-US"/>
        </w:rPr>
      </w:pPr>
      <w:r w:rsidRPr="008C142C">
        <w:rPr>
          <w:snapToGrid w:val="0"/>
          <w:lang w:eastAsia="en-US"/>
        </w:rPr>
        <w:t>Administration expenses</w:t>
      </w:r>
    </w:p>
    <w:p w:rsidR="005449D2" w:rsidRPr="008C142C" w:rsidRDefault="005449D2" w:rsidP="005449D2">
      <w:pPr>
        <w:spacing w:after="80"/>
      </w:pPr>
      <w:r w:rsidRPr="008C142C">
        <w:t>Comcare administration expenses include:</w:t>
      </w:r>
    </w:p>
    <w:p w:rsidR="005449D2" w:rsidRPr="008C142C" w:rsidRDefault="005449D2" w:rsidP="005449D2">
      <w:pPr>
        <w:pStyle w:val="Bullets"/>
        <w:numPr>
          <w:ilvl w:val="0"/>
          <w:numId w:val="30"/>
        </w:numPr>
        <w:spacing w:before="0" w:after="80"/>
      </w:pPr>
      <w:r w:rsidRPr="008C142C">
        <w:t>employee expenses—includes salaries, superannuation and the net in</w:t>
      </w:r>
      <w:r>
        <w:t>crease in employee entitlements</w:t>
      </w:r>
    </w:p>
    <w:p w:rsidR="005449D2" w:rsidRPr="008C142C" w:rsidRDefault="005449D2" w:rsidP="005449D2">
      <w:pPr>
        <w:pStyle w:val="Bullets"/>
        <w:numPr>
          <w:ilvl w:val="0"/>
          <w:numId w:val="30"/>
        </w:numPr>
        <w:spacing w:before="0" w:after="80"/>
      </w:pPr>
      <w:r w:rsidRPr="008C142C">
        <w:t>suppliers—includes goods and s</w:t>
      </w:r>
      <w:r>
        <w:t>ervices procured from suppliers</w:t>
      </w:r>
    </w:p>
    <w:p w:rsidR="005449D2" w:rsidRPr="008C142C" w:rsidRDefault="005449D2" w:rsidP="005449D2">
      <w:pPr>
        <w:pStyle w:val="Bullets"/>
        <w:numPr>
          <w:ilvl w:val="0"/>
          <w:numId w:val="30"/>
        </w:numPr>
        <w:spacing w:before="0" w:after="240"/>
      </w:pPr>
      <w:r>
        <w:t>depreciation and amortisation—p</w:t>
      </w:r>
      <w:r w:rsidRPr="008C142C">
        <w:t>roperty, plant and equipment and intangible assets are depreciated over their useful lives. Leasehold improvements are amortised over the lesser of the estimated useful life of the improvement or the unexpired period of the lease. In all cases, assets are depreciated using the straight line method.</w:t>
      </w:r>
    </w:p>
    <w:p w:rsidR="005449D2" w:rsidRPr="008C142C" w:rsidRDefault="005449D2" w:rsidP="005449D2">
      <w:pPr>
        <w:pStyle w:val="Heading5"/>
        <w:rPr>
          <w:snapToGrid w:val="0"/>
          <w:lang w:eastAsia="en-US"/>
        </w:rPr>
      </w:pPr>
      <w:r w:rsidRPr="008C142C">
        <w:t>Claims expenses</w:t>
      </w:r>
    </w:p>
    <w:p w:rsidR="005449D2" w:rsidRPr="008C142C" w:rsidRDefault="005449D2" w:rsidP="005449D2">
      <w:pPr>
        <w:keepNext/>
        <w:spacing w:after="80"/>
      </w:pPr>
      <w:r w:rsidRPr="008C142C">
        <w:t>Comcare recognises two types of claims expenses:</w:t>
      </w:r>
    </w:p>
    <w:p w:rsidR="005449D2" w:rsidRPr="008C142C" w:rsidRDefault="005449D2" w:rsidP="005449D2">
      <w:pPr>
        <w:keepNext/>
        <w:numPr>
          <w:ilvl w:val="0"/>
          <w:numId w:val="38"/>
        </w:numPr>
        <w:spacing w:after="80" w:line="240" w:lineRule="auto"/>
        <w:ind w:left="567"/>
      </w:pPr>
      <w:r w:rsidRPr="008C142C">
        <w:t>Claims payments—includes workers’ compensation claims payments (premium and pre-premium) and common law settlements for asbestos-related compensation cases.</w:t>
      </w:r>
    </w:p>
    <w:p w:rsidR="005449D2" w:rsidRPr="008C142C" w:rsidRDefault="005449D2" w:rsidP="005449D2">
      <w:pPr>
        <w:numPr>
          <w:ilvl w:val="0"/>
          <w:numId w:val="38"/>
        </w:numPr>
        <w:spacing w:after="120" w:line="240" w:lineRule="auto"/>
        <w:ind w:left="567"/>
      </w:pPr>
      <w:r w:rsidRPr="008C142C">
        <w:t>Movement in liabilities—net movements in outstanding workers’ compensation claims liabilities are recognised as expenses.</w:t>
      </w:r>
    </w:p>
    <w:p w:rsidR="005449D2" w:rsidRPr="008C142C" w:rsidRDefault="005449D2" w:rsidP="005449D2">
      <w:pPr>
        <w:pStyle w:val="Heading4"/>
        <w:rPr>
          <w:snapToGrid w:val="0"/>
          <w:lang w:eastAsia="en-US"/>
        </w:rPr>
      </w:pPr>
      <w:r w:rsidRPr="008C142C">
        <w:rPr>
          <w:snapToGrid w:val="0"/>
          <w:lang w:eastAsia="en-US"/>
        </w:rPr>
        <w:t>Departmental Balance Sheet</w:t>
      </w:r>
    </w:p>
    <w:p w:rsidR="005449D2" w:rsidRPr="008C142C" w:rsidRDefault="005449D2" w:rsidP="005449D2">
      <w:pPr>
        <w:pStyle w:val="Heading5"/>
        <w:rPr>
          <w:snapToGrid w:val="0"/>
          <w:lang w:eastAsia="en-US"/>
        </w:rPr>
      </w:pPr>
      <w:r w:rsidRPr="008C142C">
        <w:rPr>
          <w:snapToGrid w:val="0"/>
          <w:lang w:eastAsia="en-US"/>
        </w:rPr>
        <w:t>Cash and cash equivalents</w:t>
      </w:r>
    </w:p>
    <w:p w:rsidR="005449D2" w:rsidRPr="008C142C" w:rsidRDefault="005449D2" w:rsidP="005449D2">
      <w:r w:rsidRPr="008C142C">
        <w:t>Cash and cash equivalents include deposits at call and term deposits with a bank or financial institution.</w:t>
      </w:r>
    </w:p>
    <w:p w:rsidR="005449D2" w:rsidRPr="008C142C" w:rsidRDefault="005449D2" w:rsidP="005449D2">
      <w:pPr>
        <w:pStyle w:val="Heading5"/>
        <w:rPr>
          <w:snapToGrid w:val="0"/>
          <w:lang w:eastAsia="en-US"/>
        </w:rPr>
      </w:pPr>
      <w:r w:rsidRPr="008C142C">
        <w:rPr>
          <w:snapToGrid w:val="0"/>
          <w:lang w:eastAsia="en-US"/>
        </w:rPr>
        <w:t>Trade and other receivables</w:t>
      </w:r>
    </w:p>
    <w:p w:rsidR="005449D2" w:rsidRPr="008C142C" w:rsidRDefault="005449D2" w:rsidP="005449D2">
      <w:pPr>
        <w:spacing w:after="80"/>
      </w:pPr>
      <w:r>
        <w:t>Other receivables are</w:t>
      </w:r>
      <w:r w:rsidRPr="008C142C">
        <w:t xml:space="preserve"> the combined value of:</w:t>
      </w:r>
    </w:p>
    <w:p w:rsidR="005449D2" w:rsidRPr="008C142C" w:rsidRDefault="005449D2" w:rsidP="005449D2">
      <w:pPr>
        <w:pStyle w:val="Bullets"/>
        <w:numPr>
          <w:ilvl w:val="0"/>
          <w:numId w:val="30"/>
        </w:numPr>
        <w:spacing w:before="0" w:after="80"/>
      </w:pPr>
      <w:r w:rsidRPr="008C142C">
        <w:t>pre-premium and asbestos special appropriation receivable</w:t>
      </w:r>
    </w:p>
    <w:p w:rsidR="005449D2" w:rsidRPr="008C142C" w:rsidRDefault="005449D2" w:rsidP="005449D2">
      <w:pPr>
        <w:pStyle w:val="Bullets"/>
        <w:numPr>
          <w:ilvl w:val="0"/>
          <w:numId w:val="30"/>
        </w:numPr>
        <w:spacing w:before="0" w:after="240"/>
      </w:pPr>
      <w:r w:rsidRPr="008C142C">
        <w:t>premiums collected by Comcare prior to 1 July 2002 held by the Australian Government plus earned notional interest, in accordance with Section 90C of the SRC Act.</w:t>
      </w:r>
    </w:p>
    <w:p w:rsidR="005449D2" w:rsidRPr="008C142C" w:rsidRDefault="005449D2" w:rsidP="005449D2">
      <w:pPr>
        <w:pStyle w:val="Heading5"/>
        <w:rPr>
          <w:snapToGrid w:val="0"/>
          <w:lang w:eastAsia="en-US"/>
        </w:rPr>
      </w:pPr>
      <w:r w:rsidRPr="008C142C">
        <w:rPr>
          <w:snapToGrid w:val="0"/>
          <w:lang w:eastAsia="en-US"/>
        </w:rPr>
        <w:t>Employee provisions</w:t>
      </w:r>
    </w:p>
    <w:p w:rsidR="005449D2" w:rsidRPr="008C142C" w:rsidRDefault="005449D2" w:rsidP="005449D2">
      <w:r w:rsidRPr="008C142C">
        <w:t xml:space="preserve">The provision for employee entitlements encompasses unpaid annual and long service leave. No provision is made for sick leave. </w:t>
      </w:r>
    </w:p>
    <w:p w:rsidR="005449D2" w:rsidRPr="008C142C" w:rsidRDefault="005449D2" w:rsidP="005449D2">
      <w:pPr>
        <w:pStyle w:val="Heading5"/>
        <w:rPr>
          <w:snapToGrid w:val="0"/>
          <w:lang w:eastAsia="en-US"/>
        </w:rPr>
      </w:pPr>
      <w:r w:rsidRPr="008C142C">
        <w:rPr>
          <w:snapToGrid w:val="0"/>
          <w:lang w:eastAsia="en-US"/>
        </w:rPr>
        <w:t>Other provisions</w:t>
      </w:r>
    </w:p>
    <w:p w:rsidR="005449D2" w:rsidRPr="008C142C" w:rsidRDefault="005449D2" w:rsidP="005449D2">
      <w:pPr>
        <w:spacing w:after="80"/>
      </w:pPr>
      <w:r w:rsidRPr="008C142C">
        <w:t>Provision is made for:</w:t>
      </w:r>
    </w:p>
    <w:p w:rsidR="005449D2" w:rsidRPr="008C142C" w:rsidRDefault="005449D2" w:rsidP="005449D2">
      <w:pPr>
        <w:pStyle w:val="Bullets"/>
        <w:numPr>
          <w:ilvl w:val="0"/>
          <w:numId w:val="30"/>
        </w:numPr>
        <w:spacing w:before="0" w:after="80"/>
      </w:pPr>
      <w:r w:rsidRPr="008C142C">
        <w:t>outstanding workers’ compensation claims liabilities</w:t>
      </w:r>
    </w:p>
    <w:p w:rsidR="005449D2" w:rsidRPr="008C142C" w:rsidRDefault="005449D2" w:rsidP="005449D2">
      <w:pPr>
        <w:pStyle w:val="Bullets"/>
        <w:numPr>
          <w:ilvl w:val="0"/>
          <w:numId w:val="30"/>
        </w:numPr>
        <w:spacing w:before="0" w:after="240"/>
      </w:pPr>
      <w:r w:rsidRPr="008C142C">
        <w:t>asbestos-related common law liabilities.</w:t>
      </w:r>
    </w:p>
    <w:p w:rsidR="005449D2" w:rsidRDefault="005449D2" w:rsidP="005449D2">
      <w:r w:rsidRPr="008C142C">
        <w:t xml:space="preserve">These estimates have been prepared by independent actuaries. They are based </w:t>
      </w:r>
      <w:r w:rsidRPr="00AE3E7D">
        <w:t xml:space="preserve">on analysis of the historical development of the relevant claims experience, with allowances for future claim escalation and administration expenses, and are discounted to a present value to allow for the time value of money. </w:t>
      </w:r>
    </w:p>
    <w:p w:rsidR="003626F0" w:rsidRPr="005449D2" w:rsidRDefault="005449D2" w:rsidP="005449D2">
      <w:r>
        <w:t>The estimates of outstanding liabilities have been based on independent actuarial valuations on the basis of the central estimate plus the risk margin that would achieve a 75 per cent probability of sufficiency.</w:t>
      </w:r>
    </w:p>
    <w:sectPr w:rsidR="003626F0" w:rsidRPr="005449D2" w:rsidSect="005449D2">
      <w:headerReference w:type="default" r:id="rId13"/>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C06" w:rsidRDefault="000E0C06" w:rsidP="0094343E">
      <w:pPr>
        <w:spacing w:after="0" w:line="240" w:lineRule="auto"/>
      </w:pPr>
      <w:r>
        <w:separator/>
      </w:r>
    </w:p>
  </w:endnote>
  <w:endnote w:type="continuationSeparator" w:id="0">
    <w:p w:rsidR="000E0C06" w:rsidRDefault="000E0C06" w:rsidP="0094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19876"/>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F63DD3">
          <w:rPr>
            <w:noProof/>
          </w:rPr>
          <w:t>108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909586"/>
      <w:docPartObj>
        <w:docPartGallery w:val="Page Numbers (Bottom of Page)"/>
        <w:docPartUnique/>
      </w:docPartObj>
    </w:sdtPr>
    <w:sdtEndPr>
      <w:rPr>
        <w:noProof/>
      </w:rPr>
    </w:sdtEndPr>
    <w:sdtContent>
      <w:p w:rsidR="0094343E" w:rsidRPr="0094343E" w:rsidRDefault="0094343E" w:rsidP="0094343E">
        <w:pPr>
          <w:pStyle w:val="Footer"/>
          <w:rPr>
            <w:vanish/>
            <w:lang w:val="en-AU"/>
          </w:rPr>
        </w:pPr>
        <w:r>
          <w:fldChar w:fldCharType="begin"/>
        </w:r>
        <w:r>
          <w:instrText xml:space="preserve"> PAGE   \* MERGEFORMAT </w:instrText>
        </w:r>
        <w:r>
          <w:fldChar w:fldCharType="separate"/>
        </w:r>
        <w:r w:rsidR="00F63DD3">
          <w:rPr>
            <w:noProof/>
          </w:rPr>
          <w:t>83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633513"/>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38282F">
          <w:rPr>
            <w:noProof/>
          </w:rPr>
          <w:t>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C06" w:rsidRDefault="000E0C06" w:rsidP="0094343E">
      <w:pPr>
        <w:spacing w:after="0" w:line="240" w:lineRule="auto"/>
      </w:pPr>
      <w:r>
        <w:separator/>
      </w:r>
    </w:p>
  </w:footnote>
  <w:footnote w:type="continuationSeparator" w:id="0">
    <w:p w:rsidR="000E0C06" w:rsidRDefault="000E0C06" w:rsidP="00943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3E" w:rsidRPr="0094343E" w:rsidRDefault="005449D2" w:rsidP="005449D2">
    <w:pPr>
      <w:pStyle w:val="HeaderOdd"/>
      <w:jc w:val="left"/>
    </w:pPr>
    <w:r>
      <w:t>Comcare</w:t>
    </w:r>
    <w:r w:rsidR="0094343E">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D2" w:rsidRPr="0094343E" w:rsidRDefault="005449D2" w:rsidP="005449D2">
    <w:pPr>
      <w:pStyle w:val="HeaderOdd"/>
    </w:pPr>
    <w:r>
      <w:t>Comcare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484"/>
    <w:multiLevelType w:val="hybridMultilevel"/>
    <w:tmpl w:val="0652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7616AA"/>
    <w:multiLevelType w:val="multilevel"/>
    <w:tmpl w:val="742E722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F5120F"/>
    <w:multiLevelType w:val="hybridMultilevel"/>
    <w:tmpl w:val="D9925ED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nsid w:val="0BB25BB6"/>
    <w:multiLevelType w:val="hybridMultilevel"/>
    <w:tmpl w:val="396A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332F2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nsid w:val="10BE0756"/>
    <w:multiLevelType w:val="hybridMultilevel"/>
    <w:tmpl w:val="EECCBD2E"/>
    <w:lvl w:ilvl="0" w:tplc="62A6173E">
      <w:start w:val="1"/>
      <w:numFmt w:val="decimal"/>
      <w:pStyle w:val="TableText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0F07B39"/>
    <w:multiLevelType w:val="multilevel"/>
    <w:tmpl w:val="D2C0968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562137A"/>
    <w:multiLevelType w:val="multilevel"/>
    <w:tmpl w:val="D23E43F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535E01"/>
    <w:multiLevelType w:val="hybridMultilevel"/>
    <w:tmpl w:val="5C189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694A52"/>
    <w:multiLevelType w:val="hybridMultilevel"/>
    <w:tmpl w:val="BE1A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61503D5"/>
    <w:multiLevelType w:val="hybridMultilevel"/>
    <w:tmpl w:val="D1D45E50"/>
    <w:lvl w:ilvl="0" w:tplc="0C090001">
      <w:start w:val="1"/>
      <w:numFmt w:val="bullet"/>
      <w:lvlText w:val=""/>
      <w:lvlJc w:val="left"/>
      <w:pPr>
        <w:tabs>
          <w:tab w:val="num" w:pos="284"/>
        </w:tabs>
        <w:ind w:left="284" w:hanging="284"/>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nsid w:val="380B4F4F"/>
    <w:multiLevelType w:val="hybridMultilevel"/>
    <w:tmpl w:val="B8BA3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B2E19AC"/>
    <w:multiLevelType w:val="singleLevel"/>
    <w:tmpl w:val="85A23F60"/>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nsid w:val="3D14671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976E17"/>
    <w:multiLevelType w:val="multilevel"/>
    <w:tmpl w:val="727C747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nsid w:val="4DC707B5"/>
    <w:multiLevelType w:val="multilevel"/>
    <w:tmpl w:val="D0083A0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027E51"/>
    <w:multiLevelType w:val="hybridMultilevel"/>
    <w:tmpl w:val="6C70694C"/>
    <w:lvl w:ilvl="0" w:tplc="9D149076">
      <w:start w:val="20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33340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7F065A0"/>
    <w:multiLevelType w:val="hybridMultilevel"/>
    <w:tmpl w:val="FF66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9E6788"/>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9490D16"/>
    <w:multiLevelType w:val="hybridMultilevel"/>
    <w:tmpl w:val="F5DCAB2A"/>
    <w:lvl w:ilvl="0" w:tplc="DDEEA6D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961203"/>
    <w:multiLevelType w:val="hybridMultilevel"/>
    <w:tmpl w:val="50D4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4A0C20"/>
    <w:multiLevelType w:val="multilevel"/>
    <w:tmpl w:val="8EE2E45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4E63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4">
    <w:nsid w:val="6EFC1236"/>
    <w:multiLevelType w:val="multilevel"/>
    <w:tmpl w:val="AC84CD7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6">
    <w:nsid w:val="78011607"/>
    <w:multiLevelType w:val="hybridMultilevel"/>
    <w:tmpl w:val="AA0C375C"/>
    <w:lvl w:ilvl="0" w:tplc="2C729646">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80400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BD2CEC"/>
    <w:multiLevelType w:val="multilevel"/>
    <w:tmpl w:val="2AAE9D1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7"/>
  </w:num>
  <w:num w:numId="3">
    <w:abstractNumId w:val="33"/>
  </w:num>
  <w:num w:numId="4">
    <w:abstractNumId w:val="17"/>
  </w:num>
  <w:num w:numId="5">
    <w:abstractNumId w:val="35"/>
  </w:num>
  <w:num w:numId="6">
    <w:abstractNumId w:val="14"/>
  </w:num>
  <w:num w:numId="7">
    <w:abstractNumId w:val="26"/>
  </w:num>
  <w:num w:numId="8">
    <w:abstractNumId w:val="21"/>
  </w:num>
  <w:num w:numId="9">
    <w:abstractNumId w:val="13"/>
  </w:num>
  <w:num w:numId="10">
    <w:abstractNumId w:val="17"/>
    <w:lvlOverride w:ilvl="0">
      <w:startOverride w:val="1"/>
    </w:lvlOverride>
  </w:num>
  <w:num w:numId="11">
    <w:abstractNumId w:val="8"/>
  </w:num>
  <w:num w:numId="12">
    <w:abstractNumId w:val="5"/>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6"/>
  </w:num>
  <w:num w:numId="17">
    <w:abstractNumId w:val="39"/>
  </w:num>
  <w:num w:numId="18">
    <w:abstractNumId w:val="12"/>
  </w:num>
  <w:num w:numId="19">
    <w:abstractNumId w:val="27"/>
  </w:num>
  <w:num w:numId="20">
    <w:abstractNumId w:val="34"/>
  </w:num>
  <w:num w:numId="21">
    <w:abstractNumId w:val="30"/>
  </w:num>
  <w:num w:numId="22">
    <w:abstractNumId w:val="11"/>
  </w:num>
  <w:num w:numId="23">
    <w:abstractNumId w:val="8"/>
    <w:lvlOverride w:ilvl="0">
      <w:startOverride w:val="1"/>
    </w:lvlOverride>
  </w:num>
  <w:num w:numId="24">
    <w:abstractNumId w:val="31"/>
  </w:num>
  <w:num w:numId="25">
    <w:abstractNumId w:val="0"/>
  </w:num>
  <w:num w:numId="26">
    <w:abstractNumId w:val="36"/>
  </w:num>
  <w:num w:numId="27">
    <w:abstractNumId w:val="10"/>
  </w:num>
  <w:num w:numId="28">
    <w:abstractNumId w:val="24"/>
  </w:num>
  <w:num w:numId="29">
    <w:abstractNumId w:val="23"/>
  </w:num>
  <w:num w:numId="30">
    <w:abstractNumId w:val="15"/>
  </w:num>
  <w:num w:numId="31">
    <w:abstractNumId w:val="9"/>
  </w:num>
  <w:num w:numId="32">
    <w:abstractNumId w:val="16"/>
  </w:num>
  <w:num w:numId="33">
    <w:abstractNumId w:val="38"/>
  </w:num>
  <w:num w:numId="34">
    <w:abstractNumId w:val="1"/>
  </w:num>
  <w:num w:numId="35">
    <w:abstractNumId w:val="25"/>
  </w:num>
  <w:num w:numId="36">
    <w:abstractNumId w:val="28"/>
  </w:num>
  <w:num w:numId="37">
    <w:abstractNumId w:val="3"/>
  </w:num>
  <w:num w:numId="38">
    <w:abstractNumId w:val="2"/>
  </w:num>
  <w:num w:numId="39">
    <w:abstractNumId w:val="19"/>
  </w:num>
  <w:num w:numId="40">
    <w:abstractNumId w:val="18"/>
  </w:num>
  <w:num w:numId="41">
    <w:abstractNumId w:val="22"/>
  </w:num>
  <w:num w:numId="42">
    <w:abstractNumId w:val="32"/>
  </w:num>
  <w:num w:numId="43">
    <w:abstractNumId w:val="37"/>
  </w:num>
  <w:num w:numId="44">
    <w:abstractNumId w:val="4"/>
  </w:num>
  <w:num w:numId="45">
    <w:abstractNumId w:val="29"/>
  </w:num>
  <w:num w:numId="46">
    <w:abstractNumId w:val="17"/>
    <w:lvlOverride w:ilvl="0">
      <w:startOverride w:val="1"/>
    </w:lvlOverride>
  </w:num>
  <w:num w:numId="47">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3E"/>
    <w:rsid w:val="000E0C06"/>
    <w:rsid w:val="003626F0"/>
    <w:rsid w:val="0038282F"/>
    <w:rsid w:val="0039762A"/>
    <w:rsid w:val="005449D2"/>
    <w:rsid w:val="00914D32"/>
    <w:rsid w:val="0094343E"/>
    <w:rsid w:val="00DE0909"/>
    <w:rsid w:val="00F63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mcare.gov.au/about_us/comcare_2016-17_corporate_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6415</Words>
  <Characters>36572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WALTER,Natasha</dc:creator>
  <cp:lastModifiedBy>WALTER,Natasha</cp:lastModifiedBy>
  <cp:revision>3</cp:revision>
  <dcterms:created xsi:type="dcterms:W3CDTF">2017-05-08T23:45:00Z</dcterms:created>
  <dcterms:modified xsi:type="dcterms:W3CDTF">2017-05-08T23:52:00Z</dcterms:modified>
</cp:coreProperties>
</file>