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D2" w:rsidRPr="005A7C0B" w:rsidRDefault="00B13129" w:rsidP="00A56CE4">
      <w:pPr>
        <w:pStyle w:val="PartHeading"/>
      </w:pPr>
      <w:r>
        <w:t>Workplace Gender Equality Agency</w:t>
      </w:r>
    </w:p>
    <w:p w:rsidR="005449D2" w:rsidRDefault="005449D2" w:rsidP="005449D2">
      <w:pPr>
        <w:pStyle w:val="PartHeading"/>
      </w:pPr>
    </w:p>
    <w:p w:rsidR="005449D2" w:rsidRDefault="005449D2" w:rsidP="005449D2">
      <w:pPr>
        <w:pStyle w:val="PartHeading"/>
      </w:pPr>
    </w:p>
    <w:p w:rsidR="005449D2" w:rsidRDefault="005449D2" w:rsidP="005449D2">
      <w:pPr>
        <w:pStyle w:val="PartHeading-TOC"/>
      </w:pPr>
      <w:bookmarkStart w:id="0" w:name="_Toc477521326"/>
      <w:bookmarkStart w:id="1" w:name="_Toc478042431"/>
      <w:bookmarkStart w:id="2" w:name="_Toc479766396"/>
      <w:bookmarkStart w:id="3" w:name="_Toc480465113"/>
      <w:bookmarkStart w:id="4" w:name="_Toc481406000"/>
      <w:bookmarkStart w:id="5" w:name="_Toc481863969"/>
      <w:bookmarkStart w:id="6" w:name="_Toc481938004"/>
      <w:r>
        <w:t>Entity resources and planned performance</w:t>
      </w:r>
      <w:bookmarkEnd w:id="0"/>
      <w:bookmarkEnd w:id="1"/>
      <w:bookmarkEnd w:id="2"/>
      <w:bookmarkEnd w:id="3"/>
      <w:bookmarkEnd w:id="4"/>
      <w:bookmarkEnd w:id="5"/>
      <w:bookmarkEnd w:id="6"/>
    </w:p>
    <w:p w:rsidR="005449D2" w:rsidRDefault="005449D2" w:rsidP="005449D2">
      <w:pPr>
        <w:pStyle w:val="ContentsHeading"/>
        <w:sectPr w:rsidR="005449D2" w:rsidSect="00B13129">
          <w:headerReference w:type="even" r:id="rId8"/>
          <w:footerReference w:type="even" r:id="rId9"/>
          <w:footerReference w:type="default" r:id="rId10"/>
          <w:footerReference w:type="first" r:id="rId11"/>
          <w:pgSz w:w="11906" w:h="16838" w:code="9"/>
          <w:pgMar w:top="5069" w:right="2098" w:bottom="2466" w:left="2098" w:header="1899" w:footer="1899" w:gutter="0"/>
          <w:pgNumType w:start="173"/>
          <w:cols w:space="708"/>
          <w:docGrid w:linePitch="360"/>
        </w:sectPr>
      </w:pPr>
    </w:p>
    <w:p w:rsidR="00B13129" w:rsidRPr="002A32FD" w:rsidRDefault="00B13129" w:rsidP="00B13129">
      <w:pPr>
        <w:pStyle w:val="ContentsHeading"/>
      </w:pPr>
      <w:r>
        <w:t>Workplace Gender Equality Agency</w:t>
      </w:r>
    </w:p>
    <w:p w:rsidR="00B13129" w:rsidRPr="00FD306A" w:rsidRDefault="00B13129" w:rsidP="00B13129">
      <w:pPr>
        <w:pStyle w:val="TOC1"/>
        <w:rPr>
          <w:rFonts w:ascii="Calibri" w:hAnsi="Calibri"/>
          <w:noProof/>
          <w:sz w:val="22"/>
          <w:szCs w:val="22"/>
        </w:rPr>
      </w:pPr>
      <w:r>
        <w:fldChar w:fldCharType="begin"/>
      </w:r>
      <w:r>
        <w:instrText xml:space="preserve"> TOC \h \z \t "Heading 2,1,Heading 3,2" </w:instrText>
      </w:r>
      <w:r>
        <w:fldChar w:fldCharType="separate"/>
      </w:r>
      <w:hyperlink w:anchor="_Toc479796581" w:history="1">
        <w:r w:rsidRPr="005E0475">
          <w:rPr>
            <w:rStyle w:val="Hyperlink"/>
            <w:noProof/>
          </w:rPr>
          <w:t>Section 1: Entity overview and resources</w:t>
        </w:r>
        <w:r>
          <w:rPr>
            <w:noProof/>
            <w:webHidden/>
          </w:rPr>
          <w:tab/>
        </w:r>
        <w:r>
          <w:rPr>
            <w:noProof/>
            <w:webHidden/>
          </w:rPr>
          <w:fldChar w:fldCharType="begin"/>
        </w:r>
        <w:r>
          <w:rPr>
            <w:noProof/>
            <w:webHidden/>
          </w:rPr>
          <w:instrText xml:space="preserve"> PAGEREF _Toc479796581 \h </w:instrText>
        </w:r>
        <w:r>
          <w:rPr>
            <w:noProof/>
            <w:webHidden/>
          </w:rPr>
        </w:r>
        <w:r>
          <w:rPr>
            <w:noProof/>
            <w:webHidden/>
          </w:rPr>
          <w:fldChar w:fldCharType="separate"/>
        </w:r>
        <w:r>
          <w:rPr>
            <w:noProof/>
            <w:webHidden/>
          </w:rPr>
          <w:t>177</w:t>
        </w:r>
        <w:r>
          <w:rPr>
            <w:noProof/>
            <w:webHidden/>
          </w:rPr>
          <w:fldChar w:fldCharType="end"/>
        </w:r>
      </w:hyperlink>
    </w:p>
    <w:p w:rsidR="00B13129" w:rsidRPr="00FD306A" w:rsidRDefault="0065146F" w:rsidP="00B13129">
      <w:pPr>
        <w:pStyle w:val="TOC2"/>
        <w:tabs>
          <w:tab w:val="left" w:pos="800"/>
        </w:tabs>
        <w:rPr>
          <w:rFonts w:ascii="Calibri" w:hAnsi="Calibri"/>
          <w:noProof/>
          <w:sz w:val="22"/>
          <w:szCs w:val="22"/>
        </w:rPr>
      </w:pPr>
      <w:hyperlink w:anchor="_Toc479796582" w:history="1">
        <w:r w:rsidR="00B13129" w:rsidRPr="005E0475">
          <w:rPr>
            <w:rStyle w:val="Hyperlink"/>
            <w:noProof/>
          </w:rPr>
          <w:t>1.1</w:t>
        </w:r>
        <w:r w:rsidR="00B13129" w:rsidRPr="00FD306A">
          <w:rPr>
            <w:rFonts w:ascii="Calibri" w:hAnsi="Calibri"/>
            <w:noProof/>
            <w:sz w:val="22"/>
            <w:szCs w:val="22"/>
          </w:rPr>
          <w:tab/>
        </w:r>
        <w:r w:rsidR="00B13129" w:rsidRPr="005E0475">
          <w:rPr>
            <w:rStyle w:val="Hyperlink"/>
            <w:noProof/>
          </w:rPr>
          <w:t>Strategic direction statement</w:t>
        </w:r>
        <w:r w:rsidR="00B13129">
          <w:rPr>
            <w:noProof/>
            <w:webHidden/>
          </w:rPr>
          <w:tab/>
        </w:r>
        <w:r w:rsidR="00B13129">
          <w:rPr>
            <w:noProof/>
            <w:webHidden/>
          </w:rPr>
          <w:fldChar w:fldCharType="begin"/>
        </w:r>
        <w:r w:rsidR="00B13129">
          <w:rPr>
            <w:noProof/>
            <w:webHidden/>
          </w:rPr>
          <w:instrText xml:space="preserve"> PAGEREF _Toc479796582 \h </w:instrText>
        </w:r>
        <w:r w:rsidR="00B13129">
          <w:rPr>
            <w:noProof/>
            <w:webHidden/>
          </w:rPr>
        </w:r>
        <w:r w:rsidR="00B13129">
          <w:rPr>
            <w:noProof/>
            <w:webHidden/>
          </w:rPr>
          <w:fldChar w:fldCharType="separate"/>
        </w:r>
        <w:r w:rsidR="00B13129">
          <w:rPr>
            <w:noProof/>
            <w:webHidden/>
          </w:rPr>
          <w:t>177</w:t>
        </w:r>
        <w:r w:rsidR="00B13129">
          <w:rPr>
            <w:noProof/>
            <w:webHidden/>
          </w:rPr>
          <w:fldChar w:fldCharType="end"/>
        </w:r>
      </w:hyperlink>
    </w:p>
    <w:p w:rsidR="00B13129" w:rsidRPr="00FD306A" w:rsidRDefault="0065146F" w:rsidP="00B13129">
      <w:pPr>
        <w:pStyle w:val="TOC2"/>
        <w:tabs>
          <w:tab w:val="left" w:pos="800"/>
        </w:tabs>
        <w:rPr>
          <w:rFonts w:ascii="Calibri" w:hAnsi="Calibri"/>
          <w:noProof/>
          <w:sz w:val="22"/>
          <w:szCs w:val="22"/>
        </w:rPr>
      </w:pPr>
      <w:hyperlink w:anchor="_Toc479796583" w:history="1">
        <w:r w:rsidR="00B13129" w:rsidRPr="005E0475">
          <w:rPr>
            <w:rStyle w:val="Hyperlink"/>
            <w:noProof/>
          </w:rPr>
          <w:t>1.2</w:t>
        </w:r>
        <w:r w:rsidR="00B13129" w:rsidRPr="00FD306A">
          <w:rPr>
            <w:rFonts w:ascii="Calibri" w:hAnsi="Calibri"/>
            <w:noProof/>
            <w:sz w:val="22"/>
            <w:szCs w:val="22"/>
          </w:rPr>
          <w:tab/>
        </w:r>
        <w:r w:rsidR="00B13129" w:rsidRPr="005E0475">
          <w:rPr>
            <w:rStyle w:val="Hyperlink"/>
            <w:noProof/>
          </w:rPr>
          <w:t>Entity resource statement</w:t>
        </w:r>
        <w:r w:rsidR="00B13129">
          <w:rPr>
            <w:noProof/>
            <w:webHidden/>
          </w:rPr>
          <w:tab/>
        </w:r>
        <w:r w:rsidR="00B13129">
          <w:rPr>
            <w:noProof/>
            <w:webHidden/>
          </w:rPr>
          <w:fldChar w:fldCharType="begin"/>
        </w:r>
        <w:r w:rsidR="00B13129">
          <w:rPr>
            <w:noProof/>
            <w:webHidden/>
          </w:rPr>
          <w:instrText xml:space="preserve"> PAGEREF _Toc479796583 \h </w:instrText>
        </w:r>
        <w:r w:rsidR="00B13129">
          <w:rPr>
            <w:noProof/>
            <w:webHidden/>
          </w:rPr>
        </w:r>
        <w:r w:rsidR="00B13129">
          <w:rPr>
            <w:noProof/>
            <w:webHidden/>
          </w:rPr>
          <w:fldChar w:fldCharType="separate"/>
        </w:r>
        <w:r w:rsidR="00B13129">
          <w:rPr>
            <w:noProof/>
            <w:webHidden/>
          </w:rPr>
          <w:t>179</w:t>
        </w:r>
        <w:r w:rsidR="00B13129">
          <w:rPr>
            <w:noProof/>
            <w:webHidden/>
          </w:rPr>
          <w:fldChar w:fldCharType="end"/>
        </w:r>
      </w:hyperlink>
    </w:p>
    <w:p w:rsidR="00B13129" w:rsidRPr="00FD306A" w:rsidRDefault="0065146F" w:rsidP="00B13129">
      <w:pPr>
        <w:pStyle w:val="TOC2"/>
        <w:tabs>
          <w:tab w:val="left" w:pos="800"/>
        </w:tabs>
        <w:rPr>
          <w:rFonts w:ascii="Calibri" w:hAnsi="Calibri"/>
          <w:noProof/>
          <w:sz w:val="22"/>
          <w:szCs w:val="22"/>
        </w:rPr>
      </w:pPr>
      <w:hyperlink w:anchor="_Toc479796584" w:history="1">
        <w:r w:rsidR="00B13129" w:rsidRPr="005E0475">
          <w:rPr>
            <w:rStyle w:val="Hyperlink"/>
            <w:noProof/>
          </w:rPr>
          <w:t>1.3</w:t>
        </w:r>
        <w:r w:rsidR="00B13129" w:rsidRPr="00FD306A">
          <w:rPr>
            <w:rFonts w:ascii="Calibri" w:hAnsi="Calibri"/>
            <w:noProof/>
            <w:sz w:val="22"/>
            <w:szCs w:val="22"/>
          </w:rPr>
          <w:tab/>
        </w:r>
        <w:r w:rsidR="00B13129" w:rsidRPr="005E0475">
          <w:rPr>
            <w:rStyle w:val="Hyperlink"/>
            <w:noProof/>
          </w:rPr>
          <w:t>Budget measures</w:t>
        </w:r>
        <w:r w:rsidR="00B13129">
          <w:rPr>
            <w:noProof/>
            <w:webHidden/>
          </w:rPr>
          <w:tab/>
        </w:r>
        <w:r w:rsidR="00B13129">
          <w:rPr>
            <w:noProof/>
            <w:webHidden/>
          </w:rPr>
          <w:fldChar w:fldCharType="begin"/>
        </w:r>
        <w:r w:rsidR="00B13129">
          <w:rPr>
            <w:noProof/>
            <w:webHidden/>
          </w:rPr>
          <w:instrText xml:space="preserve"> PAGEREF _Toc479796584 \h </w:instrText>
        </w:r>
        <w:r w:rsidR="00B13129">
          <w:rPr>
            <w:noProof/>
            <w:webHidden/>
          </w:rPr>
        </w:r>
        <w:r w:rsidR="00B13129">
          <w:rPr>
            <w:noProof/>
            <w:webHidden/>
          </w:rPr>
          <w:fldChar w:fldCharType="separate"/>
        </w:r>
        <w:r w:rsidR="00B13129">
          <w:rPr>
            <w:noProof/>
            <w:webHidden/>
          </w:rPr>
          <w:t>180</w:t>
        </w:r>
        <w:r w:rsidR="00B13129">
          <w:rPr>
            <w:noProof/>
            <w:webHidden/>
          </w:rPr>
          <w:fldChar w:fldCharType="end"/>
        </w:r>
      </w:hyperlink>
    </w:p>
    <w:p w:rsidR="00B13129" w:rsidRPr="00FD306A" w:rsidRDefault="0065146F" w:rsidP="00B13129">
      <w:pPr>
        <w:pStyle w:val="TOC1"/>
        <w:rPr>
          <w:rFonts w:ascii="Calibri" w:hAnsi="Calibri"/>
          <w:b w:val="0"/>
          <w:caps w:val="0"/>
          <w:noProof/>
          <w:sz w:val="22"/>
          <w:szCs w:val="22"/>
        </w:rPr>
      </w:pPr>
      <w:hyperlink w:anchor="_Toc479796585" w:history="1">
        <w:r w:rsidR="00B13129" w:rsidRPr="005E0475">
          <w:rPr>
            <w:rStyle w:val="Hyperlink"/>
            <w:noProof/>
          </w:rPr>
          <w:t>Section 2: Outcomes and planned performance</w:t>
        </w:r>
        <w:r w:rsidR="00B13129">
          <w:rPr>
            <w:noProof/>
            <w:webHidden/>
          </w:rPr>
          <w:tab/>
        </w:r>
        <w:r w:rsidR="00B13129">
          <w:rPr>
            <w:noProof/>
            <w:webHidden/>
          </w:rPr>
          <w:fldChar w:fldCharType="begin"/>
        </w:r>
        <w:r w:rsidR="00B13129">
          <w:rPr>
            <w:noProof/>
            <w:webHidden/>
          </w:rPr>
          <w:instrText xml:space="preserve"> PAGEREF _Toc479796585 \h </w:instrText>
        </w:r>
        <w:r w:rsidR="00B13129">
          <w:rPr>
            <w:noProof/>
            <w:webHidden/>
          </w:rPr>
        </w:r>
        <w:r w:rsidR="00B13129">
          <w:rPr>
            <w:noProof/>
            <w:webHidden/>
          </w:rPr>
          <w:fldChar w:fldCharType="separate"/>
        </w:r>
        <w:r w:rsidR="00B13129">
          <w:rPr>
            <w:noProof/>
            <w:webHidden/>
          </w:rPr>
          <w:t>181</w:t>
        </w:r>
        <w:r w:rsidR="00B13129">
          <w:rPr>
            <w:noProof/>
            <w:webHidden/>
          </w:rPr>
          <w:fldChar w:fldCharType="end"/>
        </w:r>
      </w:hyperlink>
    </w:p>
    <w:p w:rsidR="00B13129" w:rsidRPr="00FD306A" w:rsidRDefault="0065146F" w:rsidP="00B13129">
      <w:pPr>
        <w:pStyle w:val="TOC2"/>
        <w:tabs>
          <w:tab w:val="left" w:pos="800"/>
        </w:tabs>
        <w:rPr>
          <w:rFonts w:ascii="Calibri" w:hAnsi="Calibri"/>
          <w:noProof/>
          <w:sz w:val="22"/>
          <w:szCs w:val="22"/>
        </w:rPr>
      </w:pPr>
      <w:hyperlink w:anchor="_Toc479796586" w:history="1">
        <w:r w:rsidR="00B13129" w:rsidRPr="005E0475">
          <w:rPr>
            <w:rStyle w:val="Hyperlink"/>
            <w:noProof/>
          </w:rPr>
          <w:t xml:space="preserve">2.1 </w:t>
        </w:r>
        <w:r w:rsidR="00B13129" w:rsidRPr="00FD306A">
          <w:rPr>
            <w:rFonts w:ascii="Calibri" w:hAnsi="Calibri"/>
            <w:noProof/>
            <w:sz w:val="22"/>
            <w:szCs w:val="22"/>
          </w:rPr>
          <w:tab/>
        </w:r>
        <w:r w:rsidR="00B13129" w:rsidRPr="005E0475">
          <w:rPr>
            <w:rStyle w:val="Hyperlink"/>
            <w:noProof/>
          </w:rPr>
          <w:t>Budgeted expenses and performance for Outcome 1</w:t>
        </w:r>
        <w:r w:rsidR="00B13129">
          <w:rPr>
            <w:noProof/>
            <w:webHidden/>
          </w:rPr>
          <w:tab/>
        </w:r>
        <w:r w:rsidR="00B13129">
          <w:rPr>
            <w:noProof/>
            <w:webHidden/>
          </w:rPr>
          <w:fldChar w:fldCharType="begin"/>
        </w:r>
        <w:r w:rsidR="00B13129">
          <w:rPr>
            <w:noProof/>
            <w:webHidden/>
          </w:rPr>
          <w:instrText xml:space="preserve"> PAGEREF _Toc479796586 \h </w:instrText>
        </w:r>
        <w:r w:rsidR="00B13129">
          <w:rPr>
            <w:noProof/>
            <w:webHidden/>
          </w:rPr>
        </w:r>
        <w:r w:rsidR="00B13129">
          <w:rPr>
            <w:noProof/>
            <w:webHidden/>
          </w:rPr>
          <w:fldChar w:fldCharType="separate"/>
        </w:r>
        <w:r w:rsidR="00B13129">
          <w:rPr>
            <w:noProof/>
            <w:webHidden/>
          </w:rPr>
          <w:t>182</w:t>
        </w:r>
        <w:r w:rsidR="00B13129">
          <w:rPr>
            <w:noProof/>
            <w:webHidden/>
          </w:rPr>
          <w:fldChar w:fldCharType="end"/>
        </w:r>
      </w:hyperlink>
    </w:p>
    <w:p w:rsidR="00B13129" w:rsidRPr="00FD306A" w:rsidRDefault="0065146F" w:rsidP="00B13129">
      <w:pPr>
        <w:pStyle w:val="TOC1"/>
        <w:rPr>
          <w:rFonts w:ascii="Calibri" w:hAnsi="Calibri"/>
          <w:b w:val="0"/>
          <w:caps w:val="0"/>
          <w:noProof/>
          <w:sz w:val="22"/>
          <w:szCs w:val="22"/>
        </w:rPr>
      </w:pPr>
      <w:hyperlink w:anchor="_Toc479796587" w:history="1">
        <w:r w:rsidR="00B13129" w:rsidRPr="005E0475">
          <w:rPr>
            <w:rStyle w:val="Hyperlink"/>
            <w:noProof/>
          </w:rPr>
          <w:t>Section 3: Budgeted financial statements</w:t>
        </w:r>
        <w:r w:rsidR="00B13129">
          <w:rPr>
            <w:noProof/>
            <w:webHidden/>
          </w:rPr>
          <w:tab/>
        </w:r>
        <w:r w:rsidR="00B13129">
          <w:rPr>
            <w:noProof/>
            <w:webHidden/>
          </w:rPr>
          <w:fldChar w:fldCharType="begin"/>
        </w:r>
        <w:r w:rsidR="00B13129">
          <w:rPr>
            <w:noProof/>
            <w:webHidden/>
          </w:rPr>
          <w:instrText xml:space="preserve"> PAGEREF _Toc479796587 \h </w:instrText>
        </w:r>
        <w:r w:rsidR="00B13129">
          <w:rPr>
            <w:noProof/>
            <w:webHidden/>
          </w:rPr>
        </w:r>
        <w:r w:rsidR="00B13129">
          <w:rPr>
            <w:noProof/>
            <w:webHidden/>
          </w:rPr>
          <w:fldChar w:fldCharType="separate"/>
        </w:r>
        <w:r w:rsidR="00B13129">
          <w:rPr>
            <w:noProof/>
            <w:webHidden/>
          </w:rPr>
          <w:t>185</w:t>
        </w:r>
        <w:r w:rsidR="00B13129">
          <w:rPr>
            <w:noProof/>
            <w:webHidden/>
          </w:rPr>
          <w:fldChar w:fldCharType="end"/>
        </w:r>
      </w:hyperlink>
    </w:p>
    <w:p w:rsidR="00B13129" w:rsidRPr="00FD306A" w:rsidRDefault="0065146F" w:rsidP="00B13129">
      <w:pPr>
        <w:pStyle w:val="TOC2"/>
        <w:tabs>
          <w:tab w:val="left" w:pos="800"/>
        </w:tabs>
        <w:rPr>
          <w:rFonts w:ascii="Calibri" w:hAnsi="Calibri"/>
          <w:noProof/>
          <w:sz w:val="22"/>
          <w:szCs w:val="22"/>
        </w:rPr>
      </w:pPr>
      <w:hyperlink w:anchor="_Toc479796588" w:history="1">
        <w:r w:rsidR="00B13129" w:rsidRPr="005E0475">
          <w:rPr>
            <w:rStyle w:val="Hyperlink"/>
            <w:noProof/>
          </w:rPr>
          <w:t>3.1</w:t>
        </w:r>
        <w:r w:rsidR="00B13129" w:rsidRPr="00FD306A">
          <w:rPr>
            <w:rFonts w:ascii="Calibri" w:hAnsi="Calibri"/>
            <w:noProof/>
            <w:sz w:val="22"/>
            <w:szCs w:val="22"/>
          </w:rPr>
          <w:tab/>
        </w:r>
        <w:r w:rsidR="00B13129" w:rsidRPr="005E0475">
          <w:rPr>
            <w:rStyle w:val="Hyperlink"/>
            <w:noProof/>
          </w:rPr>
          <w:t>Budgeted financial statements</w:t>
        </w:r>
        <w:r w:rsidR="00B13129">
          <w:rPr>
            <w:noProof/>
            <w:webHidden/>
          </w:rPr>
          <w:tab/>
        </w:r>
        <w:r w:rsidR="00B13129">
          <w:rPr>
            <w:noProof/>
            <w:webHidden/>
          </w:rPr>
          <w:fldChar w:fldCharType="begin"/>
        </w:r>
        <w:r w:rsidR="00B13129">
          <w:rPr>
            <w:noProof/>
            <w:webHidden/>
          </w:rPr>
          <w:instrText xml:space="preserve"> PAGEREF _Toc479796588 \h </w:instrText>
        </w:r>
        <w:r w:rsidR="00B13129">
          <w:rPr>
            <w:noProof/>
            <w:webHidden/>
          </w:rPr>
        </w:r>
        <w:r w:rsidR="00B13129">
          <w:rPr>
            <w:noProof/>
            <w:webHidden/>
          </w:rPr>
          <w:fldChar w:fldCharType="separate"/>
        </w:r>
        <w:r w:rsidR="00B13129">
          <w:rPr>
            <w:noProof/>
            <w:webHidden/>
          </w:rPr>
          <w:t>185</w:t>
        </w:r>
        <w:r w:rsidR="00B13129">
          <w:rPr>
            <w:noProof/>
            <w:webHidden/>
          </w:rPr>
          <w:fldChar w:fldCharType="end"/>
        </w:r>
      </w:hyperlink>
    </w:p>
    <w:p w:rsidR="00B13129" w:rsidRPr="00FD306A" w:rsidRDefault="0065146F" w:rsidP="00B13129">
      <w:pPr>
        <w:pStyle w:val="TOC2"/>
        <w:tabs>
          <w:tab w:val="left" w:pos="800"/>
        </w:tabs>
        <w:rPr>
          <w:rFonts w:ascii="Calibri" w:hAnsi="Calibri"/>
          <w:noProof/>
          <w:sz w:val="22"/>
          <w:szCs w:val="22"/>
        </w:rPr>
      </w:pPr>
      <w:hyperlink w:anchor="_Toc479796589" w:history="1">
        <w:r w:rsidR="00B13129" w:rsidRPr="005E0475">
          <w:rPr>
            <w:rStyle w:val="Hyperlink"/>
            <w:noProof/>
          </w:rPr>
          <w:t>3.2.</w:t>
        </w:r>
        <w:r w:rsidR="00B13129" w:rsidRPr="00FD306A">
          <w:rPr>
            <w:rFonts w:ascii="Calibri" w:hAnsi="Calibri"/>
            <w:noProof/>
            <w:sz w:val="22"/>
            <w:szCs w:val="22"/>
          </w:rPr>
          <w:tab/>
        </w:r>
        <w:r w:rsidR="00B13129" w:rsidRPr="005E0475">
          <w:rPr>
            <w:rStyle w:val="Hyperlink"/>
            <w:noProof/>
          </w:rPr>
          <w:t>Budgeted financial statements tables</w:t>
        </w:r>
        <w:r w:rsidR="00B13129">
          <w:rPr>
            <w:noProof/>
            <w:webHidden/>
          </w:rPr>
          <w:tab/>
        </w:r>
        <w:r w:rsidR="00B13129">
          <w:rPr>
            <w:noProof/>
            <w:webHidden/>
          </w:rPr>
          <w:fldChar w:fldCharType="begin"/>
        </w:r>
        <w:r w:rsidR="00B13129">
          <w:rPr>
            <w:noProof/>
            <w:webHidden/>
          </w:rPr>
          <w:instrText xml:space="preserve"> PAGEREF _Toc479796589 \h </w:instrText>
        </w:r>
        <w:r w:rsidR="00B13129">
          <w:rPr>
            <w:noProof/>
            <w:webHidden/>
          </w:rPr>
        </w:r>
        <w:r w:rsidR="00B13129">
          <w:rPr>
            <w:noProof/>
            <w:webHidden/>
          </w:rPr>
          <w:fldChar w:fldCharType="separate"/>
        </w:r>
        <w:r w:rsidR="00B13129">
          <w:rPr>
            <w:noProof/>
            <w:webHidden/>
          </w:rPr>
          <w:t>186</w:t>
        </w:r>
        <w:r w:rsidR="00B13129">
          <w:rPr>
            <w:noProof/>
            <w:webHidden/>
          </w:rPr>
          <w:fldChar w:fldCharType="end"/>
        </w:r>
      </w:hyperlink>
    </w:p>
    <w:p w:rsidR="005449D2" w:rsidRPr="007E65A9" w:rsidRDefault="00B13129" w:rsidP="00B13129">
      <w:pPr>
        <w:pStyle w:val="TOC2"/>
        <w:tabs>
          <w:tab w:val="left" w:pos="800"/>
        </w:tabs>
        <w:rPr>
          <w:rFonts w:ascii="Calibri" w:hAnsi="Calibri"/>
          <w:noProof/>
          <w:sz w:val="22"/>
          <w:szCs w:val="22"/>
        </w:rPr>
      </w:pPr>
      <w:r>
        <w:fldChar w:fldCharType="end"/>
      </w:r>
    </w:p>
    <w:p w:rsidR="005449D2" w:rsidRDefault="005449D2" w:rsidP="005449D2"/>
    <w:p w:rsidR="005449D2" w:rsidRDefault="005449D2" w:rsidP="005449D2">
      <w:pPr>
        <w:pStyle w:val="Heading1-TOC"/>
        <w:sectPr w:rsidR="005449D2" w:rsidSect="005449D2">
          <w:type w:val="oddPage"/>
          <w:pgSz w:w="11906" w:h="16838" w:code="9"/>
          <w:pgMar w:top="2466" w:right="2098" w:bottom="2466" w:left="2098" w:header="1899" w:footer="1899" w:gutter="0"/>
          <w:cols w:space="708"/>
          <w:docGrid w:linePitch="360"/>
        </w:sectPr>
      </w:pPr>
      <w:bookmarkStart w:id="7" w:name="_Toc481938005"/>
    </w:p>
    <w:p w:rsidR="00B13129" w:rsidRDefault="00B13129" w:rsidP="00B13129">
      <w:pPr>
        <w:pStyle w:val="Heading1-TOC"/>
      </w:pPr>
      <w:bookmarkStart w:id="8" w:name="_Toc481938013"/>
      <w:bookmarkEnd w:id="7"/>
      <w:r>
        <w:t>Workplace Gender Equality Agency</w:t>
      </w:r>
      <w:bookmarkEnd w:id="8"/>
    </w:p>
    <w:p w:rsidR="00B13129" w:rsidRPr="002C4D41" w:rsidRDefault="00B13129" w:rsidP="00B13129">
      <w:pPr>
        <w:pStyle w:val="Heading2"/>
      </w:pPr>
      <w:bookmarkStart w:id="9" w:name="_Toc479589142"/>
      <w:bookmarkStart w:id="10" w:name="_Toc479613772"/>
      <w:bookmarkStart w:id="11" w:name="_Toc479796581"/>
      <w:bookmarkStart w:id="12" w:name="_Toc479844107"/>
      <w:bookmarkStart w:id="13" w:name="_Toc479848715"/>
      <w:bookmarkStart w:id="14" w:name="_Toc480270280"/>
      <w:bookmarkStart w:id="15" w:name="_Toc480459430"/>
      <w:bookmarkStart w:id="16" w:name="_Toc480459503"/>
      <w:r w:rsidRPr="002C4D41">
        <w:t>Section 1: Entity overview and resources</w:t>
      </w:r>
      <w:bookmarkEnd w:id="9"/>
      <w:bookmarkEnd w:id="10"/>
      <w:bookmarkEnd w:id="11"/>
      <w:bookmarkEnd w:id="12"/>
      <w:bookmarkEnd w:id="13"/>
      <w:bookmarkEnd w:id="14"/>
      <w:bookmarkEnd w:id="15"/>
      <w:bookmarkEnd w:id="16"/>
    </w:p>
    <w:p w:rsidR="00B13129" w:rsidRDefault="00B13129" w:rsidP="00B13129">
      <w:pPr>
        <w:pStyle w:val="Heading3"/>
        <w:numPr>
          <w:ilvl w:val="1"/>
          <w:numId w:val="24"/>
        </w:numPr>
      </w:pPr>
      <w:bookmarkStart w:id="17" w:name="_Toc479589143"/>
      <w:bookmarkStart w:id="18" w:name="_Toc479613773"/>
      <w:bookmarkStart w:id="19" w:name="_Toc479796582"/>
      <w:bookmarkStart w:id="20" w:name="_Toc479844108"/>
      <w:bookmarkStart w:id="21" w:name="_Toc479848716"/>
      <w:bookmarkStart w:id="22" w:name="_Toc480270281"/>
      <w:bookmarkStart w:id="23" w:name="_Toc480459431"/>
      <w:bookmarkStart w:id="24" w:name="_Toc480459504"/>
      <w:r>
        <w:t>Strategic direction statement</w:t>
      </w:r>
      <w:bookmarkEnd w:id="17"/>
      <w:bookmarkEnd w:id="18"/>
      <w:bookmarkEnd w:id="19"/>
      <w:bookmarkEnd w:id="20"/>
      <w:bookmarkEnd w:id="21"/>
      <w:bookmarkEnd w:id="22"/>
      <w:bookmarkEnd w:id="23"/>
      <w:bookmarkEnd w:id="24"/>
    </w:p>
    <w:p w:rsidR="00B13129" w:rsidRDefault="00B13129" w:rsidP="00B13129">
      <w:r>
        <w:t xml:space="preserve">The Workplace Gender Equality Agency (WGEA) is established by the </w:t>
      </w:r>
      <w:r>
        <w:rPr>
          <w:i/>
        </w:rPr>
        <w:t>Workplace Gender Equality Act 2012</w:t>
      </w:r>
      <w:r>
        <w:t xml:space="preserve"> (the Act) and is charged with promoting and improving gender equality in Australian workplaces. </w:t>
      </w:r>
    </w:p>
    <w:p w:rsidR="00B13129" w:rsidRDefault="00B13129" w:rsidP="00B13129">
      <w:pPr>
        <w:spacing w:after="80"/>
      </w:pPr>
      <w:r>
        <w:t>The Act requires non-public sector employers with 100 or more employees to submit a report to the Agency annually against standardised gender equality indications (GEIs):</w:t>
      </w:r>
    </w:p>
    <w:p w:rsidR="00B13129" w:rsidRDefault="00B13129" w:rsidP="00B13129">
      <w:pPr>
        <w:numPr>
          <w:ilvl w:val="0"/>
          <w:numId w:val="22"/>
        </w:numPr>
        <w:spacing w:after="80"/>
      </w:pPr>
      <w:r>
        <w:t>GEI 1: gender composition of the workforce</w:t>
      </w:r>
    </w:p>
    <w:p w:rsidR="00B13129" w:rsidRPr="00E20E97" w:rsidRDefault="00B13129" w:rsidP="00B13129">
      <w:pPr>
        <w:numPr>
          <w:ilvl w:val="0"/>
          <w:numId w:val="22"/>
        </w:numPr>
        <w:spacing w:after="80"/>
      </w:pPr>
      <w:r>
        <w:t xml:space="preserve">GEI 2: </w:t>
      </w:r>
      <w:r w:rsidRPr="00E20E97">
        <w:t>gender composition of governing bodies</w:t>
      </w:r>
    </w:p>
    <w:p w:rsidR="00B13129" w:rsidRPr="00E20E97" w:rsidRDefault="00B13129" w:rsidP="00B13129">
      <w:pPr>
        <w:numPr>
          <w:ilvl w:val="0"/>
          <w:numId w:val="22"/>
        </w:numPr>
        <w:spacing w:after="80"/>
      </w:pPr>
      <w:r w:rsidRPr="00E20E97">
        <w:t>GEI 3: equal remuneration between women and men</w:t>
      </w:r>
    </w:p>
    <w:p w:rsidR="00B13129" w:rsidRPr="00E20E97" w:rsidRDefault="00B13129" w:rsidP="00B13129">
      <w:pPr>
        <w:numPr>
          <w:ilvl w:val="0"/>
          <w:numId w:val="22"/>
        </w:numPr>
        <w:spacing w:after="80"/>
      </w:pPr>
      <w:r w:rsidRPr="00E20E97">
        <w:t>GEI 4: availability and utility of employment terms, conditions and practices relating to flexible working arrangements for employees and to working arrangements supporting employees with family or caring responsibilities</w:t>
      </w:r>
    </w:p>
    <w:p w:rsidR="00B13129" w:rsidRPr="00E20E97" w:rsidRDefault="00B13129" w:rsidP="00B13129">
      <w:pPr>
        <w:numPr>
          <w:ilvl w:val="0"/>
          <w:numId w:val="22"/>
        </w:numPr>
        <w:spacing w:after="80"/>
      </w:pPr>
      <w:r w:rsidRPr="00E20E97">
        <w:t>GEI 5: consultation with employees on issues concerning gender equality in the workplace</w:t>
      </w:r>
    </w:p>
    <w:p w:rsidR="00B13129" w:rsidRPr="00E20E97" w:rsidRDefault="00B13129" w:rsidP="00B13129">
      <w:pPr>
        <w:numPr>
          <w:ilvl w:val="0"/>
          <w:numId w:val="22"/>
        </w:numPr>
        <w:ind w:left="714" w:hanging="357"/>
      </w:pPr>
      <w:r w:rsidRPr="00E20E97">
        <w:t>GEI 6: sex-based harassment and discrimination</w:t>
      </w:r>
      <w:r>
        <w:t>.</w:t>
      </w:r>
    </w:p>
    <w:p w:rsidR="00B13129" w:rsidRDefault="00B13129" w:rsidP="00B13129">
      <w:r>
        <w:t xml:space="preserve">Monitoring and reporting on the progress of Australian workplaces against these indicators is important in driving cultural change and improving workplace gender equality. After three years of full reporting under the Act, measurable change is underway. The gender pay gap is declining, the representation of women in senior management roles is increasing and the proportion of employers reporting that they are taking action on gender equality is growing. For the first time, in the 2015–16 reporting period, more than 70 per cent of Australian employers covered by WGEA reported having policies in place to support workplace gender equality. </w:t>
      </w:r>
    </w:p>
    <w:p w:rsidR="00B13129" w:rsidRDefault="00B13129" w:rsidP="00B13129">
      <w:pPr>
        <w:spacing w:after="80"/>
      </w:pPr>
      <w:r>
        <w:t>The Workplace Gender Equality Agency growing dataset is a valuable national resource, with rich information on the status of women and men in more than 12,000 organisations covering about four million employees. This data underpins initiatives to promote and improve workplace gender equality through:</w:t>
      </w:r>
    </w:p>
    <w:p w:rsidR="00B13129" w:rsidRPr="00C36E37" w:rsidRDefault="00B13129" w:rsidP="00B13129">
      <w:pPr>
        <w:numPr>
          <w:ilvl w:val="0"/>
          <w:numId w:val="25"/>
        </w:numPr>
        <w:spacing w:after="80"/>
      </w:pPr>
      <w:r>
        <w:t xml:space="preserve">the annual publication of key findings in </w:t>
      </w:r>
      <w:r>
        <w:rPr>
          <w:i/>
        </w:rPr>
        <w:t>Australia’s gender equality scorecard</w:t>
      </w:r>
    </w:p>
    <w:p w:rsidR="00B13129" w:rsidRDefault="00B13129" w:rsidP="00B13129">
      <w:pPr>
        <w:numPr>
          <w:ilvl w:val="0"/>
          <w:numId w:val="25"/>
        </w:numPr>
        <w:spacing w:after="80"/>
        <w:ind w:left="567" w:hanging="207"/>
      </w:pPr>
      <w:r>
        <w:t>the production of individual Public Reports which provide information on a range of gender equality policies, strategies and practices for reporting organisations</w:t>
      </w:r>
    </w:p>
    <w:p w:rsidR="00B13129" w:rsidRDefault="00B13129" w:rsidP="00B13129">
      <w:pPr>
        <w:numPr>
          <w:ilvl w:val="0"/>
          <w:numId w:val="25"/>
        </w:numPr>
        <w:spacing w:after="80"/>
        <w:ind w:left="567" w:hanging="207"/>
      </w:pPr>
      <w:r>
        <w:t>the provision to each employer of a confidential customised competitor analysis benchmark report</w:t>
      </w:r>
    </w:p>
    <w:p w:rsidR="00B13129" w:rsidRDefault="00B13129" w:rsidP="00B13129">
      <w:pPr>
        <w:numPr>
          <w:ilvl w:val="0"/>
          <w:numId w:val="25"/>
        </w:numPr>
        <w:spacing w:after="80"/>
        <w:ind w:left="567" w:hanging="207"/>
      </w:pPr>
      <w:r>
        <w:t>the award to the WGEA Employer of Choice for Gender Equality citation to employers reflecting leading practice in gender equality</w:t>
      </w:r>
    </w:p>
    <w:p w:rsidR="00B13129" w:rsidRDefault="00B13129" w:rsidP="00B13129">
      <w:pPr>
        <w:numPr>
          <w:ilvl w:val="0"/>
          <w:numId w:val="25"/>
        </w:numPr>
        <w:spacing w:after="80"/>
        <w:ind w:left="567" w:hanging="207"/>
      </w:pPr>
      <w:r>
        <w:t>the provision of the Agency’s Data Explorer—an interactive tool which allows the public to drill down into the Agency’s data and examine gender equality indicators by industry and organisation size</w:t>
      </w:r>
    </w:p>
    <w:p w:rsidR="00B13129" w:rsidRDefault="00B13129" w:rsidP="00B13129">
      <w:pPr>
        <w:numPr>
          <w:ilvl w:val="0"/>
          <w:numId w:val="25"/>
        </w:numPr>
        <w:spacing w:after="80"/>
        <w:ind w:left="567" w:hanging="207"/>
      </w:pPr>
      <w:r>
        <w:t>the development of educational tools and resources</w:t>
      </w:r>
    </w:p>
    <w:p w:rsidR="00B13129" w:rsidRDefault="00B13129" w:rsidP="00B13129">
      <w:pPr>
        <w:numPr>
          <w:ilvl w:val="0"/>
          <w:numId w:val="25"/>
        </w:numPr>
        <w:spacing w:after="80"/>
        <w:ind w:left="567" w:hanging="207"/>
      </w:pPr>
      <w:r>
        <w:t>partnering in research</w:t>
      </w:r>
    </w:p>
    <w:p w:rsidR="00B13129" w:rsidRDefault="00B13129" w:rsidP="00B13129">
      <w:pPr>
        <w:numPr>
          <w:ilvl w:val="0"/>
          <w:numId w:val="25"/>
        </w:numPr>
        <w:spacing w:after="80"/>
        <w:ind w:left="567" w:hanging="207"/>
      </w:pPr>
      <w:r>
        <w:t xml:space="preserve">engagement with business, government and the community to drive public awareness and debate of gender equality issues </w:t>
      </w:r>
    </w:p>
    <w:p w:rsidR="00B13129" w:rsidRDefault="00B13129" w:rsidP="00B13129">
      <w:pPr>
        <w:numPr>
          <w:ilvl w:val="0"/>
          <w:numId w:val="25"/>
        </w:numPr>
        <w:ind w:left="567" w:hanging="207"/>
      </w:pPr>
      <w:r>
        <w:t xml:space="preserve">the establishment of the Pay Equity Ambassador program. </w:t>
      </w:r>
    </w:p>
    <w:p w:rsidR="00B13129" w:rsidRPr="00403F4A" w:rsidRDefault="00B13129" w:rsidP="00B13129">
      <w:r>
        <w:t>The strategic priorities of the Workplace Gender Equality Agency in 2017–</w:t>
      </w:r>
      <w:r w:rsidRPr="00403F4A">
        <w:t>18 and the forward years are to increase our impact and reach, realise the potential of our data and to develop our team.</w:t>
      </w:r>
    </w:p>
    <w:p w:rsidR="00B13129" w:rsidRPr="00403F4A" w:rsidRDefault="00B13129" w:rsidP="00B13129">
      <w:r w:rsidRPr="00403F4A">
        <w:t>The Agency believes Australia is well positioned to capitalise on the economic benefits that improved workplace gender equality can deliver and looks forward to continuing to work towards the vision that women and men are equally represented, valued and rewarded in Australian workplaces.</w:t>
      </w:r>
    </w:p>
    <w:p w:rsidR="00B13129" w:rsidRPr="0079797F" w:rsidRDefault="00B13129" w:rsidP="00B13129">
      <w:r w:rsidRPr="00403F4A">
        <w:t xml:space="preserve">More information about the Agency is available on our website, </w:t>
      </w:r>
      <w:hyperlink r:id="rId12" w:history="1">
        <w:r w:rsidRPr="00403F4A">
          <w:rPr>
            <w:rStyle w:val="Hyperlink"/>
          </w:rPr>
          <w:t>www.wgea.gov.au</w:t>
        </w:r>
      </w:hyperlink>
      <w:r>
        <w:t xml:space="preserve"> </w:t>
      </w:r>
      <w:r w:rsidRPr="00403F4A">
        <w:t>where the WGEA Corporate Plan is also published.</w:t>
      </w:r>
    </w:p>
    <w:p w:rsidR="00B13129" w:rsidRDefault="00B13129" w:rsidP="00B13129">
      <w:pPr>
        <w:pStyle w:val="Heading3"/>
      </w:pPr>
      <w:r w:rsidRPr="0079797F">
        <w:br w:type="page"/>
      </w:r>
      <w:bookmarkStart w:id="25" w:name="_Toc479589144"/>
      <w:bookmarkStart w:id="26" w:name="_Toc479613774"/>
      <w:bookmarkStart w:id="27" w:name="_Toc479796583"/>
      <w:bookmarkStart w:id="28" w:name="_Toc479844109"/>
      <w:bookmarkStart w:id="29" w:name="_Toc479848717"/>
      <w:bookmarkStart w:id="30" w:name="_Toc480270282"/>
      <w:bookmarkStart w:id="31" w:name="_Toc480459432"/>
      <w:bookmarkStart w:id="32" w:name="_Toc480459505"/>
      <w:r>
        <w:t>1.2</w:t>
      </w:r>
      <w:r>
        <w:tab/>
        <w:t>Entity resource statement</w:t>
      </w:r>
      <w:bookmarkEnd w:id="25"/>
      <w:bookmarkEnd w:id="26"/>
      <w:bookmarkEnd w:id="27"/>
      <w:bookmarkEnd w:id="28"/>
      <w:bookmarkEnd w:id="29"/>
      <w:bookmarkEnd w:id="30"/>
      <w:bookmarkEnd w:id="31"/>
      <w:bookmarkEnd w:id="32"/>
    </w:p>
    <w:p w:rsidR="00B13129" w:rsidRDefault="00B13129" w:rsidP="00B13129">
      <w:r>
        <w:t>Table 1.1 shows the total funding from all sources available to the entity for its operations and to deliver programs and services on behalf of the Government.</w:t>
      </w:r>
    </w:p>
    <w:p w:rsidR="00B13129" w:rsidRDefault="00B13129" w:rsidP="00B13129">
      <w:r>
        <w:t>The table summarises how resources will be applied by outcome (government strategic policy objectives) and by administered (on behalf of the Government or the public) and departmental (for the entity’s operations) classification.</w:t>
      </w:r>
    </w:p>
    <w:p w:rsidR="00B13129" w:rsidRDefault="00B13129" w:rsidP="00B13129">
      <w:r>
        <w:t xml:space="preserve">Information in this table is presented on a resourcing (that is, appropriations/cash available) basis, whilst the ‘Budgeted expenses by Outcome 1’ tables in Section 2 and the financial statements in Section 3 are presented on an accrual basis. </w:t>
      </w:r>
    </w:p>
    <w:p w:rsidR="00B13129" w:rsidRDefault="00B13129" w:rsidP="00B13129">
      <w:pPr>
        <w:pStyle w:val="TableHeading"/>
      </w:pPr>
      <w:r w:rsidRPr="005731D3">
        <w:t xml:space="preserve">Table 1.1: </w:t>
      </w:r>
      <w:r>
        <w:rPr>
          <w:lang w:val="en-AU"/>
        </w:rPr>
        <w:t xml:space="preserve">Workplace Gender Equality Agency </w:t>
      </w:r>
      <w:r>
        <w:t>resource statement</w:t>
      </w:r>
      <w:r>
        <w:rPr>
          <w:lang w:val="en-AU"/>
        </w:rPr>
        <w:t>—</w:t>
      </w:r>
      <w:r w:rsidRPr="005731D3">
        <w:t xml:space="preserve">Budget estimates for </w:t>
      </w:r>
      <w:r>
        <w:t>2017</w:t>
      </w:r>
      <w:r>
        <w:rPr>
          <w:lang w:val="en-AU"/>
        </w:rPr>
        <w:t>–</w:t>
      </w:r>
      <w:r>
        <w:t>18</w:t>
      </w:r>
      <w:r w:rsidRPr="005731D3">
        <w:t xml:space="preserve"> as at Budget May 201</w:t>
      </w:r>
      <w:r>
        <w:rPr>
          <w:lang w:val="en-AU"/>
        </w:rPr>
        <w:t>7</w:t>
      </w:r>
    </w:p>
    <w:tbl>
      <w:tblPr>
        <w:tblW w:w="7734" w:type="dxa"/>
        <w:tblInd w:w="93" w:type="dxa"/>
        <w:tblLook w:val="04A0" w:firstRow="1" w:lastRow="0" w:firstColumn="1" w:lastColumn="0" w:noHBand="0" w:noVBand="1"/>
      </w:tblPr>
      <w:tblGrid>
        <w:gridCol w:w="5402"/>
        <w:gridCol w:w="1276"/>
        <w:gridCol w:w="1056"/>
      </w:tblGrid>
      <w:tr w:rsidR="00B13129" w:rsidRPr="002163A6" w:rsidTr="003F0F8A">
        <w:trPr>
          <w:trHeight w:val="800"/>
        </w:trPr>
        <w:tc>
          <w:tcPr>
            <w:tcW w:w="5402" w:type="dxa"/>
            <w:tcBorders>
              <w:top w:val="single" w:sz="4" w:space="0" w:color="auto"/>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c>
          <w:tcPr>
            <w:tcW w:w="1276" w:type="dxa"/>
            <w:tcBorders>
              <w:top w:val="single" w:sz="4" w:space="0" w:color="auto"/>
              <w:left w:val="nil"/>
              <w:bottom w:val="single" w:sz="4" w:space="0" w:color="auto"/>
              <w:right w:val="nil"/>
            </w:tcBorders>
            <w:shd w:val="clear" w:color="000000" w:fill="FFFFFF"/>
            <w:vAlign w:val="center"/>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 xml:space="preserve">2016–17 Estimated actual </w:t>
            </w:r>
            <w:r w:rsidRPr="002163A6">
              <w:rPr>
                <w:rFonts w:ascii="Arial" w:hAnsi="Arial" w:cs="Arial"/>
                <w:i/>
                <w:iCs/>
                <w:color w:val="000000"/>
                <w:sz w:val="16"/>
                <w:szCs w:val="16"/>
              </w:rPr>
              <w:br/>
              <w:t>$'000</w:t>
            </w:r>
          </w:p>
        </w:tc>
        <w:tc>
          <w:tcPr>
            <w:tcW w:w="1056" w:type="dxa"/>
            <w:tcBorders>
              <w:top w:val="single" w:sz="4" w:space="0" w:color="auto"/>
              <w:left w:val="nil"/>
              <w:bottom w:val="single" w:sz="4" w:space="0" w:color="auto"/>
              <w:right w:val="nil"/>
            </w:tcBorders>
            <w:shd w:val="clear" w:color="000000" w:fill="E6E6E6"/>
            <w:vAlign w:val="center"/>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2017–18 Estimate</w:t>
            </w:r>
            <w:r w:rsidRPr="002163A6">
              <w:rPr>
                <w:rFonts w:ascii="Arial" w:hAnsi="Arial" w:cs="Arial"/>
                <w:color w:val="000000"/>
                <w:sz w:val="16"/>
                <w:szCs w:val="16"/>
              </w:rPr>
              <w:br/>
            </w:r>
            <w:r w:rsidRPr="002163A6">
              <w:rPr>
                <w:rFonts w:ascii="Arial" w:hAnsi="Arial" w:cs="Arial"/>
                <w:color w:val="000000"/>
                <w:sz w:val="16"/>
                <w:szCs w:val="16"/>
              </w:rPr>
              <w:br/>
              <w:t>$'000</w:t>
            </w:r>
          </w:p>
        </w:tc>
      </w:tr>
      <w:tr w:rsidR="00B13129" w:rsidRPr="002163A6" w:rsidTr="003F0F8A">
        <w:trPr>
          <w:trHeight w:val="205"/>
        </w:trPr>
        <w:tc>
          <w:tcPr>
            <w:tcW w:w="5402"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b/>
                <w:bCs/>
                <w:color w:val="000000"/>
                <w:sz w:val="16"/>
                <w:szCs w:val="16"/>
              </w:rPr>
            </w:pPr>
            <w:r w:rsidRPr="002163A6">
              <w:rPr>
                <w:rFonts w:ascii="Arial" w:hAnsi="Arial" w:cs="Arial"/>
                <w:b/>
                <w:bCs/>
                <w:color w:val="000000"/>
                <w:sz w:val="16"/>
                <w:szCs w:val="16"/>
              </w:rPr>
              <w:t>Departmental</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i/>
                <w:iCs/>
                <w:color w:val="000000"/>
                <w:sz w:val="16"/>
                <w:szCs w:val="16"/>
              </w:rPr>
            </w:pPr>
            <w:r w:rsidRPr="002163A6">
              <w:rPr>
                <w:rFonts w:ascii="Arial" w:hAnsi="Arial" w:cs="Arial"/>
                <w:i/>
                <w:iCs/>
                <w:color w:val="000000"/>
                <w:sz w:val="16"/>
                <w:szCs w:val="16"/>
              </w:rPr>
              <w:t> </w:t>
            </w:r>
          </w:p>
        </w:tc>
        <w:tc>
          <w:tcPr>
            <w:tcW w:w="1056" w:type="dxa"/>
            <w:tcBorders>
              <w:top w:val="nil"/>
              <w:left w:val="nil"/>
              <w:bottom w:val="nil"/>
              <w:right w:val="nil"/>
            </w:tcBorders>
            <w:shd w:val="clear" w:color="000000" w:fill="E6E6E6"/>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r>
      <w:tr w:rsidR="00B13129" w:rsidRPr="002163A6" w:rsidTr="003F0F8A">
        <w:trPr>
          <w:trHeight w:val="205"/>
        </w:trPr>
        <w:tc>
          <w:tcPr>
            <w:tcW w:w="5402" w:type="dxa"/>
            <w:tcBorders>
              <w:top w:val="nil"/>
              <w:left w:val="nil"/>
              <w:bottom w:val="nil"/>
              <w:right w:val="nil"/>
            </w:tcBorders>
            <w:shd w:val="clear" w:color="000000" w:fill="FFFFFF"/>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Annual appropriations—ordinary annual services (a)</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i/>
                <w:iCs/>
                <w:color w:val="000000"/>
                <w:sz w:val="16"/>
                <w:szCs w:val="16"/>
              </w:rPr>
            </w:pPr>
            <w:r w:rsidRPr="002163A6">
              <w:rPr>
                <w:rFonts w:ascii="Arial" w:hAnsi="Arial" w:cs="Arial"/>
                <w:i/>
                <w:iCs/>
                <w:color w:val="000000"/>
                <w:sz w:val="16"/>
                <w:szCs w:val="16"/>
              </w:rPr>
              <w:t> </w:t>
            </w:r>
          </w:p>
        </w:tc>
        <w:tc>
          <w:tcPr>
            <w:tcW w:w="1056" w:type="dxa"/>
            <w:tcBorders>
              <w:top w:val="nil"/>
              <w:left w:val="nil"/>
              <w:bottom w:val="nil"/>
              <w:right w:val="nil"/>
            </w:tcBorders>
            <w:shd w:val="clear" w:color="000000" w:fill="E6E6E6"/>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r>
      <w:tr w:rsidR="00B13129" w:rsidRPr="002163A6" w:rsidTr="003F0F8A">
        <w:trPr>
          <w:trHeight w:val="227"/>
        </w:trPr>
        <w:tc>
          <w:tcPr>
            <w:tcW w:w="5402" w:type="dxa"/>
            <w:tcBorders>
              <w:top w:val="nil"/>
              <w:left w:val="nil"/>
              <w:bottom w:val="nil"/>
              <w:right w:val="nil"/>
            </w:tcBorders>
            <w:shd w:val="clear" w:color="000000" w:fill="FFFFFF"/>
            <w:vAlign w:val="bottom"/>
            <w:hideMark/>
          </w:tcPr>
          <w:p w:rsidR="00B13129" w:rsidRPr="002163A6" w:rsidRDefault="00B13129" w:rsidP="003F0F8A">
            <w:pPr>
              <w:spacing w:after="0" w:line="240" w:lineRule="auto"/>
              <w:ind w:firstLineChars="100" w:firstLine="160"/>
              <w:rPr>
                <w:rFonts w:ascii="Arial" w:hAnsi="Arial" w:cs="Arial"/>
                <w:color w:val="000000"/>
                <w:sz w:val="16"/>
                <w:szCs w:val="16"/>
              </w:rPr>
            </w:pPr>
            <w:r w:rsidRPr="002163A6">
              <w:rPr>
                <w:rFonts w:ascii="Arial" w:hAnsi="Arial" w:cs="Arial"/>
                <w:color w:val="000000"/>
                <w:sz w:val="16"/>
                <w:szCs w:val="16"/>
              </w:rPr>
              <w:t xml:space="preserve">Prior year appropriations available </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 xml:space="preserve">880 </w:t>
            </w:r>
          </w:p>
        </w:tc>
        <w:tc>
          <w:tcPr>
            <w:tcW w:w="1056" w:type="dxa"/>
            <w:tcBorders>
              <w:top w:val="nil"/>
              <w:left w:val="nil"/>
              <w:bottom w:val="nil"/>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 xml:space="preserve">880 </w:t>
            </w:r>
          </w:p>
        </w:tc>
      </w:tr>
      <w:tr w:rsidR="00B13129" w:rsidRPr="002163A6" w:rsidTr="003F0F8A">
        <w:trPr>
          <w:trHeight w:val="209"/>
        </w:trPr>
        <w:tc>
          <w:tcPr>
            <w:tcW w:w="5402"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ind w:firstLineChars="100" w:firstLine="160"/>
              <w:rPr>
                <w:rFonts w:ascii="Arial" w:hAnsi="Arial" w:cs="Arial"/>
                <w:color w:val="000000"/>
                <w:sz w:val="16"/>
                <w:szCs w:val="16"/>
              </w:rPr>
            </w:pPr>
            <w:r w:rsidRPr="002163A6">
              <w:rPr>
                <w:rFonts w:ascii="Arial" w:hAnsi="Arial" w:cs="Arial"/>
                <w:color w:val="000000"/>
                <w:sz w:val="16"/>
                <w:szCs w:val="16"/>
              </w:rPr>
              <w:t>Departmental appropriation (b)</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 xml:space="preserve">4,891 </w:t>
            </w:r>
          </w:p>
        </w:tc>
        <w:tc>
          <w:tcPr>
            <w:tcW w:w="1056" w:type="dxa"/>
            <w:tcBorders>
              <w:top w:val="nil"/>
              <w:left w:val="nil"/>
              <w:bottom w:val="nil"/>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 xml:space="preserve">4,875 </w:t>
            </w:r>
          </w:p>
        </w:tc>
      </w:tr>
      <w:tr w:rsidR="00B13129" w:rsidRPr="002163A6" w:rsidTr="003F0F8A">
        <w:trPr>
          <w:trHeight w:val="209"/>
        </w:trPr>
        <w:tc>
          <w:tcPr>
            <w:tcW w:w="5402"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ind w:firstLineChars="100" w:firstLine="160"/>
              <w:rPr>
                <w:rFonts w:ascii="Arial" w:hAnsi="Arial" w:cs="Arial"/>
                <w:color w:val="000000"/>
                <w:sz w:val="16"/>
                <w:szCs w:val="16"/>
              </w:rPr>
            </w:pPr>
            <w:r w:rsidRPr="002163A6">
              <w:rPr>
                <w:rFonts w:ascii="Arial" w:hAnsi="Arial" w:cs="Arial"/>
                <w:color w:val="000000"/>
                <w:sz w:val="16"/>
                <w:szCs w:val="16"/>
              </w:rPr>
              <w:t>s 74 retained revenue receipts (c)</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 xml:space="preserve">100 </w:t>
            </w:r>
          </w:p>
        </w:tc>
        <w:tc>
          <w:tcPr>
            <w:tcW w:w="1056" w:type="dxa"/>
            <w:tcBorders>
              <w:top w:val="nil"/>
              <w:left w:val="nil"/>
              <w:bottom w:val="nil"/>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 xml:space="preserve">100 </w:t>
            </w:r>
          </w:p>
        </w:tc>
      </w:tr>
      <w:tr w:rsidR="00B13129" w:rsidRPr="002163A6" w:rsidTr="003F0F8A">
        <w:trPr>
          <w:trHeight w:val="209"/>
        </w:trPr>
        <w:tc>
          <w:tcPr>
            <w:tcW w:w="5402"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ind w:firstLineChars="100" w:firstLine="160"/>
              <w:rPr>
                <w:rFonts w:ascii="Arial" w:hAnsi="Arial" w:cs="Arial"/>
                <w:color w:val="000000"/>
                <w:sz w:val="16"/>
                <w:szCs w:val="16"/>
              </w:rPr>
            </w:pPr>
            <w:r w:rsidRPr="002163A6">
              <w:rPr>
                <w:rFonts w:ascii="Arial" w:hAnsi="Arial" w:cs="Arial"/>
                <w:color w:val="000000"/>
                <w:sz w:val="16"/>
                <w:szCs w:val="16"/>
              </w:rPr>
              <w:t>Departmental capital budget (d)</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 xml:space="preserve">194 </w:t>
            </w:r>
          </w:p>
        </w:tc>
        <w:tc>
          <w:tcPr>
            <w:tcW w:w="1056" w:type="dxa"/>
            <w:tcBorders>
              <w:top w:val="nil"/>
              <w:left w:val="nil"/>
              <w:bottom w:val="nil"/>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 xml:space="preserve">201 </w:t>
            </w:r>
          </w:p>
        </w:tc>
      </w:tr>
      <w:tr w:rsidR="00B13129" w:rsidRPr="002163A6" w:rsidTr="003F0F8A">
        <w:trPr>
          <w:trHeight w:val="182"/>
        </w:trPr>
        <w:tc>
          <w:tcPr>
            <w:tcW w:w="5402" w:type="dxa"/>
            <w:tcBorders>
              <w:top w:val="nil"/>
              <w:left w:val="nil"/>
              <w:bottom w:val="nil"/>
              <w:right w:val="nil"/>
            </w:tcBorders>
            <w:shd w:val="clear" w:color="000000" w:fill="FFFFFF"/>
            <w:vAlign w:val="bottom"/>
            <w:hideMark/>
          </w:tcPr>
          <w:p w:rsidR="00B13129" w:rsidRPr="002163A6" w:rsidRDefault="00B13129" w:rsidP="003F0F8A">
            <w:pPr>
              <w:spacing w:after="0" w:line="240" w:lineRule="auto"/>
              <w:rPr>
                <w:rFonts w:ascii="Arial" w:hAnsi="Arial" w:cs="Arial"/>
                <w:b/>
                <w:bCs/>
                <w:i/>
                <w:iCs/>
                <w:color w:val="000000"/>
                <w:sz w:val="16"/>
                <w:szCs w:val="16"/>
              </w:rPr>
            </w:pPr>
            <w:r w:rsidRPr="002163A6">
              <w:rPr>
                <w:rFonts w:ascii="Arial" w:hAnsi="Arial" w:cs="Arial"/>
                <w:b/>
                <w:bCs/>
                <w:i/>
                <w:iCs/>
                <w:color w:val="000000"/>
                <w:sz w:val="16"/>
                <w:szCs w:val="16"/>
              </w:rPr>
              <w:t>Total departmental resourcing</w:t>
            </w:r>
          </w:p>
        </w:tc>
        <w:tc>
          <w:tcPr>
            <w:tcW w:w="1276" w:type="dxa"/>
            <w:tcBorders>
              <w:top w:val="single" w:sz="4" w:space="0" w:color="auto"/>
              <w:left w:val="nil"/>
              <w:bottom w:val="single" w:sz="4" w:space="0" w:color="auto"/>
              <w:right w:val="nil"/>
            </w:tcBorders>
            <w:shd w:val="clear" w:color="000000" w:fill="FFFFFF"/>
            <w:noWrap/>
            <w:vAlign w:val="bottom"/>
            <w:hideMark/>
          </w:tcPr>
          <w:p w:rsidR="00B13129" w:rsidRPr="00BE46C0" w:rsidRDefault="00B13129" w:rsidP="003F0F8A">
            <w:pPr>
              <w:spacing w:after="0" w:line="240" w:lineRule="auto"/>
              <w:jc w:val="right"/>
              <w:rPr>
                <w:rFonts w:ascii="Arial" w:hAnsi="Arial" w:cs="Arial"/>
                <w:b/>
                <w:bCs/>
                <w:i/>
                <w:color w:val="000000"/>
                <w:sz w:val="16"/>
                <w:szCs w:val="16"/>
              </w:rPr>
            </w:pPr>
            <w:r w:rsidRPr="00BE46C0">
              <w:rPr>
                <w:rFonts w:ascii="Arial" w:hAnsi="Arial" w:cs="Arial"/>
                <w:b/>
                <w:bCs/>
                <w:i/>
                <w:color w:val="000000"/>
                <w:sz w:val="16"/>
                <w:szCs w:val="16"/>
              </w:rPr>
              <w:t xml:space="preserve">6,065 </w:t>
            </w:r>
          </w:p>
        </w:tc>
        <w:tc>
          <w:tcPr>
            <w:tcW w:w="1056" w:type="dxa"/>
            <w:tcBorders>
              <w:top w:val="single" w:sz="4" w:space="0" w:color="auto"/>
              <w:left w:val="nil"/>
              <w:bottom w:val="single" w:sz="4" w:space="0" w:color="auto"/>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b/>
                <w:bCs/>
                <w:color w:val="000000"/>
                <w:sz w:val="16"/>
                <w:szCs w:val="16"/>
              </w:rPr>
            </w:pPr>
            <w:r w:rsidRPr="002163A6">
              <w:rPr>
                <w:rFonts w:ascii="Arial" w:hAnsi="Arial" w:cs="Arial"/>
                <w:b/>
                <w:bCs/>
                <w:color w:val="000000"/>
                <w:sz w:val="16"/>
                <w:szCs w:val="16"/>
              </w:rPr>
              <w:t xml:space="preserve">6,056 </w:t>
            </w:r>
          </w:p>
        </w:tc>
      </w:tr>
      <w:tr w:rsidR="00B13129" w:rsidRPr="002163A6" w:rsidTr="003F0F8A">
        <w:trPr>
          <w:trHeight w:val="227"/>
        </w:trPr>
        <w:tc>
          <w:tcPr>
            <w:tcW w:w="5402" w:type="dxa"/>
            <w:tcBorders>
              <w:top w:val="nil"/>
              <w:left w:val="nil"/>
              <w:bottom w:val="single" w:sz="4" w:space="0" w:color="auto"/>
              <w:right w:val="nil"/>
            </w:tcBorders>
            <w:shd w:val="clear" w:color="000000" w:fill="FFFFFF"/>
            <w:vAlign w:val="bottom"/>
            <w:hideMark/>
          </w:tcPr>
          <w:p w:rsidR="00B13129" w:rsidRPr="002163A6" w:rsidRDefault="00B13129" w:rsidP="003F0F8A">
            <w:pPr>
              <w:spacing w:after="0" w:line="240" w:lineRule="auto"/>
              <w:rPr>
                <w:rFonts w:ascii="Arial" w:hAnsi="Arial" w:cs="Arial"/>
                <w:b/>
                <w:bCs/>
                <w:color w:val="000000"/>
                <w:sz w:val="16"/>
                <w:szCs w:val="16"/>
              </w:rPr>
            </w:pPr>
            <w:r w:rsidRPr="002163A6">
              <w:rPr>
                <w:rFonts w:ascii="Arial" w:hAnsi="Arial" w:cs="Arial"/>
                <w:b/>
                <w:bCs/>
                <w:color w:val="000000"/>
                <w:sz w:val="16"/>
                <w:szCs w:val="16"/>
              </w:rPr>
              <w:t>Total resourcing for W</w:t>
            </w:r>
            <w:r>
              <w:rPr>
                <w:rFonts w:ascii="Arial" w:hAnsi="Arial" w:cs="Arial"/>
                <w:b/>
                <w:bCs/>
                <w:color w:val="000000"/>
                <w:sz w:val="16"/>
                <w:szCs w:val="16"/>
              </w:rPr>
              <w:t>orkplace Gender Equality Agency</w:t>
            </w:r>
          </w:p>
        </w:tc>
        <w:tc>
          <w:tcPr>
            <w:tcW w:w="1276" w:type="dxa"/>
            <w:tcBorders>
              <w:top w:val="nil"/>
              <w:left w:val="nil"/>
              <w:bottom w:val="single" w:sz="4" w:space="0" w:color="auto"/>
              <w:right w:val="nil"/>
            </w:tcBorders>
            <w:shd w:val="clear" w:color="000000" w:fill="FFFFFF"/>
            <w:noWrap/>
            <w:vAlign w:val="bottom"/>
            <w:hideMark/>
          </w:tcPr>
          <w:p w:rsidR="00B13129" w:rsidRPr="002163A6" w:rsidRDefault="00B13129" w:rsidP="003F0F8A">
            <w:pPr>
              <w:spacing w:after="0" w:line="240" w:lineRule="auto"/>
              <w:jc w:val="right"/>
              <w:rPr>
                <w:rFonts w:ascii="Arial" w:hAnsi="Arial" w:cs="Arial"/>
                <w:b/>
                <w:bCs/>
                <w:i/>
                <w:iCs/>
                <w:color w:val="000000"/>
                <w:sz w:val="16"/>
                <w:szCs w:val="16"/>
              </w:rPr>
            </w:pPr>
            <w:r w:rsidRPr="002163A6">
              <w:rPr>
                <w:rFonts w:ascii="Arial" w:hAnsi="Arial" w:cs="Arial"/>
                <w:b/>
                <w:bCs/>
                <w:i/>
                <w:iCs/>
                <w:color w:val="000000"/>
                <w:sz w:val="16"/>
                <w:szCs w:val="16"/>
              </w:rPr>
              <w:t xml:space="preserve">6,065 </w:t>
            </w:r>
          </w:p>
        </w:tc>
        <w:tc>
          <w:tcPr>
            <w:tcW w:w="1056" w:type="dxa"/>
            <w:tcBorders>
              <w:top w:val="nil"/>
              <w:left w:val="nil"/>
              <w:bottom w:val="single" w:sz="4" w:space="0" w:color="auto"/>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b/>
                <w:bCs/>
                <w:color w:val="000000"/>
                <w:sz w:val="16"/>
                <w:szCs w:val="16"/>
              </w:rPr>
            </w:pPr>
            <w:r w:rsidRPr="002163A6">
              <w:rPr>
                <w:rFonts w:ascii="Arial" w:hAnsi="Arial" w:cs="Arial"/>
                <w:b/>
                <w:bCs/>
                <w:color w:val="000000"/>
                <w:sz w:val="16"/>
                <w:szCs w:val="16"/>
              </w:rPr>
              <w:t xml:space="preserve">6,056 </w:t>
            </w:r>
          </w:p>
        </w:tc>
      </w:tr>
      <w:tr w:rsidR="00B13129" w:rsidRPr="002163A6" w:rsidTr="003F0F8A">
        <w:trPr>
          <w:trHeight w:val="151"/>
        </w:trPr>
        <w:tc>
          <w:tcPr>
            <w:tcW w:w="5402"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c>
          <w:tcPr>
            <w:tcW w:w="127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c>
          <w:tcPr>
            <w:tcW w:w="1056" w:type="dxa"/>
            <w:tcBorders>
              <w:top w:val="nil"/>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r>
      <w:tr w:rsidR="00B13129" w:rsidRPr="002163A6" w:rsidTr="003F0F8A">
        <w:trPr>
          <w:trHeight w:val="205"/>
        </w:trPr>
        <w:tc>
          <w:tcPr>
            <w:tcW w:w="5402" w:type="dxa"/>
            <w:tcBorders>
              <w:top w:val="single" w:sz="4" w:space="0" w:color="auto"/>
              <w:left w:val="nil"/>
              <w:bottom w:val="nil"/>
              <w:right w:val="nil"/>
            </w:tcBorders>
            <w:shd w:val="clear" w:color="000000" w:fill="FFFFFF"/>
            <w:noWrap/>
            <w:vAlign w:val="bottom"/>
            <w:hideMark/>
          </w:tcPr>
          <w:p w:rsidR="00B13129" w:rsidRPr="002163A6" w:rsidRDefault="00B13129" w:rsidP="003F0F8A">
            <w:pPr>
              <w:spacing w:after="0" w:line="240" w:lineRule="auto"/>
              <w:rPr>
                <w:rFonts w:ascii="Arial" w:hAnsi="Arial" w:cs="Arial"/>
                <w:color w:val="000000"/>
                <w:sz w:val="16"/>
                <w:szCs w:val="16"/>
              </w:rPr>
            </w:pPr>
            <w:r w:rsidRPr="002163A6">
              <w:rPr>
                <w:rFonts w:ascii="Arial" w:hAnsi="Arial" w:cs="Arial"/>
                <w:color w:val="000000"/>
                <w:sz w:val="16"/>
                <w:szCs w:val="16"/>
              </w:rPr>
              <w:t> </w:t>
            </w:r>
          </w:p>
        </w:tc>
        <w:tc>
          <w:tcPr>
            <w:tcW w:w="1276" w:type="dxa"/>
            <w:tcBorders>
              <w:top w:val="single" w:sz="4" w:space="0" w:color="auto"/>
              <w:left w:val="nil"/>
              <w:bottom w:val="single" w:sz="4" w:space="0" w:color="auto"/>
              <w:right w:val="nil"/>
            </w:tcBorders>
            <w:shd w:val="clear" w:color="000000" w:fill="FFFFFF"/>
            <w:noWrap/>
            <w:vAlign w:val="bottom"/>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2016–17</w:t>
            </w:r>
          </w:p>
        </w:tc>
        <w:tc>
          <w:tcPr>
            <w:tcW w:w="1056" w:type="dxa"/>
            <w:tcBorders>
              <w:top w:val="single" w:sz="4" w:space="0" w:color="auto"/>
              <w:left w:val="nil"/>
              <w:bottom w:val="single" w:sz="4" w:space="0" w:color="auto"/>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2017–18</w:t>
            </w:r>
          </w:p>
        </w:tc>
      </w:tr>
      <w:tr w:rsidR="00B13129" w:rsidRPr="002163A6" w:rsidTr="003F0F8A">
        <w:trPr>
          <w:trHeight w:val="227"/>
        </w:trPr>
        <w:tc>
          <w:tcPr>
            <w:tcW w:w="5402" w:type="dxa"/>
            <w:tcBorders>
              <w:top w:val="nil"/>
              <w:left w:val="nil"/>
              <w:bottom w:val="single" w:sz="4" w:space="0" w:color="auto"/>
              <w:right w:val="nil"/>
            </w:tcBorders>
            <w:shd w:val="clear" w:color="000000" w:fill="FFFFFF"/>
            <w:noWrap/>
            <w:vAlign w:val="bottom"/>
            <w:hideMark/>
          </w:tcPr>
          <w:p w:rsidR="00B13129" w:rsidRPr="002163A6" w:rsidRDefault="00B13129" w:rsidP="003F0F8A">
            <w:pPr>
              <w:spacing w:after="0" w:line="240" w:lineRule="auto"/>
              <w:rPr>
                <w:rFonts w:ascii="Arial" w:hAnsi="Arial" w:cs="Arial"/>
                <w:b/>
                <w:bCs/>
                <w:color w:val="000000"/>
                <w:sz w:val="16"/>
                <w:szCs w:val="16"/>
              </w:rPr>
            </w:pPr>
            <w:r w:rsidRPr="002163A6">
              <w:rPr>
                <w:rFonts w:ascii="Arial" w:hAnsi="Arial" w:cs="Arial"/>
                <w:b/>
                <w:bCs/>
                <w:color w:val="000000"/>
                <w:sz w:val="16"/>
                <w:szCs w:val="16"/>
              </w:rPr>
              <w:t>Average staffing level (number)</w:t>
            </w:r>
          </w:p>
        </w:tc>
        <w:tc>
          <w:tcPr>
            <w:tcW w:w="1276" w:type="dxa"/>
            <w:tcBorders>
              <w:top w:val="nil"/>
              <w:left w:val="nil"/>
              <w:bottom w:val="single" w:sz="4" w:space="0" w:color="auto"/>
              <w:right w:val="nil"/>
            </w:tcBorders>
            <w:shd w:val="clear" w:color="auto" w:fill="auto"/>
            <w:noWrap/>
            <w:vAlign w:val="bottom"/>
            <w:hideMark/>
          </w:tcPr>
          <w:p w:rsidR="00B13129" w:rsidRPr="002163A6" w:rsidRDefault="00B13129" w:rsidP="003F0F8A">
            <w:pPr>
              <w:spacing w:after="0" w:line="240" w:lineRule="auto"/>
              <w:jc w:val="right"/>
              <w:rPr>
                <w:rFonts w:ascii="Arial" w:hAnsi="Arial" w:cs="Arial"/>
                <w:i/>
                <w:iCs/>
                <w:color w:val="000000"/>
                <w:sz w:val="16"/>
                <w:szCs w:val="16"/>
              </w:rPr>
            </w:pPr>
            <w:r w:rsidRPr="002163A6">
              <w:rPr>
                <w:rFonts w:ascii="Arial" w:hAnsi="Arial" w:cs="Arial"/>
                <w:i/>
                <w:iCs/>
                <w:color w:val="000000"/>
                <w:sz w:val="16"/>
                <w:szCs w:val="16"/>
              </w:rPr>
              <w:t xml:space="preserve">30 </w:t>
            </w:r>
          </w:p>
        </w:tc>
        <w:tc>
          <w:tcPr>
            <w:tcW w:w="1056" w:type="dxa"/>
            <w:tcBorders>
              <w:top w:val="nil"/>
              <w:left w:val="nil"/>
              <w:bottom w:val="single" w:sz="4" w:space="0" w:color="auto"/>
              <w:right w:val="nil"/>
            </w:tcBorders>
            <w:shd w:val="clear" w:color="000000" w:fill="E6E6E6"/>
            <w:noWrap/>
            <w:vAlign w:val="bottom"/>
            <w:hideMark/>
          </w:tcPr>
          <w:p w:rsidR="00B13129" w:rsidRPr="002163A6" w:rsidRDefault="00B13129" w:rsidP="003F0F8A">
            <w:pPr>
              <w:spacing w:after="0" w:line="240" w:lineRule="auto"/>
              <w:jc w:val="right"/>
              <w:rPr>
                <w:rFonts w:ascii="Arial" w:hAnsi="Arial" w:cs="Arial"/>
                <w:color w:val="000000"/>
                <w:sz w:val="16"/>
                <w:szCs w:val="16"/>
              </w:rPr>
            </w:pPr>
            <w:r w:rsidRPr="002163A6">
              <w:rPr>
                <w:rFonts w:ascii="Arial" w:hAnsi="Arial" w:cs="Arial"/>
                <w:color w:val="000000"/>
                <w:sz w:val="16"/>
                <w:szCs w:val="16"/>
              </w:rPr>
              <w:t xml:space="preserve">30 </w:t>
            </w:r>
          </w:p>
        </w:tc>
      </w:tr>
    </w:tbl>
    <w:p w:rsidR="00B13129" w:rsidRDefault="00B13129" w:rsidP="00B13129">
      <w:pPr>
        <w:pStyle w:val="ChartandTableFootnote"/>
        <w:spacing w:before="120"/>
        <w:jc w:val="left"/>
      </w:pPr>
      <w:r>
        <w:t>Prepared on a resourcing (</w:t>
      </w:r>
      <w:r>
        <w:rPr>
          <w:lang w:val="en-AU"/>
        </w:rPr>
        <w:t>that is,</w:t>
      </w:r>
      <w:r>
        <w:t xml:space="preserve"> appropriations available) basis.</w:t>
      </w:r>
    </w:p>
    <w:p w:rsidR="00B13129" w:rsidRPr="00FD79EA" w:rsidRDefault="00B13129" w:rsidP="00B13129">
      <w:pPr>
        <w:pStyle w:val="ChartandTableFootnote"/>
        <w:spacing w:before="60" w:after="60"/>
        <w:jc w:val="left"/>
      </w:pPr>
      <w:r w:rsidRPr="008D3E19">
        <w:rPr>
          <w:u w:val="single"/>
        </w:rPr>
        <w:t>Please note</w:t>
      </w:r>
      <w:r>
        <w:t xml:space="preserve">: All figures shown above are GST exclusive – these may not match figures in the cash flow statement. </w:t>
      </w:r>
    </w:p>
    <w:p w:rsidR="00B13129" w:rsidRPr="005250EE" w:rsidRDefault="00B13129" w:rsidP="00B13129">
      <w:pPr>
        <w:pStyle w:val="ChartandTableFootnoteAlpha"/>
        <w:numPr>
          <w:ilvl w:val="0"/>
          <w:numId w:val="10"/>
        </w:numPr>
      </w:pPr>
      <w:r>
        <w:t>Appropriation Bill (No.1) 2017–18</w:t>
      </w:r>
      <w:r w:rsidRPr="005250EE">
        <w:t>.</w:t>
      </w:r>
    </w:p>
    <w:p w:rsidR="00B13129" w:rsidRDefault="00B13129" w:rsidP="00B13129">
      <w:pPr>
        <w:pStyle w:val="ChartandTableFootnoteAlpha"/>
      </w:pPr>
      <w:r>
        <w:t>Excludes departmental capital budget (DCB).</w:t>
      </w:r>
    </w:p>
    <w:p w:rsidR="00B13129" w:rsidRPr="005250EE" w:rsidRDefault="00B13129" w:rsidP="00B13129">
      <w:pPr>
        <w:pStyle w:val="ChartandTableFootnoteAlpha"/>
      </w:pPr>
      <w:r w:rsidRPr="005250EE">
        <w:t xml:space="preserve">Estimated </w:t>
      </w:r>
      <w:r>
        <w:t>r</w:t>
      </w:r>
      <w:r w:rsidRPr="005250EE">
        <w:t xml:space="preserve">etained revenue receipts under section 74 of the </w:t>
      </w:r>
      <w:r>
        <w:t>PGPA Act</w:t>
      </w:r>
      <w:r w:rsidRPr="005250EE">
        <w:t>.</w:t>
      </w:r>
    </w:p>
    <w:p w:rsidR="00B13129" w:rsidRDefault="00B13129" w:rsidP="00B13129">
      <w:pPr>
        <w:pStyle w:val="ChartandTableFootnoteAlpha"/>
        <w:jc w:val="left"/>
      </w:pPr>
      <w:r w:rsidRPr="008D3E19">
        <w:t>Departmental capital budgets are not separately identified in Appropriation Bill (No.1)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B13129" w:rsidRPr="005A7C0B" w:rsidRDefault="00B13129" w:rsidP="00B13129">
      <w:pPr>
        <w:pStyle w:val="Heading3"/>
        <w:spacing w:before="0"/>
      </w:pPr>
      <w:r>
        <w:br w:type="page"/>
      </w:r>
      <w:bookmarkStart w:id="33" w:name="_Toc479589145"/>
      <w:bookmarkStart w:id="34" w:name="_Toc479613775"/>
      <w:bookmarkStart w:id="35" w:name="_Toc479796584"/>
      <w:bookmarkStart w:id="36" w:name="_Toc479844110"/>
      <w:bookmarkStart w:id="37" w:name="_Toc479848718"/>
      <w:bookmarkStart w:id="38" w:name="_Toc480270283"/>
      <w:bookmarkStart w:id="39" w:name="_Toc480459433"/>
      <w:bookmarkStart w:id="40" w:name="_Toc480459506"/>
      <w:r w:rsidRPr="005A7C0B">
        <w:t>1.3</w:t>
      </w:r>
      <w:r w:rsidRPr="005A7C0B">
        <w:tab/>
        <w:t>Budget measures</w:t>
      </w:r>
      <w:bookmarkEnd w:id="33"/>
      <w:bookmarkEnd w:id="34"/>
      <w:bookmarkEnd w:id="35"/>
      <w:bookmarkEnd w:id="36"/>
      <w:bookmarkEnd w:id="37"/>
      <w:bookmarkEnd w:id="38"/>
      <w:bookmarkEnd w:id="39"/>
      <w:bookmarkEnd w:id="40"/>
    </w:p>
    <w:p w:rsidR="00B13129" w:rsidRDefault="00B13129" w:rsidP="00B13129">
      <w:r w:rsidRPr="00DC32EC">
        <w:t xml:space="preserve">Budget measures </w:t>
      </w:r>
      <w:r>
        <w:t xml:space="preserve">in Part 1 </w:t>
      </w:r>
      <w:r w:rsidRPr="00DC32EC">
        <w:t>relating to</w:t>
      </w:r>
      <w:r>
        <w:t xml:space="preserve"> the Workplace Gender Equality Agency</w:t>
      </w:r>
      <w:r w:rsidRPr="00DC32EC">
        <w:t xml:space="preserve"> a</w:t>
      </w:r>
      <w:r>
        <w:t>re detailed in Budget Paper No. </w:t>
      </w:r>
      <w:r w:rsidRPr="00DC32EC">
        <w:t>2</w:t>
      </w:r>
      <w:r>
        <w:t xml:space="preserve"> and are summarised below.</w:t>
      </w:r>
    </w:p>
    <w:p w:rsidR="00B13129" w:rsidRPr="009A40DD" w:rsidRDefault="00B13129" w:rsidP="00B13129">
      <w:pPr>
        <w:pStyle w:val="TableHeading"/>
      </w:pPr>
      <w:r w:rsidRPr="009A40DD">
        <w:t xml:space="preserve">Table 1.2: Entity </w:t>
      </w:r>
      <w:r>
        <w:t>2017</w:t>
      </w:r>
      <w:r>
        <w:rPr>
          <w:lang w:val="en-AU"/>
        </w:rPr>
        <w:t>–</w:t>
      </w:r>
      <w:r>
        <w:t>18</w:t>
      </w:r>
      <w:r w:rsidRPr="009A40DD">
        <w:t xml:space="preserve"> Budget measures</w:t>
      </w:r>
    </w:p>
    <w:p w:rsidR="00B13129" w:rsidRPr="00403F4A" w:rsidRDefault="00B13129" w:rsidP="00B13129">
      <w:pPr>
        <w:pStyle w:val="TableGraphic"/>
      </w:pPr>
      <w:r>
        <w:t xml:space="preserve">The Workplace Gender Equality Agency does not have any new measures since the 2016–17 MYEFO, or any other measures not previously reported in a portfolio statement. For this reason Table 1.2 is not presented. </w:t>
      </w:r>
    </w:p>
    <w:p w:rsidR="00B13129" w:rsidRPr="00810C6A" w:rsidRDefault="00B13129" w:rsidP="00B13129">
      <w:pPr>
        <w:pStyle w:val="Heading2"/>
      </w:pPr>
      <w:r>
        <w:br w:type="page"/>
      </w:r>
      <w:bookmarkStart w:id="41" w:name="_Toc479589146"/>
      <w:bookmarkStart w:id="42" w:name="_Toc479613776"/>
      <w:bookmarkStart w:id="43" w:name="_Toc479796585"/>
      <w:bookmarkStart w:id="44" w:name="_Toc479844111"/>
      <w:bookmarkStart w:id="45" w:name="_Toc479848719"/>
      <w:bookmarkStart w:id="46" w:name="_Toc480270284"/>
      <w:bookmarkStart w:id="47" w:name="_Toc480459434"/>
      <w:bookmarkStart w:id="48" w:name="_Toc480459507"/>
      <w:r w:rsidRPr="00810C6A">
        <w:t>Section 2: Outcomes and planned performance</w:t>
      </w:r>
      <w:bookmarkEnd w:id="41"/>
      <w:bookmarkEnd w:id="42"/>
      <w:bookmarkEnd w:id="43"/>
      <w:bookmarkEnd w:id="44"/>
      <w:bookmarkEnd w:id="45"/>
      <w:bookmarkEnd w:id="46"/>
      <w:bookmarkEnd w:id="47"/>
      <w:bookmarkEnd w:id="48"/>
    </w:p>
    <w:p w:rsidR="00B13129" w:rsidRPr="005E6F2B" w:rsidRDefault="00B13129" w:rsidP="00B13129">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B13129" w:rsidRPr="005E6F2B" w:rsidRDefault="00B13129" w:rsidP="00B13129">
      <w:r w:rsidRPr="005E6F2B">
        <w:t xml:space="preserve">Each outcome is described below together with its related programs. The following provides detailed information on expenses for each outcome and program, further broken down by funding source. </w:t>
      </w:r>
    </w:p>
    <w:p w:rsidR="00B13129" w:rsidRPr="006906E4" w:rsidRDefault="00B13129" w:rsidP="00B13129">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B13129" w:rsidRDefault="00B13129" w:rsidP="00B13129">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B13129" w:rsidRDefault="00B13129" w:rsidP="00B13129">
      <w:pPr>
        <w:pBdr>
          <w:top w:val="single" w:sz="2" w:space="6" w:color="auto"/>
          <w:left w:val="single" w:sz="2" w:space="4" w:color="auto"/>
          <w:bottom w:val="single" w:sz="2" w:space="6" w:color="auto"/>
          <w:right w:val="single" w:sz="2" w:space="4" w:color="auto"/>
        </w:pBdr>
      </w:pPr>
      <w:r>
        <w:t xml:space="preserve">The most recent corporate plan for the Workplace Gender Equality Agency can be found at: </w:t>
      </w:r>
      <w:r w:rsidRPr="00305E0E">
        <w:rPr>
          <w:u w:val="single"/>
        </w:rPr>
        <w:t>https://wgea.gov.au/about-wgea/accountability-and-reporting-documents</w:t>
      </w:r>
    </w:p>
    <w:p w:rsidR="00B13129" w:rsidRDefault="00B13129" w:rsidP="00B13129">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r w:rsidRPr="00305E0E">
        <w:rPr>
          <w:u w:val="single"/>
        </w:rPr>
        <w:t>https://wgea.gov.au/accountability-and-reporting-documents/annual-reports</w:t>
      </w:r>
    </w:p>
    <w:p w:rsidR="00B13129" w:rsidRDefault="00B13129" w:rsidP="00B13129">
      <w:pPr>
        <w:rPr>
          <w:highlight w:val="yellow"/>
        </w:rPr>
      </w:pPr>
    </w:p>
    <w:p w:rsidR="00B13129" w:rsidRPr="00F743D8" w:rsidRDefault="00B13129" w:rsidP="00B13129">
      <w:pPr>
        <w:pStyle w:val="Heading3"/>
      </w:pPr>
      <w:r>
        <w:br w:type="page"/>
      </w:r>
      <w:bookmarkStart w:id="49" w:name="_Toc479589147"/>
      <w:bookmarkStart w:id="50" w:name="_Toc479613777"/>
      <w:bookmarkStart w:id="51" w:name="_Toc479796586"/>
      <w:bookmarkStart w:id="52" w:name="_Toc479844112"/>
      <w:bookmarkStart w:id="53" w:name="_Toc479848720"/>
      <w:bookmarkStart w:id="54" w:name="_Toc480270285"/>
      <w:bookmarkStart w:id="55" w:name="_Toc480459435"/>
      <w:bookmarkStart w:id="56" w:name="_Toc480459508"/>
      <w:r>
        <w:t>2.1</w:t>
      </w:r>
      <w:r w:rsidRPr="00F743D8">
        <w:t xml:space="preserve"> </w:t>
      </w:r>
      <w:r w:rsidRPr="00F743D8">
        <w:tab/>
        <w:t xml:space="preserve">Budgeted expenses and performance for Outcome </w:t>
      </w:r>
      <w:bookmarkEnd w:id="49"/>
      <w:bookmarkEnd w:id="50"/>
      <w:r>
        <w:t>1</w:t>
      </w:r>
      <w:bookmarkEnd w:id="51"/>
      <w:bookmarkEnd w:id="52"/>
      <w:bookmarkEnd w:id="53"/>
      <w:bookmarkEnd w:id="54"/>
      <w:bookmarkEnd w:id="55"/>
      <w:bookmarkEnd w:id="56"/>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B13129" w:rsidRPr="005E6F2B" w:rsidTr="003F0F8A">
        <w:tc>
          <w:tcPr>
            <w:tcW w:w="7713" w:type="dxa"/>
            <w:shd w:val="clear" w:color="auto" w:fill="E6E6E6"/>
          </w:tcPr>
          <w:p w:rsidR="00B13129" w:rsidRPr="005E6F2B" w:rsidRDefault="00B13129" w:rsidP="003F0F8A">
            <w:pPr>
              <w:pStyle w:val="TableColumnHeadingLeft"/>
            </w:pPr>
            <w:r w:rsidRPr="005E6F2B">
              <w:t xml:space="preserve">Outcome </w:t>
            </w:r>
            <w:r>
              <w:t>1</w:t>
            </w:r>
            <w:r w:rsidRPr="005E6F2B">
              <w:t xml:space="preserve">: </w:t>
            </w:r>
            <w:r>
              <w:t xml:space="preserve">Promote and improve gender equality in Australian workplaces including through the provision of advice and assistance to employers and the assessment and measurement of workplace gender data. </w:t>
            </w:r>
          </w:p>
        </w:tc>
      </w:tr>
    </w:tbl>
    <w:p w:rsidR="00B13129" w:rsidRPr="005E6F2B" w:rsidRDefault="00B13129" w:rsidP="00B13129">
      <w:pPr>
        <w:pStyle w:val="NoSpacing"/>
      </w:pPr>
    </w:p>
    <w:p w:rsidR="00B13129" w:rsidRPr="00446612" w:rsidRDefault="00B13129" w:rsidP="00B13129">
      <w:pPr>
        <w:pStyle w:val="Heading5"/>
      </w:pPr>
      <w:r>
        <w:t>Budgeted expenses for Outcome 1</w:t>
      </w:r>
    </w:p>
    <w:p w:rsidR="00B13129" w:rsidRDefault="00B13129" w:rsidP="00B13129">
      <w:r w:rsidRPr="00950281">
        <w:t xml:space="preserve">This table shows how much the entity intends to spend (on an accrual basis) on achieving the outcome, broken down by program, as well as by Administered and Departmental funding sources. </w:t>
      </w:r>
    </w:p>
    <w:p w:rsidR="00B13129" w:rsidRPr="0031261F" w:rsidRDefault="00B13129" w:rsidP="00B13129">
      <w:pPr>
        <w:pStyle w:val="TableHeading"/>
        <w:rPr>
          <w:lang w:val="en-AU"/>
        </w:rPr>
      </w:pPr>
      <w:r>
        <w:t>Table 2.</w:t>
      </w:r>
      <w:r>
        <w:rPr>
          <w:lang w:val="en-AU"/>
        </w:rPr>
        <w:t>1</w:t>
      </w:r>
      <w:r>
        <w:t xml:space="preserve">.1: Budgeted expenses for Outcome </w:t>
      </w:r>
      <w:r>
        <w:rPr>
          <w:lang w:val="en-AU"/>
        </w:rPr>
        <w:t>1</w:t>
      </w:r>
    </w:p>
    <w:tbl>
      <w:tblPr>
        <w:tblW w:w="7320" w:type="dxa"/>
        <w:tblInd w:w="93" w:type="dxa"/>
        <w:tblLook w:val="04A0" w:firstRow="1" w:lastRow="0" w:firstColumn="1" w:lastColumn="0" w:noHBand="0" w:noVBand="1"/>
      </w:tblPr>
      <w:tblGrid>
        <w:gridCol w:w="3020"/>
        <w:gridCol w:w="928"/>
        <w:gridCol w:w="860"/>
        <w:gridCol w:w="860"/>
        <w:gridCol w:w="860"/>
        <w:gridCol w:w="860"/>
      </w:tblGrid>
      <w:tr w:rsidR="00B13129" w:rsidRPr="0031261F" w:rsidTr="003F0F8A">
        <w:trPr>
          <w:trHeight w:val="684"/>
        </w:trPr>
        <w:tc>
          <w:tcPr>
            <w:tcW w:w="7320" w:type="dxa"/>
            <w:gridSpan w:val="6"/>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Outcome 1: Promote and improve gender equality in Australian workplaces including thro</w:t>
            </w:r>
            <w:r>
              <w:rPr>
                <w:rFonts w:ascii="Arial" w:hAnsi="Arial" w:cs="Arial"/>
                <w:b/>
                <w:bCs/>
                <w:color w:val="000000"/>
                <w:sz w:val="16"/>
                <w:szCs w:val="16"/>
              </w:rPr>
              <w:t>u</w:t>
            </w:r>
            <w:r w:rsidRPr="0031261F">
              <w:rPr>
                <w:rFonts w:ascii="Arial" w:hAnsi="Arial" w:cs="Arial"/>
                <w:b/>
                <w:bCs/>
                <w:color w:val="000000"/>
                <w:sz w:val="16"/>
                <w:szCs w:val="16"/>
              </w:rPr>
              <w:t>gh the provision of advice and assistance to employers and the assessment and measurement of workplace gender data.</w:t>
            </w:r>
          </w:p>
        </w:tc>
      </w:tr>
      <w:tr w:rsidR="00B13129" w:rsidRPr="0031261F" w:rsidTr="003F0F8A">
        <w:trPr>
          <w:trHeight w:val="816"/>
        </w:trPr>
        <w:tc>
          <w:tcPr>
            <w:tcW w:w="3020" w:type="dxa"/>
            <w:tcBorders>
              <w:top w:val="nil"/>
              <w:left w:val="nil"/>
              <w:bottom w:val="nil"/>
              <w:right w:val="nil"/>
            </w:tcBorders>
            <w:shd w:val="clear" w:color="auto" w:fill="auto"/>
            <w:vAlign w:val="center"/>
            <w:hideMark/>
          </w:tcPr>
          <w:p w:rsidR="00B13129" w:rsidRPr="0031261F" w:rsidRDefault="00B13129" w:rsidP="003F0F8A">
            <w:pPr>
              <w:spacing w:after="0" w:line="240" w:lineRule="auto"/>
              <w:rPr>
                <w:rFonts w:ascii="Arial" w:hAnsi="Arial" w:cs="Arial"/>
                <w:b/>
                <w:bCs/>
                <w:color w:val="000000"/>
                <w:sz w:val="16"/>
                <w:szCs w:val="16"/>
              </w:rPr>
            </w:pPr>
          </w:p>
        </w:tc>
        <w:tc>
          <w:tcPr>
            <w:tcW w:w="860" w:type="dxa"/>
            <w:tcBorders>
              <w:top w:val="nil"/>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2016–17 Estimated actual</w:t>
            </w:r>
            <w:r w:rsidRPr="0031261F">
              <w:rPr>
                <w:rFonts w:ascii="Arial" w:hAnsi="Arial" w:cs="Arial"/>
                <w:sz w:val="16"/>
                <w:szCs w:val="16"/>
              </w:rPr>
              <w:br/>
              <w:t>$'000</w:t>
            </w:r>
          </w:p>
        </w:tc>
        <w:tc>
          <w:tcPr>
            <w:tcW w:w="860" w:type="dxa"/>
            <w:tcBorders>
              <w:top w:val="nil"/>
              <w:left w:val="nil"/>
              <w:bottom w:val="single" w:sz="4" w:space="0" w:color="auto"/>
              <w:right w:val="nil"/>
            </w:tcBorders>
            <w:shd w:val="clear" w:color="000000" w:fill="E6E6E6"/>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2017–18</w:t>
            </w:r>
            <w:r w:rsidRPr="0031261F">
              <w:rPr>
                <w:rFonts w:ascii="Arial" w:hAnsi="Arial" w:cs="Arial"/>
                <w:sz w:val="16"/>
                <w:szCs w:val="16"/>
              </w:rPr>
              <w:br/>
              <w:t>Budget</w:t>
            </w:r>
            <w:r w:rsidRPr="0031261F">
              <w:rPr>
                <w:rFonts w:ascii="Arial" w:hAnsi="Arial" w:cs="Arial"/>
                <w:sz w:val="16"/>
                <w:szCs w:val="16"/>
              </w:rPr>
              <w:br/>
            </w:r>
            <w:r w:rsidRPr="0031261F">
              <w:rPr>
                <w:rFonts w:ascii="Arial" w:hAnsi="Arial" w:cs="Arial"/>
                <w:sz w:val="16"/>
                <w:szCs w:val="16"/>
              </w:rPr>
              <w:br/>
              <w:t>$'000</w:t>
            </w:r>
          </w:p>
        </w:tc>
        <w:tc>
          <w:tcPr>
            <w:tcW w:w="860" w:type="dxa"/>
            <w:tcBorders>
              <w:top w:val="nil"/>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2018–19 Forward estimate</w:t>
            </w:r>
            <w:r w:rsidRPr="0031261F">
              <w:rPr>
                <w:rFonts w:ascii="Arial" w:hAnsi="Arial" w:cs="Arial"/>
                <w:sz w:val="16"/>
                <w:szCs w:val="16"/>
              </w:rPr>
              <w:br/>
              <w:t>$'000</w:t>
            </w:r>
          </w:p>
        </w:tc>
        <w:tc>
          <w:tcPr>
            <w:tcW w:w="860" w:type="dxa"/>
            <w:tcBorders>
              <w:top w:val="nil"/>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2019–20 Forward estimate</w:t>
            </w:r>
            <w:r w:rsidRPr="0031261F">
              <w:rPr>
                <w:rFonts w:ascii="Arial" w:hAnsi="Arial" w:cs="Arial"/>
                <w:sz w:val="16"/>
                <w:szCs w:val="16"/>
              </w:rPr>
              <w:br/>
              <w:t>$'000</w:t>
            </w:r>
          </w:p>
        </w:tc>
        <w:tc>
          <w:tcPr>
            <w:tcW w:w="860" w:type="dxa"/>
            <w:tcBorders>
              <w:top w:val="nil"/>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2020–21</w:t>
            </w:r>
            <w:r w:rsidRPr="0031261F">
              <w:rPr>
                <w:rFonts w:ascii="Arial" w:hAnsi="Arial" w:cs="Arial"/>
                <w:sz w:val="16"/>
                <w:szCs w:val="16"/>
              </w:rPr>
              <w:br/>
              <w:t>Forward estimate</w:t>
            </w:r>
            <w:r w:rsidRPr="0031261F">
              <w:rPr>
                <w:rFonts w:ascii="Arial" w:hAnsi="Arial" w:cs="Arial"/>
                <w:sz w:val="16"/>
                <w:szCs w:val="16"/>
              </w:rPr>
              <w:br/>
              <w:t>$'000</w:t>
            </w:r>
          </w:p>
        </w:tc>
      </w:tr>
      <w:tr w:rsidR="00B13129" w:rsidRPr="0031261F" w:rsidTr="003F0F8A">
        <w:trPr>
          <w:trHeight w:val="208"/>
        </w:trPr>
        <w:tc>
          <w:tcPr>
            <w:tcW w:w="7320" w:type="dxa"/>
            <w:gridSpan w:val="6"/>
            <w:tcBorders>
              <w:top w:val="single" w:sz="4" w:space="0" w:color="auto"/>
              <w:left w:val="nil"/>
              <w:bottom w:val="single" w:sz="4" w:space="0" w:color="auto"/>
              <w:right w:val="nil"/>
            </w:tcBorders>
            <w:shd w:val="clear" w:color="000000" w:fill="E6E6E6"/>
            <w:vAlign w:val="center"/>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Program 1.1: Workplace Gender Equality</w:t>
            </w:r>
          </w:p>
        </w:tc>
      </w:tr>
      <w:tr w:rsidR="00B13129" w:rsidRPr="0031261F" w:rsidTr="003F0F8A">
        <w:trPr>
          <w:trHeight w:val="204"/>
        </w:trPr>
        <w:tc>
          <w:tcPr>
            <w:tcW w:w="302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r w:rsidRPr="0031261F">
              <w:rPr>
                <w:rFonts w:ascii="Arial" w:hAnsi="Arial" w:cs="Arial"/>
                <w:sz w:val="16"/>
                <w:szCs w:val="16"/>
              </w:rPr>
              <w:t>Departmental expenses</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r>
      <w:tr w:rsidR="00B13129" w:rsidRPr="0031261F" w:rsidTr="003F0F8A">
        <w:trPr>
          <w:trHeight w:val="207"/>
        </w:trPr>
        <w:tc>
          <w:tcPr>
            <w:tcW w:w="302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Departmental appropriation</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4,891 </w:t>
            </w: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4,875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4,856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4,874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4,908 </w:t>
            </w:r>
          </w:p>
        </w:tc>
      </w:tr>
      <w:tr w:rsidR="00B13129" w:rsidRPr="0031261F" w:rsidTr="003F0F8A">
        <w:trPr>
          <w:trHeight w:val="204"/>
        </w:trPr>
        <w:tc>
          <w:tcPr>
            <w:tcW w:w="3020" w:type="dxa"/>
            <w:tcBorders>
              <w:top w:val="nil"/>
              <w:left w:val="nil"/>
              <w:bottom w:val="nil"/>
              <w:right w:val="nil"/>
            </w:tcBorders>
            <w:shd w:val="clear" w:color="auto" w:fill="auto"/>
            <w:vAlign w:val="center"/>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s74 Retained revenue receipts (a)</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100 </w:t>
            </w: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r>
      <w:tr w:rsidR="00B13129" w:rsidRPr="0031261F" w:rsidTr="003F0F8A">
        <w:trPr>
          <w:trHeight w:val="408"/>
        </w:trPr>
        <w:tc>
          <w:tcPr>
            <w:tcW w:w="3020" w:type="dxa"/>
            <w:tcBorders>
              <w:top w:val="nil"/>
              <w:left w:val="nil"/>
              <w:bottom w:val="nil"/>
              <w:right w:val="nil"/>
            </w:tcBorders>
            <w:shd w:val="clear" w:color="auto" w:fill="auto"/>
            <w:vAlign w:val="center"/>
            <w:hideMark/>
          </w:tcPr>
          <w:p w:rsidR="00B13129" w:rsidRPr="0031261F" w:rsidRDefault="00B13129" w:rsidP="003F0F8A">
            <w:pPr>
              <w:tabs>
                <w:tab w:val="left" w:pos="354"/>
              </w:tabs>
              <w:spacing w:after="0" w:line="240" w:lineRule="auto"/>
              <w:ind w:firstLineChars="100" w:firstLine="160"/>
              <w:rPr>
                <w:rFonts w:ascii="Arial" w:hAnsi="Arial" w:cs="Arial"/>
                <w:sz w:val="16"/>
                <w:szCs w:val="16"/>
              </w:rPr>
            </w:pPr>
            <w:r w:rsidRPr="0031261F">
              <w:rPr>
                <w:rFonts w:ascii="Arial" w:hAnsi="Arial" w:cs="Arial"/>
                <w:sz w:val="16"/>
                <w:szCs w:val="16"/>
              </w:rPr>
              <w:t xml:space="preserve">Expenses not requiring appropriation </w:t>
            </w:r>
            <w:r w:rsidRPr="0031261F">
              <w:rPr>
                <w:rFonts w:ascii="Arial" w:hAnsi="Arial" w:cs="Arial"/>
                <w:sz w:val="16"/>
                <w:szCs w:val="16"/>
              </w:rPr>
              <w:br/>
            </w:r>
            <w:r>
              <w:rPr>
                <w:rFonts w:ascii="Arial" w:hAnsi="Arial" w:cs="Arial"/>
                <w:sz w:val="16"/>
                <w:szCs w:val="16"/>
              </w:rPr>
              <w:tab/>
            </w:r>
            <w:r w:rsidRPr="0031261F">
              <w:rPr>
                <w:rFonts w:ascii="Arial" w:hAnsi="Arial" w:cs="Arial"/>
                <w:sz w:val="16"/>
                <w:szCs w:val="16"/>
              </w:rPr>
              <w:t>in the Budget year (b)</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954 </w:t>
            </w: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915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648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185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215 </w:t>
            </w:r>
          </w:p>
        </w:tc>
      </w:tr>
      <w:tr w:rsidR="00B13129" w:rsidRPr="0031261F" w:rsidTr="003F0F8A">
        <w:trPr>
          <w:trHeight w:val="207"/>
        </w:trPr>
        <w:tc>
          <w:tcPr>
            <w:tcW w:w="3020" w:type="dxa"/>
            <w:tcBorders>
              <w:top w:val="nil"/>
              <w:left w:val="nil"/>
              <w:bottom w:val="nil"/>
              <w:right w:val="nil"/>
            </w:tcBorders>
            <w:shd w:val="clear" w:color="auto" w:fill="auto"/>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Departmental total</w:t>
            </w:r>
          </w:p>
        </w:tc>
        <w:tc>
          <w:tcPr>
            <w:tcW w:w="860" w:type="dxa"/>
            <w:tcBorders>
              <w:top w:val="single" w:sz="4" w:space="0" w:color="000000"/>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5,945 </w:t>
            </w:r>
          </w:p>
        </w:tc>
        <w:tc>
          <w:tcPr>
            <w:tcW w:w="860" w:type="dxa"/>
            <w:tcBorders>
              <w:top w:val="single" w:sz="4" w:space="0" w:color="000000"/>
              <w:left w:val="nil"/>
              <w:bottom w:val="single" w:sz="4" w:space="0" w:color="000000"/>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5,890 </w:t>
            </w:r>
          </w:p>
        </w:tc>
        <w:tc>
          <w:tcPr>
            <w:tcW w:w="860" w:type="dxa"/>
            <w:tcBorders>
              <w:top w:val="single" w:sz="4" w:space="0" w:color="000000"/>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5,604 </w:t>
            </w:r>
          </w:p>
        </w:tc>
        <w:tc>
          <w:tcPr>
            <w:tcW w:w="860" w:type="dxa"/>
            <w:tcBorders>
              <w:top w:val="single" w:sz="4" w:space="0" w:color="000000"/>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5,159 </w:t>
            </w:r>
          </w:p>
        </w:tc>
        <w:tc>
          <w:tcPr>
            <w:tcW w:w="860" w:type="dxa"/>
            <w:tcBorders>
              <w:top w:val="single" w:sz="4" w:space="0" w:color="000000"/>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5,223 </w:t>
            </w:r>
          </w:p>
        </w:tc>
      </w:tr>
      <w:tr w:rsidR="00B13129" w:rsidRPr="0031261F" w:rsidTr="003F0F8A">
        <w:trPr>
          <w:trHeight w:val="204"/>
        </w:trPr>
        <w:tc>
          <w:tcPr>
            <w:tcW w:w="3020" w:type="dxa"/>
            <w:tcBorders>
              <w:top w:val="nil"/>
              <w:left w:val="nil"/>
              <w:bottom w:val="single" w:sz="4" w:space="0" w:color="000000"/>
              <w:right w:val="nil"/>
            </w:tcBorders>
            <w:shd w:val="clear" w:color="auto" w:fill="auto"/>
            <w:vAlign w:val="center"/>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expenses for Program 1.1</w:t>
            </w:r>
          </w:p>
        </w:tc>
        <w:tc>
          <w:tcPr>
            <w:tcW w:w="860" w:type="dxa"/>
            <w:tcBorders>
              <w:top w:val="nil"/>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5,945 </w:t>
            </w:r>
          </w:p>
        </w:tc>
        <w:tc>
          <w:tcPr>
            <w:tcW w:w="860" w:type="dxa"/>
            <w:tcBorders>
              <w:top w:val="nil"/>
              <w:left w:val="nil"/>
              <w:bottom w:val="single" w:sz="4" w:space="0" w:color="000000"/>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5,890 </w:t>
            </w:r>
          </w:p>
        </w:tc>
        <w:tc>
          <w:tcPr>
            <w:tcW w:w="860" w:type="dxa"/>
            <w:tcBorders>
              <w:top w:val="nil"/>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5,604 </w:t>
            </w:r>
          </w:p>
        </w:tc>
        <w:tc>
          <w:tcPr>
            <w:tcW w:w="860" w:type="dxa"/>
            <w:tcBorders>
              <w:top w:val="nil"/>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5,159 </w:t>
            </w:r>
          </w:p>
        </w:tc>
        <w:tc>
          <w:tcPr>
            <w:tcW w:w="860" w:type="dxa"/>
            <w:tcBorders>
              <w:top w:val="nil"/>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5,223 </w:t>
            </w:r>
          </w:p>
        </w:tc>
      </w:tr>
      <w:tr w:rsidR="00B13129" w:rsidRPr="0031261F" w:rsidTr="003F0F8A">
        <w:trPr>
          <w:trHeight w:val="204"/>
        </w:trPr>
        <w:tc>
          <w:tcPr>
            <w:tcW w:w="7320" w:type="dxa"/>
            <w:gridSpan w:val="6"/>
            <w:tcBorders>
              <w:top w:val="single" w:sz="4" w:space="0" w:color="auto"/>
              <w:left w:val="nil"/>
              <w:bottom w:val="single" w:sz="4" w:space="0" w:color="auto"/>
              <w:right w:val="nil"/>
            </w:tcBorders>
            <w:shd w:val="clear" w:color="000000" w:fill="E6E6E6"/>
            <w:vAlign w:val="center"/>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Outcome 1 Totals by appropriation type</w:t>
            </w:r>
          </w:p>
        </w:tc>
      </w:tr>
      <w:tr w:rsidR="00B13129" w:rsidRPr="0031261F" w:rsidTr="003F0F8A">
        <w:trPr>
          <w:trHeight w:val="204"/>
        </w:trPr>
        <w:tc>
          <w:tcPr>
            <w:tcW w:w="302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r w:rsidRPr="0031261F">
              <w:rPr>
                <w:rFonts w:ascii="Arial" w:hAnsi="Arial" w:cs="Arial"/>
                <w:sz w:val="16"/>
                <w:szCs w:val="16"/>
              </w:rPr>
              <w:t>Departmental expenses</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r>
      <w:tr w:rsidR="00B13129" w:rsidRPr="0031261F" w:rsidTr="003F0F8A">
        <w:trPr>
          <w:trHeight w:val="204"/>
        </w:trPr>
        <w:tc>
          <w:tcPr>
            <w:tcW w:w="302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Departmental appropriation</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4,891 </w:t>
            </w: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4,875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4,856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4,874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4,908 </w:t>
            </w:r>
          </w:p>
        </w:tc>
      </w:tr>
      <w:tr w:rsidR="00B13129" w:rsidRPr="0031261F" w:rsidTr="003F0F8A">
        <w:trPr>
          <w:trHeight w:val="204"/>
        </w:trPr>
        <w:tc>
          <w:tcPr>
            <w:tcW w:w="3020" w:type="dxa"/>
            <w:tcBorders>
              <w:top w:val="nil"/>
              <w:left w:val="nil"/>
              <w:bottom w:val="nil"/>
              <w:right w:val="nil"/>
            </w:tcBorders>
            <w:shd w:val="clear" w:color="auto" w:fill="auto"/>
            <w:vAlign w:val="center"/>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s74 Retained revenue receipts (a)</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100 </w:t>
            </w: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r>
      <w:tr w:rsidR="00B13129" w:rsidRPr="0031261F" w:rsidTr="003F0F8A">
        <w:trPr>
          <w:trHeight w:val="408"/>
        </w:trPr>
        <w:tc>
          <w:tcPr>
            <w:tcW w:w="3020" w:type="dxa"/>
            <w:tcBorders>
              <w:top w:val="nil"/>
              <w:left w:val="nil"/>
              <w:bottom w:val="nil"/>
              <w:right w:val="nil"/>
            </w:tcBorders>
            <w:shd w:val="clear" w:color="auto" w:fill="auto"/>
            <w:vAlign w:val="center"/>
            <w:hideMark/>
          </w:tcPr>
          <w:p w:rsidR="00B13129" w:rsidRPr="0031261F" w:rsidRDefault="00B13129" w:rsidP="003F0F8A">
            <w:pPr>
              <w:tabs>
                <w:tab w:val="left" w:pos="378"/>
              </w:tabs>
              <w:spacing w:after="0" w:line="240" w:lineRule="auto"/>
              <w:ind w:firstLineChars="100" w:firstLine="160"/>
              <w:rPr>
                <w:rFonts w:ascii="Arial" w:hAnsi="Arial" w:cs="Arial"/>
                <w:sz w:val="16"/>
                <w:szCs w:val="16"/>
              </w:rPr>
            </w:pPr>
            <w:r w:rsidRPr="0031261F">
              <w:rPr>
                <w:rFonts w:ascii="Arial" w:hAnsi="Arial" w:cs="Arial"/>
                <w:sz w:val="16"/>
                <w:szCs w:val="16"/>
              </w:rPr>
              <w:t>Expenses not requiring appropriation</w:t>
            </w:r>
            <w:r w:rsidRPr="0031261F">
              <w:rPr>
                <w:rFonts w:ascii="Arial" w:hAnsi="Arial" w:cs="Arial"/>
                <w:sz w:val="16"/>
                <w:szCs w:val="16"/>
              </w:rPr>
              <w:br/>
            </w:r>
            <w:r>
              <w:rPr>
                <w:rFonts w:ascii="Arial" w:hAnsi="Arial" w:cs="Arial"/>
                <w:sz w:val="16"/>
                <w:szCs w:val="16"/>
              </w:rPr>
              <w:tab/>
            </w:r>
            <w:r w:rsidRPr="0031261F">
              <w:rPr>
                <w:rFonts w:ascii="Arial" w:hAnsi="Arial" w:cs="Arial"/>
                <w:sz w:val="16"/>
                <w:szCs w:val="16"/>
              </w:rPr>
              <w:t>in the Budget year (b)</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954 </w:t>
            </w:r>
          </w:p>
        </w:tc>
        <w:tc>
          <w:tcPr>
            <w:tcW w:w="860"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915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648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185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215 </w:t>
            </w:r>
          </w:p>
        </w:tc>
      </w:tr>
      <w:tr w:rsidR="00B13129" w:rsidRPr="0031261F" w:rsidTr="003F0F8A">
        <w:trPr>
          <w:trHeight w:val="204"/>
        </w:trPr>
        <w:tc>
          <w:tcPr>
            <w:tcW w:w="3020" w:type="dxa"/>
            <w:tcBorders>
              <w:top w:val="nil"/>
              <w:left w:val="nil"/>
              <w:bottom w:val="nil"/>
              <w:right w:val="nil"/>
            </w:tcBorders>
            <w:shd w:val="clear" w:color="auto" w:fill="auto"/>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Departmental total</w:t>
            </w:r>
          </w:p>
        </w:tc>
        <w:tc>
          <w:tcPr>
            <w:tcW w:w="860" w:type="dxa"/>
            <w:tcBorders>
              <w:top w:val="single" w:sz="4" w:space="0" w:color="auto"/>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5,945 </w:t>
            </w:r>
          </w:p>
        </w:tc>
        <w:tc>
          <w:tcPr>
            <w:tcW w:w="860" w:type="dxa"/>
            <w:tcBorders>
              <w:top w:val="single" w:sz="4" w:space="0" w:color="auto"/>
              <w:left w:val="nil"/>
              <w:bottom w:val="single" w:sz="4" w:space="0" w:color="auto"/>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5,890 </w:t>
            </w:r>
          </w:p>
        </w:tc>
        <w:tc>
          <w:tcPr>
            <w:tcW w:w="860" w:type="dxa"/>
            <w:tcBorders>
              <w:top w:val="single" w:sz="4" w:space="0" w:color="auto"/>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5,604 </w:t>
            </w:r>
          </w:p>
        </w:tc>
        <w:tc>
          <w:tcPr>
            <w:tcW w:w="860" w:type="dxa"/>
            <w:tcBorders>
              <w:top w:val="single" w:sz="4" w:space="0" w:color="auto"/>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5,159 </w:t>
            </w:r>
          </w:p>
        </w:tc>
        <w:tc>
          <w:tcPr>
            <w:tcW w:w="860" w:type="dxa"/>
            <w:tcBorders>
              <w:top w:val="single" w:sz="4" w:space="0" w:color="auto"/>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5,223 </w:t>
            </w:r>
          </w:p>
        </w:tc>
      </w:tr>
      <w:tr w:rsidR="00B13129" w:rsidRPr="0031261F" w:rsidTr="003F0F8A">
        <w:trPr>
          <w:trHeight w:val="204"/>
        </w:trPr>
        <w:tc>
          <w:tcPr>
            <w:tcW w:w="3020" w:type="dxa"/>
            <w:tcBorders>
              <w:top w:val="nil"/>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Total expenses for Outcome 1</w:t>
            </w:r>
          </w:p>
        </w:tc>
        <w:tc>
          <w:tcPr>
            <w:tcW w:w="860" w:type="dxa"/>
            <w:tcBorders>
              <w:top w:val="nil"/>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5,945 </w:t>
            </w:r>
          </w:p>
        </w:tc>
        <w:tc>
          <w:tcPr>
            <w:tcW w:w="860" w:type="dxa"/>
            <w:tcBorders>
              <w:top w:val="nil"/>
              <w:left w:val="nil"/>
              <w:bottom w:val="single" w:sz="4" w:space="0" w:color="auto"/>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5,890 </w:t>
            </w:r>
          </w:p>
        </w:tc>
        <w:tc>
          <w:tcPr>
            <w:tcW w:w="860" w:type="dxa"/>
            <w:tcBorders>
              <w:top w:val="nil"/>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5,604 </w:t>
            </w:r>
          </w:p>
        </w:tc>
        <w:tc>
          <w:tcPr>
            <w:tcW w:w="860" w:type="dxa"/>
            <w:tcBorders>
              <w:top w:val="nil"/>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5,159 </w:t>
            </w:r>
          </w:p>
        </w:tc>
        <w:tc>
          <w:tcPr>
            <w:tcW w:w="860" w:type="dxa"/>
            <w:tcBorders>
              <w:top w:val="nil"/>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5,223 </w:t>
            </w:r>
          </w:p>
        </w:tc>
      </w:tr>
      <w:tr w:rsidR="00B13129" w:rsidRPr="0031261F" w:rsidTr="003F0F8A">
        <w:trPr>
          <w:trHeight w:val="225"/>
        </w:trPr>
        <w:tc>
          <w:tcPr>
            <w:tcW w:w="302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b/>
                <w:bCs/>
                <w:color w:val="000000"/>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b/>
                <w:bCs/>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b/>
                <w:bCs/>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b/>
                <w:bCs/>
                <w:sz w:val="16"/>
                <w:szCs w:val="16"/>
              </w:rPr>
            </w:pPr>
          </w:p>
        </w:tc>
      </w:tr>
      <w:tr w:rsidR="00B13129" w:rsidRPr="0031261F" w:rsidTr="003F0F8A">
        <w:trPr>
          <w:trHeight w:val="204"/>
        </w:trPr>
        <w:tc>
          <w:tcPr>
            <w:tcW w:w="3020" w:type="dxa"/>
            <w:tcBorders>
              <w:top w:val="single" w:sz="4" w:space="0" w:color="000000"/>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color w:val="000000"/>
                <w:sz w:val="16"/>
                <w:szCs w:val="16"/>
              </w:rPr>
            </w:pPr>
            <w:r w:rsidRPr="0031261F">
              <w:rPr>
                <w:rFonts w:ascii="Arial" w:hAnsi="Arial" w:cs="Arial"/>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2016–17</w:t>
            </w:r>
          </w:p>
        </w:tc>
        <w:tc>
          <w:tcPr>
            <w:tcW w:w="860" w:type="dxa"/>
            <w:tcBorders>
              <w:top w:val="single" w:sz="4" w:space="0" w:color="auto"/>
              <w:left w:val="nil"/>
              <w:bottom w:val="single" w:sz="4" w:space="0" w:color="auto"/>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2017–18</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r>
      <w:tr w:rsidR="00B13129" w:rsidRPr="0031261F" w:rsidTr="003F0F8A">
        <w:trPr>
          <w:trHeight w:val="204"/>
        </w:trPr>
        <w:tc>
          <w:tcPr>
            <w:tcW w:w="3020" w:type="dxa"/>
            <w:tcBorders>
              <w:top w:val="nil"/>
              <w:left w:val="nil"/>
              <w:bottom w:val="single" w:sz="4" w:space="0" w:color="000000"/>
              <w:right w:val="nil"/>
            </w:tcBorders>
            <w:shd w:val="clear" w:color="auto" w:fill="auto"/>
            <w:noWrap/>
            <w:vAlign w:val="center"/>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Average staffing level (number)</w:t>
            </w:r>
          </w:p>
        </w:tc>
        <w:tc>
          <w:tcPr>
            <w:tcW w:w="860" w:type="dxa"/>
            <w:tcBorders>
              <w:top w:val="nil"/>
              <w:left w:val="nil"/>
              <w:bottom w:val="single" w:sz="4" w:space="0" w:color="auto"/>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30 </w:t>
            </w:r>
          </w:p>
        </w:tc>
        <w:tc>
          <w:tcPr>
            <w:tcW w:w="860" w:type="dxa"/>
            <w:tcBorders>
              <w:top w:val="nil"/>
              <w:left w:val="nil"/>
              <w:bottom w:val="single" w:sz="4" w:space="0" w:color="auto"/>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 xml:space="preserve">30 </w:t>
            </w: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sz w:val="16"/>
                <w:szCs w:val="16"/>
              </w:rPr>
            </w:pPr>
          </w:p>
        </w:tc>
      </w:tr>
    </w:tbl>
    <w:p w:rsidR="00B13129" w:rsidRPr="007A14AF" w:rsidRDefault="00B13129" w:rsidP="00B13129">
      <w:pPr>
        <w:pStyle w:val="ChartandTableFootnote"/>
        <w:numPr>
          <w:ilvl w:val="0"/>
          <w:numId w:val="40"/>
        </w:numPr>
        <w:spacing w:before="120"/>
        <w:ind w:left="284" w:hanging="284"/>
        <w:jc w:val="left"/>
      </w:pPr>
      <w:r w:rsidRPr="00950281">
        <w:t>E</w:t>
      </w:r>
      <w:r>
        <w:t>stimated e</w:t>
      </w:r>
      <w:r w:rsidRPr="00950281">
        <w:t xml:space="preserve">xpenses </w:t>
      </w:r>
      <w:r>
        <w:t>incurred in relation to receipts retained under section 74 of the PGPA Act</w:t>
      </w:r>
    </w:p>
    <w:p w:rsidR="00B13129" w:rsidRPr="00950281" w:rsidRDefault="00B13129" w:rsidP="00B13129">
      <w:pPr>
        <w:pStyle w:val="ChartandTableFootnote"/>
        <w:numPr>
          <w:ilvl w:val="0"/>
          <w:numId w:val="40"/>
        </w:numPr>
        <w:ind w:left="284" w:hanging="284"/>
        <w:jc w:val="left"/>
      </w:pPr>
      <w:r w:rsidRPr="00950281">
        <w:t xml:space="preserve">Expenses not requiring appropriation in the Budget year are made up of depreciation expenses, amortisation expenses, make good expenses, </w:t>
      </w:r>
      <w:r>
        <w:rPr>
          <w:lang w:val="en-AU"/>
        </w:rPr>
        <w:t xml:space="preserve">and </w:t>
      </w:r>
      <w:r w:rsidRPr="00950281">
        <w:t>audit fees.</w:t>
      </w:r>
    </w:p>
    <w:p w:rsidR="00B13129" w:rsidRPr="00446612" w:rsidRDefault="00B13129" w:rsidP="00B13129">
      <w:pPr>
        <w:pStyle w:val="Source"/>
        <w:spacing w:before="60"/>
      </w:pPr>
      <w:r w:rsidRPr="00446612">
        <w:t>Note: Departmental appropriation splits and totals are indicative estimates and may change in the course of the budget year as government priorities change.</w:t>
      </w:r>
    </w:p>
    <w:p w:rsidR="00B13129" w:rsidRPr="009C3AB1" w:rsidRDefault="00B13129" w:rsidP="00B13129">
      <w:pPr>
        <w:pStyle w:val="TableHeading"/>
        <w:rPr>
          <w:lang w:val="en-AU"/>
        </w:rPr>
      </w:pPr>
      <w:r>
        <w:rPr>
          <w:highlight w:val="yellow"/>
          <w:lang w:val="en-US"/>
        </w:rPr>
        <w:br w:type="page"/>
      </w:r>
      <w:r w:rsidRPr="00F71634">
        <w:t>Table 2.</w:t>
      </w:r>
      <w:r>
        <w:rPr>
          <w:lang w:val="en-AU"/>
        </w:rPr>
        <w:t>1.2</w:t>
      </w:r>
      <w:r w:rsidRPr="00F71634">
        <w:t>: Pe</w:t>
      </w:r>
      <w:r>
        <w:t xml:space="preserve">rformance criteria for Outcome </w:t>
      </w:r>
      <w:r>
        <w:rPr>
          <w:lang w:val="en-AU"/>
        </w:rPr>
        <w:t>1</w:t>
      </w:r>
    </w:p>
    <w:p w:rsidR="00B13129" w:rsidRPr="00F71634" w:rsidRDefault="00B13129" w:rsidP="00B13129">
      <w:r w:rsidRPr="00F71634">
        <w:t>Table 2.</w:t>
      </w:r>
      <w:r>
        <w:t>1.2</w:t>
      </w:r>
      <w:r w:rsidRPr="00F71634">
        <w:t xml:space="preserve"> below details the performance criteria for each p</w:t>
      </w:r>
      <w:r>
        <w:t>rogram associated with Outcome 1</w:t>
      </w:r>
      <w:r w:rsidRPr="00F71634">
        <w:t>. It also summarises how each pro</w:t>
      </w:r>
      <w:r>
        <w:t>gram.</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3063"/>
      </w:tblGrid>
      <w:tr w:rsidR="00B13129" w:rsidRPr="00D3415A" w:rsidTr="003F0F8A">
        <w:trPr>
          <w:tblHeader/>
        </w:trPr>
        <w:tc>
          <w:tcPr>
            <w:tcW w:w="7741" w:type="dxa"/>
            <w:gridSpan w:val="3"/>
            <w:shd w:val="clear" w:color="auto" w:fill="F2F2F2"/>
          </w:tcPr>
          <w:p w:rsidR="00B13129" w:rsidRPr="00D3415A" w:rsidRDefault="00B13129" w:rsidP="003F0F8A">
            <w:pPr>
              <w:pStyle w:val="TableColumnHeadingLeft"/>
              <w:rPr>
                <w:sz w:val="17"/>
                <w:szCs w:val="17"/>
              </w:rPr>
            </w:pPr>
            <w:r w:rsidRPr="00D3415A">
              <w:rPr>
                <w:sz w:val="17"/>
                <w:szCs w:val="17"/>
              </w:rPr>
              <w:t>Outcome 1—Promote and improve gender equality in Australian workplaces including through the provision of advice and assistance to employers and the assessment and measurement of workplace gender data.</w:t>
            </w:r>
          </w:p>
        </w:tc>
      </w:tr>
      <w:tr w:rsidR="00B13129" w:rsidRPr="00D3415A" w:rsidTr="003F0F8A">
        <w:tc>
          <w:tcPr>
            <w:tcW w:w="7741" w:type="dxa"/>
            <w:gridSpan w:val="3"/>
            <w:shd w:val="clear" w:color="auto" w:fill="F2F2F2"/>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 xml:space="preserve">Program 1.1—Workplace Gender Equality </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The Workplace Gender Equality Agency will deliver on Outcome 1 by assisting relevant employers to report to the Agency; educating employers on improving gender equality outcomes; promoting and contributing to understanding, acceptance and public discussion of gender equality in the Australian workplace; using gender equality data to improve workplace gender equality and fostering compliance with the reporting and transparency provisions of the Act.</w:t>
            </w:r>
          </w:p>
        </w:tc>
      </w:tr>
      <w:tr w:rsidR="00B13129" w:rsidRPr="00D3415A" w:rsidTr="003F0F8A">
        <w:tc>
          <w:tcPr>
            <w:tcW w:w="1418" w:type="dxa"/>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Purpose</w:t>
            </w:r>
          </w:p>
        </w:tc>
        <w:tc>
          <w:tcPr>
            <w:tcW w:w="6323" w:type="dxa"/>
            <w:gridSpan w:val="2"/>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The Workplace Gender Equality Agency is charged with promoting and improving gender equality in Australian workplaces, including through the provision of advice and assistance to employers and the assessment and measurement of workplace gender data.</w:t>
            </w:r>
          </w:p>
        </w:tc>
      </w:tr>
      <w:tr w:rsidR="00B13129" w:rsidRPr="00D3415A" w:rsidTr="003F0F8A">
        <w:tc>
          <w:tcPr>
            <w:tcW w:w="1418" w:type="dxa"/>
            <w:tcBorders>
              <w:bottom w:val="double" w:sz="4" w:space="0" w:color="auto"/>
            </w:tcBorders>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Delivery</w:t>
            </w:r>
          </w:p>
        </w:tc>
        <w:tc>
          <w:tcPr>
            <w:tcW w:w="6323" w:type="dxa"/>
            <w:gridSpan w:val="2"/>
            <w:tcBorders>
              <w:bottom w:val="doub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Key activities to support the purpose of the Agency are:</w:t>
            </w:r>
          </w:p>
          <w:p w:rsidR="00B13129" w:rsidRPr="00D3415A" w:rsidRDefault="00B13129" w:rsidP="00B13129">
            <w:pPr>
              <w:numPr>
                <w:ilvl w:val="0"/>
                <w:numId w:val="26"/>
              </w:numPr>
              <w:tabs>
                <w:tab w:val="left" w:pos="709"/>
              </w:tabs>
              <w:spacing w:before="60" w:after="60" w:line="240" w:lineRule="auto"/>
              <w:rPr>
                <w:rFonts w:ascii="Arial" w:hAnsi="Arial" w:cs="Arial"/>
                <w:sz w:val="17"/>
                <w:szCs w:val="17"/>
              </w:rPr>
            </w:pPr>
            <w:r w:rsidRPr="00D3415A">
              <w:rPr>
                <w:rFonts w:ascii="Arial" w:hAnsi="Arial" w:cs="Arial"/>
                <w:sz w:val="17"/>
                <w:szCs w:val="17"/>
              </w:rPr>
              <w:t>advising and assisting employers to promote and improve gender equality in the workplace including providing advice and assistance on the collection and analysis of workplace data</w:t>
            </w:r>
          </w:p>
          <w:p w:rsidR="00B13129" w:rsidRPr="00D3415A" w:rsidRDefault="00B13129" w:rsidP="00B13129">
            <w:pPr>
              <w:numPr>
                <w:ilvl w:val="0"/>
                <w:numId w:val="26"/>
              </w:numPr>
              <w:tabs>
                <w:tab w:val="left" w:pos="709"/>
              </w:tabs>
              <w:spacing w:before="60" w:after="60" w:line="240" w:lineRule="auto"/>
              <w:rPr>
                <w:rFonts w:ascii="Arial" w:hAnsi="Arial" w:cs="Arial"/>
                <w:sz w:val="17"/>
                <w:szCs w:val="17"/>
              </w:rPr>
            </w:pPr>
            <w:r w:rsidRPr="00D3415A">
              <w:rPr>
                <w:rFonts w:ascii="Arial" w:hAnsi="Arial" w:cs="Arial"/>
                <w:sz w:val="17"/>
                <w:szCs w:val="17"/>
              </w:rPr>
              <w:t>undertaking research, educational and other programmes designed to promote and improve gender equality in the workplace</w:t>
            </w:r>
          </w:p>
          <w:p w:rsidR="00B13129" w:rsidRPr="00D3415A" w:rsidRDefault="00B13129" w:rsidP="00B13129">
            <w:pPr>
              <w:numPr>
                <w:ilvl w:val="0"/>
                <w:numId w:val="26"/>
              </w:numPr>
              <w:tabs>
                <w:tab w:val="left" w:pos="709"/>
              </w:tabs>
              <w:spacing w:before="60" w:after="60" w:line="240" w:lineRule="auto"/>
              <w:rPr>
                <w:rFonts w:ascii="Arial" w:hAnsi="Arial" w:cs="Arial"/>
                <w:sz w:val="17"/>
                <w:szCs w:val="17"/>
              </w:rPr>
            </w:pPr>
            <w:r w:rsidRPr="00D3415A">
              <w:rPr>
                <w:rFonts w:ascii="Arial" w:hAnsi="Arial" w:cs="Arial"/>
                <w:sz w:val="17"/>
                <w:szCs w:val="17"/>
              </w:rPr>
              <w:t>promoting and contributing to understanding, acceptance and public discussion of gender equality in the workplace</w:t>
            </w:r>
          </w:p>
          <w:p w:rsidR="00B13129" w:rsidRPr="00D3415A" w:rsidRDefault="00B13129" w:rsidP="00B13129">
            <w:pPr>
              <w:numPr>
                <w:ilvl w:val="0"/>
                <w:numId w:val="26"/>
              </w:numPr>
              <w:tabs>
                <w:tab w:val="left" w:pos="709"/>
              </w:tabs>
              <w:spacing w:before="60" w:after="60" w:line="240" w:lineRule="auto"/>
              <w:rPr>
                <w:rFonts w:ascii="Arial" w:hAnsi="Arial" w:cs="Arial"/>
                <w:sz w:val="17"/>
                <w:szCs w:val="17"/>
              </w:rPr>
            </w:pPr>
            <w:r w:rsidRPr="00D3415A">
              <w:rPr>
                <w:rFonts w:ascii="Arial" w:hAnsi="Arial" w:cs="Arial"/>
                <w:sz w:val="17"/>
                <w:szCs w:val="17"/>
              </w:rPr>
              <w:t>reviewing compliance with the Act by relevant employers.</w:t>
            </w:r>
          </w:p>
        </w:tc>
      </w:tr>
      <w:tr w:rsidR="00B13129" w:rsidRPr="00D3415A" w:rsidTr="003F0F8A">
        <w:tc>
          <w:tcPr>
            <w:tcW w:w="7741" w:type="dxa"/>
            <w:gridSpan w:val="3"/>
            <w:tcBorders>
              <w:top w:val="double" w:sz="4" w:space="0" w:color="auto"/>
              <w:bottom w:val="double" w:sz="4" w:space="0" w:color="auto"/>
            </w:tcBorders>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Performance information</w:t>
            </w:r>
          </w:p>
        </w:tc>
      </w:tr>
      <w:tr w:rsidR="00B13129" w:rsidRPr="00D3415A" w:rsidTr="003F0F8A">
        <w:tc>
          <w:tcPr>
            <w:tcW w:w="1418" w:type="dxa"/>
            <w:tcBorders>
              <w:top w:val="double" w:sz="4" w:space="0" w:color="auto"/>
              <w:bottom w:val="single"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Year</w:t>
            </w:r>
          </w:p>
        </w:tc>
        <w:tc>
          <w:tcPr>
            <w:tcW w:w="3260" w:type="dxa"/>
            <w:tcBorders>
              <w:top w:val="double" w:sz="4" w:space="0" w:color="auto"/>
              <w:left w:val="single" w:sz="4" w:space="0" w:color="auto"/>
              <w:bottom w:val="single"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Performance criteria</w:t>
            </w:r>
          </w:p>
        </w:tc>
        <w:tc>
          <w:tcPr>
            <w:tcW w:w="3063" w:type="dxa"/>
            <w:tcBorders>
              <w:top w:val="double" w:sz="4" w:space="0" w:color="auto"/>
              <w:left w:val="single" w:sz="4" w:space="0" w:color="auto"/>
              <w:bottom w:val="single" w:sz="4" w:space="0" w:color="auto"/>
            </w:tcBorders>
          </w:tcPr>
          <w:p w:rsidR="00B13129" w:rsidRPr="00D3415A" w:rsidRDefault="00B13129" w:rsidP="003F0F8A">
            <w:pPr>
              <w:tabs>
                <w:tab w:val="left" w:pos="709"/>
              </w:tabs>
              <w:spacing w:before="60" w:after="60" w:line="240" w:lineRule="auto"/>
              <w:rPr>
                <w:rFonts w:ascii="Arial" w:hAnsi="Arial" w:cs="Arial"/>
                <w:b/>
                <w:sz w:val="17"/>
                <w:szCs w:val="17"/>
              </w:rPr>
            </w:pPr>
            <w:r w:rsidRPr="00D3415A">
              <w:rPr>
                <w:rFonts w:ascii="Arial" w:hAnsi="Arial" w:cs="Arial"/>
                <w:b/>
                <w:sz w:val="17"/>
                <w:szCs w:val="17"/>
              </w:rPr>
              <w:t>Targets</w:t>
            </w:r>
          </w:p>
        </w:tc>
      </w:tr>
      <w:tr w:rsidR="00B13129" w:rsidRPr="00D3415A" w:rsidTr="003F0F8A">
        <w:trPr>
          <w:trHeight w:val="60"/>
        </w:trPr>
        <w:tc>
          <w:tcPr>
            <w:tcW w:w="1418" w:type="dxa"/>
            <w:tcBorders>
              <w:top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2016–17</w:t>
            </w:r>
          </w:p>
        </w:tc>
        <w:tc>
          <w:tcPr>
            <w:tcW w:w="3260" w:type="dxa"/>
            <w:tcBorders>
              <w:top w:val="single" w:sz="4" w:space="0" w:color="auto"/>
              <w:left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Increasing our impact and reach on gender equality issues through leveraging and development of our networks</w:t>
            </w:r>
          </w:p>
        </w:tc>
        <w:tc>
          <w:tcPr>
            <w:tcW w:w="3063" w:type="dxa"/>
            <w:tcBorders>
              <w:top w:val="single" w:sz="4" w:space="0" w:color="auto"/>
              <w:left w:val="single" w:sz="4" w:space="0" w:color="auto"/>
              <w:bottom w:val="dotted"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Increase in speaking engagements and event participation</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b/>
                <w:sz w:val="17"/>
                <w:szCs w:val="17"/>
              </w:rPr>
              <w:t>Assessment:</w:t>
            </w:r>
            <w:r w:rsidRPr="00D3415A">
              <w:rPr>
                <w:rFonts w:ascii="Arial" w:hAnsi="Arial" w:cs="Arial"/>
                <w:sz w:val="17"/>
                <w:szCs w:val="17"/>
              </w:rPr>
              <w:t xml:space="preserve"> Target exceeded </w:t>
            </w:r>
          </w:p>
          <w:p w:rsidR="00B13129" w:rsidRPr="00D3415A" w:rsidRDefault="00B13129" w:rsidP="003F0F8A">
            <w:pPr>
              <w:tabs>
                <w:tab w:val="left" w:pos="709"/>
              </w:tabs>
              <w:spacing w:before="60" w:after="60" w:line="240" w:lineRule="auto"/>
              <w:rPr>
                <w:rFonts w:ascii="Arial" w:hAnsi="Arial" w:cs="Arial"/>
                <w:i/>
                <w:sz w:val="17"/>
                <w:szCs w:val="17"/>
              </w:rPr>
            </w:pPr>
            <w:r w:rsidRPr="00D3415A">
              <w:rPr>
                <w:rFonts w:ascii="Arial" w:hAnsi="Arial" w:cs="Arial"/>
                <w:i/>
                <w:sz w:val="17"/>
                <w:szCs w:val="17"/>
              </w:rPr>
              <w:t>Speaking engagements have increased 19% from 62 in 2015–16 to 74 in 2016–17 to date.</w:t>
            </w:r>
          </w:p>
        </w:tc>
      </w:tr>
      <w:tr w:rsidR="00B13129" w:rsidRPr="00D3415A" w:rsidTr="003F0F8A">
        <w:tc>
          <w:tcPr>
            <w:tcW w:w="1418" w:type="dxa"/>
            <w:tcBorders>
              <w:top w:val="dotted"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p>
        </w:tc>
        <w:tc>
          <w:tcPr>
            <w:tcW w:w="3260" w:type="dxa"/>
            <w:tcBorders>
              <w:top w:val="dotted" w:sz="4" w:space="0" w:color="auto"/>
              <w:left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Style w:val="BodyTextChar"/>
                <w:rFonts w:ascii="Arial" w:hAnsi="Arial" w:cs="Arial"/>
                <w:bCs/>
                <w:iCs/>
                <w:spacing w:val="-6"/>
                <w:sz w:val="17"/>
                <w:szCs w:val="17"/>
              </w:rPr>
            </w:pPr>
            <w:r w:rsidRPr="00D3415A">
              <w:rPr>
                <w:rFonts w:ascii="Arial" w:hAnsi="Arial" w:cs="Arial"/>
                <w:sz w:val="17"/>
                <w:szCs w:val="17"/>
              </w:rPr>
              <w:t>Realising the potential of gender equality data by optimising its collection, analysis and release</w:t>
            </w:r>
          </w:p>
        </w:tc>
        <w:tc>
          <w:tcPr>
            <w:tcW w:w="3063" w:type="dxa"/>
            <w:tcBorders>
              <w:top w:val="dotted" w:sz="4" w:space="0" w:color="auto"/>
              <w:left w:val="single" w:sz="4" w:space="0" w:color="auto"/>
              <w:bottom w:val="dotted"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Improve ease of reporting</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b/>
                <w:sz w:val="17"/>
                <w:szCs w:val="17"/>
              </w:rPr>
              <w:t>Assessment:</w:t>
            </w:r>
            <w:r w:rsidRPr="00D3415A">
              <w:rPr>
                <w:rFonts w:ascii="Arial" w:hAnsi="Arial" w:cs="Arial"/>
                <w:sz w:val="17"/>
                <w:szCs w:val="17"/>
              </w:rPr>
              <w:t xml:space="preserve"> Target on track  </w:t>
            </w:r>
          </w:p>
          <w:p w:rsidR="00B13129" w:rsidRPr="00D3415A" w:rsidRDefault="00B13129" w:rsidP="003F0F8A">
            <w:pPr>
              <w:tabs>
                <w:tab w:val="left" w:pos="709"/>
              </w:tabs>
              <w:spacing w:before="60" w:after="60" w:line="240" w:lineRule="auto"/>
              <w:rPr>
                <w:rFonts w:ascii="Arial" w:hAnsi="Arial" w:cs="Arial"/>
                <w:i/>
                <w:sz w:val="17"/>
                <w:szCs w:val="17"/>
              </w:rPr>
            </w:pPr>
            <w:r w:rsidRPr="00D3415A">
              <w:rPr>
                <w:rFonts w:ascii="Arial" w:hAnsi="Arial" w:cs="Arial"/>
                <w:i/>
                <w:sz w:val="17"/>
                <w:szCs w:val="17"/>
              </w:rPr>
              <w:t xml:space="preserve">Secure log on procedure and reporting questionnaire have been simplified </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Increase means by which the data is communicated</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b/>
                <w:sz w:val="17"/>
                <w:szCs w:val="17"/>
              </w:rPr>
              <w:t>Assessment:</w:t>
            </w:r>
            <w:r w:rsidRPr="00D3415A">
              <w:rPr>
                <w:rFonts w:ascii="Arial" w:hAnsi="Arial" w:cs="Arial"/>
                <w:sz w:val="17"/>
                <w:szCs w:val="17"/>
              </w:rPr>
              <w:t xml:space="preserve"> Target exceeded</w:t>
            </w:r>
          </w:p>
          <w:p w:rsidR="00B13129" w:rsidRPr="00D3415A" w:rsidRDefault="00B13129" w:rsidP="003F0F8A">
            <w:pPr>
              <w:tabs>
                <w:tab w:val="left" w:pos="709"/>
              </w:tabs>
              <w:spacing w:before="60" w:after="60" w:line="240" w:lineRule="auto"/>
              <w:rPr>
                <w:rFonts w:ascii="Arial" w:hAnsi="Arial" w:cs="Arial"/>
                <w:i/>
                <w:sz w:val="17"/>
                <w:szCs w:val="17"/>
              </w:rPr>
            </w:pPr>
            <w:r w:rsidRPr="00D3415A">
              <w:rPr>
                <w:rFonts w:ascii="Arial" w:hAnsi="Arial" w:cs="Arial"/>
                <w:i/>
                <w:sz w:val="17"/>
                <w:szCs w:val="17"/>
              </w:rPr>
              <w:t>The number of gender equality Factsheets and Insights publications on the website has increased from 14</w:t>
            </w:r>
            <w:r>
              <w:rPr>
                <w:rFonts w:ascii="Arial" w:hAnsi="Arial" w:cs="Arial"/>
                <w:i/>
                <w:sz w:val="17"/>
                <w:szCs w:val="17"/>
              </w:rPr>
              <w:t> </w:t>
            </w:r>
            <w:r w:rsidRPr="00D3415A">
              <w:rPr>
                <w:rFonts w:ascii="Arial" w:hAnsi="Arial" w:cs="Arial"/>
                <w:i/>
                <w:sz w:val="17"/>
                <w:szCs w:val="17"/>
              </w:rPr>
              <w:t>in 2015</w:t>
            </w:r>
            <w:r>
              <w:rPr>
                <w:rFonts w:ascii="Arial" w:hAnsi="Arial" w:cs="Arial"/>
                <w:i/>
                <w:sz w:val="17"/>
                <w:szCs w:val="17"/>
              </w:rPr>
              <w:t>–</w:t>
            </w:r>
            <w:r w:rsidRPr="00D3415A">
              <w:rPr>
                <w:rFonts w:ascii="Arial" w:hAnsi="Arial" w:cs="Arial"/>
                <w:i/>
                <w:sz w:val="17"/>
                <w:szCs w:val="17"/>
              </w:rPr>
              <w:t>16 to 19 in 2016</w:t>
            </w:r>
            <w:r>
              <w:rPr>
                <w:rFonts w:ascii="Arial" w:hAnsi="Arial" w:cs="Arial"/>
                <w:i/>
                <w:sz w:val="17"/>
                <w:szCs w:val="17"/>
              </w:rPr>
              <w:t>–</w:t>
            </w:r>
            <w:r w:rsidRPr="00D3415A">
              <w:rPr>
                <w:rFonts w:ascii="Arial" w:hAnsi="Arial" w:cs="Arial"/>
                <w:i/>
                <w:sz w:val="17"/>
                <w:szCs w:val="17"/>
              </w:rPr>
              <w:t>17.</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i/>
                <w:sz w:val="17"/>
                <w:szCs w:val="17"/>
              </w:rPr>
              <w:t xml:space="preserve">The Agency has submitted detailed submissions to </w:t>
            </w:r>
            <w:r>
              <w:rPr>
                <w:rFonts w:ascii="Arial" w:hAnsi="Arial" w:cs="Arial"/>
                <w:i/>
                <w:sz w:val="17"/>
                <w:szCs w:val="17"/>
              </w:rPr>
              <w:t>three</w:t>
            </w:r>
            <w:r w:rsidRPr="00D3415A">
              <w:rPr>
                <w:rFonts w:ascii="Arial" w:hAnsi="Arial" w:cs="Arial"/>
                <w:i/>
                <w:sz w:val="17"/>
                <w:szCs w:val="17"/>
              </w:rPr>
              <w:t xml:space="preserve"> Senate Inquiries in 2016</w:t>
            </w:r>
            <w:r>
              <w:rPr>
                <w:rFonts w:ascii="Arial" w:hAnsi="Arial" w:cs="Arial"/>
                <w:i/>
                <w:sz w:val="17"/>
                <w:szCs w:val="17"/>
              </w:rPr>
              <w:t>–</w:t>
            </w:r>
            <w:r w:rsidRPr="00D3415A">
              <w:rPr>
                <w:rFonts w:ascii="Arial" w:hAnsi="Arial" w:cs="Arial"/>
                <w:i/>
                <w:sz w:val="17"/>
                <w:szCs w:val="17"/>
              </w:rPr>
              <w:t>17</w:t>
            </w:r>
          </w:p>
        </w:tc>
      </w:tr>
      <w:tr w:rsidR="00B13129" w:rsidRPr="00D3415A" w:rsidTr="003F0F8A">
        <w:tc>
          <w:tcPr>
            <w:tcW w:w="1418" w:type="dxa"/>
            <w:tcBorders>
              <w:top w:val="dotted" w:sz="4" w:space="0" w:color="auto"/>
              <w:bottom w:val="single"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p>
        </w:tc>
        <w:tc>
          <w:tcPr>
            <w:tcW w:w="3260" w:type="dxa"/>
            <w:tcBorders>
              <w:top w:val="dotted" w:sz="4" w:space="0" w:color="auto"/>
              <w:left w:val="single" w:sz="4" w:space="0" w:color="auto"/>
              <w:bottom w:val="single" w:sz="4" w:space="0" w:color="auto"/>
              <w:right w:val="single" w:sz="4" w:space="0" w:color="auto"/>
            </w:tcBorders>
          </w:tcPr>
          <w:p w:rsidR="00B13129" w:rsidRPr="00D3415A" w:rsidRDefault="00B13129" w:rsidP="003F0F8A">
            <w:pPr>
              <w:tabs>
                <w:tab w:val="left" w:pos="709"/>
              </w:tabs>
              <w:spacing w:before="60" w:after="60" w:line="240" w:lineRule="auto"/>
              <w:rPr>
                <w:rStyle w:val="BodyTextChar"/>
                <w:rFonts w:ascii="Arial" w:hAnsi="Arial" w:cs="Arial"/>
                <w:bCs/>
                <w:iCs/>
                <w:spacing w:val="-6"/>
                <w:sz w:val="17"/>
                <w:szCs w:val="17"/>
              </w:rPr>
            </w:pPr>
            <w:r w:rsidRPr="00D3415A">
              <w:rPr>
                <w:rFonts w:ascii="Arial" w:hAnsi="Arial" w:cs="Arial"/>
                <w:sz w:val="17"/>
                <w:szCs w:val="17"/>
              </w:rPr>
              <w:t>Communicating effectively on gender equality matters by reviewing our channels and audience</w:t>
            </w:r>
          </w:p>
        </w:tc>
        <w:tc>
          <w:tcPr>
            <w:tcW w:w="3063" w:type="dxa"/>
            <w:tcBorders>
              <w:top w:val="dotted" w:sz="4" w:space="0" w:color="auto"/>
              <w:left w:val="single" w:sz="4" w:space="0" w:color="auto"/>
              <w:bottom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Increase our media presence and third party advocacy and increase industry roundtables</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b/>
                <w:sz w:val="17"/>
                <w:szCs w:val="17"/>
              </w:rPr>
              <w:t>Assessment</w:t>
            </w:r>
            <w:r w:rsidRPr="00D3415A">
              <w:rPr>
                <w:rFonts w:ascii="Arial" w:hAnsi="Arial" w:cs="Arial"/>
                <w:sz w:val="17"/>
                <w:szCs w:val="17"/>
              </w:rPr>
              <w:t>: Target exceeded</w:t>
            </w:r>
          </w:p>
          <w:p w:rsidR="00B13129" w:rsidRPr="00D3415A" w:rsidRDefault="00B13129" w:rsidP="003F0F8A">
            <w:pPr>
              <w:tabs>
                <w:tab w:val="left" w:pos="709"/>
              </w:tabs>
              <w:spacing w:before="60" w:after="60" w:line="240" w:lineRule="auto"/>
              <w:rPr>
                <w:rFonts w:ascii="Arial" w:hAnsi="Arial" w:cs="Arial"/>
                <w:i/>
                <w:sz w:val="17"/>
                <w:szCs w:val="17"/>
              </w:rPr>
            </w:pPr>
            <w:r w:rsidRPr="00D3415A">
              <w:rPr>
                <w:rFonts w:ascii="Arial" w:hAnsi="Arial" w:cs="Arial"/>
                <w:i/>
                <w:sz w:val="17"/>
                <w:szCs w:val="17"/>
              </w:rPr>
              <w:t>The number of media mentions of the Agency has increased 25% from 516 in 2015–16 to 645 in 2015–16 to date.</w:t>
            </w:r>
          </w:p>
          <w:p w:rsidR="00B13129" w:rsidRPr="00D3415A" w:rsidRDefault="00B13129" w:rsidP="003F0F8A">
            <w:pPr>
              <w:tabs>
                <w:tab w:val="left" w:pos="709"/>
              </w:tabs>
              <w:spacing w:before="60" w:after="60" w:line="240" w:lineRule="auto"/>
              <w:rPr>
                <w:rFonts w:ascii="Arial" w:hAnsi="Arial" w:cs="Arial"/>
                <w:i/>
                <w:sz w:val="17"/>
                <w:szCs w:val="17"/>
              </w:rPr>
            </w:pPr>
            <w:r w:rsidRPr="00D3415A">
              <w:rPr>
                <w:rFonts w:ascii="Arial" w:hAnsi="Arial" w:cs="Arial"/>
                <w:i/>
                <w:sz w:val="17"/>
                <w:szCs w:val="17"/>
              </w:rPr>
              <w:t>The Agency has participated in 6 industry roundtables this year which is equivalent to 2015–16, however 6 additional events are scheduled for 2016–17.</w:t>
            </w:r>
          </w:p>
          <w:p w:rsidR="00B13129" w:rsidRPr="00D3415A" w:rsidRDefault="00B13129" w:rsidP="003F0F8A">
            <w:pPr>
              <w:tabs>
                <w:tab w:val="left" w:pos="709"/>
              </w:tabs>
              <w:spacing w:before="60" w:after="60" w:line="240" w:lineRule="auto"/>
              <w:rPr>
                <w:rFonts w:ascii="Arial" w:hAnsi="Arial" w:cs="Arial"/>
                <w:i/>
                <w:sz w:val="17"/>
                <w:szCs w:val="17"/>
              </w:rPr>
            </w:pPr>
            <w:r w:rsidRPr="00D3415A">
              <w:rPr>
                <w:rFonts w:ascii="Arial" w:hAnsi="Arial" w:cs="Arial"/>
                <w:i/>
                <w:sz w:val="17"/>
                <w:szCs w:val="17"/>
              </w:rPr>
              <w:t xml:space="preserve">Holders of the Employer of Choice for Gender Equality increased 16% from 91 in 2015–16 to 106 in 2016–17 </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i/>
                <w:sz w:val="17"/>
                <w:szCs w:val="17"/>
              </w:rPr>
              <w:t>Number of enlisted Pay Equity Ambassadors increased 5% from 103 in 2015–16 to 108 in 2016–17</w:t>
            </w:r>
          </w:p>
        </w:tc>
      </w:tr>
      <w:tr w:rsidR="00B13129" w:rsidRPr="00D3415A" w:rsidTr="003F0F8A">
        <w:tc>
          <w:tcPr>
            <w:tcW w:w="1418" w:type="dxa"/>
            <w:tcBorders>
              <w:top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2017–18</w:t>
            </w:r>
          </w:p>
        </w:tc>
        <w:tc>
          <w:tcPr>
            <w:tcW w:w="3260" w:type="dxa"/>
            <w:tcBorders>
              <w:top w:val="single" w:sz="4" w:space="0" w:color="auto"/>
              <w:left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Style w:val="BodyTextChar"/>
                <w:rFonts w:ascii="Arial" w:hAnsi="Arial" w:cs="Arial"/>
                <w:bCs/>
                <w:iCs/>
                <w:spacing w:val="-6"/>
                <w:sz w:val="17"/>
                <w:szCs w:val="17"/>
              </w:rPr>
              <w:t>Increasing our impact and reach on gender equality issues through development and delivery of educational tools and resources to inform and equip</w:t>
            </w:r>
          </w:p>
        </w:tc>
        <w:tc>
          <w:tcPr>
            <w:tcW w:w="3063" w:type="dxa"/>
            <w:tcBorders>
              <w:top w:val="single" w:sz="4" w:space="0" w:color="auto"/>
              <w:left w:val="single" w:sz="4" w:space="0" w:color="auto"/>
              <w:bottom w:val="dotted"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 xml:space="preserve">Review and refresh of educational resources and toolkits </w:t>
            </w:r>
          </w:p>
        </w:tc>
      </w:tr>
      <w:tr w:rsidR="00B13129" w:rsidRPr="00D3415A" w:rsidTr="003F0F8A">
        <w:tc>
          <w:tcPr>
            <w:tcW w:w="1418" w:type="dxa"/>
            <w:tcBorders>
              <w:top w:val="dotted"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p>
        </w:tc>
        <w:tc>
          <w:tcPr>
            <w:tcW w:w="3260" w:type="dxa"/>
            <w:tcBorders>
              <w:top w:val="dotted" w:sz="4" w:space="0" w:color="auto"/>
              <w:left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Realising the potential of gender equality data by mining for evidence to add value and generate insights</w:t>
            </w:r>
          </w:p>
        </w:tc>
        <w:tc>
          <w:tcPr>
            <w:tcW w:w="3063" w:type="dxa"/>
            <w:tcBorders>
              <w:top w:val="dotted" w:sz="4" w:space="0" w:color="auto"/>
              <w:left w:val="single" w:sz="4" w:space="0" w:color="auto"/>
              <w:bottom w:val="dotted"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Establish additional research partnerships and influence the research agenda on gender equality.</w:t>
            </w:r>
          </w:p>
        </w:tc>
      </w:tr>
      <w:tr w:rsidR="00B13129" w:rsidRPr="00D3415A" w:rsidTr="003F0F8A">
        <w:tc>
          <w:tcPr>
            <w:tcW w:w="1418" w:type="dxa"/>
            <w:tcBorders>
              <w:top w:val="dotted" w:sz="4" w:space="0" w:color="auto"/>
              <w:bottom w:val="single"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p>
        </w:tc>
        <w:tc>
          <w:tcPr>
            <w:tcW w:w="3260" w:type="dxa"/>
            <w:tcBorders>
              <w:top w:val="dotted" w:sz="4" w:space="0" w:color="auto"/>
              <w:left w:val="single" w:sz="4" w:space="0" w:color="auto"/>
              <w:bottom w:val="single"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Communicating widely on gender equality matters in consumable forms which tell the story</w:t>
            </w:r>
          </w:p>
        </w:tc>
        <w:tc>
          <w:tcPr>
            <w:tcW w:w="3063" w:type="dxa"/>
            <w:tcBorders>
              <w:top w:val="dotted" w:sz="4" w:space="0" w:color="auto"/>
              <w:left w:val="single" w:sz="4" w:space="0" w:color="auto"/>
              <w:bottom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Refresh of website content to include increase in case studies and result in more visits to the site.</w:t>
            </w:r>
          </w:p>
        </w:tc>
      </w:tr>
      <w:tr w:rsidR="00B13129" w:rsidRPr="00D3415A" w:rsidTr="003F0F8A">
        <w:tc>
          <w:tcPr>
            <w:tcW w:w="1418" w:type="dxa"/>
            <w:tcBorders>
              <w:top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2018–19 and beyond</w:t>
            </w:r>
          </w:p>
        </w:tc>
        <w:tc>
          <w:tcPr>
            <w:tcW w:w="3260" w:type="dxa"/>
            <w:tcBorders>
              <w:top w:val="single" w:sz="4" w:space="0" w:color="auto"/>
              <w:left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Measuring the progress of gender equality in Australian workplaces through analysis of reporting data</w:t>
            </w:r>
          </w:p>
          <w:p w:rsidR="00B13129" w:rsidRPr="00D3415A" w:rsidRDefault="00B13129" w:rsidP="003F0F8A">
            <w:pPr>
              <w:tabs>
                <w:tab w:val="left" w:pos="709"/>
              </w:tabs>
              <w:spacing w:before="60" w:after="60" w:line="240" w:lineRule="auto"/>
              <w:rPr>
                <w:rFonts w:ascii="Arial" w:hAnsi="Arial" w:cs="Arial"/>
                <w:sz w:val="17"/>
                <w:szCs w:val="17"/>
              </w:rPr>
            </w:pPr>
          </w:p>
        </w:tc>
        <w:tc>
          <w:tcPr>
            <w:tcW w:w="3063" w:type="dxa"/>
            <w:tcBorders>
              <w:top w:val="single" w:sz="4" w:space="0" w:color="auto"/>
              <w:left w:val="single" w:sz="4" w:space="0" w:color="auto"/>
              <w:bottom w:val="dotted"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Movement in the gender pay gap</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Gender composition of governing boards</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Gender composition in leadership</w:t>
            </w:r>
          </w:p>
        </w:tc>
      </w:tr>
      <w:tr w:rsidR="00B13129" w:rsidRPr="00D3415A" w:rsidTr="003F0F8A">
        <w:tc>
          <w:tcPr>
            <w:tcW w:w="1418" w:type="dxa"/>
            <w:tcBorders>
              <w:top w:val="dotted"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p>
        </w:tc>
        <w:tc>
          <w:tcPr>
            <w:tcW w:w="3260" w:type="dxa"/>
            <w:tcBorders>
              <w:top w:val="dotted" w:sz="4" w:space="0" w:color="auto"/>
              <w:left w:val="single" w:sz="4" w:space="0" w:color="auto"/>
              <w:bottom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Broadening the stakeholder base for promotion of gender equality n Australian workplaces</w:t>
            </w:r>
          </w:p>
        </w:tc>
        <w:tc>
          <w:tcPr>
            <w:tcW w:w="3063" w:type="dxa"/>
            <w:tcBorders>
              <w:top w:val="dotted" w:sz="4" w:space="0" w:color="auto"/>
              <w:left w:val="single" w:sz="4" w:space="0" w:color="auto"/>
              <w:bottom w:val="dotted"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Increase in the number of organisations not covered by the WGE Act who voluntarily report to the Agency</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 xml:space="preserve">Efficacy of tools and service levels </w:t>
            </w:r>
          </w:p>
        </w:tc>
      </w:tr>
      <w:tr w:rsidR="00B13129" w:rsidRPr="00D3415A" w:rsidTr="003F0F8A">
        <w:tc>
          <w:tcPr>
            <w:tcW w:w="1418" w:type="dxa"/>
            <w:tcBorders>
              <w:top w:val="dotted"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p>
        </w:tc>
        <w:tc>
          <w:tcPr>
            <w:tcW w:w="3260" w:type="dxa"/>
            <w:tcBorders>
              <w:top w:val="dotted" w:sz="4" w:space="0" w:color="auto"/>
              <w:left w:val="single" w:sz="4" w:space="0" w:color="auto"/>
              <w:righ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Increasing our impact and reach internationally</w:t>
            </w:r>
          </w:p>
        </w:tc>
        <w:tc>
          <w:tcPr>
            <w:tcW w:w="3063" w:type="dxa"/>
            <w:tcBorders>
              <w:top w:val="dotted" w:sz="4" w:space="0" w:color="auto"/>
              <w:left w:val="single" w:sz="4" w:space="0" w:color="auto"/>
            </w:tcBorders>
          </w:tcPr>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Increased reference to data set in international publications</w:t>
            </w:r>
          </w:p>
          <w:p w:rsidR="00B13129" w:rsidRPr="00D3415A" w:rsidRDefault="00B13129" w:rsidP="003F0F8A">
            <w:pPr>
              <w:tabs>
                <w:tab w:val="left" w:pos="709"/>
              </w:tabs>
              <w:spacing w:before="60" w:after="60" w:line="240" w:lineRule="auto"/>
              <w:rPr>
                <w:rFonts w:ascii="Arial" w:hAnsi="Arial" w:cs="Arial"/>
                <w:sz w:val="17"/>
                <w:szCs w:val="17"/>
              </w:rPr>
            </w:pPr>
            <w:r w:rsidRPr="00D3415A">
              <w:rPr>
                <w:rFonts w:ascii="Arial" w:hAnsi="Arial" w:cs="Arial"/>
                <w:sz w:val="17"/>
                <w:szCs w:val="17"/>
              </w:rPr>
              <w:t>Increased membership and representation on international bodies</w:t>
            </w:r>
          </w:p>
        </w:tc>
      </w:tr>
      <w:tr w:rsidR="00B13129" w:rsidRPr="00D3415A" w:rsidTr="003F0F8A">
        <w:tc>
          <w:tcPr>
            <w:tcW w:w="7741" w:type="dxa"/>
            <w:gridSpan w:val="3"/>
          </w:tcPr>
          <w:p w:rsidR="00B13129" w:rsidRPr="00D3415A" w:rsidRDefault="00B13129" w:rsidP="003F0F8A">
            <w:pPr>
              <w:spacing w:before="60" w:after="0"/>
              <w:rPr>
                <w:rStyle w:val="BodyTextChar"/>
                <w:rFonts w:ascii="Arial" w:hAnsi="Arial" w:cs="Arial"/>
                <w:b/>
                <w:bCs/>
                <w:iCs/>
                <w:spacing w:val="-6"/>
                <w:sz w:val="17"/>
                <w:szCs w:val="17"/>
                <w:lang w:val="en-AU"/>
              </w:rPr>
            </w:pPr>
            <w:r w:rsidRPr="00D3415A">
              <w:rPr>
                <w:rStyle w:val="BodyTextChar"/>
                <w:rFonts w:ascii="Arial" w:hAnsi="Arial" w:cs="Arial"/>
                <w:b/>
                <w:bCs/>
                <w:iCs/>
                <w:spacing w:val="-6"/>
                <w:sz w:val="17"/>
                <w:szCs w:val="17"/>
              </w:rPr>
              <w:t xml:space="preserve">Material changes to Program </w:t>
            </w:r>
            <w:r w:rsidRPr="00D3415A">
              <w:rPr>
                <w:rStyle w:val="BodyTextChar"/>
                <w:rFonts w:ascii="Arial" w:hAnsi="Arial" w:cs="Arial"/>
                <w:b/>
                <w:bCs/>
                <w:iCs/>
                <w:spacing w:val="-6"/>
                <w:sz w:val="17"/>
                <w:szCs w:val="17"/>
                <w:lang w:val="en-AU"/>
              </w:rPr>
              <w:t>1</w:t>
            </w:r>
            <w:r w:rsidRPr="00D3415A">
              <w:rPr>
                <w:rStyle w:val="BodyTextChar"/>
                <w:rFonts w:ascii="Arial" w:hAnsi="Arial" w:cs="Arial"/>
                <w:b/>
                <w:bCs/>
                <w:iCs/>
                <w:spacing w:val="-6"/>
                <w:sz w:val="17"/>
                <w:szCs w:val="17"/>
              </w:rPr>
              <w:t>.1 resulting from the following measures:</w:t>
            </w:r>
          </w:p>
          <w:p w:rsidR="00B13129" w:rsidRPr="00D3415A" w:rsidRDefault="00B13129" w:rsidP="003F0F8A">
            <w:pPr>
              <w:spacing w:after="120"/>
              <w:rPr>
                <w:rFonts w:ascii="Arial" w:eastAsia="Cambria" w:hAnsi="Arial" w:cs="Arial"/>
                <w:bCs/>
                <w:iCs/>
                <w:spacing w:val="-6"/>
                <w:sz w:val="17"/>
                <w:szCs w:val="17"/>
                <w:lang w:eastAsia="en-US"/>
              </w:rPr>
            </w:pPr>
            <w:r w:rsidRPr="00D3415A">
              <w:rPr>
                <w:rStyle w:val="BodyTextChar"/>
                <w:rFonts w:ascii="Arial" w:hAnsi="Arial" w:cs="Arial"/>
                <w:bCs/>
                <w:iCs/>
                <w:spacing w:val="-6"/>
                <w:sz w:val="17"/>
                <w:szCs w:val="17"/>
                <w:lang w:val="en-AU"/>
              </w:rPr>
              <w:t>Nil</w:t>
            </w:r>
          </w:p>
        </w:tc>
      </w:tr>
    </w:tbl>
    <w:p w:rsidR="00B13129" w:rsidRPr="00AD42E2" w:rsidRDefault="00B13129" w:rsidP="00B13129">
      <w:pPr>
        <w:pStyle w:val="Heading2"/>
      </w:pPr>
      <w:r w:rsidRPr="00C3303C">
        <w:rPr>
          <w:rFonts w:ascii="Book Antiqua" w:hAnsi="Book Antiqua"/>
          <w:i/>
          <w:color w:val="FF0000"/>
          <w:sz w:val="20"/>
        </w:rPr>
        <w:br w:type="page"/>
      </w:r>
      <w:bookmarkStart w:id="57" w:name="_Toc479589148"/>
      <w:bookmarkStart w:id="58" w:name="_Toc479613778"/>
      <w:bookmarkStart w:id="59" w:name="_Toc479796587"/>
      <w:bookmarkStart w:id="60" w:name="_Toc479844113"/>
      <w:bookmarkStart w:id="61" w:name="_Toc479848721"/>
      <w:bookmarkStart w:id="62" w:name="_Toc480270286"/>
      <w:bookmarkStart w:id="63" w:name="_Toc480459436"/>
      <w:bookmarkStart w:id="64" w:name="_Toc480459509"/>
      <w:r w:rsidRPr="00AD42E2">
        <w:t>Section 3: Budgeted financial statements</w:t>
      </w:r>
      <w:bookmarkEnd w:id="57"/>
      <w:bookmarkEnd w:id="58"/>
      <w:bookmarkEnd w:id="59"/>
      <w:bookmarkEnd w:id="60"/>
      <w:bookmarkEnd w:id="61"/>
      <w:bookmarkEnd w:id="62"/>
      <w:bookmarkEnd w:id="63"/>
      <w:bookmarkEnd w:id="64"/>
    </w:p>
    <w:p w:rsidR="00B13129" w:rsidRDefault="00B13129" w:rsidP="00B13129">
      <w:r>
        <w:t>Section 3 presents budgeted financial statements which provide a comprehensive snapshot of entity finances for the 2017–18 budget year, including the impact of budget measures and resourcing on financial statements.</w:t>
      </w:r>
    </w:p>
    <w:p w:rsidR="00B13129" w:rsidRDefault="00B13129" w:rsidP="00B13129">
      <w:pPr>
        <w:pStyle w:val="Heading3"/>
      </w:pPr>
      <w:bookmarkStart w:id="65" w:name="_Toc479589149"/>
      <w:bookmarkStart w:id="66" w:name="_Toc479613779"/>
      <w:bookmarkStart w:id="67" w:name="_Toc479796588"/>
      <w:bookmarkStart w:id="68" w:name="_Toc479844114"/>
      <w:bookmarkStart w:id="69" w:name="_Toc479848722"/>
      <w:bookmarkStart w:id="70" w:name="_Toc480270287"/>
      <w:bookmarkStart w:id="71" w:name="_Toc480459437"/>
      <w:bookmarkStart w:id="72" w:name="_Toc480459510"/>
      <w:r>
        <w:t>3.1</w:t>
      </w:r>
      <w:r>
        <w:tab/>
        <w:t>Budgeted financial statements</w:t>
      </w:r>
      <w:bookmarkEnd w:id="65"/>
      <w:bookmarkEnd w:id="66"/>
      <w:bookmarkEnd w:id="67"/>
      <w:bookmarkEnd w:id="68"/>
      <w:bookmarkEnd w:id="69"/>
      <w:bookmarkEnd w:id="70"/>
      <w:bookmarkEnd w:id="71"/>
      <w:bookmarkEnd w:id="72"/>
    </w:p>
    <w:p w:rsidR="00B13129" w:rsidRDefault="00B13129" w:rsidP="00B13129">
      <w:pPr>
        <w:pStyle w:val="Heading4"/>
      </w:pPr>
      <w:r>
        <w:t>3.1.1</w:t>
      </w:r>
      <w:r>
        <w:tab/>
        <w:t>Differences between entity resourcing and financial statements</w:t>
      </w:r>
    </w:p>
    <w:p w:rsidR="00B13129" w:rsidRPr="00334708" w:rsidRDefault="00B13129" w:rsidP="00B13129">
      <w:r>
        <w:t xml:space="preserve">The Workplace Gender Equality Agency has no differences to report. </w:t>
      </w:r>
    </w:p>
    <w:p w:rsidR="00B13129" w:rsidRDefault="00B13129" w:rsidP="00B13129">
      <w:pPr>
        <w:pStyle w:val="Heading4"/>
      </w:pPr>
      <w:r>
        <w:t>3.1.2</w:t>
      </w:r>
      <w:r>
        <w:tab/>
        <w:t>Explanatory notes and analysis of budgeted financial statements</w:t>
      </w:r>
    </w:p>
    <w:p w:rsidR="00B13129" w:rsidRPr="001A0A79" w:rsidRDefault="00B13129" w:rsidP="00B13129">
      <w:pPr>
        <w:pStyle w:val="ExampleText0"/>
        <w:rPr>
          <w:i w:val="0"/>
          <w:color w:val="auto"/>
        </w:rPr>
      </w:pPr>
      <w:r w:rsidRPr="001A0A79">
        <w:rPr>
          <w:i w:val="0"/>
          <w:color w:val="auto"/>
        </w:rPr>
        <w:t xml:space="preserve">The Workplace Gender Equality Agency is budgeting for an operating loss equal to the unappropriated depreciation and amortisation expense of </w:t>
      </w:r>
      <w:r>
        <w:rPr>
          <w:i w:val="0"/>
          <w:color w:val="auto"/>
        </w:rPr>
        <w:t xml:space="preserve">$0.9 million for the </w:t>
      </w:r>
      <w:r>
        <w:rPr>
          <w:i w:val="0"/>
          <w:color w:val="auto"/>
        </w:rPr>
        <w:br/>
        <w:t>2017–</w:t>
      </w:r>
      <w:r w:rsidRPr="001A0A79">
        <w:rPr>
          <w:i w:val="0"/>
          <w:color w:val="auto"/>
        </w:rPr>
        <w:t>18</w:t>
      </w:r>
      <w:r>
        <w:rPr>
          <w:i w:val="0"/>
          <w:color w:val="auto"/>
        </w:rPr>
        <w:t xml:space="preserve"> </w:t>
      </w:r>
      <w:r w:rsidRPr="001A0A79">
        <w:rPr>
          <w:i w:val="0"/>
          <w:color w:val="auto"/>
        </w:rPr>
        <w:t>financial year.</w:t>
      </w:r>
    </w:p>
    <w:p w:rsidR="00B13129" w:rsidRPr="001A0A79" w:rsidRDefault="00B13129" w:rsidP="00B13129">
      <w:pPr>
        <w:pStyle w:val="ExampleText0"/>
        <w:rPr>
          <w:i w:val="0"/>
          <w:color w:val="auto"/>
        </w:rPr>
      </w:pPr>
      <w:r w:rsidRPr="001A0A79">
        <w:rPr>
          <w:i w:val="0"/>
          <w:color w:val="auto"/>
        </w:rPr>
        <w:t xml:space="preserve">Total revenues are estimated to </w:t>
      </w:r>
      <w:r w:rsidRPr="00A82D40">
        <w:rPr>
          <w:i w:val="0"/>
          <w:color w:val="auto"/>
        </w:rPr>
        <w:t xml:space="preserve">be </w:t>
      </w:r>
      <w:r w:rsidRPr="00BE46C0">
        <w:rPr>
          <w:i w:val="0"/>
          <w:color w:val="auto"/>
        </w:rPr>
        <w:t>$5.0 million</w:t>
      </w:r>
      <w:r w:rsidRPr="00A82D40">
        <w:rPr>
          <w:i w:val="0"/>
          <w:color w:val="auto"/>
        </w:rPr>
        <w:t xml:space="preserve"> and total expenses </w:t>
      </w:r>
      <w:r w:rsidRPr="00BE46C0">
        <w:rPr>
          <w:i w:val="0"/>
          <w:color w:val="auto"/>
        </w:rPr>
        <w:t>$</w:t>
      </w:r>
      <w:r w:rsidRPr="00A51F34">
        <w:rPr>
          <w:i w:val="0"/>
          <w:color w:val="auto"/>
        </w:rPr>
        <w:t>5</w:t>
      </w:r>
      <w:r>
        <w:rPr>
          <w:i w:val="0"/>
          <w:color w:val="auto"/>
        </w:rPr>
        <w:t>.9 </w:t>
      </w:r>
      <w:r w:rsidRPr="001A0A79">
        <w:rPr>
          <w:i w:val="0"/>
          <w:color w:val="auto"/>
        </w:rPr>
        <w:t>million.</w:t>
      </w:r>
    </w:p>
    <w:p w:rsidR="00B13129" w:rsidRPr="001A0A79" w:rsidRDefault="00B13129" w:rsidP="00B13129">
      <w:pPr>
        <w:pStyle w:val="ExampleText0"/>
        <w:rPr>
          <w:i w:val="0"/>
          <w:color w:val="auto"/>
        </w:rPr>
      </w:pPr>
      <w:r w:rsidRPr="001A0A79">
        <w:rPr>
          <w:i w:val="0"/>
          <w:color w:val="auto"/>
        </w:rPr>
        <w:t>Tota</w:t>
      </w:r>
      <w:r>
        <w:rPr>
          <w:i w:val="0"/>
          <w:color w:val="auto"/>
        </w:rPr>
        <w:t>l assets at the end of the 2017–</w:t>
      </w:r>
      <w:r w:rsidRPr="001A0A79">
        <w:rPr>
          <w:i w:val="0"/>
          <w:color w:val="auto"/>
        </w:rPr>
        <w:t>18 year are estimated to be $</w:t>
      </w:r>
      <w:r>
        <w:rPr>
          <w:i w:val="0"/>
          <w:color w:val="auto"/>
        </w:rPr>
        <w:t xml:space="preserve">1.8 million. </w:t>
      </w:r>
      <w:r w:rsidRPr="001A0A79">
        <w:rPr>
          <w:i w:val="0"/>
          <w:color w:val="auto"/>
        </w:rPr>
        <w:t>The majority of the assets represent receivables (appropriation receivables) and intangible assets.</w:t>
      </w:r>
    </w:p>
    <w:p w:rsidR="00B13129" w:rsidRPr="001A0A79" w:rsidRDefault="00B13129" w:rsidP="00B13129">
      <w:pPr>
        <w:pStyle w:val="ExampleText0"/>
        <w:rPr>
          <w:i w:val="0"/>
          <w:color w:val="auto"/>
        </w:rPr>
      </w:pPr>
      <w:r>
        <w:rPr>
          <w:i w:val="0"/>
          <w:color w:val="auto"/>
        </w:rPr>
        <w:t>Total liabilities for 2017–</w:t>
      </w:r>
      <w:r w:rsidRPr="001A0A79">
        <w:rPr>
          <w:i w:val="0"/>
          <w:color w:val="auto"/>
        </w:rPr>
        <w:t>18 are estimated at $</w:t>
      </w:r>
      <w:r>
        <w:rPr>
          <w:i w:val="0"/>
          <w:color w:val="auto"/>
        </w:rPr>
        <w:t xml:space="preserve">1.1 million. </w:t>
      </w:r>
      <w:r w:rsidRPr="001A0A79">
        <w:rPr>
          <w:i w:val="0"/>
          <w:color w:val="auto"/>
        </w:rPr>
        <w:t>The largest liability items are accrued expenses and accrued employee entitlements.</w:t>
      </w:r>
    </w:p>
    <w:p w:rsidR="00B13129" w:rsidRDefault="00B13129" w:rsidP="00B13129">
      <w:pPr>
        <w:pStyle w:val="Heading3"/>
      </w:pPr>
      <w:r>
        <w:br w:type="page"/>
      </w:r>
      <w:bookmarkStart w:id="73" w:name="_Toc479589150"/>
      <w:bookmarkStart w:id="74" w:name="_Toc479613780"/>
      <w:bookmarkStart w:id="75" w:name="_Toc479796589"/>
      <w:bookmarkStart w:id="76" w:name="_Toc479844115"/>
      <w:bookmarkStart w:id="77" w:name="_Toc479848723"/>
      <w:bookmarkStart w:id="78" w:name="_Toc480270288"/>
      <w:bookmarkStart w:id="79" w:name="_Toc480459438"/>
      <w:bookmarkStart w:id="80" w:name="_Toc480459511"/>
      <w:r>
        <w:t>3.2.</w:t>
      </w:r>
      <w:r>
        <w:tab/>
        <w:t>Budgeted financial statements tables</w:t>
      </w:r>
      <w:bookmarkEnd w:id="73"/>
      <w:bookmarkEnd w:id="74"/>
      <w:bookmarkEnd w:id="75"/>
      <w:bookmarkEnd w:id="76"/>
      <w:bookmarkEnd w:id="77"/>
      <w:bookmarkEnd w:id="78"/>
      <w:bookmarkEnd w:id="79"/>
      <w:bookmarkEnd w:id="80"/>
    </w:p>
    <w:p w:rsidR="00B13129" w:rsidRDefault="00B13129" w:rsidP="00B13129">
      <w:pPr>
        <w:pStyle w:val="TableHeading"/>
        <w:rPr>
          <w:snapToGrid w:val="0"/>
          <w:lang w:val="en-AU"/>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25" w:type="dxa"/>
        <w:tblInd w:w="93" w:type="dxa"/>
        <w:tblLook w:val="04A0" w:firstRow="1" w:lastRow="0" w:firstColumn="1" w:lastColumn="0" w:noHBand="0" w:noVBand="1"/>
      </w:tblPr>
      <w:tblGrid>
        <w:gridCol w:w="3266"/>
        <w:gridCol w:w="947"/>
        <w:gridCol w:w="878"/>
        <w:gridCol w:w="878"/>
        <w:gridCol w:w="878"/>
        <w:gridCol w:w="878"/>
      </w:tblGrid>
      <w:tr w:rsidR="00B13129" w:rsidRPr="0031261F" w:rsidTr="003F0F8A">
        <w:trPr>
          <w:trHeight w:val="818"/>
        </w:trPr>
        <w:tc>
          <w:tcPr>
            <w:tcW w:w="3266" w:type="dxa"/>
            <w:tcBorders>
              <w:top w:val="single" w:sz="4" w:space="0" w:color="auto"/>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 </w:t>
            </w:r>
          </w:p>
        </w:tc>
        <w:tc>
          <w:tcPr>
            <w:tcW w:w="947"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2016–17 Estimated actual</w:t>
            </w:r>
            <w:r w:rsidRPr="0031261F">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000000" w:fill="E6E6E6"/>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2017–18</w:t>
            </w:r>
            <w:r w:rsidRPr="0031261F">
              <w:rPr>
                <w:rFonts w:ascii="Arial" w:hAnsi="Arial" w:cs="Arial"/>
                <w:sz w:val="16"/>
                <w:szCs w:val="16"/>
              </w:rPr>
              <w:br/>
              <w:t>Budget</w:t>
            </w:r>
            <w:r w:rsidRPr="0031261F">
              <w:rPr>
                <w:rFonts w:ascii="Arial" w:hAnsi="Arial" w:cs="Arial"/>
                <w:sz w:val="16"/>
                <w:szCs w:val="16"/>
              </w:rPr>
              <w:br/>
            </w:r>
            <w:r w:rsidRPr="0031261F">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2018–19 Forward estimate</w:t>
            </w:r>
            <w:r w:rsidRPr="0031261F">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2019–20 Forward estimate</w:t>
            </w:r>
            <w:r w:rsidRPr="0031261F">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2020–21</w:t>
            </w:r>
            <w:r w:rsidRPr="0031261F">
              <w:rPr>
                <w:rFonts w:ascii="Arial" w:hAnsi="Arial" w:cs="Arial"/>
                <w:sz w:val="16"/>
                <w:szCs w:val="16"/>
              </w:rPr>
              <w:br/>
              <w:t>Forward estimate</w:t>
            </w:r>
            <w:r w:rsidRPr="0031261F">
              <w:rPr>
                <w:rFonts w:ascii="Arial" w:hAnsi="Arial" w:cs="Arial"/>
                <w:sz w:val="16"/>
                <w:szCs w:val="16"/>
              </w:rPr>
              <w:br/>
              <w:t>$'000</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EXPENSES</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Employee benefits</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3,484 </w:t>
            </w:r>
          </w:p>
        </w:tc>
        <w:tc>
          <w:tcPr>
            <w:tcW w:w="878" w:type="dxa"/>
            <w:tcBorders>
              <w:top w:val="nil"/>
              <w:left w:val="nil"/>
              <w:bottom w:val="nil"/>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3,520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3,534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3,605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3,540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Suppliers</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1,530 </w:t>
            </w:r>
          </w:p>
        </w:tc>
        <w:tc>
          <w:tcPr>
            <w:tcW w:w="878" w:type="dxa"/>
            <w:tcBorders>
              <w:top w:val="nil"/>
              <w:left w:val="nil"/>
              <w:bottom w:val="nil"/>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1,478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1,445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1,392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1,501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Depreciation and amortisation</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921 </w:t>
            </w:r>
          </w:p>
        </w:tc>
        <w:tc>
          <w:tcPr>
            <w:tcW w:w="878" w:type="dxa"/>
            <w:tcBorders>
              <w:top w:val="nil"/>
              <w:left w:val="nil"/>
              <w:bottom w:val="nil"/>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882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615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152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182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Finance costs</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 </w:t>
            </w:r>
          </w:p>
        </w:tc>
        <w:tc>
          <w:tcPr>
            <w:tcW w:w="878" w:type="dxa"/>
            <w:tcBorders>
              <w:top w:val="nil"/>
              <w:left w:val="nil"/>
              <w:bottom w:val="nil"/>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 </w:t>
            </w:r>
          </w:p>
        </w:tc>
      </w:tr>
      <w:tr w:rsidR="00B13129" w:rsidRPr="0031261F" w:rsidTr="003F0F8A">
        <w:trPr>
          <w:trHeight w:val="208"/>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expenses</w:t>
            </w:r>
          </w:p>
        </w:tc>
        <w:tc>
          <w:tcPr>
            <w:tcW w:w="947"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5,945 </w:t>
            </w:r>
          </w:p>
        </w:tc>
        <w:tc>
          <w:tcPr>
            <w:tcW w:w="878" w:type="dxa"/>
            <w:tcBorders>
              <w:top w:val="single" w:sz="4" w:space="0" w:color="auto"/>
              <w:left w:val="nil"/>
              <w:bottom w:val="single" w:sz="4" w:space="0" w:color="auto"/>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5,890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5,604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5,159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5,223 </w:t>
            </w:r>
          </w:p>
        </w:tc>
      </w:tr>
      <w:tr w:rsidR="00B13129" w:rsidRPr="0031261F" w:rsidTr="003F0F8A">
        <w:trPr>
          <w:trHeight w:val="208"/>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 xml:space="preserve">LESS: </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r>
      <w:tr w:rsidR="00B13129" w:rsidRPr="0031261F" w:rsidTr="003F0F8A">
        <w:trPr>
          <w:trHeight w:val="208"/>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OWN-SOURCE INCOME</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r>
      <w:tr w:rsidR="00B13129" w:rsidRPr="0031261F" w:rsidTr="003F0F8A">
        <w:trPr>
          <w:trHeight w:val="208"/>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Own-source revenue</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r>
      <w:tr w:rsidR="00B13129" w:rsidRPr="0031261F" w:rsidTr="003F0F8A">
        <w:trPr>
          <w:trHeight w:val="205"/>
        </w:trPr>
        <w:tc>
          <w:tcPr>
            <w:tcW w:w="3266" w:type="dxa"/>
            <w:tcBorders>
              <w:top w:val="nil"/>
              <w:left w:val="nil"/>
              <w:bottom w:val="nil"/>
              <w:right w:val="nil"/>
            </w:tcBorders>
            <w:shd w:val="clear" w:color="auto" w:fill="auto"/>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Sale of goods and rendering of services</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78" w:type="dxa"/>
            <w:tcBorders>
              <w:top w:val="nil"/>
              <w:left w:val="nil"/>
              <w:bottom w:val="nil"/>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100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own-source revenue</w:t>
            </w:r>
          </w:p>
        </w:tc>
        <w:tc>
          <w:tcPr>
            <w:tcW w:w="947"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100 </w:t>
            </w:r>
          </w:p>
        </w:tc>
        <w:tc>
          <w:tcPr>
            <w:tcW w:w="878" w:type="dxa"/>
            <w:tcBorders>
              <w:top w:val="single" w:sz="4" w:space="0" w:color="auto"/>
              <w:left w:val="nil"/>
              <w:bottom w:val="single" w:sz="4" w:space="0" w:color="auto"/>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100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100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100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100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Gains</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Other</w:t>
            </w:r>
          </w:p>
        </w:tc>
        <w:tc>
          <w:tcPr>
            <w:tcW w:w="947"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33 </w:t>
            </w:r>
          </w:p>
        </w:tc>
        <w:tc>
          <w:tcPr>
            <w:tcW w:w="878" w:type="dxa"/>
            <w:tcBorders>
              <w:top w:val="nil"/>
              <w:left w:val="nil"/>
              <w:bottom w:val="nil"/>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33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33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33 </w:t>
            </w:r>
          </w:p>
        </w:tc>
        <w:tc>
          <w:tcPr>
            <w:tcW w:w="878" w:type="dxa"/>
            <w:tcBorders>
              <w:top w:val="nil"/>
              <w:left w:val="nil"/>
              <w:bottom w:val="nil"/>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33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gains</w:t>
            </w:r>
          </w:p>
        </w:tc>
        <w:tc>
          <w:tcPr>
            <w:tcW w:w="947"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33 </w:t>
            </w:r>
          </w:p>
        </w:tc>
        <w:tc>
          <w:tcPr>
            <w:tcW w:w="878" w:type="dxa"/>
            <w:tcBorders>
              <w:top w:val="single" w:sz="4" w:space="0" w:color="auto"/>
              <w:left w:val="nil"/>
              <w:bottom w:val="single" w:sz="4" w:space="0" w:color="auto"/>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33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33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33 </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33 </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own-source income</w:t>
            </w:r>
          </w:p>
        </w:tc>
        <w:tc>
          <w:tcPr>
            <w:tcW w:w="947"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133 </w:t>
            </w:r>
          </w:p>
        </w:tc>
        <w:tc>
          <w:tcPr>
            <w:tcW w:w="878" w:type="dxa"/>
            <w:tcBorders>
              <w:top w:val="nil"/>
              <w:left w:val="nil"/>
              <w:bottom w:val="single" w:sz="4" w:space="0" w:color="auto"/>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133 </w:t>
            </w:r>
          </w:p>
        </w:tc>
        <w:tc>
          <w:tcPr>
            <w:tcW w:w="878"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133 </w:t>
            </w:r>
          </w:p>
        </w:tc>
        <w:tc>
          <w:tcPr>
            <w:tcW w:w="878"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133 </w:t>
            </w:r>
          </w:p>
        </w:tc>
        <w:tc>
          <w:tcPr>
            <w:tcW w:w="878"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 xml:space="preserve">133 </w:t>
            </w:r>
          </w:p>
        </w:tc>
      </w:tr>
      <w:tr w:rsidR="00B13129" w:rsidRPr="0031261F" w:rsidTr="003F0F8A">
        <w:trPr>
          <w:trHeight w:val="205"/>
        </w:trPr>
        <w:tc>
          <w:tcPr>
            <w:tcW w:w="3266" w:type="dxa"/>
            <w:tcBorders>
              <w:top w:val="nil"/>
              <w:left w:val="nil"/>
              <w:bottom w:val="nil"/>
              <w:right w:val="nil"/>
            </w:tcBorders>
            <w:shd w:val="clear" w:color="auto" w:fill="auto"/>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Net cost of/contribution by services</w:t>
            </w:r>
          </w:p>
        </w:tc>
        <w:tc>
          <w:tcPr>
            <w:tcW w:w="947"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5,812</w:t>
            </w:r>
          </w:p>
        </w:tc>
        <w:tc>
          <w:tcPr>
            <w:tcW w:w="878" w:type="dxa"/>
            <w:tcBorders>
              <w:top w:val="nil"/>
              <w:left w:val="nil"/>
              <w:bottom w:val="single" w:sz="4" w:space="0" w:color="auto"/>
              <w:right w:val="nil"/>
            </w:tcBorders>
            <w:shd w:val="clear" w:color="000000" w:fill="E6E6E6"/>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5,757</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5,471</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5,026</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5,090</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ind w:firstLineChars="100" w:firstLine="160"/>
              <w:rPr>
                <w:rFonts w:ascii="Arial" w:hAnsi="Arial" w:cs="Arial"/>
                <w:sz w:val="16"/>
                <w:szCs w:val="16"/>
              </w:rPr>
            </w:pPr>
            <w:r w:rsidRPr="0031261F">
              <w:rPr>
                <w:rFonts w:ascii="Arial" w:hAnsi="Arial" w:cs="Arial"/>
                <w:sz w:val="16"/>
                <w:szCs w:val="16"/>
              </w:rPr>
              <w:t>Revenue from Government</w:t>
            </w:r>
          </w:p>
        </w:tc>
        <w:tc>
          <w:tcPr>
            <w:tcW w:w="947"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4,891 </w:t>
            </w:r>
          </w:p>
        </w:tc>
        <w:tc>
          <w:tcPr>
            <w:tcW w:w="878" w:type="dxa"/>
            <w:tcBorders>
              <w:top w:val="nil"/>
              <w:left w:val="nil"/>
              <w:bottom w:val="single" w:sz="4" w:space="0" w:color="auto"/>
              <w:right w:val="nil"/>
            </w:tcBorders>
            <w:shd w:val="clear" w:color="000000" w:fill="E6E6E6"/>
            <w:noWrap/>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4,875 </w:t>
            </w:r>
          </w:p>
        </w:tc>
        <w:tc>
          <w:tcPr>
            <w:tcW w:w="878"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4,856 </w:t>
            </w:r>
          </w:p>
        </w:tc>
        <w:tc>
          <w:tcPr>
            <w:tcW w:w="878"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4,874 </w:t>
            </w:r>
          </w:p>
        </w:tc>
        <w:tc>
          <w:tcPr>
            <w:tcW w:w="878" w:type="dxa"/>
            <w:tcBorders>
              <w:top w:val="nil"/>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4,908 </w:t>
            </w:r>
          </w:p>
        </w:tc>
      </w:tr>
      <w:tr w:rsidR="00B13129" w:rsidRPr="0031261F" w:rsidTr="003F0F8A">
        <w:trPr>
          <w:trHeight w:val="409"/>
        </w:trPr>
        <w:tc>
          <w:tcPr>
            <w:tcW w:w="3266" w:type="dxa"/>
            <w:tcBorders>
              <w:top w:val="nil"/>
              <w:left w:val="nil"/>
              <w:bottom w:val="nil"/>
              <w:right w:val="nil"/>
            </w:tcBorders>
            <w:shd w:val="clear" w:color="auto" w:fill="auto"/>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Surplus/(deficit) attributable to the</w:t>
            </w:r>
            <w:r w:rsidRPr="0031261F">
              <w:rPr>
                <w:rFonts w:ascii="Arial" w:hAnsi="Arial" w:cs="Arial"/>
                <w:b/>
                <w:bCs/>
                <w:sz w:val="16"/>
                <w:szCs w:val="16"/>
              </w:rPr>
              <w:br/>
              <w:t xml:space="preserve">  Australian Government</w:t>
            </w:r>
          </w:p>
        </w:tc>
        <w:tc>
          <w:tcPr>
            <w:tcW w:w="947"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(921)</w:t>
            </w:r>
          </w:p>
        </w:tc>
        <w:tc>
          <w:tcPr>
            <w:tcW w:w="878" w:type="dxa"/>
            <w:tcBorders>
              <w:top w:val="nil"/>
              <w:left w:val="nil"/>
              <w:bottom w:val="single" w:sz="4" w:space="0" w:color="auto"/>
              <w:right w:val="nil"/>
            </w:tcBorders>
            <w:shd w:val="clear" w:color="000000" w:fill="E6E6E6"/>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(882)</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(615)</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(152)</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(182)</w:t>
            </w:r>
          </w:p>
        </w:tc>
      </w:tr>
      <w:tr w:rsidR="00B13129" w:rsidRPr="0031261F" w:rsidTr="003F0F8A">
        <w:trPr>
          <w:trHeight w:val="205"/>
        </w:trPr>
        <w:tc>
          <w:tcPr>
            <w:tcW w:w="3266" w:type="dxa"/>
            <w:tcBorders>
              <w:top w:val="nil"/>
              <w:left w:val="nil"/>
              <w:bottom w:val="nil"/>
              <w:right w:val="nil"/>
            </w:tcBorders>
            <w:shd w:val="clear" w:color="auto" w:fill="auto"/>
            <w:noWrap/>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comprehensive income/(loss)</w:t>
            </w:r>
          </w:p>
        </w:tc>
        <w:tc>
          <w:tcPr>
            <w:tcW w:w="947"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(921)</w:t>
            </w:r>
          </w:p>
        </w:tc>
        <w:tc>
          <w:tcPr>
            <w:tcW w:w="878" w:type="dxa"/>
            <w:tcBorders>
              <w:top w:val="single" w:sz="4" w:space="0" w:color="auto"/>
              <w:left w:val="nil"/>
              <w:bottom w:val="single" w:sz="4" w:space="0" w:color="auto"/>
              <w:right w:val="nil"/>
            </w:tcBorders>
            <w:shd w:val="clear" w:color="000000" w:fill="E6E6E6"/>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(882)</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(615)</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(152)</w:t>
            </w:r>
          </w:p>
        </w:tc>
        <w:tc>
          <w:tcPr>
            <w:tcW w:w="878" w:type="dxa"/>
            <w:tcBorders>
              <w:top w:val="single" w:sz="4" w:space="0" w:color="auto"/>
              <w:left w:val="nil"/>
              <w:bottom w:val="single" w:sz="4" w:space="0" w:color="auto"/>
              <w:right w:val="nil"/>
            </w:tcBorders>
            <w:shd w:val="clear" w:color="auto" w:fill="auto"/>
            <w:noWrap/>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(182)</w:t>
            </w:r>
          </w:p>
        </w:tc>
      </w:tr>
      <w:tr w:rsidR="00B13129" w:rsidRPr="0031261F" w:rsidTr="003F0F8A">
        <w:trPr>
          <w:trHeight w:val="614"/>
        </w:trPr>
        <w:tc>
          <w:tcPr>
            <w:tcW w:w="3266" w:type="dxa"/>
            <w:tcBorders>
              <w:top w:val="nil"/>
              <w:left w:val="nil"/>
              <w:bottom w:val="single" w:sz="4" w:space="0" w:color="auto"/>
              <w:right w:val="nil"/>
            </w:tcBorders>
            <w:shd w:val="clear" w:color="auto" w:fill="auto"/>
            <w:hideMark/>
          </w:tcPr>
          <w:p w:rsidR="00B13129" w:rsidRPr="0031261F" w:rsidRDefault="00B13129" w:rsidP="003F0F8A">
            <w:pPr>
              <w:spacing w:after="0" w:line="240" w:lineRule="auto"/>
              <w:rPr>
                <w:rFonts w:ascii="Arial" w:hAnsi="Arial" w:cs="Arial"/>
                <w:b/>
                <w:bCs/>
                <w:sz w:val="16"/>
                <w:szCs w:val="16"/>
              </w:rPr>
            </w:pPr>
            <w:r w:rsidRPr="0031261F">
              <w:rPr>
                <w:rFonts w:ascii="Arial" w:hAnsi="Arial" w:cs="Arial"/>
                <w:b/>
                <w:bCs/>
                <w:sz w:val="16"/>
                <w:szCs w:val="16"/>
              </w:rPr>
              <w:t>Total comprehensive income/(loss)</w:t>
            </w:r>
            <w:r w:rsidRPr="0031261F">
              <w:rPr>
                <w:rFonts w:ascii="Arial" w:hAnsi="Arial" w:cs="Arial"/>
                <w:b/>
                <w:bCs/>
                <w:sz w:val="16"/>
                <w:szCs w:val="16"/>
              </w:rPr>
              <w:br/>
              <w:t xml:space="preserve">  attributable to the Australian</w:t>
            </w:r>
            <w:r w:rsidRPr="0031261F">
              <w:rPr>
                <w:rFonts w:ascii="Arial" w:hAnsi="Arial" w:cs="Arial"/>
                <w:b/>
                <w:bCs/>
                <w:sz w:val="16"/>
                <w:szCs w:val="16"/>
              </w:rPr>
              <w:br/>
              <w:t xml:space="preserve">  Government</w:t>
            </w:r>
          </w:p>
        </w:tc>
        <w:tc>
          <w:tcPr>
            <w:tcW w:w="947"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(921)</w:t>
            </w:r>
          </w:p>
        </w:tc>
        <w:tc>
          <w:tcPr>
            <w:tcW w:w="878" w:type="dxa"/>
            <w:tcBorders>
              <w:top w:val="nil"/>
              <w:left w:val="nil"/>
              <w:bottom w:val="single" w:sz="4" w:space="0" w:color="auto"/>
              <w:right w:val="nil"/>
            </w:tcBorders>
            <w:shd w:val="clear" w:color="000000" w:fill="E6E6E6"/>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(882)</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(615)</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(152)</w:t>
            </w:r>
          </w:p>
        </w:tc>
        <w:tc>
          <w:tcPr>
            <w:tcW w:w="878" w:type="dxa"/>
            <w:tcBorders>
              <w:top w:val="nil"/>
              <w:left w:val="nil"/>
              <w:bottom w:val="single" w:sz="4" w:space="0" w:color="auto"/>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(182)</w:t>
            </w:r>
          </w:p>
        </w:tc>
      </w:tr>
      <w:tr w:rsidR="00B13129" w:rsidRPr="0031261F" w:rsidTr="003F0F8A">
        <w:trPr>
          <w:trHeight w:val="205"/>
        </w:trPr>
        <w:tc>
          <w:tcPr>
            <w:tcW w:w="3266" w:type="dxa"/>
            <w:tcBorders>
              <w:top w:val="nil"/>
              <w:left w:val="nil"/>
              <w:bottom w:val="nil"/>
              <w:right w:val="nil"/>
            </w:tcBorders>
            <w:shd w:val="clear" w:color="auto" w:fill="auto"/>
            <w:vAlign w:val="bottom"/>
            <w:hideMark/>
          </w:tcPr>
          <w:p w:rsidR="00B13129" w:rsidRPr="0031261F" w:rsidRDefault="00B13129" w:rsidP="003F0F8A">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b/>
                <w:bCs/>
                <w:sz w:val="16"/>
                <w:szCs w:val="16"/>
              </w:rPr>
            </w:pP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r>
      <w:tr w:rsidR="00B13129" w:rsidRPr="0031261F" w:rsidTr="003F0F8A">
        <w:trPr>
          <w:trHeight w:val="205"/>
        </w:trPr>
        <w:tc>
          <w:tcPr>
            <w:tcW w:w="5091" w:type="dxa"/>
            <w:gridSpan w:val="3"/>
            <w:tcBorders>
              <w:top w:val="nil"/>
              <w:left w:val="nil"/>
              <w:bottom w:val="nil"/>
              <w:right w:val="nil"/>
            </w:tcBorders>
            <w:shd w:val="clear" w:color="auto" w:fill="auto"/>
            <w:noWrap/>
            <w:vAlign w:val="center"/>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Note: Impact of net cash appropriation arrangements</w:t>
            </w: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p>
        </w:tc>
      </w:tr>
      <w:tr w:rsidR="00B13129" w:rsidRPr="0031261F" w:rsidTr="003F0F8A">
        <w:trPr>
          <w:trHeight w:val="409"/>
        </w:trPr>
        <w:tc>
          <w:tcPr>
            <w:tcW w:w="3266" w:type="dxa"/>
            <w:tcBorders>
              <w:top w:val="single" w:sz="4" w:space="0" w:color="auto"/>
              <w:left w:val="nil"/>
              <w:bottom w:val="nil"/>
              <w:right w:val="nil"/>
            </w:tcBorders>
            <w:shd w:val="clear" w:color="auto" w:fill="auto"/>
            <w:vAlign w:val="bottom"/>
            <w:hideMark/>
          </w:tcPr>
          <w:p w:rsidR="00B13129" w:rsidRPr="0031261F" w:rsidRDefault="00B13129" w:rsidP="003F0F8A">
            <w:pPr>
              <w:spacing w:after="0" w:line="240" w:lineRule="auto"/>
              <w:rPr>
                <w:rFonts w:ascii="Arial" w:hAnsi="Arial" w:cs="Arial"/>
                <w:sz w:val="16"/>
                <w:szCs w:val="16"/>
              </w:rPr>
            </w:pPr>
            <w:r w:rsidRPr="0031261F">
              <w:rPr>
                <w:rFonts w:ascii="Arial" w:hAnsi="Arial" w:cs="Arial"/>
                <w:sz w:val="16"/>
                <w:szCs w:val="16"/>
              </w:rPr>
              <w:t> </w:t>
            </w:r>
          </w:p>
        </w:tc>
        <w:tc>
          <w:tcPr>
            <w:tcW w:w="947"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2016–17</w:t>
            </w:r>
            <w:r w:rsidRPr="0031261F">
              <w:rPr>
                <w:rFonts w:ascii="Arial" w:hAnsi="Arial" w:cs="Arial"/>
                <w:color w:val="000000"/>
                <w:sz w:val="16"/>
                <w:szCs w:val="16"/>
              </w:rPr>
              <w:br/>
              <w:t>$'000</w:t>
            </w:r>
          </w:p>
        </w:tc>
        <w:tc>
          <w:tcPr>
            <w:tcW w:w="878" w:type="dxa"/>
            <w:tcBorders>
              <w:top w:val="single" w:sz="4" w:space="0" w:color="auto"/>
              <w:left w:val="nil"/>
              <w:bottom w:val="single" w:sz="4" w:space="0" w:color="auto"/>
              <w:right w:val="nil"/>
            </w:tcBorders>
            <w:shd w:val="clear" w:color="000000" w:fill="E6E6E6"/>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2017–18</w:t>
            </w:r>
            <w:r w:rsidRPr="0031261F">
              <w:rPr>
                <w:rFonts w:ascii="Arial" w:hAnsi="Arial" w:cs="Arial"/>
                <w:color w:val="000000"/>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2018–19</w:t>
            </w:r>
            <w:r w:rsidRPr="0031261F">
              <w:rPr>
                <w:rFonts w:ascii="Arial" w:hAnsi="Arial" w:cs="Arial"/>
                <w:color w:val="000000"/>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2019–20</w:t>
            </w:r>
            <w:r w:rsidRPr="0031261F">
              <w:rPr>
                <w:rFonts w:ascii="Arial" w:hAnsi="Arial" w:cs="Arial"/>
                <w:color w:val="000000"/>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31261F" w:rsidRDefault="00B13129" w:rsidP="003F0F8A">
            <w:pPr>
              <w:spacing w:after="0" w:line="240" w:lineRule="auto"/>
              <w:jc w:val="right"/>
              <w:rPr>
                <w:rFonts w:ascii="Arial" w:hAnsi="Arial" w:cs="Arial"/>
                <w:color w:val="000000"/>
                <w:sz w:val="16"/>
                <w:szCs w:val="16"/>
              </w:rPr>
            </w:pPr>
            <w:r w:rsidRPr="0031261F">
              <w:rPr>
                <w:rFonts w:ascii="Arial" w:hAnsi="Arial" w:cs="Arial"/>
                <w:color w:val="000000"/>
                <w:sz w:val="16"/>
                <w:szCs w:val="16"/>
              </w:rPr>
              <w:t>2020–21</w:t>
            </w:r>
            <w:r w:rsidRPr="0031261F">
              <w:rPr>
                <w:rFonts w:ascii="Arial" w:hAnsi="Arial" w:cs="Arial"/>
                <w:color w:val="000000"/>
                <w:sz w:val="16"/>
                <w:szCs w:val="16"/>
              </w:rPr>
              <w:br/>
              <w:t>$'000</w:t>
            </w:r>
          </w:p>
        </w:tc>
      </w:tr>
      <w:tr w:rsidR="00B13129" w:rsidRPr="0031261F" w:rsidTr="003F0F8A">
        <w:trPr>
          <w:trHeight w:val="649"/>
        </w:trPr>
        <w:tc>
          <w:tcPr>
            <w:tcW w:w="3266" w:type="dxa"/>
            <w:tcBorders>
              <w:top w:val="nil"/>
              <w:left w:val="nil"/>
              <w:bottom w:val="nil"/>
              <w:right w:val="nil"/>
            </w:tcBorders>
            <w:shd w:val="clear" w:color="auto" w:fill="auto"/>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Total comprehensive income/(loss)</w:t>
            </w:r>
            <w:r w:rsidRPr="0031261F">
              <w:rPr>
                <w:rFonts w:ascii="Arial" w:hAnsi="Arial" w:cs="Arial"/>
                <w:b/>
                <w:bCs/>
                <w:color w:val="000000"/>
                <w:sz w:val="16"/>
                <w:szCs w:val="16"/>
              </w:rPr>
              <w:br/>
              <w:t xml:space="preserve">  excluding depreciation/amortisation </w:t>
            </w:r>
            <w:r w:rsidRPr="0031261F">
              <w:rPr>
                <w:rFonts w:ascii="Arial" w:hAnsi="Arial" w:cs="Arial"/>
                <w:b/>
                <w:bCs/>
                <w:color w:val="000000"/>
                <w:sz w:val="16"/>
                <w:szCs w:val="16"/>
              </w:rPr>
              <w:br/>
              <w:t xml:space="preserve">  expenses previously funded through </w:t>
            </w:r>
            <w:r w:rsidRPr="0031261F">
              <w:rPr>
                <w:rFonts w:ascii="Arial" w:hAnsi="Arial" w:cs="Arial"/>
                <w:b/>
                <w:bCs/>
                <w:color w:val="000000"/>
                <w:sz w:val="16"/>
                <w:szCs w:val="16"/>
              </w:rPr>
              <w:br/>
              <w:t xml:space="preserve">  revenue appropriations</w:t>
            </w:r>
          </w:p>
        </w:tc>
        <w:tc>
          <w:tcPr>
            <w:tcW w:w="947"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 </w:t>
            </w:r>
          </w:p>
        </w:tc>
        <w:tc>
          <w:tcPr>
            <w:tcW w:w="878" w:type="dxa"/>
            <w:tcBorders>
              <w:top w:val="nil"/>
              <w:left w:val="nil"/>
              <w:bottom w:val="nil"/>
              <w:right w:val="nil"/>
            </w:tcBorders>
            <w:shd w:val="clear" w:color="000000" w:fill="E6E6E6"/>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 </w:t>
            </w:r>
          </w:p>
        </w:tc>
        <w:tc>
          <w:tcPr>
            <w:tcW w:w="878"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 </w:t>
            </w:r>
          </w:p>
        </w:tc>
        <w:tc>
          <w:tcPr>
            <w:tcW w:w="878"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 </w:t>
            </w:r>
          </w:p>
        </w:tc>
        <w:tc>
          <w:tcPr>
            <w:tcW w:w="878" w:type="dxa"/>
            <w:tcBorders>
              <w:top w:val="nil"/>
              <w:left w:val="nil"/>
              <w:bottom w:val="nil"/>
              <w:right w:val="nil"/>
            </w:tcBorders>
            <w:shd w:val="clear" w:color="auto" w:fill="auto"/>
            <w:noWrap/>
            <w:vAlign w:val="center"/>
            <w:hideMark/>
          </w:tcPr>
          <w:p w:rsidR="00B13129" w:rsidRPr="0031261F" w:rsidRDefault="00B13129" w:rsidP="003F0F8A">
            <w:pPr>
              <w:spacing w:after="0" w:line="240" w:lineRule="auto"/>
              <w:jc w:val="right"/>
              <w:rPr>
                <w:rFonts w:ascii="Arial" w:hAnsi="Arial" w:cs="Arial"/>
                <w:b/>
                <w:bCs/>
                <w:color w:val="000000"/>
                <w:sz w:val="16"/>
                <w:szCs w:val="16"/>
              </w:rPr>
            </w:pPr>
            <w:r w:rsidRPr="0031261F">
              <w:rPr>
                <w:rFonts w:ascii="Arial" w:hAnsi="Arial" w:cs="Arial"/>
                <w:b/>
                <w:bCs/>
                <w:color w:val="000000"/>
                <w:sz w:val="16"/>
                <w:szCs w:val="16"/>
              </w:rPr>
              <w:t xml:space="preserve">- </w:t>
            </w:r>
          </w:p>
        </w:tc>
      </w:tr>
      <w:tr w:rsidR="00B13129" w:rsidRPr="0031261F" w:rsidTr="003F0F8A">
        <w:trPr>
          <w:trHeight w:val="400"/>
        </w:trPr>
        <w:tc>
          <w:tcPr>
            <w:tcW w:w="3266" w:type="dxa"/>
            <w:tcBorders>
              <w:top w:val="nil"/>
              <w:left w:val="nil"/>
              <w:bottom w:val="nil"/>
              <w:right w:val="nil"/>
            </w:tcBorders>
            <w:shd w:val="clear" w:color="auto" w:fill="auto"/>
            <w:vAlign w:val="center"/>
            <w:hideMark/>
          </w:tcPr>
          <w:p w:rsidR="00B13129" w:rsidRPr="0031261F" w:rsidRDefault="00B13129" w:rsidP="003F0F8A">
            <w:pPr>
              <w:tabs>
                <w:tab w:val="left" w:pos="354"/>
              </w:tabs>
              <w:spacing w:after="0" w:line="240" w:lineRule="auto"/>
              <w:ind w:firstLineChars="100" w:firstLine="160"/>
              <w:rPr>
                <w:rFonts w:ascii="Arial" w:hAnsi="Arial" w:cs="Arial"/>
                <w:color w:val="000000"/>
                <w:sz w:val="16"/>
                <w:szCs w:val="16"/>
              </w:rPr>
            </w:pPr>
            <w:r w:rsidRPr="0031261F">
              <w:rPr>
                <w:rFonts w:ascii="Arial" w:hAnsi="Arial" w:cs="Arial"/>
                <w:color w:val="000000"/>
                <w:sz w:val="16"/>
                <w:szCs w:val="16"/>
              </w:rPr>
              <w:t>less depreciation/amortisation</w:t>
            </w:r>
            <w:r>
              <w:rPr>
                <w:rFonts w:ascii="Arial" w:hAnsi="Arial" w:cs="Arial"/>
                <w:color w:val="000000"/>
                <w:sz w:val="16"/>
                <w:szCs w:val="16"/>
              </w:rPr>
              <w:t xml:space="preserve"> </w:t>
            </w:r>
            <w:r>
              <w:rPr>
                <w:rFonts w:ascii="Arial" w:hAnsi="Arial" w:cs="Arial"/>
                <w:color w:val="000000"/>
                <w:sz w:val="16"/>
                <w:szCs w:val="16"/>
              </w:rPr>
              <w:tab/>
            </w:r>
            <w:r w:rsidRPr="0031261F">
              <w:rPr>
                <w:rFonts w:ascii="Arial" w:hAnsi="Arial" w:cs="Arial"/>
                <w:color w:val="000000"/>
                <w:sz w:val="16"/>
                <w:szCs w:val="16"/>
              </w:rPr>
              <w:t>expenses previously funded through</w:t>
            </w:r>
            <w:r w:rsidRPr="0031261F">
              <w:rPr>
                <w:rFonts w:ascii="Arial" w:hAnsi="Arial" w:cs="Arial"/>
                <w:color w:val="000000"/>
                <w:sz w:val="16"/>
                <w:szCs w:val="16"/>
              </w:rPr>
              <w:br/>
            </w:r>
            <w:r>
              <w:rPr>
                <w:rFonts w:ascii="Arial" w:hAnsi="Arial" w:cs="Arial"/>
                <w:color w:val="000000"/>
                <w:sz w:val="16"/>
                <w:szCs w:val="16"/>
              </w:rPr>
              <w:tab/>
            </w:r>
            <w:r w:rsidRPr="0031261F">
              <w:rPr>
                <w:rFonts w:ascii="Arial" w:hAnsi="Arial" w:cs="Arial"/>
                <w:color w:val="000000"/>
                <w:sz w:val="16"/>
                <w:szCs w:val="16"/>
              </w:rPr>
              <w:t>revenue appropriations (a)</w:t>
            </w:r>
          </w:p>
        </w:tc>
        <w:tc>
          <w:tcPr>
            <w:tcW w:w="947"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Cs/>
                <w:color w:val="000000"/>
                <w:sz w:val="16"/>
                <w:szCs w:val="16"/>
              </w:rPr>
            </w:pPr>
            <w:r w:rsidRPr="00BE46C0">
              <w:rPr>
                <w:rFonts w:ascii="Arial" w:hAnsi="Arial" w:cs="Arial"/>
                <w:bCs/>
                <w:color w:val="000000"/>
                <w:sz w:val="16"/>
                <w:szCs w:val="16"/>
              </w:rPr>
              <w:t xml:space="preserve">921 </w:t>
            </w:r>
          </w:p>
        </w:tc>
        <w:tc>
          <w:tcPr>
            <w:tcW w:w="878" w:type="dxa"/>
            <w:tcBorders>
              <w:top w:val="nil"/>
              <w:left w:val="nil"/>
              <w:bottom w:val="nil"/>
              <w:right w:val="nil"/>
            </w:tcBorders>
            <w:shd w:val="clear" w:color="000000" w:fill="E6E6E6"/>
            <w:noWrap/>
            <w:vAlign w:val="bottom"/>
            <w:hideMark/>
          </w:tcPr>
          <w:p w:rsidR="00B13129" w:rsidRPr="00BE46C0" w:rsidRDefault="00B13129" w:rsidP="003F0F8A">
            <w:pPr>
              <w:spacing w:after="0" w:line="240" w:lineRule="auto"/>
              <w:jc w:val="right"/>
              <w:rPr>
                <w:rFonts w:ascii="Arial" w:hAnsi="Arial" w:cs="Arial"/>
                <w:bCs/>
                <w:sz w:val="16"/>
                <w:szCs w:val="16"/>
              </w:rPr>
            </w:pPr>
            <w:r w:rsidRPr="00BE46C0">
              <w:rPr>
                <w:rFonts w:ascii="Arial" w:hAnsi="Arial" w:cs="Arial"/>
                <w:bCs/>
                <w:sz w:val="16"/>
                <w:szCs w:val="16"/>
              </w:rPr>
              <w:t xml:space="preserve">882 </w:t>
            </w: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615 </w:t>
            </w: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152 </w:t>
            </w:r>
          </w:p>
        </w:tc>
        <w:tc>
          <w:tcPr>
            <w:tcW w:w="878" w:type="dxa"/>
            <w:tcBorders>
              <w:top w:val="nil"/>
              <w:left w:val="nil"/>
              <w:bottom w:val="nil"/>
              <w:right w:val="nil"/>
            </w:tcBorders>
            <w:shd w:val="clear" w:color="auto" w:fill="auto"/>
            <w:noWrap/>
            <w:vAlign w:val="bottom"/>
            <w:hideMark/>
          </w:tcPr>
          <w:p w:rsidR="00B13129" w:rsidRPr="0031261F" w:rsidRDefault="00B13129" w:rsidP="003F0F8A">
            <w:pPr>
              <w:spacing w:after="0" w:line="240" w:lineRule="auto"/>
              <w:jc w:val="right"/>
              <w:rPr>
                <w:rFonts w:ascii="Arial" w:hAnsi="Arial" w:cs="Arial"/>
                <w:sz w:val="16"/>
                <w:szCs w:val="16"/>
              </w:rPr>
            </w:pPr>
            <w:r w:rsidRPr="0031261F">
              <w:rPr>
                <w:rFonts w:ascii="Arial" w:hAnsi="Arial" w:cs="Arial"/>
                <w:sz w:val="16"/>
                <w:szCs w:val="16"/>
              </w:rPr>
              <w:t xml:space="preserve">182 </w:t>
            </w:r>
          </w:p>
        </w:tc>
      </w:tr>
      <w:tr w:rsidR="00B13129" w:rsidRPr="0031261F" w:rsidTr="003F0F8A">
        <w:trPr>
          <w:trHeight w:val="614"/>
        </w:trPr>
        <w:tc>
          <w:tcPr>
            <w:tcW w:w="3266" w:type="dxa"/>
            <w:tcBorders>
              <w:top w:val="nil"/>
              <w:left w:val="nil"/>
              <w:bottom w:val="single" w:sz="4" w:space="0" w:color="auto"/>
              <w:right w:val="nil"/>
            </w:tcBorders>
            <w:shd w:val="clear" w:color="auto" w:fill="auto"/>
            <w:vAlign w:val="center"/>
            <w:hideMark/>
          </w:tcPr>
          <w:p w:rsidR="00B13129" w:rsidRPr="0031261F" w:rsidRDefault="00B13129" w:rsidP="003F0F8A">
            <w:pPr>
              <w:spacing w:after="0" w:line="240" w:lineRule="auto"/>
              <w:rPr>
                <w:rFonts w:ascii="Arial" w:hAnsi="Arial" w:cs="Arial"/>
                <w:b/>
                <w:bCs/>
                <w:color w:val="000000"/>
                <w:sz w:val="16"/>
                <w:szCs w:val="16"/>
              </w:rPr>
            </w:pPr>
            <w:r w:rsidRPr="0031261F">
              <w:rPr>
                <w:rFonts w:ascii="Arial" w:hAnsi="Arial" w:cs="Arial"/>
                <w:b/>
                <w:bCs/>
                <w:color w:val="000000"/>
                <w:sz w:val="16"/>
                <w:szCs w:val="16"/>
              </w:rPr>
              <w:t>Total comprehensive income/(loss)</w:t>
            </w:r>
            <w:r w:rsidRPr="0031261F">
              <w:rPr>
                <w:rFonts w:ascii="Arial" w:hAnsi="Arial" w:cs="Arial"/>
                <w:b/>
                <w:bCs/>
                <w:color w:val="000000"/>
                <w:sz w:val="16"/>
                <w:szCs w:val="16"/>
              </w:rPr>
              <w:br/>
              <w:t xml:space="preserve">  —as per the statement of</w:t>
            </w:r>
            <w:r w:rsidRPr="0031261F">
              <w:rPr>
                <w:rFonts w:ascii="Arial" w:hAnsi="Arial" w:cs="Arial"/>
                <w:b/>
                <w:bCs/>
                <w:color w:val="000000"/>
                <w:sz w:val="16"/>
                <w:szCs w:val="16"/>
              </w:rPr>
              <w:br/>
              <w:t xml:space="preserve">  comprehensive income</w:t>
            </w:r>
          </w:p>
        </w:tc>
        <w:tc>
          <w:tcPr>
            <w:tcW w:w="947" w:type="dxa"/>
            <w:tcBorders>
              <w:top w:val="single" w:sz="4" w:space="0" w:color="auto"/>
              <w:left w:val="nil"/>
              <w:bottom w:val="single" w:sz="4" w:space="0" w:color="auto"/>
              <w:right w:val="nil"/>
            </w:tcBorders>
            <w:shd w:val="clear" w:color="auto" w:fill="auto"/>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(921)</w:t>
            </w:r>
          </w:p>
        </w:tc>
        <w:tc>
          <w:tcPr>
            <w:tcW w:w="878" w:type="dxa"/>
            <w:tcBorders>
              <w:top w:val="single" w:sz="4" w:space="0" w:color="auto"/>
              <w:left w:val="nil"/>
              <w:bottom w:val="single" w:sz="4" w:space="0" w:color="auto"/>
              <w:right w:val="nil"/>
            </w:tcBorders>
            <w:shd w:val="clear" w:color="000000" w:fill="E6E6E6"/>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(882)</w:t>
            </w:r>
          </w:p>
        </w:tc>
        <w:tc>
          <w:tcPr>
            <w:tcW w:w="878" w:type="dxa"/>
            <w:tcBorders>
              <w:top w:val="single" w:sz="4" w:space="0" w:color="auto"/>
              <w:left w:val="nil"/>
              <w:bottom w:val="single" w:sz="4" w:space="0" w:color="auto"/>
              <w:right w:val="nil"/>
            </w:tcBorders>
            <w:shd w:val="clear" w:color="auto" w:fill="auto"/>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(615)</w:t>
            </w:r>
          </w:p>
        </w:tc>
        <w:tc>
          <w:tcPr>
            <w:tcW w:w="878" w:type="dxa"/>
            <w:tcBorders>
              <w:top w:val="single" w:sz="4" w:space="0" w:color="auto"/>
              <w:left w:val="nil"/>
              <w:bottom w:val="single" w:sz="4" w:space="0" w:color="auto"/>
              <w:right w:val="nil"/>
            </w:tcBorders>
            <w:shd w:val="clear" w:color="auto" w:fill="auto"/>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(152)</w:t>
            </w:r>
          </w:p>
        </w:tc>
        <w:tc>
          <w:tcPr>
            <w:tcW w:w="878" w:type="dxa"/>
            <w:tcBorders>
              <w:top w:val="single" w:sz="4" w:space="0" w:color="auto"/>
              <w:left w:val="nil"/>
              <w:bottom w:val="single" w:sz="4" w:space="0" w:color="auto"/>
              <w:right w:val="nil"/>
            </w:tcBorders>
            <w:shd w:val="clear" w:color="auto" w:fill="auto"/>
            <w:vAlign w:val="bottom"/>
            <w:hideMark/>
          </w:tcPr>
          <w:p w:rsidR="00B13129" w:rsidRPr="0031261F" w:rsidRDefault="00B13129" w:rsidP="003F0F8A">
            <w:pPr>
              <w:spacing w:after="0" w:line="240" w:lineRule="auto"/>
              <w:jc w:val="right"/>
              <w:rPr>
                <w:rFonts w:ascii="Arial" w:hAnsi="Arial" w:cs="Arial"/>
                <w:b/>
                <w:bCs/>
                <w:sz w:val="16"/>
                <w:szCs w:val="16"/>
              </w:rPr>
            </w:pPr>
            <w:r w:rsidRPr="0031261F">
              <w:rPr>
                <w:rFonts w:ascii="Arial" w:hAnsi="Arial" w:cs="Arial"/>
                <w:b/>
                <w:bCs/>
                <w:sz w:val="16"/>
                <w:szCs w:val="16"/>
              </w:rPr>
              <w:t>(182)</w:t>
            </w:r>
          </w:p>
        </w:tc>
      </w:tr>
    </w:tbl>
    <w:p w:rsidR="00B13129" w:rsidRPr="00096568" w:rsidRDefault="00B13129" w:rsidP="00B13129">
      <w:pPr>
        <w:pStyle w:val="ChartandTableFootnoteAlpha"/>
        <w:numPr>
          <w:ilvl w:val="0"/>
          <w:numId w:val="10"/>
        </w:numPr>
        <w:spacing w:before="120"/>
        <w:jc w:val="left"/>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or DCB) provided through Bill </w:t>
      </w:r>
      <w:r w:rsidRPr="003A3E7B">
        <w:t>1 equity appropriations. For information regarding DCBs, please refer to Table</w:t>
      </w:r>
      <w:r>
        <w:t xml:space="preserve"> 3.</w:t>
      </w:r>
      <w:r w:rsidRPr="003A3E7B">
        <w:t>5 Departmental Capital Budget Statement.</w:t>
      </w:r>
      <w:r>
        <w:t xml:space="preserve"> </w:t>
      </w:r>
    </w:p>
    <w:p w:rsidR="00B13129" w:rsidRDefault="00B13129" w:rsidP="00B13129">
      <w:pPr>
        <w:pStyle w:val="Source"/>
        <w:spacing w:before="120"/>
      </w:pPr>
      <w:r w:rsidRPr="00E4582E">
        <w:t>Prepared on Australian Accounting Standards basis</w:t>
      </w:r>
      <w:r>
        <w:t xml:space="preserve">. </w:t>
      </w:r>
    </w:p>
    <w:p w:rsidR="00B13129" w:rsidRDefault="00B13129" w:rsidP="00B13129">
      <w:pPr>
        <w:pStyle w:val="Source"/>
      </w:pPr>
    </w:p>
    <w:p w:rsidR="00B13129" w:rsidRDefault="00B13129" w:rsidP="00B13129">
      <w:pPr>
        <w:pStyle w:val="TableHeading"/>
      </w:pPr>
      <w:r>
        <w:br w:type="page"/>
      </w:r>
      <w:r w:rsidRPr="00E4582E">
        <w:t>Table</w:t>
      </w:r>
      <w:r>
        <w:t xml:space="preserve"> 3.</w:t>
      </w:r>
      <w:r w:rsidRPr="00E4582E">
        <w:t>2: Budg</w:t>
      </w:r>
      <w:r>
        <w:t xml:space="preserve">eted departmental balance sheet </w:t>
      </w:r>
      <w:r w:rsidRPr="00E4582E">
        <w:t>(as at 30 June)</w:t>
      </w:r>
    </w:p>
    <w:tbl>
      <w:tblPr>
        <w:tblW w:w="7755" w:type="dxa"/>
        <w:tblInd w:w="93" w:type="dxa"/>
        <w:tblLook w:val="04A0" w:firstRow="1" w:lastRow="0" w:firstColumn="1" w:lastColumn="0" w:noHBand="0" w:noVBand="1"/>
      </w:tblPr>
      <w:tblGrid>
        <w:gridCol w:w="3251"/>
        <w:gridCol w:w="993"/>
        <w:gridCol w:w="877"/>
        <w:gridCol w:w="878"/>
        <w:gridCol w:w="878"/>
        <w:gridCol w:w="878"/>
      </w:tblGrid>
      <w:tr w:rsidR="00B13129" w:rsidRPr="00662FDC" w:rsidTr="003F0F8A">
        <w:trPr>
          <w:trHeight w:val="839"/>
        </w:trPr>
        <w:tc>
          <w:tcPr>
            <w:tcW w:w="3251" w:type="dxa"/>
            <w:tcBorders>
              <w:top w:val="single" w:sz="4" w:space="0" w:color="auto"/>
              <w:left w:val="nil"/>
              <w:bottom w:val="nil"/>
              <w:right w:val="nil"/>
            </w:tcBorders>
            <w:shd w:val="clear" w:color="auto" w:fill="auto"/>
            <w:noWrap/>
            <w:hideMark/>
          </w:tcPr>
          <w:p w:rsidR="00B13129" w:rsidRPr="00662FDC" w:rsidRDefault="00B13129" w:rsidP="003F0F8A">
            <w:pPr>
              <w:spacing w:after="0" w:line="240" w:lineRule="auto"/>
              <w:rPr>
                <w:rFonts w:ascii="Arial" w:hAnsi="Arial" w:cs="Arial"/>
                <w:b/>
                <w:bCs/>
                <w:sz w:val="16"/>
                <w:szCs w:val="16"/>
              </w:rPr>
            </w:pPr>
            <w:r w:rsidRPr="00662FDC">
              <w:rPr>
                <w:rFonts w:ascii="Arial" w:hAnsi="Arial" w:cs="Arial"/>
                <w:b/>
                <w:bCs/>
                <w:sz w:val="16"/>
                <w:szCs w:val="16"/>
              </w:rPr>
              <w:t> </w:t>
            </w:r>
          </w:p>
        </w:tc>
        <w:tc>
          <w:tcPr>
            <w:tcW w:w="993" w:type="dxa"/>
            <w:tcBorders>
              <w:top w:val="single" w:sz="4" w:space="0" w:color="auto"/>
              <w:left w:val="nil"/>
              <w:bottom w:val="single" w:sz="4" w:space="0" w:color="auto"/>
              <w:right w:val="nil"/>
            </w:tcBorders>
            <w:shd w:val="clear" w:color="auto" w:fill="auto"/>
            <w:vAlign w:val="center"/>
            <w:hideMark/>
          </w:tcPr>
          <w:p w:rsidR="00B13129" w:rsidRPr="00662FDC" w:rsidRDefault="00B13129" w:rsidP="003F0F8A">
            <w:pPr>
              <w:spacing w:after="0" w:line="240" w:lineRule="auto"/>
              <w:jc w:val="right"/>
              <w:rPr>
                <w:rFonts w:ascii="Arial" w:hAnsi="Arial" w:cs="Arial"/>
                <w:sz w:val="16"/>
                <w:szCs w:val="16"/>
              </w:rPr>
            </w:pPr>
            <w:r w:rsidRPr="00662FDC">
              <w:rPr>
                <w:rFonts w:ascii="Arial" w:hAnsi="Arial" w:cs="Arial"/>
                <w:sz w:val="16"/>
                <w:szCs w:val="16"/>
              </w:rPr>
              <w:t>2016–17 Estimated actual</w:t>
            </w:r>
            <w:r w:rsidRPr="00662FDC">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000000" w:fill="E6E6E6"/>
            <w:vAlign w:val="center"/>
            <w:hideMark/>
          </w:tcPr>
          <w:p w:rsidR="00B13129" w:rsidRPr="00662FDC" w:rsidRDefault="00B13129" w:rsidP="003F0F8A">
            <w:pPr>
              <w:spacing w:after="0" w:line="240" w:lineRule="auto"/>
              <w:jc w:val="right"/>
              <w:rPr>
                <w:rFonts w:ascii="Arial" w:hAnsi="Arial" w:cs="Arial"/>
                <w:sz w:val="16"/>
                <w:szCs w:val="16"/>
              </w:rPr>
            </w:pPr>
            <w:r w:rsidRPr="00662FDC">
              <w:rPr>
                <w:rFonts w:ascii="Arial" w:hAnsi="Arial" w:cs="Arial"/>
                <w:sz w:val="16"/>
                <w:szCs w:val="16"/>
              </w:rPr>
              <w:t>2017–18</w:t>
            </w:r>
            <w:r w:rsidRPr="00662FDC">
              <w:rPr>
                <w:rFonts w:ascii="Arial" w:hAnsi="Arial" w:cs="Arial"/>
                <w:sz w:val="16"/>
                <w:szCs w:val="16"/>
              </w:rPr>
              <w:br/>
              <w:t>Budget</w:t>
            </w:r>
            <w:r w:rsidRPr="00662FDC">
              <w:rPr>
                <w:rFonts w:ascii="Arial" w:hAnsi="Arial" w:cs="Arial"/>
                <w:sz w:val="16"/>
                <w:szCs w:val="16"/>
              </w:rPr>
              <w:br/>
            </w:r>
            <w:r w:rsidRPr="00662FDC">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662FDC" w:rsidRDefault="00B13129" w:rsidP="003F0F8A">
            <w:pPr>
              <w:spacing w:after="0" w:line="240" w:lineRule="auto"/>
              <w:jc w:val="right"/>
              <w:rPr>
                <w:rFonts w:ascii="Arial" w:hAnsi="Arial" w:cs="Arial"/>
                <w:sz w:val="16"/>
                <w:szCs w:val="16"/>
              </w:rPr>
            </w:pPr>
            <w:r w:rsidRPr="00662FDC">
              <w:rPr>
                <w:rFonts w:ascii="Arial" w:hAnsi="Arial" w:cs="Arial"/>
                <w:sz w:val="16"/>
                <w:szCs w:val="16"/>
              </w:rPr>
              <w:t>2018–19 Forward estimate</w:t>
            </w:r>
            <w:r w:rsidRPr="00662FDC">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662FDC" w:rsidRDefault="00B13129" w:rsidP="003F0F8A">
            <w:pPr>
              <w:spacing w:after="0" w:line="240" w:lineRule="auto"/>
              <w:jc w:val="right"/>
              <w:rPr>
                <w:rFonts w:ascii="Arial" w:hAnsi="Arial" w:cs="Arial"/>
                <w:sz w:val="16"/>
                <w:szCs w:val="16"/>
              </w:rPr>
            </w:pPr>
            <w:r w:rsidRPr="00662FDC">
              <w:rPr>
                <w:rFonts w:ascii="Arial" w:hAnsi="Arial" w:cs="Arial"/>
                <w:sz w:val="16"/>
                <w:szCs w:val="16"/>
              </w:rPr>
              <w:t>2019–20 Forward estimate</w:t>
            </w:r>
            <w:r w:rsidRPr="00662FDC">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auto" w:fill="auto"/>
            <w:vAlign w:val="center"/>
            <w:hideMark/>
          </w:tcPr>
          <w:p w:rsidR="00B13129" w:rsidRPr="00662FDC" w:rsidRDefault="00B13129" w:rsidP="003F0F8A">
            <w:pPr>
              <w:spacing w:after="0" w:line="240" w:lineRule="auto"/>
              <w:jc w:val="right"/>
              <w:rPr>
                <w:rFonts w:ascii="Arial" w:hAnsi="Arial" w:cs="Arial"/>
                <w:sz w:val="16"/>
                <w:szCs w:val="16"/>
              </w:rPr>
            </w:pPr>
            <w:r w:rsidRPr="00662FDC">
              <w:rPr>
                <w:rFonts w:ascii="Arial" w:hAnsi="Arial" w:cs="Arial"/>
                <w:sz w:val="16"/>
                <w:szCs w:val="16"/>
              </w:rPr>
              <w:t>2020–21</w:t>
            </w:r>
            <w:r w:rsidRPr="00662FDC">
              <w:rPr>
                <w:rFonts w:ascii="Arial" w:hAnsi="Arial" w:cs="Arial"/>
                <w:sz w:val="16"/>
                <w:szCs w:val="16"/>
              </w:rPr>
              <w:br/>
              <w:t>Forward estimate</w:t>
            </w:r>
            <w:r w:rsidRPr="00662FDC">
              <w:rPr>
                <w:rFonts w:ascii="Arial" w:hAnsi="Arial" w:cs="Arial"/>
                <w:sz w:val="16"/>
                <w:szCs w:val="16"/>
              </w:rPr>
              <w:br/>
              <w:t>$'000</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ASSETS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Financial assets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color w:val="000000"/>
                <w:sz w:val="16"/>
                <w:szCs w:val="16"/>
              </w:rPr>
            </w:pP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 xml:space="preserve">Cash </w:t>
            </w:r>
            <w:r w:rsidRPr="00662FDC">
              <w:rPr>
                <w:rFonts w:ascii="Arial" w:hAnsi="Arial" w:cs="Arial"/>
                <w:sz w:val="16"/>
                <w:szCs w:val="16"/>
              </w:rPr>
              <w:t>and cash equivalents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220</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220</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220</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220</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220</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sz w:val="16"/>
                <w:szCs w:val="16"/>
              </w:rPr>
            </w:pPr>
            <w:r w:rsidRPr="00662FDC">
              <w:rPr>
                <w:rFonts w:ascii="Arial" w:hAnsi="Arial" w:cs="Arial"/>
                <w:sz w:val="16"/>
                <w:szCs w:val="16"/>
              </w:rPr>
              <w:t>Trade and other receivables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705</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705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705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705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705</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i/>
                <w:iCs/>
                <w:color w:val="000000"/>
                <w:sz w:val="16"/>
                <w:szCs w:val="16"/>
              </w:rPr>
            </w:pPr>
            <w:r w:rsidRPr="00662FDC">
              <w:rPr>
                <w:rFonts w:ascii="Arial" w:hAnsi="Arial" w:cs="Arial"/>
                <w:b/>
                <w:bCs/>
                <w:i/>
                <w:iCs/>
                <w:color w:val="000000"/>
                <w:sz w:val="16"/>
                <w:szCs w:val="16"/>
              </w:rPr>
              <w:t>Total financial assets</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925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925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925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925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925 </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Non-financial assets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Land and buildings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134</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Property, plant and equipment</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111</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83</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97</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83</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Intangibles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1,278</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787</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343</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377</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411</w:t>
            </w:r>
          </w:p>
        </w:tc>
      </w:tr>
      <w:tr w:rsidR="00B13129" w:rsidRPr="00662FDC" w:rsidTr="003F0F8A">
        <w:trPr>
          <w:trHeight w:val="213"/>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Other non-financial assets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i/>
                <w:iCs/>
                <w:color w:val="000000"/>
                <w:sz w:val="16"/>
                <w:szCs w:val="16"/>
              </w:rPr>
            </w:pPr>
            <w:r w:rsidRPr="00662FDC">
              <w:rPr>
                <w:rFonts w:ascii="Arial" w:hAnsi="Arial" w:cs="Arial"/>
                <w:b/>
                <w:bCs/>
                <w:i/>
                <w:iCs/>
                <w:color w:val="000000"/>
                <w:sz w:val="16"/>
                <w:szCs w:val="16"/>
              </w:rPr>
              <w:t>Total non-financial assets</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1,526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845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429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477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497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sz w:val="16"/>
                <w:szCs w:val="16"/>
              </w:rPr>
            </w:pPr>
            <w:r w:rsidRPr="00662FDC">
              <w:rPr>
                <w:rFonts w:ascii="Arial" w:hAnsi="Arial" w:cs="Arial"/>
                <w:sz w:val="16"/>
                <w:szCs w:val="16"/>
              </w:rPr>
              <w:t>Assets held for sale</w:t>
            </w:r>
          </w:p>
        </w:tc>
        <w:tc>
          <w:tcPr>
            <w:tcW w:w="993" w:type="dxa"/>
            <w:tcBorders>
              <w:top w:val="nil"/>
              <w:left w:val="nil"/>
              <w:bottom w:val="nil"/>
              <w:right w:val="nil"/>
            </w:tcBorders>
            <w:shd w:val="clear" w:color="auto" w:fill="auto"/>
            <w:noWrap/>
            <w:vAlign w:val="center"/>
            <w:hideMark/>
          </w:tcPr>
          <w:p w:rsidR="00B13129" w:rsidRPr="00335360" w:rsidRDefault="00B13129" w:rsidP="003F0F8A">
            <w:pPr>
              <w:spacing w:after="0" w:line="240" w:lineRule="auto"/>
              <w:jc w:val="right"/>
              <w:rPr>
                <w:rFonts w:ascii="Arial" w:hAnsi="Arial" w:cs="Arial"/>
                <w:bCs/>
                <w:color w:val="000000"/>
                <w:sz w:val="16"/>
                <w:szCs w:val="16"/>
              </w:rPr>
            </w:pPr>
            <w:r w:rsidRPr="00335360">
              <w:rPr>
                <w:rFonts w:ascii="Arial" w:hAnsi="Arial" w:cs="Arial"/>
                <w:b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B13129" w:rsidRPr="00335360" w:rsidRDefault="00B13129" w:rsidP="003F0F8A">
            <w:pPr>
              <w:spacing w:after="0" w:line="240" w:lineRule="auto"/>
              <w:jc w:val="right"/>
              <w:rPr>
                <w:rFonts w:ascii="Arial" w:hAnsi="Arial" w:cs="Arial"/>
                <w:bCs/>
                <w:color w:val="000000"/>
                <w:sz w:val="16"/>
                <w:szCs w:val="16"/>
              </w:rPr>
            </w:pPr>
            <w:r w:rsidRPr="00335360">
              <w:rPr>
                <w:rFonts w:ascii="Arial" w:hAnsi="Arial" w:cs="Arial"/>
                <w:bCs/>
                <w:color w:val="000000"/>
                <w:sz w:val="16"/>
                <w:szCs w:val="16"/>
              </w:rPr>
              <w:t xml:space="preserve">- </w:t>
            </w:r>
          </w:p>
        </w:tc>
        <w:tc>
          <w:tcPr>
            <w:tcW w:w="878" w:type="dxa"/>
            <w:tcBorders>
              <w:top w:val="nil"/>
              <w:left w:val="nil"/>
              <w:bottom w:val="nil"/>
              <w:right w:val="nil"/>
            </w:tcBorders>
            <w:shd w:val="clear" w:color="auto" w:fill="auto"/>
            <w:noWrap/>
            <w:vAlign w:val="center"/>
            <w:hideMark/>
          </w:tcPr>
          <w:p w:rsidR="00B13129" w:rsidRPr="00335360" w:rsidRDefault="00B13129" w:rsidP="003F0F8A">
            <w:pPr>
              <w:spacing w:after="0" w:line="240" w:lineRule="auto"/>
              <w:jc w:val="right"/>
              <w:rPr>
                <w:rFonts w:ascii="Arial" w:hAnsi="Arial" w:cs="Arial"/>
                <w:bCs/>
                <w:color w:val="000000"/>
                <w:sz w:val="16"/>
                <w:szCs w:val="16"/>
              </w:rPr>
            </w:pPr>
            <w:r w:rsidRPr="00335360">
              <w:rPr>
                <w:rFonts w:ascii="Arial" w:hAnsi="Arial" w:cs="Arial"/>
                <w:bCs/>
                <w:color w:val="000000"/>
                <w:sz w:val="16"/>
                <w:szCs w:val="16"/>
              </w:rPr>
              <w:t xml:space="preserve">- </w:t>
            </w:r>
          </w:p>
        </w:tc>
        <w:tc>
          <w:tcPr>
            <w:tcW w:w="878" w:type="dxa"/>
            <w:tcBorders>
              <w:top w:val="nil"/>
              <w:left w:val="nil"/>
              <w:bottom w:val="nil"/>
              <w:right w:val="nil"/>
            </w:tcBorders>
            <w:shd w:val="clear" w:color="auto" w:fill="auto"/>
            <w:noWrap/>
            <w:vAlign w:val="center"/>
            <w:hideMark/>
          </w:tcPr>
          <w:p w:rsidR="00B13129" w:rsidRPr="00335360" w:rsidRDefault="00B13129" w:rsidP="003F0F8A">
            <w:pPr>
              <w:spacing w:after="0" w:line="240" w:lineRule="auto"/>
              <w:jc w:val="right"/>
              <w:rPr>
                <w:rFonts w:ascii="Arial" w:hAnsi="Arial" w:cs="Arial"/>
                <w:bCs/>
                <w:color w:val="000000"/>
                <w:sz w:val="16"/>
                <w:szCs w:val="16"/>
              </w:rPr>
            </w:pPr>
            <w:r w:rsidRPr="00335360">
              <w:rPr>
                <w:rFonts w:ascii="Arial" w:hAnsi="Arial" w:cs="Arial"/>
                <w:bCs/>
                <w:color w:val="000000"/>
                <w:sz w:val="16"/>
                <w:szCs w:val="16"/>
              </w:rPr>
              <w:t xml:space="preserve">- </w:t>
            </w:r>
          </w:p>
        </w:tc>
        <w:tc>
          <w:tcPr>
            <w:tcW w:w="878" w:type="dxa"/>
            <w:tcBorders>
              <w:top w:val="nil"/>
              <w:left w:val="nil"/>
              <w:bottom w:val="nil"/>
              <w:right w:val="nil"/>
            </w:tcBorders>
            <w:shd w:val="clear" w:color="auto" w:fill="auto"/>
            <w:noWrap/>
            <w:vAlign w:val="center"/>
            <w:hideMark/>
          </w:tcPr>
          <w:p w:rsidR="00B13129" w:rsidRPr="00335360" w:rsidRDefault="00B13129" w:rsidP="003F0F8A">
            <w:pPr>
              <w:spacing w:after="0" w:line="240" w:lineRule="auto"/>
              <w:jc w:val="right"/>
              <w:rPr>
                <w:rFonts w:ascii="Arial" w:hAnsi="Arial" w:cs="Arial"/>
                <w:bCs/>
                <w:color w:val="000000"/>
                <w:sz w:val="16"/>
                <w:szCs w:val="16"/>
              </w:rPr>
            </w:pPr>
            <w:r w:rsidRPr="00335360">
              <w:rPr>
                <w:rFonts w:ascii="Arial" w:hAnsi="Arial" w:cs="Arial"/>
                <w:bCs/>
                <w:color w:val="000000"/>
                <w:sz w:val="16"/>
                <w:szCs w:val="16"/>
              </w:rPr>
              <w:t xml:space="preserve">-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Total assets</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2,451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1,770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1,354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1,402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1,422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LIABILITIES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Payables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Suppliers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77</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77</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77</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77</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77</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Personal benefits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12</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12</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i/>
                <w:iCs/>
                <w:color w:val="000000"/>
                <w:sz w:val="16"/>
                <w:szCs w:val="16"/>
              </w:rPr>
            </w:pPr>
            <w:r w:rsidRPr="00662FDC">
              <w:rPr>
                <w:rFonts w:ascii="Arial" w:hAnsi="Arial" w:cs="Arial"/>
                <w:b/>
                <w:bCs/>
                <w:i/>
                <w:iCs/>
                <w:color w:val="000000"/>
                <w:sz w:val="16"/>
                <w:szCs w:val="16"/>
              </w:rPr>
              <w:t>Total payables</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89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89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89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89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89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Interest bearing liabilities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Leases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55</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55</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i/>
                <w:iCs/>
                <w:color w:val="000000"/>
                <w:sz w:val="16"/>
                <w:szCs w:val="16"/>
              </w:rPr>
            </w:pPr>
            <w:r w:rsidRPr="00662FDC">
              <w:rPr>
                <w:rFonts w:ascii="Arial" w:hAnsi="Arial" w:cs="Arial"/>
                <w:b/>
                <w:bCs/>
                <w:i/>
                <w:iCs/>
                <w:color w:val="000000"/>
                <w:sz w:val="16"/>
                <w:szCs w:val="16"/>
              </w:rPr>
              <w:t>Total interest bearing liabilities</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55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55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55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55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55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Provisions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Employee provisions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528</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528</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528</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528</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528</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Other provisions</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412</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412</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i/>
                <w:iCs/>
                <w:color w:val="000000"/>
                <w:sz w:val="16"/>
                <w:szCs w:val="16"/>
              </w:rPr>
            </w:pPr>
            <w:r w:rsidRPr="00662FDC">
              <w:rPr>
                <w:rFonts w:ascii="Arial" w:hAnsi="Arial" w:cs="Arial"/>
                <w:b/>
                <w:bCs/>
                <w:i/>
                <w:iCs/>
                <w:color w:val="000000"/>
                <w:sz w:val="16"/>
                <w:szCs w:val="16"/>
              </w:rPr>
              <w:t>Total provisions</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940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940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940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940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940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Total liabilities</w:t>
            </w:r>
          </w:p>
        </w:tc>
        <w:tc>
          <w:tcPr>
            <w:tcW w:w="993"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1,084 </w:t>
            </w:r>
          </w:p>
        </w:tc>
        <w:tc>
          <w:tcPr>
            <w:tcW w:w="877" w:type="dxa"/>
            <w:tcBorders>
              <w:top w:val="nil"/>
              <w:left w:val="nil"/>
              <w:bottom w:val="single" w:sz="4" w:space="0" w:color="auto"/>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1,084 </w:t>
            </w:r>
          </w:p>
        </w:tc>
        <w:tc>
          <w:tcPr>
            <w:tcW w:w="878"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1,084 </w:t>
            </w:r>
          </w:p>
        </w:tc>
        <w:tc>
          <w:tcPr>
            <w:tcW w:w="878"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1,084 </w:t>
            </w:r>
          </w:p>
        </w:tc>
        <w:tc>
          <w:tcPr>
            <w:tcW w:w="878"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1,084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sz w:val="16"/>
                <w:szCs w:val="16"/>
              </w:rPr>
            </w:pPr>
            <w:r w:rsidRPr="00662FDC">
              <w:rPr>
                <w:rFonts w:ascii="Arial" w:hAnsi="Arial" w:cs="Arial"/>
                <w:b/>
                <w:bCs/>
                <w:sz w:val="16"/>
                <w:szCs w:val="16"/>
              </w:rPr>
              <w:t>Net assets</w:t>
            </w:r>
          </w:p>
        </w:tc>
        <w:tc>
          <w:tcPr>
            <w:tcW w:w="993"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1,367 </w:t>
            </w:r>
          </w:p>
        </w:tc>
        <w:tc>
          <w:tcPr>
            <w:tcW w:w="877" w:type="dxa"/>
            <w:tcBorders>
              <w:top w:val="nil"/>
              <w:left w:val="nil"/>
              <w:bottom w:val="single" w:sz="4" w:space="0" w:color="auto"/>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686 </w:t>
            </w:r>
          </w:p>
        </w:tc>
        <w:tc>
          <w:tcPr>
            <w:tcW w:w="878"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270 </w:t>
            </w:r>
          </w:p>
        </w:tc>
        <w:tc>
          <w:tcPr>
            <w:tcW w:w="878"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318 </w:t>
            </w:r>
          </w:p>
        </w:tc>
        <w:tc>
          <w:tcPr>
            <w:tcW w:w="878" w:type="dxa"/>
            <w:tcBorders>
              <w:top w:val="nil"/>
              <w:left w:val="nil"/>
              <w:bottom w:val="single" w:sz="4" w:space="0" w:color="auto"/>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338 </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EQUITY*</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Parent entity interest</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Contributed equity</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xml:space="preserve">4,050 </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xml:space="preserve">4,251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xml:space="preserve">4,450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xml:space="preserve">4,650 </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 xml:space="preserve">4,852 </w:t>
            </w:r>
          </w:p>
        </w:tc>
      </w:tr>
      <w:tr w:rsidR="00B13129" w:rsidRPr="00662FDC" w:rsidTr="003F0F8A">
        <w:trPr>
          <w:trHeight w:val="210"/>
        </w:trPr>
        <w:tc>
          <w:tcPr>
            <w:tcW w:w="3251" w:type="dxa"/>
            <w:tcBorders>
              <w:top w:val="nil"/>
              <w:left w:val="nil"/>
              <w:bottom w:val="nil"/>
              <w:right w:val="nil"/>
            </w:tcBorders>
            <w:shd w:val="clear" w:color="auto" w:fill="auto"/>
            <w:vAlign w:val="center"/>
            <w:hideMark/>
          </w:tcPr>
          <w:p w:rsidR="00B13129" w:rsidRPr="00662FDC" w:rsidRDefault="00B13129" w:rsidP="003F0F8A">
            <w:pPr>
              <w:spacing w:after="0" w:line="240" w:lineRule="auto"/>
              <w:ind w:firstLineChars="100" w:firstLine="160"/>
              <w:rPr>
                <w:rFonts w:ascii="Arial" w:hAnsi="Arial" w:cs="Arial"/>
                <w:color w:val="000000"/>
                <w:sz w:val="16"/>
                <w:szCs w:val="16"/>
              </w:rPr>
            </w:pPr>
            <w:r w:rsidRPr="00662FDC">
              <w:rPr>
                <w:rFonts w:ascii="Arial" w:hAnsi="Arial" w:cs="Arial"/>
                <w:color w:val="000000"/>
                <w:sz w:val="16"/>
                <w:szCs w:val="16"/>
              </w:rPr>
              <w:t>Retained surplus (accumulated deficit)</w:t>
            </w:r>
          </w:p>
        </w:tc>
        <w:tc>
          <w:tcPr>
            <w:tcW w:w="993"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(2,683)</w:t>
            </w:r>
          </w:p>
        </w:tc>
        <w:tc>
          <w:tcPr>
            <w:tcW w:w="877" w:type="dxa"/>
            <w:tcBorders>
              <w:top w:val="nil"/>
              <w:left w:val="nil"/>
              <w:bottom w:val="nil"/>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(3,565)</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(4,180)</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(4,332)</w:t>
            </w:r>
          </w:p>
        </w:tc>
        <w:tc>
          <w:tcPr>
            <w:tcW w:w="878"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color w:val="000000"/>
                <w:sz w:val="16"/>
                <w:szCs w:val="16"/>
              </w:rPr>
            </w:pPr>
            <w:r w:rsidRPr="00662FDC">
              <w:rPr>
                <w:rFonts w:ascii="Arial" w:hAnsi="Arial" w:cs="Arial"/>
                <w:color w:val="000000"/>
                <w:sz w:val="16"/>
                <w:szCs w:val="16"/>
              </w:rPr>
              <w:t>(4,514)</w:t>
            </w:r>
          </w:p>
        </w:tc>
      </w:tr>
      <w:tr w:rsidR="00B13129" w:rsidRPr="00662FDC" w:rsidTr="003F0F8A">
        <w:trPr>
          <w:trHeight w:val="210"/>
        </w:trPr>
        <w:tc>
          <w:tcPr>
            <w:tcW w:w="3251" w:type="dxa"/>
            <w:tcBorders>
              <w:top w:val="nil"/>
              <w:left w:val="nil"/>
              <w:bottom w:val="nil"/>
              <w:right w:val="nil"/>
            </w:tcBorders>
            <w:shd w:val="clear" w:color="auto" w:fill="auto"/>
            <w:noWrap/>
            <w:vAlign w:val="center"/>
            <w:hideMark/>
          </w:tcPr>
          <w:p w:rsidR="00B13129" w:rsidRPr="00662FDC" w:rsidRDefault="00B13129" w:rsidP="003F0F8A">
            <w:pPr>
              <w:spacing w:after="0" w:line="240" w:lineRule="auto"/>
              <w:rPr>
                <w:rFonts w:ascii="Arial" w:hAnsi="Arial" w:cs="Arial"/>
                <w:b/>
                <w:bCs/>
                <w:i/>
                <w:iCs/>
                <w:color w:val="000000"/>
                <w:sz w:val="16"/>
                <w:szCs w:val="16"/>
              </w:rPr>
            </w:pPr>
            <w:r w:rsidRPr="00662FDC">
              <w:rPr>
                <w:rFonts w:ascii="Arial" w:hAnsi="Arial" w:cs="Arial"/>
                <w:b/>
                <w:bCs/>
                <w:i/>
                <w:iCs/>
                <w:color w:val="000000"/>
                <w:sz w:val="16"/>
                <w:szCs w:val="16"/>
              </w:rPr>
              <w:t>Total parent entity interest</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1,367 </w:t>
            </w:r>
          </w:p>
        </w:tc>
        <w:tc>
          <w:tcPr>
            <w:tcW w:w="877" w:type="dxa"/>
            <w:tcBorders>
              <w:top w:val="single" w:sz="4" w:space="0" w:color="000000"/>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686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270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318 </w:t>
            </w:r>
          </w:p>
        </w:tc>
        <w:tc>
          <w:tcPr>
            <w:tcW w:w="878" w:type="dxa"/>
            <w:tcBorders>
              <w:top w:val="single" w:sz="4" w:space="0" w:color="000000"/>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i/>
                <w:iCs/>
                <w:color w:val="000000"/>
                <w:sz w:val="16"/>
                <w:szCs w:val="16"/>
              </w:rPr>
            </w:pPr>
            <w:r w:rsidRPr="00662FDC">
              <w:rPr>
                <w:rFonts w:ascii="Arial" w:hAnsi="Arial" w:cs="Arial"/>
                <w:b/>
                <w:bCs/>
                <w:i/>
                <w:iCs/>
                <w:color w:val="000000"/>
                <w:sz w:val="16"/>
                <w:szCs w:val="16"/>
              </w:rPr>
              <w:t xml:space="preserve">338 </w:t>
            </w:r>
          </w:p>
        </w:tc>
      </w:tr>
      <w:tr w:rsidR="00B13129" w:rsidRPr="00662FDC" w:rsidTr="003F0F8A">
        <w:trPr>
          <w:trHeight w:val="210"/>
        </w:trPr>
        <w:tc>
          <w:tcPr>
            <w:tcW w:w="3251" w:type="dxa"/>
            <w:tcBorders>
              <w:top w:val="nil"/>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rPr>
                <w:rFonts w:ascii="Arial" w:hAnsi="Arial" w:cs="Arial"/>
                <w:b/>
                <w:bCs/>
                <w:color w:val="000000"/>
                <w:sz w:val="16"/>
                <w:szCs w:val="16"/>
              </w:rPr>
            </w:pPr>
            <w:r w:rsidRPr="00662FDC">
              <w:rPr>
                <w:rFonts w:ascii="Arial" w:hAnsi="Arial" w:cs="Arial"/>
                <w:b/>
                <w:bCs/>
                <w:color w:val="000000"/>
                <w:sz w:val="16"/>
                <w:szCs w:val="16"/>
              </w:rPr>
              <w:t>Total equity</w:t>
            </w:r>
          </w:p>
        </w:tc>
        <w:tc>
          <w:tcPr>
            <w:tcW w:w="993" w:type="dxa"/>
            <w:tcBorders>
              <w:top w:val="nil"/>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1,367 </w:t>
            </w:r>
          </w:p>
        </w:tc>
        <w:tc>
          <w:tcPr>
            <w:tcW w:w="877" w:type="dxa"/>
            <w:tcBorders>
              <w:top w:val="nil"/>
              <w:left w:val="nil"/>
              <w:bottom w:val="single" w:sz="4" w:space="0" w:color="000000"/>
              <w:right w:val="nil"/>
            </w:tcBorders>
            <w:shd w:val="clear" w:color="000000" w:fill="E6E6E6"/>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686 </w:t>
            </w:r>
          </w:p>
        </w:tc>
        <w:tc>
          <w:tcPr>
            <w:tcW w:w="878" w:type="dxa"/>
            <w:tcBorders>
              <w:top w:val="nil"/>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270 </w:t>
            </w:r>
          </w:p>
        </w:tc>
        <w:tc>
          <w:tcPr>
            <w:tcW w:w="878" w:type="dxa"/>
            <w:tcBorders>
              <w:top w:val="nil"/>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318 </w:t>
            </w:r>
          </w:p>
        </w:tc>
        <w:tc>
          <w:tcPr>
            <w:tcW w:w="878" w:type="dxa"/>
            <w:tcBorders>
              <w:top w:val="nil"/>
              <w:left w:val="nil"/>
              <w:bottom w:val="single" w:sz="4" w:space="0" w:color="000000"/>
              <w:right w:val="nil"/>
            </w:tcBorders>
            <w:shd w:val="clear" w:color="auto" w:fill="auto"/>
            <w:noWrap/>
            <w:vAlign w:val="center"/>
            <w:hideMark/>
          </w:tcPr>
          <w:p w:rsidR="00B13129" w:rsidRPr="00662FDC" w:rsidRDefault="00B13129" w:rsidP="003F0F8A">
            <w:pPr>
              <w:spacing w:after="0" w:line="240" w:lineRule="auto"/>
              <w:jc w:val="right"/>
              <w:rPr>
                <w:rFonts w:ascii="Arial" w:hAnsi="Arial" w:cs="Arial"/>
                <w:b/>
                <w:bCs/>
                <w:color w:val="000000"/>
                <w:sz w:val="16"/>
                <w:szCs w:val="16"/>
              </w:rPr>
            </w:pPr>
            <w:r w:rsidRPr="00662FDC">
              <w:rPr>
                <w:rFonts w:ascii="Arial" w:hAnsi="Arial" w:cs="Arial"/>
                <w:b/>
                <w:bCs/>
                <w:color w:val="000000"/>
                <w:sz w:val="16"/>
                <w:szCs w:val="16"/>
              </w:rPr>
              <w:t xml:space="preserve">338 </w:t>
            </w:r>
          </w:p>
        </w:tc>
      </w:tr>
    </w:tbl>
    <w:p w:rsidR="00B13129" w:rsidRDefault="00B13129" w:rsidP="00B13129">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B13129" w:rsidRDefault="00B13129" w:rsidP="00B13129">
      <w:pPr>
        <w:pStyle w:val="Source"/>
        <w:spacing w:before="60"/>
      </w:pPr>
      <w:r>
        <w:t>Prepared on Australian Accounting Standards basis.</w:t>
      </w:r>
    </w:p>
    <w:p w:rsidR="00B13129" w:rsidRDefault="00B13129" w:rsidP="00B13129">
      <w:pPr>
        <w:pStyle w:val="TableGraphic"/>
        <w:rPr>
          <w:rStyle w:val="TableHeadingChar"/>
        </w:rPr>
      </w:pPr>
      <w:r>
        <w:br w:type="page"/>
      </w:r>
      <w:r w:rsidRPr="00D3415A">
        <w:rPr>
          <w:rStyle w:val="TableHeadingChar"/>
        </w:rPr>
        <w:t>Table 3.3: Departmental statement of changes in equity—summary of movement</w:t>
      </w:r>
      <w:r>
        <w:t xml:space="preserve"> </w:t>
      </w:r>
      <w:r w:rsidRPr="00D3415A">
        <w:rPr>
          <w:rStyle w:val="TableHeadingChar"/>
        </w:rPr>
        <w:t>(Budget year 2017–18)</w:t>
      </w:r>
    </w:p>
    <w:tbl>
      <w:tblPr>
        <w:tblW w:w="7691" w:type="dxa"/>
        <w:tblInd w:w="93" w:type="dxa"/>
        <w:tblCellMar>
          <w:left w:w="57" w:type="dxa"/>
          <w:right w:w="57" w:type="dxa"/>
        </w:tblCellMar>
        <w:tblLook w:val="04A0" w:firstRow="1" w:lastRow="0" w:firstColumn="1" w:lastColumn="0" w:noHBand="0" w:noVBand="1"/>
      </w:tblPr>
      <w:tblGrid>
        <w:gridCol w:w="4614"/>
        <w:gridCol w:w="993"/>
        <w:gridCol w:w="1185"/>
        <w:gridCol w:w="899"/>
      </w:tblGrid>
      <w:tr w:rsidR="00B13129" w:rsidRPr="004529D0" w:rsidTr="003F0F8A">
        <w:trPr>
          <w:trHeight w:val="530"/>
        </w:trPr>
        <w:tc>
          <w:tcPr>
            <w:tcW w:w="4614" w:type="dxa"/>
            <w:tcBorders>
              <w:top w:val="single" w:sz="4" w:space="0" w:color="auto"/>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w:t>
            </w:r>
          </w:p>
        </w:tc>
        <w:tc>
          <w:tcPr>
            <w:tcW w:w="993" w:type="dxa"/>
            <w:tcBorders>
              <w:top w:val="single" w:sz="4" w:space="0" w:color="auto"/>
              <w:left w:val="nil"/>
              <w:bottom w:val="single" w:sz="4" w:space="0" w:color="000000"/>
              <w:right w:val="nil"/>
            </w:tcBorders>
            <w:shd w:val="clear" w:color="auto" w:fill="auto"/>
            <w:vAlign w:val="center"/>
            <w:hideMark/>
          </w:tcPr>
          <w:p w:rsidR="00B13129" w:rsidRPr="004529D0"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Retained</w:t>
            </w:r>
            <w:r>
              <w:rPr>
                <w:rFonts w:ascii="Arial" w:hAnsi="Arial" w:cs="Arial"/>
                <w:color w:val="000000"/>
                <w:sz w:val="16"/>
                <w:szCs w:val="16"/>
              </w:rPr>
              <w:br/>
              <w:t>earnings</w:t>
            </w:r>
            <w:r w:rsidRPr="004529D0">
              <w:rPr>
                <w:rFonts w:ascii="Arial" w:hAnsi="Arial" w:cs="Arial"/>
                <w:color w:val="000000"/>
                <w:sz w:val="16"/>
                <w:szCs w:val="16"/>
              </w:rPr>
              <w:br/>
              <w:t>$'000</w:t>
            </w:r>
          </w:p>
        </w:tc>
        <w:tc>
          <w:tcPr>
            <w:tcW w:w="1185" w:type="dxa"/>
            <w:tcBorders>
              <w:top w:val="single" w:sz="4" w:space="0" w:color="auto"/>
              <w:left w:val="nil"/>
              <w:bottom w:val="single" w:sz="4" w:space="0" w:color="000000"/>
              <w:right w:val="nil"/>
            </w:tcBorders>
            <w:shd w:val="clear" w:color="auto" w:fill="auto"/>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Contributed</w:t>
            </w:r>
            <w:r w:rsidRPr="004529D0">
              <w:rPr>
                <w:rFonts w:ascii="Arial" w:hAnsi="Arial" w:cs="Arial"/>
                <w:color w:val="000000"/>
                <w:sz w:val="16"/>
                <w:szCs w:val="16"/>
              </w:rPr>
              <w:br/>
              <w:t>equity/capital</w:t>
            </w:r>
            <w:r w:rsidRPr="004529D0">
              <w:rPr>
                <w:rFonts w:ascii="Arial" w:hAnsi="Arial" w:cs="Arial"/>
                <w:color w:val="000000"/>
                <w:sz w:val="16"/>
                <w:szCs w:val="16"/>
              </w:rPr>
              <w:br/>
              <w:t>$'000</w:t>
            </w:r>
          </w:p>
        </w:tc>
        <w:tc>
          <w:tcPr>
            <w:tcW w:w="899" w:type="dxa"/>
            <w:tcBorders>
              <w:top w:val="single" w:sz="4" w:space="0" w:color="auto"/>
              <w:left w:val="nil"/>
              <w:bottom w:val="single" w:sz="4" w:space="0" w:color="000000"/>
              <w:right w:val="nil"/>
            </w:tcBorders>
            <w:shd w:val="clear" w:color="auto" w:fill="auto"/>
            <w:vAlign w:val="center"/>
            <w:hideMark/>
          </w:tcPr>
          <w:p w:rsidR="00B13129" w:rsidRPr="004529D0"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Total</w:t>
            </w:r>
            <w:r>
              <w:rPr>
                <w:rFonts w:ascii="Arial" w:hAnsi="Arial" w:cs="Arial"/>
                <w:color w:val="000000"/>
                <w:sz w:val="16"/>
                <w:szCs w:val="16"/>
              </w:rPr>
              <w:br/>
              <w:t xml:space="preserve">equity </w:t>
            </w:r>
            <w:r w:rsidRPr="004529D0">
              <w:rPr>
                <w:rFonts w:ascii="Arial" w:hAnsi="Arial" w:cs="Arial"/>
                <w:color w:val="000000"/>
                <w:sz w:val="16"/>
                <w:szCs w:val="16"/>
              </w:rPr>
              <w:br/>
              <w:t>$'000</w:t>
            </w:r>
          </w:p>
        </w:tc>
      </w:tr>
      <w:tr w:rsidR="00B13129" w:rsidRPr="004529D0" w:rsidTr="003F0F8A">
        <w:trPr>
          <w:trHeight w:val="203"/>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rPr>
                <w:rFonts w:ascii="Arial" w:hAnsi="Arial" w:cs="Arial"/>
                <w:b/>
                <w:bCs/>
                <w:color w:val="000000"/>
                <w:sz w:val="16"/>
                <w:szCs w:val="16"/>
              </w:rPr>
            </w:pPr>
            <w:r w:rsidRPr="004529D0">
              <w:rPr>
                <w:rFonts w:ascii="Arial" w:hAnsi="Arial" w:cs="Arial"/>
                <w:b/>
                <w:bCs/>
                <w:color w:val="000000"/>
                <w:sz w:val="16"/>
                <w:szCs w:val="16"/>
              </w:rPr>
              <w:t>Opening balance as at 1 July 2017</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r>
      <w:tr w:rsidR="00B13129" w:rsidRPr="004529D0" w:rsidTr="003F0F8A">
        <w:trPr>
          <w:trHeight w:val="214"/>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ind w:firstLineChars="100" w:firstLine="160"/>
              <w:rPr>
                <w:rFonts w:ascii="Arial" w:hAnsi="Arial" w:cs="Arial"/>
                <w:color w:val="000000"/>
                <w:sz w:val="16"/>
                <w:szCs w:val="16"/>
              </w:rPr>
            </w:pPr>
            <w:r w:rsidRPr="004529D0">
              <w:rPr>
                <w:rFonts w:ascii="Arial" w:hAnsi="Arial" w:cs="Arial"/>
                <w:color w:val="000000"/>
                <w:sz w:val="16"/>
                <w:szCs w:val="16"/>
              </w:rPr>
              <w:t>Balance carried forward from</w:t>
            </w:r>
            <w:r>
              <w:rPr>
                <w:rFonts w:ascii="Arial" w:hAnsi="Arial" w:cs="Arial"/>
                <w:color w:val="000000"/>
                <w:sz w:val="16"/>
                <w:szCs w:val="16"/>
              </w:rPr>
              <w:t xml:space="preserve"> </w:t>
            </w:r>
            <w:r w:rsidRPr="004529D0">
              <w:rPr>
                <w:rFonts w:ascii="Arial" w:hAnsi="Arial" w:cs="Arial"/>
                <w:color w:val="000000"/>
                <w:sz w:val="16"/>
                <w:szCs w:val="16"/>
              </w:rPr>
              <w:t>previous period</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(2,683)</w:t>
            </w: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xml:space="preserve">4,050 </w:t>
            </w: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xml:space="preserve">1,367 </w:t>
            </w:r>
          </w:p>
        </w:tc>
      </w:tr>
      <w:tr w:rsidR="00B13129" w:rsidRPr="004529D0" w:rsidTr="003F0F8A">
        <w:trPr>
          <w:trHeight w:val="203"/>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rPr>
                <w:rFonts w:ascii="Arial" w:hAnsi="Arial" w:cs="Arial"/>
                <w:b/>
                <w:bCs/>
                <w:i/>
                <w:iCs/>
                <w:color w:val="000000"/>
                <w:sz w:val="16"/>
                <w:szCs w:val="16"/>
              </w:rPr>
            </w:pPr>
            <w:r w:rsidRPr="004529D0">
              <w:rPr>
                <w:rFonts w:ascii="Arial" w:hAnsi="Arial" w:cs="Arial"/>
                <w:b/>
                <w:bCs/>
                <w:i/>
                <w:iCs/>
                <w:color w:val="000000"/>
                <w:sz w:val="16"/>
                <w:szCs w:val="16"/>
              </w:rPr>
              <w:t>Adjusted opening balance</w:t>
            </w:r>
          </w:p>
        </w:tc>
        <w:tc>
          <w:tcPr>
            <w:tcW w:w="993" w:type="dxa"/>
            <w:tcBorders>
              <w:top w:val="single" w:sz="4" w:space="0" w:color="000000"/>
              <w:left w:val="nil"/>
              <w:bottom w:val="single" w:sz="4" w:space="0" w:color="000000"/>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(2,683)</w:t>
            </w:r>
          </w:p>
        </w:tc>
        <w:tc>
          <w:tcPr>
            <w:tcW w:w="1185" w:type="dxa"/>
            <w:tcBorders>
              <w:top w:val="single" w:sz="4" w:space="0" w:color="000000"/>
              <w:left w:val="nil"/>
              <w:bottom w:val="single" w:sz="4" w:space="0" w:color="000000"/>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 xml:space="preserve">4,050 </w:t>
            </w:r>
          </w:p>
        </w:tc>
        <w:tc>
          <w:tcPr>
            <w:tcW w:w="899" w:type="dxa"/>
            <w:tcBorders>
              <w:top w:val="single" w:sz="4" w:space="0" w:color="000000"/>
              <w:left w:val="nil"/>
              <w:bottom w:val="single" w:sz="4" w:space="0" w:color="000000"/>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 xml:space="preserve">1,367 </w:t>
            </w:r>
          </w:p>
        </w:tc>
      </w:tr>
      <w:tr w:rsidR="00B13129" w:rsidRPr="004529D0" w:rsidTr="003F0F8A">
        <w:trPr>
          <w:trHeight w:val="203"/>
        </w:trPr>
        <w:tc>
          <w:tcPr>
            <w:tcW w:w="4614"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b/>
                <w:bCs/>
                <w:color w:val="000000"/>
                <w:sz w:val="16"/>
                <w:szCs w:val="16"/>
              </w:rPr>
            </w:pPr>
            <w:r w:rsidRPr="004529D0">
              <w:rPr>
                <w:rFonts w:ascii="Arial" w:hAnsi="Arial" w:cs="Arial"/>
                <w:b/>
                <w:bCs/>
                <w:color w:val="000000"/>
                <w:sz w:val="16"/>
                <w:szCs w:val="16"/>
              </w:rPr>
              <w:t>Comprehensive income</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r>
      <w:tr w:rsidR="00B13129" w:rsidRPr="004529D0" w:rsidTr="003F0F8A">
        <w:trPr>
          <w:trHeight w:val="203"/>
        </w:trPr>
        <w:tc>
          <w:tcPr>
            <w:tcW w:w="4614"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ind w:firstLineChars="100" w:firstLine="160"/>
              <w:rPr>
                <w:rFonts w:ascii="Arial" w:hAnsi="Arial" w:cs="Arial"/>
                <w:sz w:val="16"/>
                <w:szCs w:val="16"/>
              </w:rPr>
            </w:pPr>
            <w:r w:rsidRPr="004529D0">
              <w:rPr>
                <w:rFonts w:ascii="Arial" w:hAnsi="Arial" w:cs="Arial"/>
                <w:sz w:val="16"/>
                <w:szCs w:val="16"/>
              </w:rPr>
              <w:t>Surplus/(deficit) for the period</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(882)</w:t>
            </w: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(882)</w:t>
            </w:r>
          </w:p>
        </w:tc>
      </w:tr>
      <w:tr w:rsidR="00B13129" w:rsidRPr="004529D0" w:rsidTr="003F0F8A">
        <w:trPr>
          <w:trHeight w:val="203"/>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rPr>
                <w:rFonts w:ascii="Arial" w:hAnsi="Arial" w:cs="Arial"/>
                <w:b/>
                <w:bCs/>
                <w:i/>
                <w:iCs/>
                <w:color w:val="000000"/>
                <w:sz w:val="16"/>
                <w:szCs w:val="16"/>
              </w:rPr>
            </w:pPr>
            <w:r w:rsidRPr="004529D0">
              <w:rPr>
                <w:rFonts w:ascii="Arial" w:hAnsi="Arial" w:cs="Arial"/>
                <w:b/>
                <w:bCs/>
                <w:i/>
                <w:iCs/>
                <w:color w:val="000000"/>
                <w:sz w:val="16"/>
                <w:szCs w:val="16"/>
              </w:rPr>
              <w:t>Total comprehensive income</w:t>
            </w:r>
          </w:p>
        </w:tc>
        <w:tc>
          <w:tcPr>
            <w:tcW w:w="993" w:type="dxa"/>
            <w:tcBorders>
              <w:top w:val="single" w:sz="4" w:space="0" w:color="000000"/>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(882)</w:t>
            </w:r>
          </w:p>
        </w:tc>
        <w:tc>
          <w:tcPr>
            <w:tcW w:w="1185" w:type="dxa"/>
            <w:tcBorders>
              <w:top w:val="single" w:sz="4" w:space="0" w:color="000000"/>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 xml:space="preserve">- </w:t>
            </w:r>
          </w:p>
        </w:tc>
        <w:tc>
          <w:tcPr>
            <w:tcW w:w="899" w:type="dxa"/>
            <w:tcBorders>
              <w:top w:val="single" w:sz="4" w:space="0" w:color="000000"/>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(882)</w:t>
            </w:r>
          </w:p>
        </w:tc>
      </w:tr>
      <w:tr w:rsidR="00B13129" w:rsidRPr="004529D0" w:rsidTr="003F0F8A">
        <w:trPr>
          <w:trHeight w:val="203"/>
        </w:trPr>
        <w:tc>
          <w:tcPr>
            <w:tcW w:w="4614"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ind w:firstLineChars="100" w:firstLine="160"/>
              <w:rPr>
                <w:rFonts w:ascii="Arial" w:hAnsi="Arial" w:cs="Arial"/>
                <w:color w:val="000000"/>
                <w:sz w:val="16"/>
                <w:szCs w:val="16"/>
              </w:rPr>
            </w:pPr>
            <w:r w:rsidRPr="004529D0">
              <w:rPr>
                <w:rFonts w:ascii="Arial" w:hAnsi="Arial" w:cs="Arial"/>
                <w:color w:val="000000"/>
                <w:sz w:val="16"/>
                <w:szCs w:val="16"/>
              </w:rPr>
              <w:t>of which:</w:t>
            </w:r>
          </w:p>
        </w:tc>
        <w:tc>
          <w:tcPr>
            <w:tcW w:w="993" w:type="dxa"/>
            <w:tcBorders>
              <w:top w:val="single" w:sz="4" w:space="0" w:color="000000"/>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r w:rsidRPr="004529D0">
              <w:rPr>
                <w:rFonts w:ascii="Arial" w:hAnsi="Arial" w:cs="Arial"/>
                <w:color w:val="000000"/>
                <w:sz w:val="16"/>
                <w:szCs w:val="16"/>
              </w:rPr>
              <w:t> </w:t>
            </w:r>
          </w:p>
        </w:tc>
        <w:tc>
          <w:tcPr>
            <w:tcW w:w="1185" w:type="dxa"/>
            <w:tcBorders>
              <w:top w:val="single" w:sz="4" w:space="0" w:color="000000"/>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r w:rsidRPr="004529D0">
              <w:rPr>
                <w:rFonts w:ascii="Arial" w:hAnsi="Arial" w:cs="Arial"/>
                <w:color w:val="000000"/>
                <w:sz w:val="16"/>
                <w:szCs w:val="16"/>
              </w:rPr>
              <w:t> </w:t>
            </w:r>
          </w:p>
        </w:tc>
        <w:tc>
          <w:tcPr>
            <w:tcW w:w="899" w:type="dxa"/>
            <w:tcBorders>
              <w:top w:val="single" w:sz="4" w:space="0" w:color="000000"/>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r w:rsidRPr="004529D0">
              <w:rPr>
                <w:rFonts w:ascii="Arial" w:hAnsi="Arial" w:cs="Arial"/>
                <w:color w:val="000000"/>
                <w:sz w:val="16"/>
                <w:szCs w:val="16"/>
              </w:rPr>
              <w:t> </w:t>
            </w:r>
          </w:p>
        </w:tc>
      </w:tr>
      <w:tr w:rsidR="00B13129" w:rsidRPr="004529D0" w:rsidTr="003F0F8A">
        <w:trPr>
          <w:trHeight w:val="217"/>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ind w:firstLineChars="200" w:firstLine="320"/>
              <w:rPr>
                <w:rFonts w:ascii="Arial" w:hAnsi="Arial" w:cs="Arial"/>
                <w:color w:val="000000"/>
                <w:sz w:val="16"/>
                <w:szCs w:val="16"/>
              </w:rPr>
            </w:pPr>
            <w:r w:rsidRPr="004529D0">
              <w:rPr>
                <w:rFonts w:ascii="Arial" w:hAnsi="Arial" w:cs="Arial"/>
                <w:color w:val="000000"/>
                <w:sz w:val="16"/>
                <w:szCs w:val="16"/>
              </w:rPr>
              <w:t>Attributable to the Australian</w:t>
            </w:r>
            <w:r>
              <w:rPr>
                <w:rFonts w:ascii="Arial" w:hAnsi="Arial" w:cs="Arial"/>
                <w:color w:val="000000"/>
                <w:sz w:val="16"/>
                <w:szCs w:val="16"/>
              </w:rPr>
              <w:t xml:space="preserve"> </w:t>
            </w:r>
            <w:r w:rsidRPr="004529D0">
              <w:rPr>
                <w:rFonts w:ascii="Arial" w:hAnsi="Arial" w:cs="Arial"/>
                <w:color w:val="000000"/>
                <w:sz w:val="16"/>
                <w:szCs w:val="16"/>
              </w:rPr>
              <w:t>Government</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(882)</w:t>
            </w: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xml:space="preserve">- </w:t>
            </w: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(882)</w:t>
            </w:r>
          </w:p>
        </w:tc>
      </w:tr>
      <w:tr w:rsidR="00B13129" w:rsidRPr="004529D0" w:rsidTr="003F0F8A">
        <w:trPr>
          <w:trHeight w:val="203"/>
        </w:trPr>
        <w:tc>
          <w:tcPr>
            <w:tcW w:w="4614"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b/>
                <w:bCs/>
                <w:color w:val="000000"/>
                <w:sz w:val="16"/>
                <w:szCs w:val="16"/>
              </w:rPr>
            </w:pPr>
            <w:r w:rsidRPr="004529D0">
              <w:rPr>
                <w:rFonts w:ascii="Arial" w:hAnsi="Arial" w:cs="Arial"/>
                <w:b/>
                <w:bCs/>
                <w:color w:val="000000"/>
                <w:sz w:val="16"/>
                <w:szCs w:val="16"/>
              </w:rPr>
              <w:t>Transactions with owners</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r>
      <w:tr w:rsidR="00B13129" w:rsidRPr="004529D0" w:rsidTr="003F0F8A">
        <w:trPr>
          <w:trHeight w:val="191"/>
        </w:trPr>
        <w:tc>
          <w:tcPr>
            <w:tcW w:w="4614"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b/>
                <w:bCs/>
                <w:i/>
                <w:iCs/>
                <w:color w:val="000000"/>
                <w:sz w:val="16"/>
                <w:szCs w:val="16"/>
              </w:rPr>
            </w:pPr>
            <w:r w:rsidRPr="004529D0">
              <w:rPr>
                <w:rFonts w:ascii="Arial" w:hAnsi="Arial" w:cs="Arial"/>
                <w:b/>
                <w:bCs/>
                <w:i/>
                <w:iCs/>
                <w:color w:val="000000"/>
                <w:sz w:val="16"/>
                <w:szCs w:val="16"/>
              </w:rPr>
              <w:t>Contributions by owners</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rPr>
                <w:rFonts w:ascii="Arial" w:hAnsi="Arial" w:cs="Arial"/>
                <w:color w:val="000000"/>
                <w:sz w:val="16"/>
                <w:szCs w:val="16"/>
              </w:rPr>
            </w:pPr>
          </w:p>
        </w:tc>
      </w:tr>
      <w:tr w:rsidR="00B13129" w:rsidRPr="004529D0" w:rsidTr="003F0F8A">
        <w:trPr>
          <w:trHeight w:val="110"/>
        </w:trPr>
        <w:tc>
          <w:tcPr>
            <w:tcW w:w="4614"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ind w:firstLineChars="200" w:firstLine="320"/>
              <w:rPr>
                <w:rFonts w:ascii="Arial" w:hAnsi="Arial" w:cs="Arial"/>
                <w:color w:val="000000"/>
                <w:sz w:val="16"/>
                <w:szCs w:val="16"/>
              </w:rPr>
            </w:pPr>
            <w:r w:rsidRPr="004529D0">
              <w:rPr>
                <w:rFonts w:ascii="Arial" w:hAnsi="Arial" w:cs="Arial"/>
                <w:color w:val="000000"/>
                <w:sz w:val="16"/>
                <w:szCs w:val="16"/>
              </w:rPr>
              <w:t>Departmental capital budget (DCB)</w:t>
            </w:r>
          </w:p>
        </w:tc>
        <w:tc>
          <w:tcPr>
            <w:tcW w:w="993"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xml:space="preserve">- </w:t>
            </w:r>
          </w:p>
        </w:tc>
        <w:tc>
          <w:tcPr>
            <w:tcW w:w="1185"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xml:space="preserve">201 </w:t>
            </w:r>
          </w:p>
        </w:tc>
        <w:tc>
          <w:tcPr>
            <w:tcW w:w="899" w:type="dxa"/>
            <w:tcBorders>
              <w:top w:val="nil"/>
              <w:left w:val="nil"/>
              <w:bottom w:val="nil"/>
              <w:right w:val="nil"/>
            </w:tcBorders>
            <w:shd w:val="clear" w:color="auto" w:fill="auto"/>
            <w:noWrap/>
            <w:vAlign w:val="center"/>
            <w:hideMark/>
          </w:tcPr>
          <w:p w:rsidR="00B13129" w:rsidRPr="004529D0" w:rsidRDefault="00B13129" w:rsidP="003F0F8A">
            <w:pPr>
              <w:spacing w:after="0" w:line="240" w:lineRule="auto"/>
              <w:jc w:val="right"/>
              <w:rPr>
                <w:rFonts w:ascii="Arial" w:hAnsi="Arial" w:cs="Arial"/>
                <w:color w:val="000000"/>
                <w:sz w:val="16"/>
                <w:szCs w:val="16"/>
              </w:rPr>
            </w:pPr>
            <w:r w:rsidRPr="004529D0">
              <w:rPr>
                <w:rFonts w:ascii="Arial" w:hAnsi="Arial" w:cs="Arial"/>
                <w:color w:val="000000"/>
                <w:sz w:val="16"/>
                <w:szCs w:val="16"/>
              </w:rPr>
              <w:t xml:space="preserve">201 </w:t>
            </w:r>
          </w:p>
        </w:tc>
      </w:tr>
      <w:tr w:rsidR="00B13129" w:rsidRPr="004529D0" w:rsidTr="003F0F8A">
        <w:trPr>
          <w:trHeight w:val="192"/>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rPr>
                <w:rFonts w:ascii="Arial" w:hAnsi="Arial" w:cs="Arial"/>
                <w:b/>
                <w:bCs/>
                <w:i/>
                <w:iCs/>
                <w:color w:val="000000"/>
                <w:sz w:val="16"/>
                <w:szCs w:val="16"/>
              </w:rPr>
            </w:pPr>
            <w:r w:rsidRPr="004529D0">
              <w:rPr>
                <w:rFonts w:ascii="Arial" w:hAnsi="Arial" w:cs="Arial"/>
                <w:b/>
                <w:bCs/>
                <w:i/>
                <w:iCs/>
                <w:color w:val="000000"/>
                <w:sz w:val="16"/>
                <w:szCs w:val="16"/>
              </w:rPr>
              <w:t>Sub-total transactions with owners</w:t>
            </w:r>
          </w:p>
        </w:tc>
        <w:tc>
          <w:tcPr>
            <w:tcW w:w="993" w:type="dxa"/>
            <w:tcBorders>
              <w:top w:val="single" w:sz="4" w:space="0" w:color="000000"/>
              <w:left w:val="nil"/>
              <w:bottom w:val="single" w:sz="4" w:space="0" w:color="000000"/>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 xml:space="preserve">- </w:t>
            </w:r>
          </w:p>
        </w:tc>
        <w:tc>
          <w:tcPr>
            <w:tcW w:w="1185" w:type="dxa"/>
            <w:tcBorders>
              <w:top w:val="single" w:sz="4" w:space="0" w:color="000000"/>
              <w:left w:val="nil"/>
              <w:bottom w:val="single" w:sz="4" w:space="0" w:color="000000"/>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 xml:space="preserve">201 </w:t>
            </w:r>
          </w:p>
        </w:tc>
        <w:tc>
          <w:tcPr>
            <w:tcW w:w="899" w:type="dxa"/>
            <w:tcBorders>
              <w:top w:val="single" w:sz="4" w:space="0" w:color="000000"/>
              <w:left w:val="nil"/>
              <w:bottom w:val="single" w:sz="4" w:space="0" w:color="000000"/>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i/>
                <w:iCs/>
                <w:color w:val="000000"/>
                <w:sz w:val="16"/>
                <w:szCs w:val="16"/>
              </w:rPr>
            </w:pPr>
            <w:r w:rsidRPr="004529D0">
              <w:rPr>
                <w:rFonts w:ascii="Arial" w:hAnsi="Arial" w:cs="Arial"/>
                <w:b/>
                <w:bCs/>
                <w:i/>
                <w:iCs/>
                <w:color w:val="000000"/>
                <w:sz w:val="16"/>
                <w:szCs w:val="16"/>
              </w:rPr>
              <w:t xml:space="preserve">201 </w:t>
            </w:r>
          </w:p>
        </w:tc>
      </w:tr>
      <w:tr w:rsidR="00B13129" w:rsidRPr="004529D0" w:rsidTr="003F0F8A">
        <w:trPr>
          <w:trHeight w:val="197"/>
        </w:trPr>
        <w:tc>
          <w:tcPr>
            <w:tcW w:w="4614" w:type="dxa"/>
            <w:tcBorders>
              <w:top w:val="nil"/>
              <w:left w:val="nil"/>
              <w:bottom w:val="nil"/>
              <w:right w:val="nil"/>
            </w:tcBorders>
            <w:shd w:val="clear" w:color="auto" w:fill="auto"/>
            <w:vAlign w:val="center"/>
            <w:hideMark/>
          </w:tcPr>
          <w:p w:rsidR="00B13129" w:rsidRPr="004529D0" w:rsidRDefault="00B13129" w:rsidP="003F0F8A">
            <w:pPr>
              <w:spacing w:after="0" w:line="240" w:lineRule="auto"/>
              <w:rPr>
                <w:rFonts w:ascii="Arial" w:hAnsi="Arial" w:cs="Arial"/>
                <w:b/>
                <w:bCs/>
                <w:color w:val="000000"/>
                <w:sz w:val="16"/>
                <w:szCs w:val="16"/>
              </w:rPr>
            </w:pPr>
            <w:r w:rsidRPr="004529D0">
              <w:rPr>
                <w:rFonts w:ascii="Arial" w:hAnsi="Arial" w:cs="Arial"/>
                <w:b/>
                <w:bCs/>
                <w:color w:val="000000"/>
                <w:sz w:val="16"/>
                <w:szCs w:val="16"/>
              </w:rPr>
              <w:t>Estimated closing balance as at</w:t>
            </w:r>
            <w:r>
              <w:rPr>
                <w:rFonts w:ascii="Arial" w:hAnsi="Arial" w:cs="Arial"/>
                <w:b/>
                <w:bCs/>
                <w:color w:val="000000"/>
                <w:sz w:val="16"/>
                <w:szCs w:val="16"/>
              </w:rPr>
              <w:t xml:space="preserve"> </w:t>
            </w:r>
            <w:r w:rsidRPr="004529D0">
              <w:rPr>
                <w:rFonts w:ascii="Arial" w:hAnsi="Arial" w:cs="Arial"/>
                <w:b/>
                <w:bCs/>
                <w:color w:val="000000"/>
                <w:sz w:val="16"/>
                <w:szCs w:val="16"/>
              </w:rPr>
              <w:t>30 June 2018</w:t>
            </w:r>
          </w:p>
        </w:tc>
        <w:tc>
          <w:tcPr>
            <w:tcW w:w="993" w:type="dxa"/>
            <w:tcBorders>
              <w:top w:val="single" w:sz="4" w:space="0" w:color="auto"/>
              <w:left w:val="nil"/>
              <w:bottom w:val="single" w:sz="4" w:space="0" w:color="auto"/>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color w:val="000000"/>
                <w:sz w:val="16"/>
                <w:szCs w:val="16"/>
              </w:rPr>
            </w:pPr>
            <w:r w:rsidRPr="004529D0">
              <w:rPr>
                <w:rFonts w:ascii="Arial" w:hAnsi="Arial" w:cs="Arial"/>
                <w:b/>
                <w:bCs/>
                <w:color w:val="000000"/>
                <w:sz w:val="16"/>
                <w:szCs w:val="16"/>
              </w:rPr>
              <w:t>(3,565)</w:t>
            </w:r>
          </w:p>
        </w:tc>
        <w:tc>
          <w:tcPr>
            <w:tcW w:w="1185" w:type="dxa"/>
            <w:tcBorders>
              <w:top w:val="single" w:sz="4" w:space="0" w:color="auto"/>
              <w:left w:val="nil"/>
              <w:bottom w:val="single" w:sz="4" w:space="0" w:color="auto"/>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color w:val="000000"/>
                <w:sz w:val="16"/>
                <w:szCs w:val="16"/>
              </w:rPr>
            </w:pPr>
            <w:r w:rsidRPr="004529D0">
              <w:rPr>
                <w:rFonts w:ascii="Arial" w:hAnsi="Arial" w:cs="Arial"/>
                <w:b/>
                <w:bCs/>
                <w:color w:val="000000"/>
                <w:sz w:val="16"/>
                <w:szCs w:val="16"/>
              </w:rPr>
              <w:t xml:space="preserve">4,251 </w:t>
            </w:r>
          </w:p>
        </w:tc>
        <w:tc>
          <w:tcPr>
            <w:tcW w:w="899" w:type="dxa"/>
            <w:tcBorders>
              <w:top w:val="single" w:sz="4" w:space="0" w:color="auto"/>
              <w:left w:val="nil"/>
              <w:bottom w:val="single" w:sz="4" w:space="0" w:color="auto"/>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color w:val="000000"/>
                <w:sz w:val="16"/>
                <w:szCs w:val="16"/>
              </w:rPr>
            </w:pPr>
            <w:r w:rsidRPr="004529D0">
              <w:rPr>
                <w:rFonts w:ascii="Arial" w:hAnsi="Arial" w:cs="Arial"/>
                <w:b/>
                <w:bCs/>
                <w:color w:val="000000"/>
                <w:sz w:val="16"/>
                <w:szCs w:val="16"/>
              </w:rPr>
              <w:t xml:space="preserve">686 </w:t>
            </w:r>
          </w:p>
        </w:tc>
      </w:tr>
      <w:tr w:rsidR="00B13129" w:rsidRPr="004529D0" w:rsidTr="003F0F8A">
        <w:trPr>
          <w:trHeight w:val="197"/>
        </w:trPr>
        <w:tc>
          <w:tcPr>
            <w:tcW w:w="4614" w:type="dxa"/>
            <w:tcBorders>
              <w:top w:val="nil"/>
              <w:left w:val="nil"/>
              <w:bottom w:val="single" w:sz="4" w:space="0" w:color="000000"/>
              <w:right w:val="nil"/>
            </w:tcBorders>
            <w:shd w:val="clear" w:color="auto" w:fill="auto"/>
            <w:vAlign w:val="center"/>
            <w:hideMark/>
          </w:tcPr>
          <w:p w:rsidR="00B13129" w:rsidRPr="004529D0" w:rsidRDefault="00B13129" w:rsidP="003F0F8A">
            <w:pPr>
              <w:spacing w:after="0" w:line="240" w:lineRule="auto"/>
              <w:rPr>
                <w:rFonts w:ascii="Arial" w:hAnsi="Arial" w:cs="Arial"/>
                <w:b/>
                <w:bCs/>
                <w:color w:val="000000"/>
                <w:sz w:val="16"/>
                <w:szCs w:val="16"/>
              </w:rPr>
            </w:pPr>
            <w:r w:rsidRPr="004529D0">
              <w:rPr>
                <w:rFonts w:ascii="Arial" w:hAnsi="Arial" w:cs="Arial"/>
                <w:b/>
                <w:bCs/>
                <w:color w:val="000000"/>
                <w:sz w:val="16"/>
                <w:szCs w:val="16"/>
              </w:rPr>
              <w:t>Closing balance attributable to</w:t>
            </w:r>
            <w:r>
              <w:rPr>
                <w:rFonts w:ascii="Arial" w:hAnsi="Arial" w:cs="Arial"/>
                <w:b/>
                <w:bCs/>
                <w:color w:val="000000"/>
                <w:sz w:val="16"/>
                <w:szCs w:val="16"/>
              </w:rPr>
              <w:t xml:space="preserve"> </w:t>
            </w:r>
            <w:r w:rsidRPr="004529D0">
              <w:rPr>
                <w:rFonts w:ascii="Arial" w:hAnsi="Arial" w:cs="Arial"/>
                <w:b/>
                <w:bCs/>
                <w:color w:val="000000"/>
                <w:sz w:val="16"/>
                <w:szCs w:val="16"/>
              </w:rPr>
              <w:t>the Australian Government</w:t>
            </w:r>
          </w:p>
        </w:tc>
        <w:tc>
          <w:tcPr>
            <w:tcW w:w="993" w:type="dxa"/>
            <w:tcBorders>
              <w:top w:val="nil"/>
              <w:left w:val="nil"/>
              <w:bottom w:val="single" w:sz="4" w:space="0" w:color="auto"/>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color w:val="000000"/>
                <w:sz w:val="16"/>
                <w:szCs w:val="16"/>
              </w:rPr>
            </w:pPr>
            <w:r w:rsidRPr="004529D0">
              <w:rPr>
                <w:rFonts w:ascii="Arial" w:hAnsi="Arial" w:cs="Arial"/>
                <w:b/>
                <w:bCs/>
                <w:color w:val="000000"/>
                <w:sz w:val="16"/>
                <w:szCs w:val="16"/>
              </w:rPr>
              <w:t>(3,565)</w:t>
            </w:r>
          </w:p>
        </w:tc>
        <w:tc>
          <w:tcPr>
            <w:tcW w:w="1185" w:type="dxa"/>
            <w:tcBorders>
              <w:top w:val="nil"/>
              <w:left w:val="nil"/>
              <w:bottom w:val="single" w:sz="4" w:space="0" w:color="auto"/>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color w:val="000000"/>
                <w:sz w:val="16"/>
                <w:szCs w:val="16"/>
              </w:rPr>
            </w:pPr>
            <w:r w:rsidRPr="004529D0">
              <w:rPr>
                <w:rFonts w:ascii="Arial" w:hAnsi="Arial" w:cs="Arial"/>
                <w:b/>
                <w:bCs/>
                <w:color w:val="000000"/>
                <w:sz w:val="16"/>
                <w:szCs w:val="16"/>
              </w:rPr>
              <w:t xml:space="preserve">4,251 </w:t>
            </w:r>
          </w:p>
        </w:tc>
        <w:tc>
          <w:tcPr>
            <w:tcW w:w="899" w:type="dxa"/>
            <w:tcBorders>
              <w:top w:val="nil"/>
              <w:left w:val="nil"/>
              <w:bottom w:val="single" w:sz="4" w:space="0" w:color="auto"/>
              <w:right w:val="nil"/>
            </w:tcBorders>
            <w:shd w:val="clear" w:color="auto" w:fill="auto"/>
            <w:noWrap/>
            <w:vAlign w:val="bottom"/>
            <w:hideMark/>
          </w:tcPr>
          <w:p w:rsidR="00B13129" w:rsidRPr="004529D0" w:rsidRDefault="00B13129" w:rsidP="003F0F8A">
            <w:pPr>
              <w:spacing w:after="0" w:line="240" w:lineRule="auto"/>
              <w:jc w:val="right"/>
              <w:rPr>
                <w:rFonts w:ascii="Arial" w:hAnsi="Arial" w:cs="Arial"/>
                <w:b/>
                <w:bCs/>
                <w:color w:val="000000"/>
                <w:sz w:val="16"/>
                <w:szCs w:val="16"/>
              </w:rPr>
            </w:pPr>
            <w:r w:rsidRPr="004529D0">
              <w:rPr>
                <w:rFonts w:ascii="Arial" w:hAnsi="Arial" w:cs="Arial"/>
                <w:b/>
                <w:bCs/>
                <w:color w:val="000000"/>
                <w:sz w:val="16"/>
                <w:szCs w:val="16"/>
              </w:rPr>
              <w:t xml:space="preserve">686 </w:t>
            </w:r>
          </w:p>
        </w:tc>
      </w:tr>
    </w:tbl>
    <w:p w:rsidR="00B13129" w:rsidRDefault="00B13129" w:rsidP="00B13129">
      <w:pPr>
        <w:pStyle w:val="Source"/>
        <w:spacing w:before="120"/>
      </w:pPr>
      <w:r>
        <w:t>Prepared on Australian Accounting Standards basis.</w:t>
      </w:r>
    </w:p>
    <w:p w:rsidR="00B13129" w:rsidRDefault="00B13129" w:rsidP="00B13129">
      <w:pPr>
        <w:pStyle w:val="TableHeading"/>
        <w:rPr>
          <w:lang w:val="en-AU"/>
        </w:rPr>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07" w:type="dxa"/>
        <w:tblInd w:w="93" w:type="dxa"/>
        <w:tblCellMar>
          <w:left w:w="57" w:type="dxa"/>
          <w:right w:w="57" w:type="dxa"/>
        </w:tblCellMar>
        <w:tblLook w:val="04A0" w:firstRow="1" w:lastRow="0" w:firstColumn="1" w:lastColumn="0" w:noHBand="0" w:noVBand="1"/>
      </w:tblPr>
      <w:tblGrid>
        <w:gridCol w:w="3117"/>
        <w:gridCol w:w="958"/>
        <w:gridCol w:w="908"/>
        <w:gridCol w:w="908"/>
        <w:gridCol w:w="908"/>
        <w:gridCol w:w="908"/>
      </w:tblGrid>
      <w:tr w:rsidR="00B13129" w:rsidRPr="00A1114A" w:rsidTr="003F0F8A">
        <w:trPr>
          <w:trHeight w:val="811"/>
        </w:trPr>
        <w:tc>
          <w:tcPr>
            <w:tcW w:w="3117" w:type="dxa"/>
            <w:tcBorders>
              <w:top w:val="single" w:sz="4" w:space="0" w:color="auto"/>
              <w:left w:val="nil"/>
              <w:bottom w:val="nil"/>
              <w:right w:val="nil"/>
            </w:tcBorders>
            <w:shd w:val="clear" w:color="auto" w:fill="auto"/>
            <w:noWrap/>
            <w:hideMark/>
          </w:tcPr>
          <w:p w:rsidR="00B13129" w:rsidRPr="00A1114A" w:rsidRDefault="00B13129" w:rsidP="003F0F8A">
            <w:pPr>
              <w:spacing w:after="0" w:line="240" w:lineRule="auto"/>
              <w:rPr>
                <w:rFonts w:ascii="Arial" w:hAnsi="Arial" w:cs="Arial"/>
                <w:b/>
                <w:bCs/>
                <w:sz w:val="16"/>
                <w:szCs w:val="16"/>
              </w:rPr>
            </w:pPr>
            <w:r w:rsidRPr="00A1114A">
              <w:rPr>
                <w:rFonts w:ascii="Arial" w:hAnsi="Arial" w:cs="Arial"/>
                <w:b/>
                <w:bCs/>
                <w:sz w:val="16"/>
                <w:szCs w:val="16"/>
              </w:rPr>
              <w:t> </w:t>
            </w:r>
          </w:p>
        </w:tc>
        <w:tc>
          <w:tcPr>
            <w:tcW w:w="958" w:type="dxa"/>
            <w:tcBorders>
              <w:top w:val="single" w:sz="4" w:space="0" w:color="auto"/>
              <w:left w:val="nil"/>
              <w:bottom w:val="single" w:sz="4" w:space="0" w:color="auto"/>
              <w:right w:val="nil"/>
            </w:tcBorders>
            <w:shd w:val="clear" w:color="auto" w:fill="auto"/>
            <w:vAlign w:val="center"/>
            <w:hideMark/>
          </w:tcPr>
          <w:p w:rsidR="00B13129" w:rsidRPr="00A1114A" w:rsidRDefault="00B13129" w:rsidP="003F0F8A">
            <w:pPr>
              <w:spacing w:after="0" w:line="240" w:lineRule="auto"/>
              <w:jc w:val="right"/>
              <w:rPr>
                <w:rFonts w:ascii="Arial" w:hAnsi="Arial" w:cs="Arial"/>
                <w:sz w:val="16"/>
                <w:szCs w:val="16"/>
              </w:rPr>
            </w:pPr>
            <w:r w:rsidRPr="00A1114A">
              <w:rPr>
                <w:rFonts w:ascii="Arial" w:hAnsi="Arial" w:cs="Arial"/>
                <w:sz w:val="16"/>
                <w:szCs w:val="16"/>
              </w:rPr>
              <w:t>2016–17 Estimated actual</w:t>
            </w:r>
            <w:r w:rsidRPr="00A1114A">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000000" w:fill="E6E6E6"/>
            <w:vAlign w:val="center"/>
            <w:hideMark/>
          </w:tcPr>
          <w:p w:rsidR="00B13129" w:rsidRPr="00A1114A" w:rsidRDefault="00B13129" w:rsidP="003F0F8A">
            <w:pPr>
              <w:spacing w:after="0" w:line="240" w:lineRule="auto"/>
              <w:jc w:val="right"/>
              <w:rPr>
                <w:rFonts w:ascii="Arial" w:hAnsi="Arial" w:cs="Arial"/>
                <w:sz w:val="16"/>
                <w:szCs w:val="16"/>
              </w:rPr>
            </w:pPr>
            <w:r w:rsidRPr="00A1114A">
              <w:rPr>
                <w:rFonts w:ascii="Arial" w:hAnsi="Arial" w:cs="Arial"/>
                <w:sz w:val="16"/>
                <w:szCs w:val="16"/>
              </w:rPr>
              <w:t>2017–18</w:t>
            </w:r>
            <w:r w:rsidRPr="00A1114A">
              <w:rPr>
                <w:rFonts w:ascii="Arial" w:hAnsi="Arial" w:cs="Arial"/>
                <w:sz w:val="16"/>
                <w:szCs w:val="16"/>
              </w:rPr>
              <w:br/>
              <w:t>Budget</w:t>
            </w:r>
            <w:r w:rsidRPr="00A1114A">
              <w:rPr>
                <w:rFonts w:ascii="Arial" w:hAnsi="Arial" w:cs="Arial"/>
                <w:sz w:val="16"/>
                <w:szCs w:val="16"/>
              </w:rPr>
              <w:br/>
            </w:r>
            <w:r w:rsidRPr="00A1114A">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auto" w:fill="auto"/>
            <w:vAlign w:val="center"/>
            <w:hideMark/>
          </w:tcPr>
          <w:p w:rsidR="00B13129" w:rsidRPr="00A1114A" w:rsidRDefault="00B13129" w:rsidP="003F0F8A">
            <w:pPr>
              <w:spacing w:after="0" w:line="240" w:lineRule="auto"/>
              <w:jc w:val="right"/>
              <w:rPr>
                <w:rFonts w:ascii="Arial" w:hAnsi="Arial" w:cs="Arial"/>
                <w:sz w:val="16"/>
                <w:szCs w:val="16"/>
              </w:rPr>
            </w:pPr>
            <w:r w:rsidRPr="00A1114A">
              <w:rPr>
                <w:rFonts w:ascii="Arial" w:hAnsi="Arial" w:cs="Arial"/>
                <w:sz w:val="16"/>
                <w:szCs w:val="16"/>
              </w:rPr>
              <w:t>2018–19 Forward estimate</w:t>
            </w:r>
            <w:r w:rsidRPr="00A1114A">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auto" w:fill="auto"/>
            <w:vAlign w:val="center"/>
            <w:hideMark/>
          </w:tcPr>
          <w:p w:rsidR="00B13129" w:rsidRPr="00A1114A" w:rsidRDefault="00B13129" w:rsidP="003F0F8A">
            <w:pPr>
              <w:spacing w:after="0" w:line="240" w:lineRule="auto"/>
              <w:jc w:val="right"/>
              <w:rPr>
                <w:rFonts w:ascii="Arial" w:hAnsi="Arial" w:cs="Arial"/>
                <w:sz w:val="16"/>
                <w:szCs w:val="16"/>
              </w:rPr>
            </w:pPr>
            <w:r w:rsidRPr="00A1114A">
              <w:rPr>
                <w:rFonts w:ascii="Arial" w:hAnsi="Arial" w:cs="Arial"/>
                <w:sz w:val="16"/>
                <w:szCs w:val="16"/>
              </w:rPr>
              <w:t>2019–20 Forward estimate</w:t>
            </w:r>
            <w:r w:rsidRPr="00A1114A">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auto" w:fill="auto"/>
            <w:vAlign w:val="center"/>
            <w:hideMark/>
          </w:tcPr>
          <w:p w:rsidR="00B13129" w:rsidRPr="00A1114A" w:rsidRDefault="00B13129" w:rsidP="003F0F8A">
            <w:pPr>
              <w:spacing w:after="0" w:line="240" w:lineRule="auto"/>
              <w:jc w:val="right"/>
              <w:rPr>
                <w:rFonts w:ascii="Arial" w:hAnsi="Arial" w:cs="Arial"/>
                <w:sz w:val="16"/>
                <w:szCs w:val="16"/>
              </w:rPr>
            </w:pPr>
            <w:r w:rsidRPr="00A1114A">
              <w:rPr>
                <w:rFonts w:ascii="Arial" w:hAnsi="Arial" w:cs="Arial"/>
                <w:sz w:val="16"/>
                <w:szCs w:val="16"/>
              </w:rPr>
              <w:t>2020–21</w:t>
            </w:r>
            <w:r w:rsidRPr="00A1114A">
              <w:rPr>
                <w:rFonts w:ascii="Arial" w:hAnsi="Arial" w:cs="Arial"/>
                <w:sz w:val="16"/>
                <w:szCs w:val="16"/>
              </w:rPr>
              <w:br/>
              <w:t>Forward estimate</w:t>
            </w:r>
            <w:r w:rsidRPr="00A1114A">
              <w:rPr>
                <w:rFonts w:ascii="Arial" w:hAnsi="Arial" w:cs="Arial"/>
                <w:sz w:val="16"/>
                <w:szCs w:val="16"/>
              </w:rPr>
              <w:br/>
              <w:t>$'000</w:t>
            </w: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OPERATING ACTIVITIES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Cash received</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ind w:firstLineChars="100" w:firstLine="160"/>
              <w:rPr>
                <w:rFonts w:ascii="Arial" w:hAnsi="Arial" w:cs="Arial"/>
                <w:color w:val="000000"/>
                <w:sz w:val="16"/>
                <w:szCs w:val="16"/>
              </w:rPr>
            </w:pPr>
            <w:r w:rsidRPr="00A1114A">
              <w:rPr>
                <w:rFonts w:ascii="Arial" w:hAnsi="Arial" w:cs="Arial"/>
                <w:color w:val="000000"/>
                <w:sz w:val="16"/>
                <w:szCs w:val="16"/>
              </w:rPr>
              <w:t>Appropriations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4,695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5,069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4,856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4,874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4,908 </w:t>
            </w:r>
          </w:p>
        </w:tc>
      </w:tr>
      <w:tr w:rsidR="00B13129" w:rsidRPr="00A1114A" w:rsidTr="003F0F8A">
        <w:trPr>
          <w:trHeight w:val="207"/>
        </w:trPr>
        <w:tc>
          <w:tcPr>
            <w:tcW w:w="3117" w:type="dxa"/>
            <w:tcBorders>
              <w:top w:val="nil"/>
              <w:left w:val="nil"/>
              <w:bottom w:val="nil"/>
              <w:right w:val="nil"/>
            </w:tcBorders>
            <w:shd w:val="clear" w:color="auto" w:fill="auto"/>
            <w:vAlign w:val="center"/>
            <w:hideMark/>
          </w:tcPr>
          <w:p w:rsidR="00B13129" w:rsidRPr="00A1114A" w:rsidRDefault="00B13129" w:rsidP="003F0F8A">
            <w:pPr>
              <w:spacing w:after="0" w:line="240" w:lineRule="auto"/>
              <w:ind w:firstLineChars="100" w:firstLine="160"/>
              <w:rPr>
                <w:rFonts w:ascii="Arial" w:hAnsi="Arial" w:cs="Arial"/>
                <w:color w:val="000000"/>
                <w:sz w:val="16"/>
                <w:szCs w:val="16"/>
              </w:rPr>
            </w:pPr>
            <w:r w:rsidRPr="00A1114A">
              <w:rPr>
                <w:rFonts w:ascii="Arial" w:hAnsi="Arial" w:cs="Arial"/>
                <w:color w:val="000000"/>
                <w:sz w:val="16"/>
                <w:szCs w:val="16"/>
              </w:rPr>
              <w:t>Sale of goods and rendering of</w:t>
            </w:r>
            <w:r>
              <w:rPr>
                <w:rFonts w:ascii="Arial" w:hAnsi="Arial" w:cs="Arial"/>
                <w:color w:val="000000"/>
                <w:sz w:val="16"/>
                <w:szCs w:val="16"/>
              </w:rPr>
              <w:t xml:space="preserve"> </w:t>
            </w:r>
            <w:r w:rsidRPr="00A1114A">
              <w:rPr>
                <w:rFonts w:ascii="Arial" w:hAnsi="Arial" w:cs="Arial"/>
                <w:color w:val="000000"/>
                <w:sz w:val="16"/>
                <w:szCs w:val="16"/>
              </w:rPr>
              <w:t>services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100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100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100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100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100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i/>
                <w:iCs/>
                <w:color w:val="000000"/>
                <w:sz w:val="16"/>
                <w:szCs w:val="16"/>
              </w:rPr>
            </w:pPr>
            <w:r w:rsidRPr="00A1114A">
              <w:rPr>
                <w:rFonts w:ascii="Arial" w:hAnsi="Arial" w:cs="Arial"/>
                <w:b/>
                <w:bCs/>
                <w:i/>
                <w:iCs/>
                <w:color w:val="000000"/>
                <w:sz w:val="16"/>
                <w:szCs w:val="16"/>
              </w:rPr>
              <w:t>Total cash received</w:t>
            </w:r>
          </w:p>
        </w:tc>
        <w:tc>
          <w:tcPr>
            <w:tcW w:w="95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4,795 </w:t>
            </w:r>
          </w:p>
        </w:tc>
        <w:tc>
          <w:tcPr>
            <w:tcW w:w="908" w:type="dxa"/>
            <w:tcBorders>
              <w:top w:val="single" w:sz="4" w:space="0" w:color="000000"/>
              <w:left w:val="nil"/>
              <w:bottom w:val="single" w:sz="4" w:space="0" w:color="000000"/>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5,169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4,956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4,974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5,008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Cash used</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ind w:firstLineChars="100" w:firstLine="160"/>
              <w:rPr>
                <w:rFonts w:ascii="Arial" w:hAnsi="Arial" w:cs="Arial"/>
                <w:color w:val="000000"/>
                <w:sz w:val="16"/>
                <w:szCs w:val="16"/>
              </w:rPr>
            </w:pPr>
            <w:r w:rsidRPr="00A1114A">
              <w:rPr>
                <w:rFonts w:ascii="Arial" w:hAnsi="Arial" w:cs="Arial"/>
                <w:color w:val="000000"/>
                <w:sz w:val="16"/>
                <w:szCs w:val="16"/>
              </w:rPr>
              <w:t>Employees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3,483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3,520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3,534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3,605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3,540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ind w:firstLineChars="100" w:firstLine="160"/>
              <w:rPr>
                <w:rFonts w:ascii="Arial" w:hAnsi="Arial" w:cs="Arial"/>
                <w:color w:val="000000"/>
                <w:sz w:val="16"/>
                <w:szCs w:val="16"/>
              </w:rPr>
            </w:pPr>
            <w:r w:rsidRPr="00A1114A">
              <w:rPr>
                <w:rFonts w:ascii="Arial" w:hAnsi="Arial" w:cs="Arial"/>
                <w:color w:val="000000"/>
                <w:sz w:val="16"/>
                <w:szCs w:val="16"/>
              </w:rPr>
              <w:t>Suppliers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1,512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1,649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1,422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1,369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1,468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i/>
                <w:iCs/>
                <w:color w:val="000000"/>
                <w:sz w:val="16"/>
                <w:szCs w:val="16"/>
              </w:rPr>
            </w:pPr>
            <w:r w:rsidRPr="00A1114A">
              <w:rPr>
                <w:rFonts w:ascii="Arial" w:hAnsi="Arial" w:cs="Arial"/>
                <w:b/>
                <w:bCs/>
                <w:i/>
                <w:iCs/>
                <w:color w:val="000000"/>
                <w:sz w:val="16"/>
                <w:szCs w:val="16"/>
              </w:rPr>
              <w:t>Total cash used</w:t>
            </w:r>
          </w:p>
        </w:tc>
        <w:tc>
          <w:tcPr>
            <w:tcW w:w="958" w:type="dxa"/>
            <w:tcBorders>
              <w:top w:val="single" w:sz="4" w:space="0" w:color="000000"/>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4,995 </w:t>
            </w:r>
          </w:p>
        </w:tc>
        <w:tc>
          <w:tcPr>
            <w:tcW w:w="908" w:type="dxa"/>
            <w:tcBorders>
              <w:top w:val="single" w:sz="4" w:space="0" w:color="000000"/>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5,169 </w:t>
            </w:r>
          </w:p>
        </w:tc>
        <w:tc>
          <w:tcPr>
            <w:tcW w:w="908" w:type="dxa"/>
            <w:tcBorders>
              <w:top w:val="single" w:sz="4" w:space="0" w:color="000000"/>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4,956 </w:t>
            </w:r>
          </w:p>
        </w:tc>
        <w:tc>
          <w:tcPr>
            <w:tcW w:w="908" w:type="dxa"/>
            <w:tcBorders>
              <w:top w:val="single" w:sz="4" w:space="0" w:color="000000"/>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4,974 </w:t>
            </w:r>
          </w:p>
        </w:tc>
        <w:tc>
          <w:tcPr>
            <w:tcW w:w="908" w:type="dxa"/>
            <w:tcBorders>
              <w:top w:val="single" w:sz="4" w:space="0" w:color="000000"/>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5,008 </w:t>
            </w:r>
          </w:p>
        </w:tc>
      </w:tr>
      <w:tr w:rsidR="00B13129" w:rsidRPr="00A1114A" w:rsidTr="003F0F8A">
        <w:trPr>
          <w:trHeight w:val="405"/>
        </w:trPr>
        <w:tc>
          <w:tcPr>
            <w:tcW w:w="3117" w:type="dxa"/>
            <w:tcBorders>
              <w:top w:val="nil"/>
              <w:left w:val="nil"/>
              <w:bottom w:val="nil"/>
              <w:right w:val="nil"/>
            </w:tcBorders>
            <w:shd w:val="clear" w:color="auto" w:fill="auto"/>
            <w:vAlign w:val="center"/>
            <w:hideMark/>
          </w:tcPr>
          <w:p w:rsidR="00B13129" w:rsidRPr="00A1114A" w:rsidRDefault="00B13129" w:rsidP="003F0F8A">
            <w:pPr>
              <w:tabs>
                <w:tab w:val="left" w:pos="161"/>
              </w:tabs>
              <w:spacing w:after="0" w:line="240" w:lineRule="auto"/>
              <w:rPr>
                <w:rFonts w:ascii="Arial" w:hAnsi="Arial" w:cs="Arial"/>
                <w:b/>
                <w:bCs/>
                <w:color w:val="000000"/>
                <w:sz w:val="16"/>
                <w:szCs w:val="16"/>
              </w:rPr>
            </w:pPr>
            <w:r w:rsidRPr="00A1114A">
              <w:rPr>
                <w:rFonts w:ascii="Arial" w:hAnsi="Arial" w:cs="Arial"/>
                <w:b/>
                <w:bCs/>
                <w:color w:val="000000"/>
                <w:sz w:val="16"/>
                <w:szCs w:val="16"/>
              </w:rPr>
              <w:t>Net cash from/(used by)</w:t>
            </w:r>
            <w:r>
              <w:rPr>
                <w:rFonts w:ascii="Arial" w:hAnsi="Arial" w:cs="Arial"/>
                <w:b/>
                <w:bCs/>
                <w:color w:val="000000"/>
                <w:sz w:val="16"/>
                <w:szCs w:val="16"/>
              </w:rPr>
              <w:t xml:space="preserve"> </w:t>
            </w:r>
            <w:r w:rsidRPr="00A1114A">
              <w:rPr>
                <w:rFonts w:ascii="Arial" w:hAnsi="Arial" w:cs="Arial"/>
                <w:b/>
                <w:bCs/>
                <w:color w:val="000000"/>
                <w:sz w:val="16"/>
                <w:szCs w:val="16"/>
              </w:rPr>
              <w:t xml:space="preserve">operating </w:t>
            </w:r>
            <w:r>
              <w:rPr>
                <w:rFonts w:ascii="Arial" w:hAnsi="Arial" w:cs="Arial"/>
                <w:b/>
                <w:bCs/>
                <w:color w:val="000000"/>
                <w:sz w:val="16"/>
                <w:szCs w:val="16"/>
              </w:rPr>
              <w:tab/>
            </w:r>
            <w:r w:rsidRPr="00A1114A">
              <w:rPr>
                <w:rFonts w:ascii="Arial" w:hAnsi="Arial" w:cs="Arial"/>
                <w:b/>
                <w:bCs/>
                <w:color w:val="000000"/>
                <w:sz w:val="16"/>
                <w:szCs w:val="16"/>
              </w:rPr>
              <w:t>activities</w:t>
            </w:r>
          </w:p>
        </w:tc>
        <w:tc>
          <w:tcPr>
            <w:tcW w:w="958" w:type="dxa"/>
            <w:tcBorders>
              <w:top w:val="single" w:sz="4" w:space="0" w:color="auto"/>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(200)</w:t>
            </w:r>
          </w:p>
        </w:tc>
        <w:tc>
          <w:tcPr>
            <w:tcW w:w="908" w:type="dxa"/>
            <w:tcBorders>
              <w:top w:val="single" w:sz="4" w:space="0" w:color="auto"/>
              <w:left w:val="nil"/>
              <w:bottom w:val="single" w:sz="4" w:space="0" w:color="auto"/>
              <w:right w:val="nil"/>
            </w:tcBorders>
            <w:shd w:val="clear" w:color="000000" w:fill="E6E6E6"/>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c>
          <w:tcPr>
            <w:tcW w:w="908" w:type="dxa"/>
            <w:tcBorders>
              <w:top w:val="single" w:sz="4" w:space="0" w:color="auto"/>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c>
          <w:tcPr>
            <w:tcW w:w="908" w:type="dxa"/>
            <w:tcBorders>
              <w:top w:val="single" w:sz="4" w:space="0" w:color="auto"/>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c>
          <w:tcPr>
            <w:tcW w:w="908" w:type="dxa"/>
            <w:tcBorders>
              <w:top w:val="single" w:sz="4" w:space="0" w:color="auto"/>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INVESTING ACTIVITIES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Cash received</w:t>
            </w:r>
          </w:p>
        </w:tc>
        <w:tc>
          <w:tcPr>
            <w:tcW w:w="95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p>
        </w:tc>
        <w:tc>
          <w:tcPr>
            <w:tcW w:w="908" w:type="dxa"/>
            <w:tcBorders>
              <w:top w:val="nil"/>
              <w:left w:val="nil"/>
              <w:bottom w:val="nil"/>
              <w:right w:val="nil"/>
            </w:tcBorders>
            <w:shd w:val="clear" w:color="000000" w:fill="E6E6E6"/>
            <w:noWrap/>
            <w:vAlign w:val="center"/>
          </w:tcPr>
          <w:p w:rsidR="00B13129" w:rsidRPr="00662FDC" w:rsidRDefault="00B13129" w:rsidP="003F0F8A">
            <w:pPr>
              <w:spacing w:after="0" w:line="240" w:lineRule="auto"/>
              <w:jc w:val="right"/>
              <w:rPr>
                <w:rFonts w:ascii="Arial" w:hAnsi="Arial" w:cs="Arial"/>
                <w:bCs/>
                <w:i/>
                <w:iCs/>
                <w:color w:val="000000"/>
                <w:sz w:val="16"/>
                <w:szCs w:val="16"/>
              </w:rPr>
            </w:pP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p>
        </w:tc>
      </w:tr>
      <w:tr w:rsidR="00B13129" w:rsidRPr="00A1114A" w:rsidTr="003F0F8A">
        <w:trPr>
          <w:trHeight w:val="206"/>
        </w:trPr>
        <w:tc>
          <w:tcPr>
            <w:tcW w:w="3117" w:type="dxa"/>
            <w:tcBorders>
              <w:top w:val="nil"/>
              <w:left w:val="nil"/>
              <w:bottom w:val="nil"/>
              <w:right w:val="nil"/>
            </w:tcBorders>
            <w:shd w:val="clear" w:color="auto" w:fill="auto"/>
            <w:noWrap/>
            <w:vAlign w:val="center"/>
          </w:tcPr>
          <w:p w:rsidR="00B13129" w:rsidRPr="00A1114A" w:rsidRDefault="00B13129" w:rsidP="003F0F8A">
            <w:pPr>
              <w:spacing w:after="0" w:line="240" w:lineRule="auto"/>
              <w:ind w:firstLine="191"/>
              <w:rPr>
                <w:rFonts w:ascii="Arial" w:hAnsi="Arial" w:cs="Arial"/>
                <w:b/>
                <w:bCs/>
                <w:color w:val="000000"/>
                <w:sz w:val="16"/>
                <w:szCs w:val="16"/>
              </w:rPr>
            </w:pPr>
            <w:r>
              <w:rPr>
                <w:rFonts w:ascii="Arial" w:hAnsi="Arial" w:cs="Arial"/>
                <w:color w:val="000000"/>
                <w:sz w:val="16"/>
                <w:szCs w:val="16"/>
              </w:rPr>
              <w:t>Other</w:t>
            </w:r>
          </w:p>
        </w:tc>
        <w:tc>
          <w:tcPr>
            <w:tcW w:w="95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000000" w:fill="E6E6E6"/>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i/>
                <w:iCs/>
                <w:color w:val="000000"/>
                <w:sz w:val="16"/>
                <w:szCs w:val="16"/>
              </w:rPr>
            </w:pPr>
            <w:r w:rsidRPr="00A1114A">
              <w:rPr>
                <w:rFonts w:ascii="Arial" w:hAnsi="Arial" w:cs="Arial"/>
                <w:b/>
                <w:bCs/>
                <w:i/>
                <w:iCs/>
                <w:color w:val="000000"/>
                <w:sz w:val="16"/>
                <w:szCs w:val="16"/>
              </w:rPr>
              <w:t>Total cash received</w:t>
            </w:r>
          </w:p>
        </w:tc>
        <w:tc>
          <w:tcPr>
            <w:tcW w:w="95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r>
      <w:tr w:rsidR="00B13129" w:rsidRPr="00A1114A" w:rsidTr="003F0F8A">
        <w:trPr>
          <w:trHeight w:val="206"/>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Cash used</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405"/>
        </w:trPr>
        <w:tc>
          <w:tcPr>
            <w:tcW w:w="3117" w:type="dxa"/>
            <w:tcBorders>
              <w:top w:val="nil"/>
              <w:left w:val="nil"/>
              <w:bottom w:val="nil"/>
              <w:right w:val="nil"/>
            </w:tcBorders>
            <w:shd w:val="clear" w:color="auto" w:fill="auto"/>
            <w:vAlign w:val="center"/>
            <w:hideMark/>
          </w:tcPr>
          <w:p w:rsidR="00B13129" w:rsidRPr="00A1114A" w:rsidRDefault="00B13129" w:rsidP="003F0F8A">
            <w:pPr>
              <w:tabs>
                <w:tab w:val="left" w:pos="1041"/>
              </w:tabs>
              <w:spacing w:after="0" w:line="240" w:lineRule="auto"/>
              <w:ind w:leftChars="95" w:left="331" w:hangingChars="88" w:hanging="141"/>
              <w:rPr>
                <w:rFonts w:ascii="Arial" w:hAnsi="Arial" w:cs="Arial"/>
                <w:color w:val="000000"/>
                <w:sz w:val="16"/>
                <w:szCs w:val="16"/>
              </w:rPr>
            </w:pPr>
            <w:r w:rsidRPr="00A1114A">
              <w:rPr>
                <w:rFonts w:ascii="Arial" w:hAnsi="Arial" w:cs="Arial"/>
                <w:color w:val="000000"/>
                <w:sz w:val="16"/>
                <w:szCs w:val="16"/>
              </w:rPr>
              <w:t>Purchase of property, plant and</w:t>
            </w:r>
            <w:r>
              <w:rPr>
                <w:rFonts w:ascii="Arial" w:hAnsi="Arial" w:cs="Arial"/>
                <w:color w:val="000000"/>
                <w:sz w:val="16"/>
                <w:szCs w:val="16"/>
              </w:rPr>
              <w:t xml:space="preserve"> </w:t>
            </w:r>
            <w:r w:rsidRPr="00A1114A">
              <w:rPr>
                <w:rFonts w:ascii="Arial" w:hAnsi="Arial" w:cs="Arial"/>
                <w:color w:val="000000"/>
                <w:sz w:val="16"/>
                <w:szCs w:val="16"/>
              </w:rPr>
              <w:t>equipment and intangibles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194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201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199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200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202 </w:t>
            </w: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i/>
                <w:iCs/>
                <w:color w:val="000000"/>
                <w:sz w:val="16"/>
                <w:szCs w:val="16"/>
              </w:rPr>
            </w:pPr>
            <w:r w:rsidRPr="00A1114A">
              <w:rPr>
                <w:rFonts w:ascii="Arial" w:hAnsi="Arial" w:cs="Arial"/>
                <w:b/>
                <w:bCs/>
                <w:i/>
                <w:iCs/>
                <w:color w:val="000000"/>
                <w:sz w:val="16"/>
                <w:szCs w:val="16"/>
              </w:rPr>
              <w:t>Total cash used</w:t>
            </w:r>
          </w:p>
        </w:tc>
        <w:tc>
          <w:tcPr>
            <w:tcW w:w="95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194 </w:t>
            </w:r>
          </w:p>
        </w:tc>
        <w:tc>
          <w:tcPr>
            <w:tcW w:w="908" w:type="dxa"/>
            <w:tcBorders>
              <w:top w:val="single" w:sz="4" w:space="0" w:color="000000"/>
              <w:left w:val="nil"/>
              <w:bottom w:val="single" w:sz="4" w:space="0" w:color="000000"/>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201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199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200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202 </w:t>
            </w:r>
          </w:p>
        </w:tc>
      </w:tr>
      <w:tr w:rsidR="00B13129" w:rsidRPr="00A1114A" w:rsidTr="003F0F8A">
        <w:trPr>
          <w:trHeight w:val="405"/>
        </w:trPr>
        <w:tc>
          <w:tcPr>
            <w:tcW w:w="3117" w:type="dxa"/>
            <w:tcBorders>
              <w:top w:val="nil"/>
              <w:left w:val="nil"/>
              <w:bottom w:val="nil"/>
              <w:right w:val="nil"/>
            </w:tcBorders>
            <w:shd w:val="clear" w:color="auto" w:fill="auto"/>
            <w:vAlign w:val="center"/>
            <w:hideMark/>
          </w:tcPr>
          <w:p w:rsidR="00B13129" w:rsidRPr="00A1114A" w:rsidRDefault="00B13129" w:rsidP="003F0F8A">
            <w:pPr>
              <w:tabs>
                <w:tab w:val="left" w:pos="187"/>
              </w:tabs>
              <w:spacing w:after="0" w:line="240" w:lineRule="auto"/>
              <w:rPr>
                <w:rFonts w:ascii="Arial" w:hAnsi="Arial" w:cs="Arial"/>
                <w:b/>
                <w:bCs/>
                <w:color w:val="000000"/>
                <w:sz w:val="16"/>
                <w:szCs w:val="16"/>
              </w:rPr>
            </w:pPr>
            <w:r w:rsidRPr="00A1114A">
              <w:rPr>
                <w:rFonts w:ascii="Arial" w:hAnsi="Arial" w:cs="Arial"/>
                <w:b/>
                <w:bCs/>
                <w:color w:val="000000"/>
                <w:sz w:val="16"/>
                <w:szCs w:val="16"/>
              </w:rPr>
              <w:t>Net cash from/(used by)</w:t>
            </w:r>
            <w:r>
              <w:rPr>
                <w:rFonts w:ascii="Arial" w:hAnsi="Arial" w:cs="Arial"/>
                <w:b/>
                <w:bCs/>
                <w:color w:val="000000"/>
                <w:sz w:val="16"/>
                <w:szCs w:val="16"/>
              </w:rPr>
              <w:t xml:space="preserve"> </w:t>
            </w:r>
            <w:r w:rsidRPr="00A1114A">
              <w:rPr>
                <w:rFonts w:ascii="Arial" w:hAnsi="Arial" w:cs="Arial"/>
                <w:b/>
                <w:bCs/>
                <w:color w:val="000000"/>
                <w:sz w:val="16"/>
                <w:szCs w:val="16"/>
              </w:rPr>
              <w:t xml:space="preserve">investing </w:t>
            </w:r>
            <w:r>
              <w:rPr>
                <w:rFonts w:ascii="Arial" w:hAnsi="Arial" w:cs="Arial"/>
                <w:b/>
                <w:bCs/>
                <w:color w:val="000000"/>
                <w:sz w:val="16"/>
                <w:szCs w:val="16"/>
              </w:rPr>
              <w:tab/>
            </w:r>
            <w:r w:rsidRPr="00A1114A">
              <w:rPr>
                <w:rFonts w:ascii="Arial" w:hAnsi="Arial" w:cs="Arial"/>
                <w:b/>
                <w:bCs/>
                <w:color w:val="000000"/>
                <w:sz w:val="16"/>
                <w:szCs w:val="16"/>
              </w:rPr>
              <w:t>activities</w:t>
            </w:r>
          </w:p>
        </w:tc>
        <w:tc>
          <w:tcPr>
            <w:tcW w:w="958" w:type="dxa"/>
            <w:tcBorders>
              <w:top w:val="nil"/>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(194)</w:t>
            </w:r>
          </w:p>
        </w:tc>
        <w:tc>
          <w:tcPr>
            <w:tcW w:w="908" w:type="dxa"/>
            <w:tcBorders>
              <w:top w:val="nil"/>
              <w:left w:val="nil"/>
              <w:bottom w:val="single" w:sz="4" w:space="0" w:color="auto"/>
              <w:right w:val="nil"/>
            </w:tcBorders>
            <w:shd w:val="clear" w:color="000000" w:fill="E6E6E6"/>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(201)</w:t>
            </w:r>
          </w:p>
        </w:tc>
        <w:tc>
          <w:tcPr>
            <w:tcW w:w="908" w:type="dxa"/>
            <w:tcBorders>
              <w:top w:val="nil"/>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(199)</w:t>
            </w:r>
          </w:p>
        </w:tc>
        <w:tc>
          <w:tcPr>
            <w:tcW w:w="908" w:type="dxa"/>
            <w:tcBorders>
              <w:top w:val="nil"/>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(200)</w:t>
            </w:r>
          </w:p>
        </w:tc>
        <w:tc>
          <w:tcPr>
            <w:tcW w:w="908" w:type="dxa"/>
            <w:tcBorders>
              <w:top w:val="nil"/>
              <w:left w:val="nil"/>
              <w:bottom w:val="single" w:sz="4" w:space="0" w:color="auto"/>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(202)</w:t>
            </w: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FINANCING ACTIVITIES</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Cash received</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ind w:firstLineChars="100" w:firstLine="160"/>
              <w:rPr>
                <w:rFonts w:ascii="Arial" w:hAnsi="Arial" w:cs="Arial"/>
                <w:color w:val="000000"/>
                <w:sz w:val="16"/>
                <w:szCs w:val="16"/>
              </w:rPr>
            </w:pPr>
            <w:r w:rsidRPr="00A1114A">
              <w:rPr>
                <w:rFonts w:ascii="Arial" w:hAnsi="Arial" w:cs="Arial"/>
                <w:color w:val="000000"/>
                <w:sz w:val="16"/>
                <w:szCs w:val="16"/>
              </w:rPr>
              <w:t>Contributed equity</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194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201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199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200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202 </w:t>
            </w: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i/>
                <w:iCs/>
                <w:color w:val="000000"/>
                <w:sz w:val="16"/>
                <w:szCs w:val="16"/>
              </w:rPr>
            </w:pPr>
            <w:r w:rsidRPr="00A1114A">
              <w:rPr>
                <w:rFonts w:ascii="Arial" w:hAnsi="Arial" w:cs="Arial"/>
                <w:b/>
                <w:bCs/>
                <w:i/>
                <w:iCs/>
                <w:color w:val="000000"/>
                <w:sz w:val="16"/>
                <w:szCs w:val="16"/>
              </w:rPr>
              <w:t>Total cash received</w:t>
            </w:r>
          </w:p>
        </w:tc>
        <w:tc>
          <w:tcPr>
            <w:tcW w:w="95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194 </w:t>
            </w:r>
          </w:p>
        </w:tc>
        <w:tc>
          <w:tcPr>
            <w:tcW w:w="908" w:type="dxa"/>
            <w:tcBorders>
              <w:top w:val="single" w:sz="4" w:space="0" w:color="000000"/>
              <w:left w:val="nil"/>
              <w:bottom w:val="single" w:sz="4" w:space="0" w:color="000000"/>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201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199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200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202 </w:t>
            </w: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Cash used</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rPr>
                <w:rFonts w:ascii="Arial" w:hAnsi="Arial" w:cs="Arial"/>
                <w:color w:val="000000"/>
                <w:sz w:val="16"/>
                <w:szCs w:val="16"/>
              </w:rPr>
            </w:pPr>
            <w:r w:rsidRPr="00A1114A">
              <w:rPr>
                <w:rFonts w:ascii="Arial" w:hAnsi="Arial" w:cs="Arial"/>
                <w:color w:val="000000"/>
                <w:sz w:val="16"/>
                <w:szCs w:val="16"/>
              </w:rPr>
              <w:t>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color w:val="000000"/>
                <w:sz w:val="16"/>
                <w:szCs w:val="16"/>
              </w:rPr>
            </w:pPr>
          </w:p>
        </w:tc>
      </w:tr>
      <w:tr w:rsidR="00B13129" w:rsidRPr="00A1114A" w:rsidTr="003F0F8A">
        <w:trPr>
          <w:trHeight w:val="206"/>
        </w:trPr>
        <w:tc>
          <w:tcPr>
            <w:tcW w:w="3117" w:type="dxa"/>
            <w:tcBorders>
              <w:top w:val="nil"/>
              <w:left w:val="nil"/>
              <w:bottom w:val="nil"/>
              <w:right w:val="nil"/>
            </w:tcBorders>
            <w:shd w:val="clear" w:color="auto" w:fill="auto"/>
            <w:noWrap/>
            <w:vAlign w:val="center"/>
          </w:tcPr>
          <w:p w:rsidR="00B13129" w:rsidRPr="00A1114A" w:rsidRDefault="00B13129" w:rsidP="003F0F8A">
            <w:pPr>
              <w:spacing w:after="0" w:line="240" w:lineRule="auto"/>
              <w:ind w:firstLine="191"/>
              <w:rPr>
                <w:rFonts w:ascii="Arial" w:hAnsi="Arial" w:cs="Arial"/>
                <w:b/>
                <w:bCs/>
                <w:color w:val="000000"/>
                <w:sz w:val="16"/>
                <w:szCs w:val="16"/>
              </w:rPr>
            </w:pPr>
            <w:r>
              <w:rPr>
                <w:rFonts w:ascii="Arial" w:hAnsi="Arial" w:cs="Arial"/>
                <w:color w:val="000000"/>
                <w:sz w:val="16"/>
                <w:szCs w:val="16"/>
              </w:rPr>
              <w:t>Other</w:t>
            </w:r>
          </w:p>
        </w:tc>
        <w:tc>
          <w:tcPr>
            <w:tcW w:w="95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000000" w:fill="E6E6E6"/>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c>
          <w:tcPr>
            <w:tcW w:w="908" w:type="dxa"/>
            <w:tcBorders>
              <w:top w:val="nil"/>
              <w:left w:val="nil"/>
              <w:bottom w:val="nil"/>
              <w:right w:val="nil"/>
            </w:tcBorders>
            <w:shd w:val="clear" w:color="auto" w:fill="auto"/>
            <w:noWrap/>
            <w:vAlign w:val="center"/>
          </w:tcPr>
          <w:p w:rsidR="00B13129" w:rsidRPr="00662FDC" w:rsidRDefault="00B13129" w:rsidP="003F0F8A">
            <w:pPr>
              <w:spacing w:after="0" w:line="240" w:lineRule="auto"/>
              <w:jc w:val="right"/>
              <w:rPr>
                <w:rFonts w:ascii="Arial" w:hAnsi="Arial" w:cs="Arial"/>
                <w:bCs/>
                <w:i/>
                <w:iCs/>
                <w:color w:val="000000"/>
                <w:sz w:val="16"/>
                <w:szCs w:val="16"/>
              </w:rPr>
            </w:pPr>
            <w:r w:rsidRPr="00662FDC">
              <w:rPr>
                <w:rFonts w:ascii="Arial" w:hAnsi="Arial" w:cs="Arial"/>
                <w:bCs/>
                <w:i/>
                <w:iCs/>
                <w:color w:val="000000"/>
                <w:sz w:val="16"/>
                <w:szCs w:val="16"/>
              </w:rPr>
              <w:t xml:space="preserve">- </w:t>
            </w:r>
          </w:p>
        </w:tc>
      </w:tr>
      <w:tr w:rsidR="00B13129" w:rsidRPr="00A1114A" w:rsidTr="003F0F8A">
        <w:trPr>
          <w:trHeight w:val="203"/>
        </w:trPr>
        <w:tc>
          <w:tcPr>
            <w:tcW w:w="3117"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rPr>
                <w:rFonts w:ascii="Arial" w:hAnsi="Arial" w:cs="Arial"/>
                <w:b/>
                <w:bCs/>
                <w:i/>
                <w:iCs/>
                <w:color w:val="000000"/>
                <w:sz w:val="16"/>
                <w:szCs w:val="16"/>
              </w:rPr>
            </w:pPr>
            <w:r w:rsidRPr="00A1114A">
              <w:rPr>
                <w:rFonts w:ascii="Arial" w:hAnsi="Arial" w:cs="Arial"/>
                <w:b/>
                <w:bCs/>
                <w:i/>
                <w:iCs/>
                <w:color w:val="000000"/>
                <w:sz w:val="16"/>
                <w:szCs w:val="16"/>
              </w:rPr>
              <w:t>Total cash used</w:t>
            </w:r>
          </w:p>
        </w:tc>
        <w:tc>
          <w:tcPr>
            <w:tcW w:w="95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c>
          <w:tcPr>
            <w:tcW w:w="908" w:type="dxa"/>
            <w:tcBorders>
              <w:top w:val="single" w:sz="4" w:space="0" w:color="000000"/>
              <w:left w:val="nil"/>
              <w:bottom w:val="single" w:sz="4" w:space="0" w:color="000000"/>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b/>
                <w:bCs/>
                <w:i/>
                <w:iCs/>
                <w:color w:val="000000"/>
                <w:sz w:val="16"/>
                <w:szCs w:val="16"/>
              </w:rPr>
            </w:pPr>
            <w:r w:rsidRPr="00A1114A">
              <w:rPr>
                <w:rFonts w:ascii="Arial" w:hAnsi="Arial" w:cs="Arial"/>
                <w:b/>
                <w:bCs/>
                <w:i/>
                <w:iCs/>
                <w:color w:val="000000"/>
                <w:sz w:val="16"/>
                <w:szCs w:val="16"/>
              </w:rPr>
              <w:t xml:space="preserve">- </w:t>
            </w:r>
          </w:p>
        </w:tc>
      </w:tr>
      <w:tr w:rsidR="00B13129" w:rsidRPr="00A1114A" w:rsidTr="003F0F8A">
        <w:trPr>
          <w:trHeight w:val="405"/>
        </w:trPr>
        <w:tc>
          <w:tcPr>
            <w:tcW w:w="3117" w:type="dxa"/>
            <w:tcBorders>
              <w:top w:val="nil"/>
              <w:left w:val="nil"/>
              <w:bottom w:val="nil"/>
              <w:right w:val="nil"/>
            </w:tcBorders>
            <w:shd w:val="clear" w:color="auto" w:fill="auto"/>
            <w:vAlign w:val="center"/>
            <w:hideMark/>
          </w:tcPr>
          <w:p w:rsidR="00B13129" w:rsidRPr="00A1114A" w:rsidRDefault="00B13129" w:rsidP="003F0F8A">
            <w:pPr>
              <w:tabs>
                <w:tab w:val="left" w:pos="201"/>
              </w:tabs>
              <w:spacing w:after="0" w:line="240" w:lineRule="auto"/>
              <w:rPr>
                <w:rFonts w:ascii="Arial" w:hAnsi="Arial" w:cs="Arial"/>
                <w:b/>
                <w:bCs/>
                <w:color w:val="000000"/>
                <w:sz w:val="16"/>
                <w:szCs w:val="16"/>
              </w:rPr>
            </w:pPr>
            <w:r w:rsidRPr="00A1114A">
              <w:rPr>
                <w:rFonts w:ascii="Arial" w:hAnsi="Arial" w:cs="Arial"/>
                <w:b/>
                <w:bCs/>
                <w:color w:val="000000"/>
                <w:sz w:val="16"/>
                <w:szCs w:val="16"/>
              </w:rPr>
              <w:t>Net cash from/(used by)</w:t>
            </w:r>
            <w:r>
              <w:rPr>
                <w:rFonts w:ascii="Arial" w:hAnsi="Arial" w:cs="Arial"/>
                <w:b/>
                <w:bCs/>
                <w:color w:val="000000"/>
                <w:sz w:val="16"/>
                <w:szCs w:val="16"/>
              </w:rPr>
              <w:t xml:space="preserve"> </w:t>
            </w:r>
            <w:r w:rsidRPr="00A1114A">
              <w:rPr>
                <w:rFonts w:ascii="Arial" w:hAnsi="Arial" w:cs="Arial"/>
                <w:b/>
                <w:bCs/>
                <w:color w:val="000000"/>
                <w:sz w:val="16"/>
                <w:szCs w:val="16"/>
              </w:rPr>
              <w:t xml:space="preserve">financing </w:t>
            </w:r>
            <w:r>
              <w:rPr>
                <w:rFonts w:ascii="Arial" w:hAnsi="Arial" w:cs="Arial"/>
                <w:b/>
                <w:bCs/>
                <w:color w:val="000000"/>
                <w:sz w:val="16"/>
                <w:szCs w:val="16"/>
              </w:rPr>
              <w:tab/>
            </w:r>
            <w:r w:rsidRPr="00A1114A">
              <w:rPr>
                <w:rFonts w:ascii="Arial" w:hAnsi="Arial" w:cs="Arial"/>
                <w:b/>
                <w:bCs/>
                <w:color w:val="000000"/>
                <w:sz w:val="16"/>
                <w:szCs w:val="16"/>
              </w:rPr>
              <w:t>activities</w:t>
            </w:r>
          </w:p>
        </w:tc>
        <w:tc>
          <w:tcPr>
            <w:tcW w:w="95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194 </w:t>
            </w:r>
          </w:p>
        </w:tc>
        <w:tc>
          <w:tcPr>
            <w:tcW w:w="908" w:type="dxa"/>
            <w:tcBorders>
              <w:top w:val="nil"/>
              <w:left w:val="nil"/>
              <w:bottom w:val="single" w:sz="4" w:space="0" w:color="000000"/>
              <w:right w:val="nil"/>
            </w:tcBorders>
            <w:shd w:val="clear" w:color="000000" w:fill="E6E6E6"/>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201 </w:t>
            </w:r>
          </w:p>
        </w:tc>
        <w:tc>
          <w:tcPr>
            <w:tcW w:w="90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199 </w:t>
            </w:r>
          </w:p>
        </w:tc>
        <w:tc>
          <w:tcPr>
            <w:tcW w:w="90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200 </w:t>
            </w:r>
          </w:p>
        </w:tc>
        <w:tc>
          <w:tcPr>
            <w:tcW w:w="90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202 </w:t>
            </w:r>
          </w:p>
        </w:tc>
      </w:tr>
      <w:tr w:rsidR="00B13129" w:rsidRPr="00A1114A" w:rsidTr="003F0F8A">
        <w:trPr>
          <w:trHeight w:val="203"/>
        </w:trPr>
        <w:tc>
          <w:tcPr>
            <w:tcW w:w="3117" w:type="dxa"/>
            <w:tcBorders>
              <w:top w:val="nil"/>
              <w:left w:val="nil"/>
              <w:bottom w:val="nil"/>
              <w:right w:val="nil"/>
            </w:tcBorders>
            <w:shd w:val="clear" w:color="auto" w:fill="auto"/>
            <w:vAlign w:val="center"/>
            <w:hideMark/>
          </w:tcPr>
          <w:p w:rsidR="00B13129" w:rsidRPr="00A1114A" w:rsidRDefault="00B13129" w:rsidP="003F0F8A">
            <w:pPr>
              <w:spacing w:after="0" w:line="240" w:lineRule="auto"/>
              <w:rPr>
                <w:rFonts w:ascii="Arial" w:hAnsi="Arial" w:cs="Arial"/>
                <w:b/>
                <w:bCs/>
                <w:color w:val="000000"/>
                <w:sz w:val="16"/>
                <w:szCs w:val="16"/>
              </w:rPr>
            </w:pPr>
            <w:r w:rsidRPr="00A1114A">
              <w:rPr>
                <w:rFonts w:ascii="Arial" w:hAnsi="Arial" w:cs="Arial"/>
                <w:b/>
                <w:bCs/>
                <w:color w:val="000000"/>
                <w:sz w:val="16"/>
                <w:szCs w:val="16"/>
              </w:rPr>
              <w:t>Net increase/(decrease) in cash held</w:t>
            </w:r>
          </w:p>
        </w:tc>
        <w:tc>
          <w:tcPr>
            <w:tcW w:w="95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(200)</w:t>
            </w:r>
          </w:p>
        </w:tc>
        <w:tc>
          <w:tcPr>
            <w:tcW w:w="908" w:type="dxa"/>
            <w:tcBorders>
              <w:top w:val="nil"/>
              <w:left w:val="nil"/>
              <w:bottom w:val="single" w:sz="4" w:space="0" w:color="000000"/>
              <w:right w:val="nil"/>
            </w:tcBorders>
            <w:shd w:val="clear" w:color="000000" w:fill="E6E6E6"/>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c>
          <w:tcPr>
            <w:tcW w:w="90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c>
          <w:tcPr>
            <w:tcW w:w="90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c>
          <w:tcPr>
            <w:tcW w:w="908" w:type="dxa"/>
            <w:tcBorders>
              <w:top w:val="nil"/>
              <w:left w:val="nil"/>
              <w:bottom w:val="single" w:sz="4" w:space="0" w:color="000000"/>
              <w:right w:val="nil"/>
            </w:tcBorders>
            <w:shd w:val="clear" w:color="auto" w:fill="auto"/>
            <w:noWrap/>
            <w:vAlign w:val="bottom"/>
            <w:hideMark/>
          </w:tcPr>
          <w:p w:rsidR="00B13129" w:rsidRPr="00A1114A" w:rsidRDefault="00B13129" w:rsidP="003F0F8A">
            <w:pPr>
              <w:spacing w:after="0" w:line="240" w:lineRule="auto"/>
              <w:jc w:val="right"/>
              <w:rPr>
                <w:rFonts w:ascii="Arial" w:hAnsi="Arial" w:cs="Arial"/>
                <w:b/>
                <w:bCs/>
                <w:color w:val="000000"/>
                <w:sz w:val="16"/>
                <w:szCs w:val="16"/>
              </w:rPr>
            </w:pPr>
            <w:r w:rsidRPr="00A1114A">
              <w:rPr>
                <w:rFonts w:ascii="Arial" w:hAnsi="Arial" w:cs="Arial"/>
                <w:b/>
                <w:bCs/>
                <w:color w:val="000000"/>
                <w:sz w:val="16"/>
                <w:szCs w:val="16"/>
              </w:rPr>
              <w:t xml:space="preserve">- </w:t>
            </w:r>
          </w:p>
        </w:tc>
      </w:tr>
      <w:tr w:rsidR="00B13129" w:rsidRPr="00A1114A" w:rsidTr="003F0F8A">
        <w:trPr>
          <w:trHeight w:val="405"/>
        </w:trPr>
        <w:tc>
          <w:tcPr>
            <w:tcW w:w="3117" w:type="dxa"/>
            <w:tcBorders>
              <w:top w:val="nil"/>
              <w:left w:val="nil"/>
              <w:bottom w:val="nil"/>
              <w:right w:val="nil"/>
            </w:tcBorders>
            <w:shd w:val="clear" w:color="auto" w:fill="auto"/>
            <w:vAlign w:val="center"/>
            <w:hideMark/>
          </w:tcPr>
          <w:p w:rsidR="00B13129" w:rsidRPr="00A1114A" w:rsidRDefault="00B13129" w:rsidP="003F0F8A">
            <w:pPr>
              <w:spacing w:after="0" w:line="240" w:lineRule="auto"/>
              <w:ind w:leftChars="80" w:left="333" w:hangingChars="108" w:hanging="173"/>
              <w:rPr>
                <w:rFonts w:ascii="Arial" w:hAnsi="Arial" w:cs="Arial"/>
                <w:color w:val="000000"/>
                <w:sz w:val="16"/>
                <w:szCs w:val="16"/>
              </w:rPr>
            </w:pPr>
            <w:r w:rsidRPr="00A1114A">
              <w:rPr>
                <w:rFonts w:ascii="Arial" w:hAnsi="Arial" w:cs="Arial"/>
                <w:color w:val="000000"/>
                <w:sz w:val="16"/>
                <w:szCs w:val="16"/>
              </w:rPr>
              <w:t>Cash and cash equivalents at the</w:t>
            </w:r>
            <w:r>
              <w:rPr>
                <w:rFonts w:ascii="Arial" w:hAnsi="Arial" w:cs="Arial"/>
                <w:color w:val="000000"/>
                <w:sz w:val="16"/>
                <w:szCs w:val="16"/>
              </w:rPr>
              <w:t xml:space="preserve"> </w:t>
            </w:r>
            <w:r w:rsidRPr="00A1114A">
              <w:rPr>
                <w:rFonts w:ascii="Arial" w:hAnsi="Arial" w:cs="Arial"/>
                <w:color w:val="000000"/>
                <w:sz w:val="16"/>
                <w:szCs w:val="16"/>
              </w:rPr>
              <w:t>beginning of the reporting period</w:t>
            </w:r>
          </w:p>
        </w:tc>
        <w:tc>
          <w:tcPr>
            <w:tcW w:w="95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420 </w:t>
            </w:r>
          </w:p>
        </w:tc>
        <w:tc>
          <w:tcPr>
            <w:tcW w:w="908" w:type="dxa"/>
            <w:tcBorders>
              <w:top w:val="nil"/>
              <w:left w:val="nil"/>
              <w:bottom w:val="nil"/>
              <w:right w:val="nil"/>
            </w:tcBorders>
            <w:shd w:val="clear" w:color="000000" w:fill="E6E6E6"/>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220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220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220 </w:t>
            </w:r>
          </w:p>
        </w:tc>
        <w:tc>
          <w:tcPr>
            <w:tcW w:w="908" w:type="dxa"/>
            <w:tcBorders>
              <w:top w:val="nil"/>
              <w:left w:val="nil"/>
              <w:bottom w:val="nil"/>
              <w:right w:val="nil"/>
            </w:tcBorders>
            <w:shd w:val="clear" w:color="auto" w:fill="auto"/>
            <w:noWrap/>
            <w:vAlign w:val="center"/>
            <w:hideMark/>
          </w:tcPr>
          <w:p w:rsidR="00B13129" w:rsidRPr="00A1114A" w:rsidRDefault="00B13129" w:rsidP="003F0F8A">
            <w:pPr>
              <w:spacing w:after="0" w:line="240" w:lineRule="auto"/>
              <w:jc w:val="right"/>
              <w:rPr>
                <w:rFonts w:ascii="Arial" w:hAnsi="Arial" w:cs="Arial"/>
                <w:color w:val="000000"/>
                <w:sz w:val="16"/>
                <w:szCs w:val="16"/>
              </w:rPr>
            </w:pPr>
            <w:r w:rsidRPr="00A1114A">
              <w:rPr>
                <w:rFonts w:ascii="Arial" w:hAnsi="Arial" w:cs="Arial"/>
                <w:color w:val="000000"/>
                <w:sz w:val="16"/>
                <w:szCs w:val="16"/>
              </w:rPr>
              <w:t xml:space="preserve">220 </w:t>
            </w:r>
          </w:p>
        </w:tc>
      </w:tr>
      <w:tr w:rsidR="00B13129" w:rsidRPr="00A1114A" w:rsidTr="003F0F8A">
        <w:trPr>
          <w:trHeight w:val="405"/>
        </w:trPr>
        <w:tc>
          <w:tcPr>
            <w:tcW w:w="3117" w:type="dxa"/>
            <w:tcBorders>
              <w:top w:val="nil"/>
              <w:left w:val="nil"/>
              <w:bottom w:val="single" w:sz="4" w:space="0" w:color="auto"/>
              <w:right w:val="nil"/>
            </w:tcBorders>
            <w:shd w:val="clear" w:color="auto" w:fill="auto"/>
            <w:vAlign w:val="center"/>
            <w:hideMark/>
          </w:tcPr>
          <w:p w:rsidR="00B13129" w:rsidRPr="00A1114A" w:rsidRDefault="00B13129" w:rsidP="003F0F8A">
            <w:pPr>
              <w:tabs>
                <w:tab w:val="left" w:pos="187"/>
              </w:tabs>
              <w:spacing w:after="0" w:line="240" w:lineRule="auto"/>
              <w:rPr>
                <w:rFonts w:ascii="Arial" w:hAnsi="Arial" w:cs="Arial"/>
                <w:b/>
                <w:bCs/>
                <w:color w:val="000000"/>
                <w:sz w:val="16"/>
                <w:szCs w:val="16"/>
              </w:rPr>
            </w:pPr>
            <w:r w:rsidRPr="00A1114A">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A1114A">
              <w:rPr>
                <w:rFonts w:ascii="Arial" w:hAnsi="Arial" w:cs="Arial"/>
                <w:b/>
                <w:bCs/>
                <w:color w:val="000000"/>
                <w:sz w:val="16"/>
                <w:szCs w:val="16"/>
              </w:rPr>
              <w:t xml:space="preserve">the end </w:t>
            </w:r>
            <w:r>
              <w:rPr>
                <w:rFonts w:ascii="Arial" w:hAnsi="Arial" w:cs="Arial"/>
                <w:b/>
                <w:bCs/>
                <w:color w:val="000000"/>
                <w:sz w:val="16"/>
                <w:szCs w:val="16"/>
              </w:rPr>
              <w:tab/>
            </w:r>
            <w:r w:rsidRPr="00A1114A">
              <w:rPr>
                <w:rFonts w:ascii="Arial" w:hAnsi="Arial" w:cs="Arial"/>
                <w:b/>
                <w:bCs/>
                <w:color w:val="000000"/>
                <w:sz w:val="16"/>
                <w:szCs w:val="16"/>
              </w:rPr>
              <w:t>of the reporting period</w:t>
            </w:r>
          </w:p>
        </w:tc>
        <w:tc>
          <w:tcPr>
            <w:tcW w:w="958" w:type="dxa"/>
            <w:tcBorders>
              <w:top w:val="single" w:sz="4" w:space="0" w:color="000000"/>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color w:val="000000"/>
                <w:sz w:val="16"/>
                <w:szCs w:val="16"/>
              </w:rPr>
            </w:pPr>
            <w:r w:rsidRPr="00BE46C0">
              <w:rPr>
                <w:rFonts w:ascii="Arial" w:hAnsi="Arial" w:cs="Arial"/>
                <w:b/>
                <w:color w:val="000000"/>
                <w:sz w:val="16"/>
                <w:szCs w:val="16"/>
              </w:rPr>
              <w:t xml:space="preserve">220 </w:t>
            </w:r>
          </w:p>
        </w:tc>
        <w:tc>
          <w:tcPr>
            <w:tcW w:w="908" w:type="dxa"/>
            <w:tcBorders>
              <w:top w:val="single" w:sz="4" w:space="0" w:color="000000"/>
              <w:left w:val="nil"/>
              <w:bottom w:val="single" w:sz="4" w:space="0" w:color="auto"/>
              <w:right w:val="nil"/>
            </w:tcBorders>
            <w:shd w:val="clear" w:color="000000" w:fill="E6E6E6"/>
            <w:noWrap/>
            <w:vAlign w:val="bottom"/>
            <w:hideMark/>
          </w:tcPr>
          <w:p w:rsidR="00B13129" w:rsidRPr="00BE46C0" w:rsidRDefault="00B13129" w:rsidP="003F0F8A">
            <w:pPr>
              <w:spacing w:after="0" w:line="240" w:lineRule="auto"/>
              <w:jc w:val="right"/>
              <w:rPr>
                <w:rFonts w:ascii="Arial" w:hAnsi="Arial" w:cs="Arial"/>
                <w:b/>
                <w:color w:val="000000"/>
                <w:sz w:val="16"/>
                <w:szCs w:val="16"/>
              </w:rPr>
            </w:pPr>
            <w:r w:rsidRPr="00BE46C0">
              <w:rPr>
                <w:rFonts w:ascii="Arial" w:hAnsi="Arial" w:cs="Arial"/>
                <w:b/>
                <w:color w:val="000000"/>
                <w:sz w:val="16"/>
                <w:szCs w:val="16"/>
              </w:rPr>
              <w:t xml:space="preserve">220 </w:t>
            </w:r>
          </w:p>
        </w:tc>
        <w:tc>
          <w:tcPr>
            <w:tcW w:w="908" w:type="dxa"/>
            <w:tcBorders>
              <w:top w:val="single" w:sz="4" w:space="0" w:color="000000"/>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color w:val="000000"/>
                <w:sz w:val="16"/>
                <w:szCs w:val="16"/>
              </w:rPr>
            </w:pPr>
            <w:r w:rsidRPr="00BE46C0">
              <w:rPr>
                <w:rFonts w:ascii="Arial" w:hAnsi="Arial" w:cs="Arial"/>
                <w:b/>
                <w:color w:val="000000"/>
                <w:sz w:val="16"/>
                <w:szCs w:val="16"/>
              </w:rPr>
              <w:t xml:space="preserve">220 </w:t>
            </w:r>
          </w:p>
        </w:tc>
        <w:tc>
          <w:tcPr>
            <w:tcW w:w="908" w:type="dxa"/>
            <w:tcBorders>
              <w:top w:val="single" w:sz="4" w:space="0" w:color="000000"/>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color w:val="000000"/>
                <w:sz w:val="16"/>
                <w:szCs w:val="16"/>
              </w:rPr>
            </w:pPr>
            <w:r w:rsidRPr="00BE46C0">
              <w:rPr>
                <w:rFonts w:ascii="Arial" w:hAnsi="Arial" w:cs="Arial"/>
                <w:b/>
                <w:color w:val="000000"/>
                <w:sz w:val="16"/>
                <w:szCs w:val="16"/>
              </w:rPr>
              <w:t xml:space="preserve">220 </w:t>
            </w:r>
          </w:p>
        </w:tc>
        <w:tc>
          <w:tcPr>
            <w:tcW w:w="908" w:type="dxa"/>
            <w:tcBorders>
              <w:top w:val="single" w:sz="4" w:space="0" w:color="000000"/>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color w:val="000000"/>
                <w:sz w:val="16"/>
                <w:szCs w:val="16"/>
              </w:rPr>
            </w:pPr>
            <w:r w:rsidRPr="00BE46C0">
              <w:rPr>
                <w:rFonts w:ascii="Arial" w:hAnsi="Arial" w:cs="Arial"/>
                <w:b/>
                <w:color w:val="000000"/>
                <w:sz w:val="16"/>
                <w:szCs w:val="16"/>
              </w:rPr>
              <w:t xml:space="preserve">220 </w:t>
            </w:r>
          </w:p>
        </w:tc>
      </w:tr>
    </w:tbl>
    <w:p w:rsidR="00B13129" w:rsidRDefault="00B13129" w:rsidP="00B13129">
      <w:pPr>
        <w:pStyle w:val="Source"/>
        <w:spacing w:before="120"/>
      </w:pPr>
      <w:r>
        <w:t>Prepared on Australian Accounting Standards basis.</w:t>
      </w:r>
    </w:p>
    <w:p w:rsidR="00B13129" w:rsidRDefault="00B13129" w:rsidP="00B13129">
      <w:pPr>
        <w:pStyle w:val="TableHeading"/>
        <w:rPr>
          <w:lang w:val="en-AU"/>
        </w:rPr>
      </w:pPr>
      <w:r>
        <w:br w:type="page"/>
      </w:r>
      <w:r w:rsidRPr="00D30CBA">
        <w:t>Table</w:t>
      </w:r>
      <w:r>
        <w:t xml:space="preserve"> 3.5</w:t>
      </w:r>
      <w:r w:rsidRPr="00D30CBA">
        <w:t xml:space="preserve">: </w:t>
      </w:r>
      <w:r>
        <w:t>Departmental capital budget statement (for the period ended 30 June)</w:t>
      </w:r>
    </w:p>
    <w:tbl>
      <w:tblPr>
        <w:tblW w:w="7669" w:type="dxa"/>
        <w:tblInd w:w="93" w:type="dxa"/>
        <w:tblCellMar>
          <w:left w:w="57" w:type="dxa"/>
          <w:right w:w="57" w:type="dxa"/>
        </w:tblCellMar>
        <w:tblLook w:val="04A0" w:firstRow="1" w:lastRow="0" w:firstColumn="1" w:lastColumn="0" w:noHBand="0" w:noVBand="1"/>
      </w:tblPr>
      <w:tblGrid>
        <w:gridCol w:w="3358"/>
        <w:gridCol w:w="867"/>
        <w:gridCol w:w="861"/>
        <w:gridCol w:w="861"/>
        <w:gridCol w:w="861"/>
        <w:gridCol w:w="861"/>
      </w:tblGrid>
      <w:tr w:rsidR="00B13129" w:rsidRPr="00601BCA" w:rsidTr="003F0F8A">
        <w:trPr>
          <w:trHeight w:val="829"/>
        </w:trPr>
        <w:tc>
          <w:tcPr>
            <w:tcW w:w="3358" w:type="dxa"/>
            <w:tcBorders>
              <w:top w:val="single" w:sz="4" w:space="0" w:color="auto"/>
              <w:left w:val="nil"/>
              <w:bottom w:val="nil"/>
              <w:right w:val="nil"/>
            </w:tcBorders>
            <w:shd w:val="clear" w:color="auto" w:fill="auto"/>
            <w:noWrap/>
            <w:hideMark/>
          </w:tcPr>
          <w:p w:rsidR="00B13129" w:rsidRPr="00601BCA" w:rsidRDefault="00B13129" w:rsidP="003F0F8A">
            <w:pPr>
              <w:spacing w:after="0" w:line="240" w:lineRule="auto"/>
              <w:rPr>
                <w:rFonts w:ascii="Arial" w:hAnsi="Arial" w:cs="Arial"/>
                <w:b/>
                <w:bCs/>
                <w:sz w:val="16"/>
                <w:szCs w:val="16"/>
              </w:rPr>
            </w:pPr>
            <w:r w:rsidRPr="00601BCA">
              <w:rPr>
                <w:rFonts w:ascii="Arial" w:hAnsi="Arial" w:cs="Arial"/>
                <w:b/>
                <w:bCs/>
                <w:sz w:val="16"/>
                <w:szCs w:val="16"/>
              </w:rPr>
              <w:t> </w:t>
            </w:r>
          </w:p>
        </w:tc>
        <w:tc>
          <w:tcPr>
            <w:tcW w:w="867" w:type="dxa"/>
            <w:tcBorders>
              <w:top w:val="single" w:sz="4" w:space="0" w:color="auto"/>
              <w:left w:val="nil"/>
              <w:bottom w:val="single" w:sz="4" w:space="0" w:color="auto"/>
              <w:right w:val="nil"/>
            </w:tcBorders>
            <w:shd w:val="clear" w:color="auto" w:fill="auto"/>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2016–17 Estimated actual</w:t>
            </w:r>
            <w:r w:rsidRPr="00601BCA">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000000" w:fill="E6E6E6"/>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2017–18</w:t>
            </w:r>
            <w:r w:rsidRPr="00601BCA">
              <w:rPr>
                <w:rFonts w:ascii="Arial" w:hAnsi="Arial" w:cs="Arial"/>
                <w:sz w:val="16"/>
                <w:szCs w:val="16"/>
              </w:rPr>
              <w:br/>
              <w:t>Budget</w:t>
            </w:r>
            <w:r w:rsidRPr="00601BCA">
              <w:rPr>
                <w:rFonts w:ascii="Arial" w:hAnsi="Arial" w:cs="Arial"/>
                <w:sz w:val="16"/>
                <w:szCs w:val="16"/>
              </w:rPr>
              <w:br/>
            </w:r>
            <w:r w:rsidRPr="00601BCA">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2018–19 Forward estimate</w:t>
            </w:r>
            <w:r w:rsidRPr="00601BCA">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2019–20 Forward estimate</w:t>
            </w:r>
            <w:r w:rsidRPr="00601BCA">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2020–21</w:t>
            </w:r>
            <w:r w:rsidRPr="00601BCA">
              <w:rPr>
                <w:rFonts w:ascii="Arial" w:hAnsi="Arial" w:cs="Arial"/>
                <w:sz w:val="16"/>
                <w:szCs w:val="16"/>
              </w:rPr>
              <w:br/>
              <w:t>Forward estimate</w:t>
            </w:r>
            <w:r w:rsidRPr="00601BCA">
              <w:rPr>
                <w:rFonts w:ascii="Arial" w:hAnsi="Arial" w:cs="Arial"/>
                <w:sz w:val="16"/>
                <w:szCs w:val="16"/>
              </w:rPr>
              <w:br/>
              <w:t>$'000</w:t>
            </w:r>
          </w:p>
        </w:tc>
      </w:tr>
      <w:tr w:rsidR="00B13129" w:rsidRPr="00601BCA" w:rsidTr="003F0F8A">
        <w:trPr>
          <w:trHeight w:val="228"/>
        </w:trPr>
        <w:tc>
          <w:tcPr>
            <w:tcW w:w="3358" w:type="dxa"/>
            <w:tcBorders>
              <w:top w:val="nil"/>
              <w:left w:val="nil"/>
              <w:bottom w:val="nil"/>
              <w:right w:val="nil"/>
            </w:tcBorders>
            <w:shd w:val="clear" w:color="auto" w:fill="auto"/>
            <w:noWrap/>
            <w:vAlign w:val="bottom"/>
            <w:hideMark/>
          </w:tcPr>
          <w:p w:rsidR="00B13129" w:rsidRPr="00601BCA" w:rsidRDefault="00B13129" w:rsidP="003F0F8A">
            <w:pPr>
              <w:spacing w:after="0" w:line="240" w:lineRule="auto"/>
              <w:rPr>
                <w:rFonts w:ascii="Arial" w:hAnsi="Arial" w:cs="Arial"/>
                <w:b/>
                <w:bCs/>
                <w:sz w:val="16"/>
                <w:szCs w:val="16"/>
              </w:rPr>
            </w:pPr>
            <w:r w:rsidRPr="00601BCA">
              <w:rPr>
                <w:rFonts w:ascii="Arial" w:hAnsi="Arial" w:cs="Arial"/>
                <w:b/>
                <w:bCs/>
                <w:sz w:val="16"/>
                <w:szCs w:val="16"/>
              </w:rPr>
              <w:t>NEW CAPITAL APPROPRIATIONS</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rPr>
                <w:rFonts w:ascii="Arial" w:hAnsi="Arial" w:cs="Arial"/>
                <w:sz w:val="16"/>
                <w:szCs w:val="16"/>
              </w:rPr>
            </w:pPr>
            <w:r w:rsidRPr="00601BCA">
              <w:rPr>
                <w:rFonts w:ascii="Arial" w:hAnsi="Arial" w:cs="Arial"/>
                <w:sz w:val="16"/>
                <w:szCs w:val="16"/>
              </w:rPr>
              <w:t>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ind w:firstLineChars="100" w:firstLine="160"/>
              <w:rPr>
                <w:rFonts w:ascii="Arial" w:hAnsi="Arial" w:cs="Arial"/>
                <w:sz w:val="16"/>
                <w:szCs w:val="16"/>
              </w:rPr>
            </w:pPr>
            <w:r w:rsidRPr="00601BCA">
              <w:rPr>
                <w:rFonts w:ascii="Arial" w:hAnsi="Arial" w:cs="Arial"/>
                <w:sz w:val="16"/>
                <w:szCs w:val="16"/>
              </w:rPr>
              <w:t>Capital budget—Bill 1 (DCB)</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194 </w:t>
            </w: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201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199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200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202 </w:t>
            </w: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b/>
                <w:bCs/>
                <w:sz w:val="16"/>
                <w:szCs w:val="16"/>
              </w:rPr>
            </w:pPr>
            <w:r w:rsidRPr="00601BCA">
              <w:rPr>
                <w:rFonts w:ascii="Arial" w:hAnsi="Arial" w:cs="Arial"/>
                <w:b/>
                <w:bCs/>
                <w:sz w:val="16"/>
                <w:szCs w:val="16"/>
              </w:rPr>
              <w:t>Total new capital appropriations</w:t>
            </w:r>
          </w:p>
        </w:tc>
        <w:tc>
          <w:tcPr>
            <w:tcW w:w="867"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194 </w:t>
            </w:r>
          </w:p>
        </w:tc>
        <w:tc>
          <w:tcPr>
            <w:tcW w:w="861" w:type="dxa"/>
            <w:tcBorders>
              <w:top w:val="single" w:sz="4" w:space="0" w:color="auto"/>
              <w:left w:val="nil"/>
              <w:bottom w:val="single" w:sz="4" w:space="0" w:color="auto"/>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201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199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200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202 </w:t>
            </w: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b/>
                <w:bCs/>
                <w:i/>
                <w:iCs/>
                <w:sz w:val="16"/>
                <w:szCs w:val="16"/>
              </w:rPr>
            </w:pPr>
            <w:r w:rsidRPr="00601BCA">
              <w:rPr>
                <w:rFonts w:ascii="Arial" w:hAnsi="Arial" w:cs="Arial"/>
                <w:b/>
                <w:bCs/>
                <w:i/>
                <w:iCs/>
                <w:sz w:val="16"/>
                <w:szCs w:val="16"/>
              </w:rPr>
              <w:t>Provided for:</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i/>
                <w:iCs/>
                <w:sz w:val="16"/>
                <w:szCs w:val="16"/>
              </w:rPr>
            </w:pP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rPr>
                <w:rFonts w:ascii="Arial" w:hAnsi="Arial" w:cs="Arial"/>
                <w:i/>
                <w:iCs/>
                <w:sz w:val="16"/>
                <w:szCs w:val="16"/>
              </w:rPr>
            </w:pPr>
            <w:r w:rsidRPr="00601BCA">
              <w:rPr>
                <w:rFonts w:ascii="Arial" w:hAnsi="Arial" w:cs="Arial"/>
                <w:i/>
                <w:iCs/>
                <w:sz w:val="16"/>
                <w:szCs w:val="16"/>
              </w:rPr>
              <w:t>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i/>
                <w:iCs/>
                <w:sz w:val="16"/>
                <w:szCs w:val="16"/>
              </w:rPr>
            </w:pP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i/>
                <w:iCs/>
                <w:sz w:val="16"/>
                <w:szCs w:val="16"/>
              </w:rPr>
            </w:pP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i/>
                <w:iCs/>
                <w:sz w:val="16"/>
                <w:szCs w:val="16"/>
              </w:rPr>
            </w:pP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ind w:firstLineChars="100" w:firstLine="160"/>
              <w:rPr>
                <w:rFonts w:ascii="Arial" w:hAnsi="Arial" w:cs="Arial"/>
                <w:i/>
                <w:iCs/>
                <w:sz w:val="16"/>
                <w:szCs w:val="16"/>
              </w:rPr>
            </w:pPr>
            <w:r w:rsidRPr="00601BCA">
              <w:rPr>
                <w:rFonts w:ascii="Arial" w:hAnsi="Arial" w:cs="Arial"/>
                <w:i/>
                <w:iCs/>
                <w:sz w:val="16"/>
                <w:szCs w:val="16"/>
              </w:rPr>
              <w:t>Purchase of non-financial assets</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i/>
                <w:iCs/>
                <w:sz w:val="16"/>
                <w:szCs w:val="16"/>
              </w:rPr>
            </w:pPr>
            <w:r w:rsidRPr="00601BCA">
              <w:rPr>
                <w:rFonts w:ascii="Arial" w:hAnsi="Arial" w:cs="Arial"/>
                <w:i/>
                <w:iCs/>
                <w:sz w:val="16"/>
                <w:szCs w:val="16"/>
              </w:rPr>
              <w:t xml:space="preserve">194 </w:t>
            </w: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i/>
                <w:iCs/>
                <w:sz w:val="16"/>
                <w:szCs w:val="16"/>
              </w:rPr>
            </w:pPr>
            <w:r w:rsidRPr="00601BCA">
              <w:rPr>
                <w:rFonts w:ascii="Arial" w:hAnsi="Arial" w:cs="Arial"/>
                <w:i/>
                <w:iCs/>
                <w:sz w:val="16"/>
                <w:szCs w:val="16"/>
              </w:rPr>
              <w:t xml:space="preserve">201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i/>
                <w:iCs/>
                <w:sz w:val="16"/>
                <w:szCs w:val="16"/>
              </w:rPr>
            </w:pPr>
            <w:r w:rsidRPr="00601BCA">
              <w:rPr>
                <w:rFonts w:ascii="Arial" w:hAnsi="Arial" w:cs="Arial"/>
                <w:i/>
                <w:iCs/>
                <w:sz w:val="16"/>
                <w:szCs w:val="16"/>
              </w:rPr>
              <w:t xml:space="preserve">199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i/>
                <w:iCs/>
                <w:sz w:val="16"/>
                <w:szCs w:val="16"/>
              </w:rPr>
            </w:pPr>
            <w:r w:rsidRPr="00601BCA">
              <w:rPr>
                <w:rFonts w:ascii="Arial" w:hAnsi="Arial" w:cs="Arial"/>
                <w:i/>
                <w:iCs/>
                <w:sz w:val="16"/>
                <w:szCs w:val="16"/>
              </w:rPr>
              <w:t xml:space="preserve">200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i/>
                <w:iCs/>
                <w:sz w:val="16"/>
                <w:szCs w:val="16"/>
              </w:rPr>
            </w:pPr>
            <w:r w:rsidRPr="00601BCA">
              <w:rPr>
                <w:rFonts w:ascii="Arial" w:hAnsi="Arial" w:cs="Arial"/>
                <w:i/>
                <w:iCs/>
                <w:sz w:val="16"/>
                <w:szCs w:val="16"/>
              </w:rPr>
              <w:t xml:space="preserve">202 </w:t>
            </w: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b/>
                <w:bCs/>
                <w:i/>
                <w:iCs/>
                <w:sz w:val="16"/>
                <w:szCs w:val="16"/>
              </w:rPr>
            </w:pPr>
            <w:r w:rsidRPr="00601BCA">
              <w:rPr>
                <w:rFonts w:ascii="Arial" w:hAnsi="Arial" w:cs="Arial"/>
                <w:b/>
                <w:bCs/>
                <w:i/>
                <w:iCs/>
                <w:sz w:val="16"/>
                <w:szCs w:val="16"/>
              </w:rPr>
              <w:t>Total items</w:t>
            </w:r>
          </w:p>
        </w:tc>
        <w:tc>
          <w:tcPr>
            <w:tcW w:w="867"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i/>
                <w:iCs/>
                <w:sz w:val="16"/>
                <w:szCs w:val="16"/>
              </w:rPr>
            </w:pPr>
            <w:r w:rsidRPr="00601BCA">
              <w:rPr>
                <w:rFonts w:ascii="Arial" w:hAnsi="Arial" w:cs="Arial"/>
                <w:b/>
                <w:bCs/>
                <w:i/>
                <w:iCs/>
                <w:sz w:val="16"/>
                <w:szCs w:val="16"/>
              </w:rPr>
              <w:t xml:space="preserve">194 </w:t>
            </w:r>
          </w:p>
        </w:tc>
        <w:tc>
          <w:tcPr>
            <w:tcW w:w="861" w:type="dxa"/>
            <w:tcBorders>
              <w:top w:val="single" w:sz="4" w:space="0" w:color="auto"/>
              <w:left w:val="nil"/>
              <w:bottom w:val="single" w:sz="4" w:space="0" w:color="auto"/>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b/>
                <w:bCs/>
                <w:i/>
                <w:iCs/>
                <w:sz w:val="16"/>
                <w:szCs w:val="16"/>
              </w:rPr>
            </w:pPr>
            <w:r w:rsidRPr="00601BCA">
              <w:rPr>
                <w:rFonts w:ascii="Arial" w:hAnsi="Arial" w:cs="Arial"/>
                <w:b/>
                <w:bCs/>
                <w:i/>
                <w:iCs/>
                <w:sz w:val="16"/>
                <w:szCs w:val="16"/>
              </w:rPr>
              <w:t xml:space="preserve">201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i/>
                <w:iCs/>
                <w:sz w:val="16"/>
                <w:szCs w:val="16"/>
              </w:rPr>
            </w:pPr>
            <w:r w:rsidRPr="00601BCA">
              <w:rPr>
                <w:rFonts w:ascii="Arial" w:hAnsi="Arial" w:cs="Arial"/>
                <w:b/>
                <w:bCs/>
                <w:i/>
                <w:iCs/>
                <w:sz w:val="16"/>
                <w:szCs w:val="16"/>
              </w:rPr>
              <w:t xml:space="preserve">199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i/>
                <w:iCs/>
                <w:sz w:val="16"/>
                <w:szCs w:val="16"/>
              </w:rPr>
            </w:pPr>
            <w:r w:rsidRPr="00601BCA">
              <w:rPr>
                <w:rFonts w:ascii="Arial" w:hAnsi="Arial" w:cs="Arial"/>
                <w:b/>
                <w:bCs/>
                <w:i/>
                <w:iCs/>
                <w:sz w:val="16"/>
                <w:szCs w:val="16"/>
              </w:rPr>
              <w:t xml:space="preserve">200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i/>
                <w:iCs/>
                <w:sz w:val="16"/>
                <w:szCs w:val="16"/>
              </w:rPr>
            </w:pPr>
            <w:r w:rsidRPr="00601BCA">
              <w:rPr>
                <w:rFonts w:ascii="Arial" w:hAnsi="Arial" w:cs="Arial"/>
                <w:b/>
                <w:bCs/>
                <w:i/>
                <w:iCs/>
                <w:sz w:val="16"/>
                <w:szCs w:val="16"/>
              </w:rPr>
              <w:t xml:space="preserve">202 </w:t>
            </w:r>
          </w:p>
        </w:tc>
      </w:tr>
      <w:tr w:rsidR="00B13129" w:rsidRPr="00601BCA" w:rsidTr="003F0F8A">
        <w:trPr>
          <w:trHeight w:val="292"/>
        </w:trPr>
        <w:tc>
          <w:tcPr>
            <w:tcW w:w="3358" w:type="dxa"/>
            <w:tcBorders>
              <w:top w:val="nil"/>
              <w:left w:val="nil"/>
              <w:bottom w:val="nil"/>
              <w:right w:val="nil"/>
            </w:tcBorders>
            <w:shd w:val="clear" w:color="auto" w:fill="auto"/>
            <w:vAlign w:val="center"/>
            <w:hideMark/>
          </w:tcPr>
          <w:p w:rsidR="00B13129" w:rsidRPr="00601BCA" w:rsidRDefault="00B13129" w:rsidP="003F0F8A">
            <w:pPr>
              <w:spacing w:after="0" w:line="240" w:lineRule="auto"/>
              <w:rPr>
                <w:rFonts w:ascii="Arial" w:hAnsi="Arial" w:cs="Arial"/>
                <w:b/>
                <w:bCs/>
                <w:sz w:val="16"/>
                <w:szCs w:val="16"/>
              </w:rPr>
            </w:pPr>
            <w:r w:rsidRPr="00601BCA">
              <w:rPr>
                <w:rFonts w:ascii="Arial" w:hAnsi="Arial" w:cs="Arial"/>
                <w:b/>
                <w:bCs/>
                <w:sz w:val="16"/>
                <w:szCs w:val="16"/>
              </w:rPr>
              <w:t>PURCHASE OF NON-FINANCIAL ASSETS</w:t>
            </w:r>
          </w:p>
        </w:tc>
        <w:tc>
          <w:tcPr>
            <w:tcW w:w="867" w:type="dxa"/>
            <w:tcBorders>
              <w:top w:val="nil"/>
              <w:left w:val="nil"/>
              <w:bottom w:val="nil"/>
              <w:right w:val="nil"/>
            </w:tcBorders>
            <w:shd w:val="clear" w:color="auto" w:fill="auto"/>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000000" w:fill="E6E6E6"/>
            <w:vAlign w:val="center"/>
            <w:hideMark/>
          </w:tcPr>
          <w:p w:rsidR="00B13129" w:rsidRPr="00601BCA" w:rsidRDefault="00B13129" w:rsidP="003F0F8A">
            <w:pPr>
              <w:spacing w:after="0" w:line="240" w:lineRule="auto"/>
              <w:rPr>
                <w:rFonts w:ascii="Arial" w:hAnsi="Arial" w:cs="Arial"/>
                <w:sz w:val="16"/>
                <w:szCs w:val="16"/>
              </w:rPr>
            </w:pPr>
            <w:r w:rsidRPr="00601BCA">
              <w:rPr>
                <w:rFonts w:ascii="Arial" w:hAnsi="Arial" w:cs="Arial"/>
                <w:sz w:val="16"/>
                <w:szCs w:val="16"/>
              </w:rPr>
              <w:t> </w:t>
            </w:r>
          </w:p>
        </w:tc>
        <w:tc>
          <w:tcPr>
            <w:tcW w:w="861" w:type="dxa"/>
            <w:tcBorders>
              <w:top w:val="nil"/>
              <w:left w:val="nil"/>
              <w:bottom w:val="nil"/>
              <w:right w:val="nil"/>
            </w:tcBorders>
            <w:shd w:val="clear" w:color="auto" w:fill="auto"/>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auto" w:fill="auto"/>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auto" w:fill="auto"/>
            <w:vAlign w:val="center"/>
            <w:hideMark/>
          </w:tcPr>
          <w:p w:rsidR="00B13129" w:rsidRPr="00601BCA" w:rsidRDefault="00B13129" w:rsidP="003F0F8A">
            <w:pPr>
              <w:spacing w:after="0" w:line="240" w:lineRule="auto"/>
              <w:rPr>
                <w:rFonts w:ascii="Arial" w:hAnsi="Arial" w:cs="Arial"/>
                <w:sz w:val="16"/>
                <w:szCs w:val="16"/>
              </w:rPr>
            </w:pPr>
          </w:p>
        </w:tc>
      </w:tr>
      <w:tr w:rsidR="00B13129" w:rsidRPr="00601BCA" w:rsidTr="003F0F8A">
        <w:trPr>
          <w:trHeight w:val="219"/>
        </w:trPr>
        <w:tc>
          <w:tcPr>
            <w:tcW w:w="3358" w:type="dxa"/>
            <w:tcBorders>
              <w:top w:val="nil"/>
              <w:left w:val="nil"/>
              <w:bottom w:val="nil"/>
              <w:right w:val="nil"/>
            </w:tcBorders>
            <w:shd w:val="clear" w:color="auto" w:fill="auto"/>
            <w:vAlign w:val="center"/>
            <w:hideMark/>
          </w:tcPr>
          <w:p w:rsidR="00B13129" w:rsidRPr="00601BCA" w:rsidRDefault="00B13129" w:rsidP="003F0F8A">
            <w:pPr>
              <w:spacing w:after="0" w:line="240" w:lineRule="auto"/>
              <w:ind w:firstLineChars="100" w:firstLine="160"/>
              <w:rPr>
                <w:rFonts w:ascii="Arial" w:hAnsi="Arial" w:cs="Arial"/>
                <w:sz w:val="16"/>
                <w:szCs w:val="16"/>
              </w:rPr>
            </w:pPr>
            <w:r w:rsidRPr="00601BCA">
              <w:rPr>
                <w:rFonts w:ascii="Arial" w:hAnsi="Arial" w:cs="Arial"/>
                <w:sz w:val="16"/>
                <w:szCs w:val="16"/>
              </w:rPr>
              <w:t>Funded by capital appropriation—DCB (a)</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194 </w:t>
            </w: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201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199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200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202 </w:t>
            </w: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b/>
                <w:bCs/>
                <w:sz w:val="16"/>
                <w:szCs w:val="16"/>
              </w:rPr>
            </w:pPr>
            <w:r w:rsidRPr="00601BCA">
              <w:rPr>
                <w:rFonts w:ascii="Arial" w:hAnsi="Arial" w:cs="Arial"/>
                <w:b/>
                <w:bCs/>
                <w:sz w:val="16"/>
                <w:szCs w:val="16"/>
              </w:rPr>
              <w:t>TOTAL</w:t>
            </w:r>
          </w:p>
        </w:tc>
        <w:tc>
          <w:tcPr>
            <w:tcW w:w="867"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194 </w:t>
            </w:r>
          </w:p>
        </w:tc>
        <w:tc>
          <w:tcPr>
            <w:tcW w:w="861" w:type="dxa"/>
            <w:tcBorders>
              <w:top w:val="single" w:sz="4" w:space="0" w:color="auto"/>
              <w:left w:val="nil"/>
              <w:bottom w:val="single" w:sz="4" w:space="0" w:color="auto"/>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201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199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200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202 </w:t>
            </w:r>
          </w:p>
        </w:tc>
      </w:tr>
      <w:tr w:rsidR="00B13129" w:rsidRPr="00601BCA" w:rsidTr="003F0F8A">
        <w:trPr>
          <w:trHeight w:val="621"/>
        </w:trPr>
        <w:tc>
          <w:tcPr>
            <w:tcW w:w="3358" w:type="dxa"/>
            <w:tcBorders>
              <w:top w:val="nil"/>
              <w:left w:val="nil"/>
              <w:bottom w:val="nil"/>
              <w:right w:val="nil"/>
            </w:tcBorders>
            <w:shd w:val="clear" w:color="auto" w:fill="auto"/>
            <w:vAlign w:val="center"/>
            <w:hideMark/>
          </w:tcPr>
          <w:p w:rsidR="00B13129" w:rsidRPr="00601BCA" w:rsidRDefault="00B13129" w:rsidP="003F0F8A">
            <w:pPr>
              <w:tabs>
                <w:tab w:val="left" w:pos="161"/>
              </w:tabs>
              <w:spacing w:after="0" w:line="240" w:lineRule="auto"/>
              <w:rPr>
                <w:rFonts w:ascii="Arial" w:hAnsi="Arial" w:cs="Arial"/>
                <w:b/>
                <w:bCs/>
                <w:sz w:val="16"/>
                <w:szCs w:val="16"/>
              </w:rPr>
            </w:pPr>
            <w:r w:rsidRPr="00601BCA">
              <w:rPr>
                <w:rFonts w:ascii="Arial" w:hAnsi="Arial" w:cs="Arial"/>
                <w:b/>
                <w:bCs/>
                <w:sz w:val="16"/>
                <w:szCs w:val="16"/>
              </w:rPr>
              <w:t>RECONCILIATION OF CASH USED</w:t>
            </w:r>
            <w:r>
              <w:rPr>
                <w:rFonts w:ascii="Arial" w:hAnsi="Arial" w:cs="Arial"/>
                <w:b/>
                <w:bCs/>
                <w:sz w:val="16"/>
                <w:szCs w:val="16"/>
              </w:rPr>
              <w:t xml:space="preserve"> </w:t>
            </w:r>
            <w:r w:rsidRPr="00601BCA">
              <w:rPr>
                <w:rFonts w:ascii="Arial" w:hAnsi="Arial" w:cs="Arial"/>
                <w:b/>
                <w:bCs/>
                <w:sz w:val="16"/>
                <w:szCs w:val="16"/>
              </w:rPr>
              <w:t xml:space="preserve">TO </w:t>
            </w:r>
            <w:r>
              <w:rPr>
                <w:rFonts w:ascii="Arial" w:hAnsi="Arial" w:cs="Arial"/>
                <w:b/>
                <w:bCs/>
                <w:sz w:val="16"/>
                <w:szCs w:val="16"/>
              </w:rPr>
              <w:tab/>
            </w:r>
            <w:r w:rsidRPr="00601BCA">
              <w:rPr>
                <w:rFonts w:ascii="Arial" w:hAnsi="Arial" w:cs="Arial"/>
                <w:b/>
                <w:bCs/>
                <w:sz w:val="16"/>
                <w:szCs w:val="16"/>
              </w:rPr>
              <w:t>ACQUIRE ASSETS TO ASSET</w:t>
            </w:r>
            <w:r>
              <w:rPr>
                <w:rFonts w:ascii="Arial" w:hAnsi="Arial" w:cs="Arial"/>
                <w:b/>
                <w:bCs/>
                <w:sz w:val="16"/>
                <w:szCs w:val="16"/>
              </w:rPr>
              <w:t xml:space="preserve"> </w:t>
            </w:r>
            <w:r>
              <w:rPr>
                <w:rFonts w:ascii="Arial" w:hAnsi="Arial" w:cs="Arial"/>
                <w:b/>
                <w:bCs/>
                <w:sz w:val="16"/>
                <w:szCs w:val="16"/>
              </w:rPr>
              <w:tab/>
            </w:r>
            <w:r w:rsidRPr="00601BCA">
              <w:rPr>
                <w:rFonts w:ascii="Arial" w:hAnsi="Arial" w:cs="Arial"/>
                <w:b/>
                <w:bCs/>
                <w:sz w:val="16"/>
                <w:szCs w:val="16"/>
              </w:rPr>
              <w:t>MOVEMENT TABLE</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rPr>
                <w:rFonts w:ascii="Arial" w:hAnsi="Arial" w:cs="Arial"/>
                <w:sz w:val="16"/>
                <w:szCs w:val="16"/>
              </w:rPr>
            </w:pPr>
            <w:r w:rsidRPr="00601BCA">
              <w:rPr>
                <w:rFonts w:ascii="Arial" w:hAnsi="Arial" w:cs="Arial"/>
                <w:sz w:val="16"/>
                <w:szCs w:val="16"/>
              </w:rPr>
              <w:t>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rPr>
                <w:rFonts w:ascii="Arial" w:hAnsi="Arial" w:cs="Arial"/>
                <w:sz w:val="16"/>
                <w:szCs w:val="16"/>
              </w:rPr>
            </w:pPr>
          </w:p>
        </w:tc>
      </w:tr>
      <w:tr w:rsidR="00B13129" w:rsidRPr="00601BCA" w:rsidTr="003F0F8A">
        <w:trPr>
          <w:trHeight w:val="228"/>
        </w:trPr>
        <w:tc>
          <w:tcPr>
            <w:tcW w:w="3358"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ind w:firstLineChars="100" w:firstLine="160"/>
              <w:rPr>
                <w:rFonts w:ascii="Arial" w:hAnsi="Arial" w:cs="Arial"/>
                <w:sz w:val="16"/>
                <w:szCs w:val="16"/>
              </w:rPr>
            </w:pPr>
            <w:r w:rsidRPr="00601BCA">
              <w:rPr>
                <w:rFonts w:ascii="Arial" w:hAnsi="Arial" w:cs="Arial"/>
                <w:sz w:val="16"/>
                <w:szCs w:val="16"/>
              </w:rPr>
              <w:t>Total purchases</w:t>
            </w:r>
          </w:p>
        </w:tc>
        <w:tc>
          <w:tcPr>
            <w:tcW w:w="867"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194 </w:t>
            </w:r>
          </w:p>
        </w:tc>
        <w:tc>
          <w:tcPr>
            <w:tcW w:w="861" w:type="dxa"/>
            <w:tcBorders>
              <w:top w:val="nil"/>
              <w:left w:val="nil"/>
              <w:bottom w:val="nil"/>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201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199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200 </w:t>
            </w:r>
          </w:p>
        </w:tc>
        <w:tc>
          <w:tcPr>
            <w:tcW w:w="861" w:type="dxa"/>
            <w:tcBorders>
              <w:top w:val="nil"/>
              <w:left w:val="nil"/>
              <w:bottom w:val="nil"/>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sz w:val="16"/>
                <w:szCs w:val="16"/>
              </w:rPr>
            </w:pPr>
            <w:r w:rsidRPr="00601BCA">
              <w:rPr>
                <w:rFonts w:ascii="Arial" w:hAnsi="Arial" w:cs="Arial"/>
                <w:sz w:val="16"/>
                <w:szCs w:val="16"/>
              </w:rPr>
              <w:t xml:space="preserve">202 </w:t>
            </w:r>
          </w:p>
        </w:tc>
      </w:tr>
      <w:tr w:rsidR="00B13129" w:rsidRPr="00601BCA" w:rsidTr="003F0F8A">
        <w:trPr>
          <w:trHeight w:val="228"/>
        </w:trPr>
        <w:tc>
          <w:tcPr>
            <w:tcW w:w="3358" w:type="dxa"/>
            <w:tcBorders>
              <w:top w:val="nil"/>
              <w:left w:val="nil"/>
              <w:bottom w:val="single" w:sz="4" w:space="0" w:color="auto"/>
              <w:right w:val="nil"/>
            </w:tcBorders>
            <w:shd w:val="clear" w:color="auto" w:fill="auto"/>
            <w:vAlign w:val="center"/>
            <w:hideMark/>
          </w:tcPr>
          <w:p w:rsidR="00B13129" w:rsidRPr="00601BCA" w:rsidRDefault="00B13129" w:rsidP="003F0F8A">
            <w:pPr>
              <w:spacing w:after="0" w:line="240" w:lineRule="auto"/>
              <w:rPr>
                <w:rFonts w:ascii="Arial" w:hAnsi="Arial" w:cs="Arial"/>
                <w:b/>
                <w:bCs/>
                <w:sz w:val="16"/>
                <w:szCs w:val="16"/>
              </w:rPr>
            </w:pPr>
            <w:r w:rsidRPr="00601BCA">
              <w:rPr>
                <w:rFonts w:ascii="Arial" w:hAnsi="Arial" w:cs="Arial"/>
                <w:b/>
                <w:bCs/>
                <w:sz w:val="16"/>
                <w:szCs w:val="16"/>
              </w:rPr>
              <w:t>Total cash used to acquire assets</w:t>
            </w:r>
          </w:p>
        </w:tc>
        <w:tc>
          <w:tcPr>
            <w:tcW w:w="867"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194 </w:t>
            </w:r>
          </w:p>
        </w:tc>
        <w:tc>
          <w:tcPr>
            <w:tcW w:w="861" w:type="dxa"/>
            <w:tcBorders>
              <w:top w:val="single" w:sz="4" w:space="0" w:color="auto"/>
              <w:left w:val="nil"/>
              <w:bottom w:val="single" w:sz="4" w:space="0" w:color="auto"/>
              <w:right w:val="nil"/>
            </w:tcBorders>
            <w:shd w:val="clear" w:color="000000" w:fill="E6E6E6"/>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201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199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200 </w:t>
            </w:r>
          </w:p>
        </w:tc>
        <w:tc>
          <w:tcPr>
            <w:tcW w:w="861" w:type="dxa"/>
            <w:tcBorders>
              <w:top w:val="single" w:sz="4" w:space="0" w:color="auto"/>
              <w:left w:val="nil"/>
              <w:bottom w:val="single" w:sz="4" w:space="0" w:color="auto"/>
              <w:right w:val="nil"/>
            </w:tcBorders>
            <w:shd w:val="clear" w:color="auto" w:fill="auto"/>
            <w:noWrap/>
            <w:vAlign w:val="center"/>
            <w:hideMark/>
          </w:tcPr>
          <w:p w:rsidR="00B13129" w:rsidRPr="00601BCA" w:rsidRDefault="00B13129" w:rsidP="003F0F8A">
            <w:pPr>
              <w:spacing w:after="0" w:line="240" w:lineRule="auto"/>
              <w:jc w:val="right"/>
              <w:rPr>
                <w:rFonts w:ascii="Arial" w:hAnsi="Arial" w:cs="Arial"/>
                <w:b/>
                <w:bCs/>
                <w:sz w:val="16"/>
                <w:szCs w:val="16"/>
              </w:rPr>
            </w:pPr>
            <w:r w:rsidRPr="00601BCA">
              <w:rPr>
                <w:rFonts w:ascii="Arial" w:hAnsi="Arial" w:cs="Arial"/>
                <w:b/>
                <w:bCs/>
                <w:sz w:val="16"/>
                <w:szCs w:val="16"/>
              </w:rPr>
              <w:t xml:space="preserve">202 </w:t>
            </w:r>
          </w:p>
        </w:tc>
      </w:tr>
    </w:tbl>
    <w:p w:rsidR="00B13129" w:rsidRDefault="00B13129" w:rsidP="00B13129">
      <w:pPr>
        <w:pStyle w:val="ChartandTableFootnoteAlpha"/>
        <w:numPr>
          <w:ilvl w:val="0"/>
          <w:numId w:val="10"/>
        </w:numPr>
        <w:spacing w:before="120"/>
      </w:pPr>
      <w:r>
        <w:t>Does not include annual finance lease costs. Includes purchases from current and previous years’ Departmental capital budgets (DCBs).</w:t>
      </w:r>
    </w:p>
    <w:p w:rsidR="00B13129" w:rsidRDefault="00B13129" w:rsidP="00B13129">
      <w:pPr>
        <w:pStyle w:val="Source"/>
        <w:spacing w:before="60"/>
      </w:pPr>
      <w:r>
        <w:t>Prepared on Australian Accounting Standards basis.</w:t>
      </w:r>
    </w:p>
    <w:p w:rsidR="00B13129" w:rsidRDefault="00B13129" w:rsidP="00B13129">
      <w:pPr>
        <w:pStyle w:val="TableHeading"/>
        <w:rPr>
          <w:lang w:val="en-AU"/>
        </w:rPr>
      </w:pPr>
      <w:r>
        <w:br w:type="page"/>
      </w:r>
      <w:r w:rsidRPr="00D30CBA">
        <w:t>Table</w:t>
      </w:r>
      <w:r>
        <w:t xml:space="preserve"> 3.6</w:t>
      </w:r>
      <w:r w:rsidRPr="00D30CBA">
        <w:t xml:space="preserve">: </w:t>
      </w:r>
      <w:r>
        <w:t>Statement of asset movements (Budget year 2017</w:t>
      </w:r>
      <w:r>
        <w:rPr>
          <w:lang w:val="en-AU"/>
        </w:rPr>
        <w:t>–</w:t>
      </w:r>
      <w:r>
        <w:t>18)</w:t>
      </w:r>
    </w:p>
    <w:tbl>
      <w:tblPr>
        <w:tblW w:w="7759" w:type="dxa"/>
        <w:tblInd w:w="93" w:type="dxa"/>
        <w:tblCellMar>
          <w:left w:w="85" w:type="dxa"/>
          <w:right w:w="85" w:type="dxa"/>
        </w:tblCellMar>
        <w:tblLook w:val="04A0" w:firstRow="1" w:lastRow="0" w:firstColumn="1" w:lastColumn="0" w:noHBand="0" w:noVBand="1"/>
      </w:tblPr>
      <w:tblGrid>
        <w:gridCol w:w="3701"/>
        <w:gridCol w:w="850"/>
        <w:gridCol w:w="1276"/>
        <w:gridCol w:w="1090"/>
        <w:gridCol w:w="842"/>
      </w:tblGrid>
      <w:tr w:rsidR="00B13129" w:rsidRPr="00BE46C0" w:rsidTr="003F0F8A">
        <w:trPr>
          <w:trHeight w:val="756"/>
        </w:trPr>
        <w:tc>
          <w:tcPr>
            <w:tcW w:w="3701" w:type="dxa"/>
            <w:tcBorders>
              <w:top w:val="single" w:sz="4" w:space="0" w:color="auto"/>
              <w:left w:val="nil"/>
              <w:bottom w:val="nil"/>
              <w:right w:val="nil"/>
            </w:tcBorders>
            <w:shd w:val="clear" w:color="auto" w:fill="auto"/>
            <w:noWrap/>
            <w:vAlign w:val="center"/>
            <w:hideMark/>
          </w:tcPr>
          <w:p w:rsidR="00B13129" w:rsidRPr="00BE46C0" w:rsidRDefault="00B13129" w:rsidP="003F0F8A">
            <w:pPr>
              <w:spacing w:after="0" w:line="240" w:lineRule="auto"/>
              <w:rPr>
                <w:rFonts w:ascii="Arial" w:hAnsi="Arial" w:cs="Arial"/>
                <w:sz w:val="16"/>
                <w:szCs w:val="16"/>
              </w:rPr>
            </w:pPr>
            <w:r w:rsidRPr="00BE46C0">
              <w:rPr>
                <w:rFonts w:ascii="Arial" w:hAnsi="Arial" w:cs="Arial"/>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Buildings</w:t>
            </w:r>
            <w:r w:rsidRPr="00BE46C0">
              <w:rPr>
                <w:rFonts w:ascii="Arial" w:hAnsi="Arial" w:cs="Arial"/>
                <w:sz w:val="16"/>
                <w:szCs w:val="16"/>
              </w:rPr>
              <w:br/>
            </w:r>
            <w:r w:rsidRPr="00BE46C0">
              <w:rPr>
                <w:rFonts w:ascii="Arial" w:hAnsi="Arial" w:cs="Arial"/>
                <w:sz w:val="16"/>
                <w:szCs w:val="16"/>
              </w:rPr>
              <w:br/>
            </w:r>
            <w:r w:rsidRPr="00BE46C0">
              <w:rPr>
                <w:rFonts w:ascii="Arial" w:hAnsi="Arial" w:cs="Arial"/>
                <w:sz w:val="16"/>
                <w:szCs w:val="16"/>
              </w:rPr>
              <w:br/>
              <w:t>$'000</w:t>
            </w:r>
          </w:p>
        </w:tc>
        <w:tc>
          <w:tcPr>
            <w:tcW w:w="1276" w:type="dxa"/>
            <w:tcBorders>
              <w:top w:val="single" w:sz="4" w:space="0" w:color="auto"/>
              <w:left w:val="nil"/>
              <w:bottom w:val="single" w:sz="4" w:space="0" w:color="auto"/>
              <w:right w:val="nil"/>
            </w:tcBorders>
            <w:shd w:val="clear" w:color="auto" w:fill="auto"/>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Other property,</w:t>
            </w:r>
            <w:r w:rsidRPr="00BE46C0">
              <w:rPr>
                <w:rFonts w:ascii="Arial" w:hAnsi="Arial" w:cs="Arial"/>
                <w:sz w:val="16"/>
                <w:szCs w:val="16"/>
              </w:rPr>
              <w:br/>
              <w:t>plant and</w:t>
            </w:r>
            <w:r w:rsidRPr="00BE46C0">
              <w:rPr>
                <w:rFonts w:ascii="Arial" w:hAnsi="Arial" w:cs="Arial"/>
                <w:sz w:val="16"/>
                <w:szCs w:val="16"/>
              </w:rPr>
              <w:br/>
              <w:t>equipment</w:t>
            </w:r>
            <w:r w:rsidRPr="00BE46C0">
              <w:rPr>
                <w:rFonts w:ascii="Arial" w:hAnsi="Arial" w:cs="Arial"/>
                <w:sz w:val="16"/>
                <w:szCs w:val="16"/>
              </w:rPr>
              <w:br/>
              <w:t>$'000</w:t>
            </w:r>
          </w:p>
        </w:tc>
        <w:tc>
          <w:tcPr>
            <w:tcW w:w="1090" w:type="dxa"/>
            <w:tcBorders>
              <w:top w:val="single" w:sz="4" w:space="0" w:color="auto"/>
              <w:left w:val="nil"/>
              <w:bottom w:val="single" w:sz="4" w:space="0" w:color="auto"/>
              <w:right w:val="nil"/>
            </w:tcBorders>
            <w:shd w:val="clear" w:color="auto" w:fill="auto"/>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Computer</w:t>
            </w:r>
            <w:r w:rsidRPr="00BE46C0">
              <w:rPr>
                <w:rFonts w:ascii="Arial" w:hAnsi="Arial" w:cs="Arial"/>
                <w:sz w:val="16"/>
                <w:szCs w:val="16"/>
              </w:rPr>
              <w:br/>
              <w:t>software and</w:t>
            </w:r>
            <w:r w:rsidRPr="00BE46C0">
              <w:rPr>
                <w:rFonts w:ascii="Arial" w:hAnsi="Arial" w:cs="Arial"/>
                <w:sz w:val="16"/>
                <w:szCs w:val="16"/>
              </w:rPr>
              <w:br/>
              <w:t>intangibles</w:t>
            </w:r>
            <w:r w:rsidRPr="00BE46C0">
              <w:rPr>
                <w:rFonts w:ascii="Arial" w:hAnsi="Arial" w:cs="Arial"/>
                <w:sz w:val="16"/>
                <w:szCs w:val="16"/>
              </w:rPr>
              <w:br/>
              <w:t>$'000</w:t>
            </w:r>
          </w:p>
        </w:tc>
        <w:tc>
          <w:tcPr>
            <w:tcW w:w="842" w:type="dxa"/>
            <w:tcBorders>
              <w:top w:val="single" w:sz="4" w:space="0" w:color="auto"/>
              <w:left w:val="nil"/>
              <w:bottom w:val="single" w:sz="4" w:space="0" w:color="auto"/>
              <w:right w:val="nil"/>
            </w:tcBorders>
            <w:shd w:val="clear" w:color="auto" w:fill="auto"/>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Total</w:t>
            </w:r>
            <w:r w:rsidRPr="00BE46C0">
              <w:rPr>
                <w:rFonts w:ascii="Arial" w:hAnsi="Arial" w:cs="Arial"/>
                <w:sz w:val="16"/>
                <w:szCs w:val="16"/>
              </w:rPr>
              <w:br/>
            </w:r>
            <w:r w:rsidRPr="00BE46C0">
              <w:rPr>
                <w:rFonts w:ascii="Arial" w:hAnsi="Arial" w:cs="Arial"/>
                <w:sz w:val="16"/>
                <w:szCs w:val="16"/>
              </w:rPr>
              <w:br/>
            </w:r>
            <w:r w:rsidRPr="00BE46C0">
              <w:rPr>
                <w:rFonts w:ascii="Arial" w:hAnsi="Arial" w:cs="Arial"/>
                <w:sz w:val="16"/>
                <w:szCs w:val="16"/>
              </w:rPr>
              <w:br/>
              <w:t>$'000</w:t>
            </w:r>
          </w:p>
        </w:tc>
      </w:tr>
      <w:tr w:rsidR="00B13129" w:rsidRPr="00BE46C0" w:rsidTr="003F0F8A">
        <w:trPr>
          <w:trHeight w:val="285"/>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As at 1 July 2017</w:t>
            </w:r>
          </w:p>
        </w:tc>
        <w:tc>
          <w:tcPr>
            <w:tcW w:w="85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09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842"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ind w:firstLineChars="100" w:firstLine="160"/>
              <w:rPr>
                <w:rFonts w:ascii="Arial" w:hAnsi="Arial" w:cs="Arial"/>
                <w:sz w:val="16"/>
                <w:szCs w:val="16"/>
              </w:rPr>
            </w:pPr>
            <w:r w:rsidRPr="00BE46C0">
              <w:rPr>
                <w:rFonts w:ascii="Arial" w:hAnsi="Arial" w:cs="Arial"/>
                <w:sz w:val="16"/>
                <w:szCs w:val="16"/>
              </w:rPr>
              <w:t xml:space="preserve">Gross book value </w:t>
            </w:r>
          </w:p>
        </w:tc>
        <w:tc>
          <w:tcPr>
            <w:tcW w:w="85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1,138 </w:t>
            </w:r>
          </w:p>
        </w:tc>
        <w:tc>
          <w:tcPr>
            <w:tcW w:w="1276"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488 </w:t>
            </w:r>
          </w:p>
        </w:tc>
        <w:tc>
          <w:tcPr>
            <w:tcW w:w="109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2,812 </w:t>
            </w:r>
          </w:p>
        </w:tc>
        <w:tc>
          <w:tcPr>
            <w:tcW w:w="842"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4,438 </w:t>
            </w:r>
          </w:p>
        </w:tc>
      </w:tr>
      <w:tr w:rsidR="00B13129" w:rsidRPr="00BE46C0" w:rsidTr="003F0F8A">
        <w:trPr>
          <w:trHeight w:val="348"/>
        </w:trPr>
        <w:tc>
          <w:tcPr>
            <w:tcW w:w="3701" w:type="dxa"/>
            <w:tcBorders>
              <w:top w:val="nil"/>
              <w:left w:val="nil"/>
              <w:bottom w:val="nil"/>
              <w:right w:val="nil"/>
            </w:tcBorders>
            <w:shd w:val="clear" w:color="auto" w:fill="auto"/>
            <w:vAlign w:val="bottom"/>
            <w:hideMark/>
          </w:tcPr>
          <w:p w:rsidR="00B13129" w:rsidRPr="00BE46C0" w:rsidRDefault="00B13129" w:rsidP="003F0F8A">
            <w:pPr>
              <w:tabs>
                <w:tab w:val="left" w:pos="333"/>
              </w:tabs>
              <w:spacing w:after="0" w:line="240" w:lineRule="auto"/>
              <w:ind w:firstLineChars="100" w:firstLine="160"/>
              <w:rPr>
                <w:rFonts w:ascii="Arial" w:hAnsi="Arial" w:cs="Arial"/>
                <w:sz w:val="16"/>
                <w:szCs w:val="16"/>
              </w:rPr>
            </w:pPr>
            <w:r w:rsidRPr="00BE46C0">
              <w:rPr>
                <w:rFonts w:ascii="Arial" w:hAnsi="Arial" w:cs="Arial"/>
                <w:sz w:val="16"/>
                <w:szCs w:val="16"/>
              </w:rPr>
              <w:t xml:space="preserve">Accumulated depreciation/amortisation and </w:t>
            </w:r>
            <w:r w:rsidRPr="00BE46C0">
              <w:rPr>
                <w:rFonts w:ascii="Arial" w:hAnsi="Arial" w:cs="Arial"/>
                <w:sz w:val="16"/>
                <w:szCs w:val="16"/>
              </w:rPr>
              <w:tab/>
              <w:t>impairment</w:t>
            </w:r>
          </w:p>
        </w:tc>
        <w:tc>
          <w:tcPr>
            <w:tcW w:w="85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(1,004)</w:t>
            </w:r>
          </w:p>
        </w:tc>
        <w:tc>
          <w:tcPr>
            <w:tcW w:w="1276"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(391)</w:t>
            </w:r>
          </w:p>
        </w:tc>
        <w:tc>
          <w:tcPr>
            <w:tcW w:w="109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(1,520)</w:t>
            </w:r>
          </w:p>
        </w:tc>
        <w:tc>
          <w:tcPr>
            <w:tcW w:w="842"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(2,915)</w:t>
            </w: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Opening net book balance</w:t>
            </w:r>
          </w:p>
        </w:tc>
        <w:tc>
          <w:tcPr>
            <w:tcW w:w="850"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134 </w:t>
            </w:r>
          </w:p>
        </w:tc>
        <w:tc>
          <w:tcPr>
            <w:tcW w:w="1276"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97 </w:t>
            </w:r>
          </w:p>
        </w:tc>
        <w:tc>
          <w:tcPr>
            <w:tcW w:w="1090"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1,292 </w:t>
            </w:r>
          </w:p>
        </w:tc>
        <w:tc>
          <w:tcPr>
            <w:tcW w:w="842"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1,523 </w:t>
            </w:r>
          </w:p>
        </w:tc>
      </w:tr>
      <w:tr w:rsidR="00B13129" w:rsidRPr="00BE46C0" w:rsidTr="003F0F8A">
        <w:trPr>
          <w:trHeight w:val="207"/>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Capital asset additions</w:t>
            </w:r>
          </w:p>
        </w:tc>
        <w:tc>
          <w:tcPr>
            <w:tcW w:w="85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09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842"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p>
        </w:tc>
      </w:tr>
      <w:tr w:rsidR="00B13129" w:rsidRPr="00BE46C0" w:rsidTr="003F0F8A">
        <w:trPr>
          <w:trHeight w:val="348"/>
        </w:trPr>
        <w:tc>
          <w:tcPr>
            <w:tcW w:w="3701" w:type="dxa"/>
            <w:tcBorders>
              <w:top w:val="nil"/>
              <w:left w:val="nil"/>
              <w:bottom w:val="nil"/>
              <w:right w:val="nil"/>
            </w:tcBorders>
            <w:shd w:val="clear" w:color="auto" w:fill="auto"/>
            <w:vAlign w:val="bottom"/>
            <w:hideMark/>
          </w:tcPr>
          <w:p w:rsidR="00B13129" w:rsidRPr="00BE46C0" w:rsidRDefault="00B13129" w:rsidP="003F0F8A">
            <w:pPr>
              <w:tabs>
                <w:tab w:val="left" w:pos="333"/>
              </w:tabs>
              <w:spacing w:after="0" w:line="240" w:lineRule="auto"/>
              <w:ind w:firstLineChars="100" w:firstLine="161"/>
              <w:rPr>
                <w:rFonts w:ascii="Arial" w:hAnsi="Arial" w:cs="Arial"/>
                <w:b/>
                <w:bCs/>
                <w:sz w:val="16"/>
                <w:szCs w:val="16"/>
              </w:rPr>
            </w:pPr>
            <w:r w:rsidRPr="00BE46C0">
              <w:rPr>
                <w:rFonts w:ascii="Arial" w:hAnsi="Arial" w:cs="Arial"/>
                <w:b/>
                <w:bCs/>
                <w:sz w:val="16"/>
                <w:szCs w:val="16"/>
              </w:rPr>
              <w:t xml:space="preserve">Estimated expenditure on new or </w:t>
            </w:r>
            <w:r>
              <w:rPr>
                <w:rFonts w:ascii="Arial" w:hAnsi="Arial" w:cs="Arial"/>
                <w:b/>
                <w:bCs/>
                <w:sz w:val="16"/>
                <w:szCs w:val="16"/>
              </w:rPr>
              <w:tab/>
            </w:r>
            <w:r w:rsidRPr="00BE46C0">
              <w:rPr>
                <w:rFonts w:ascii="Arial" w:hAnsi="Arial" w:cs="Arial"/>
                <w:b/>
                <w:bCs/>
                <w:sz w:val="16"/>
                <w:szCs w:val="16"/>
              </w:rPr>
              <w:t>replacement assets</w:t>
            </w:r>
          </w:p>
        </w:tc>
        <w:tc>
          <w:tcPr>
            <w:tcW w:w="85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09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842"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p>
        </w:tc>
      </w:tr>
      <w:tr w:rsidR="00B13129" w:rsidRPr="00BE46C0" w:rsidTr="003F0F8A">
        <w:trPr>
          <w:trHeight w:val="348"/>
        </w:trPr>
        <w:tc>
          <w:tcPr>
            <w:tcW w:w="3701" w:type="dxa"/>
            <w:tcBorders>
              <w:top w:val="nil"/>
              <w:left w:val="nil"/>
              <w:bottom w:val="nil"/>
              <w:right w:val="nil"/>
            </w:tcBorders>
            <w:shd w:val="clear" w:color="auto" w:fill="auto"/>
            <w:vAlign w:val="bottom"/>
            <w:hideMark/>
          </w:tcPr>
          <w:p w:rsidR="00B13129" w:rsidRPr="00BE46C0" w:rsidRDefault="00B13129" w:rsidP="003F0F8A">
            <w:pPr>
              <w:tabs>
                <w:tab w:val="left" w:pos="333"/>
              </w:tabs>
              <w:spacing w:after="0" w:line="240" w:lineRule="auto"/>
              <w:ind w:firstLineChars="100" w:firstLine="160"/>
              <w:rPr>
                <w:rFonts w:ascii="Arial" w:hAnsi="Arial" w:cs="Arial"/>
                <w:sz w:val="16"/>
                <w:szCs w:val="16"/>
              </w:rPr>
            </w:pPr>
            <w:r w:rsidRPr="00BE46C0">
              <w:rPr>
                <w:rFonts w:ascii="Arial" w:hAnsi="Arial" w:cs="Arial"/>
                <w:sz w:val="16"/>
                <w:szCs w:val="16"/>
              </w:rPr>
              <w:t xml:space="preserve">By purchase—appropriation ordinary annual </w:t>
            </w:r>
            <w:r w:rsidRPr="00BE46C0">
              <w:rPr>
                <w:rFonts w:ascii="Arial" w:hAnsi="Arial" w:cs="Arial"/>
                <w:sz w:val="16"/>
                <w:szCs w:val="16"/>
              </w:rPr>
              <w:tab/>
              <w:t>services (b)</w:t>
            </w:r>
          </w:p>
        </w:tc>
        <w:tc>
          <w:tcPr>
            <w:tcW w:w="85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 </w:t>
            </w:r>
          </w:p>
        </w:tc>
        <w:tc>
          <w:tcPr>
            <w:tcW w:w="1276"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35 </w:t>
            </w:r>
          </w:p>
        </w:tc>
        <w:tc>
          <w:tcPr>
            <w:tcW w:w="109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166 </w:t>
            </w:r>
          </w:p>
        </w:tc>
        <w:tc>
          <w:tcPr>
            <w:tcW w:w="842"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201 </w:t>
            </w: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ind w:firstLineChars="100" w:firstLine="161"/>
              <w:rPr>
                <w:rFonts w:ascii="Arial" w:hAnsi="Arial" w:cs="Arial"/>
                <w:b/>
                <w:bCs/>
                <w:sz w:val="16"/>
                <w:szCs w:val="16"/>
              </w:rPr>
            </w:pPr>
            <w:r w:rsidRPr="00BE46C0">
              <w:rPr>
                <w:rFonts w:ascii="Arial" w:hAnsi="Arial" w:cs="Arial"/>
                <w:b/>
                <w:bCs/>
                <w:sz w:val="16"/>
                <w:szCs w:val="16"/>
              </w:rPr>
              <w:t>Total additions</w:t>
            </w:r>
          </w:p>
        </w:tc>
        <w:tc>
          <w:tcPr>
            <w:tcW w:w="850"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 </w:t>
            </w:r>
          </w:p>
        </w:tc>
        <w:tc>
          <w:tcPr>
            <w:tcW w:w="1276"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35 </w:t>
            </w:r>
          </w:p>
        </w:tc>
        <w:tc>
          <w:tcPr>
            <w:tcW w:w="1090"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166 </w:t>
            </w:r>
          </w:p>
        </w:tc>
        <w:tc>
          <w:tcPr>
            <w:tcW w:w="842"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201 </w:t>
            </w: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ind w:firstLineChars="100" w:firstLine="161"/>
              <w:rPr>
                <w:rFonts w:ascii="Arial" w:hAnsi="Arial" w:cs="Arial"/>
                <w:b/>
                <w:bCs/>
                <w:sz w:val="16"/>
                <w:szCs w:val="16"/>
              </w:rPr>
            </w:pPr>
            <w:r w:rsidRPr="00BE46C0">
              <w:rPr>
                <w:rFonts w:ascii="Arial" w:hAnsi="Arial" w:cs="Arial"/>
                <w:b/>
                <w:bCs/>
                <w:sz w:val="16"/>
                <w:szCs w:val="16"/>
              </w:rPr>
              <w:t>Other movements</w:t>
            </w:r>
          </w:p>
        </w:tc>
        <w:tc>
          <w:tcPr>
            <w:tcW w:w="850"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 </w:t>
            </w:r>
          </w:p>
        </w:tc>
        <w:tc>
          <w:tcPr>
            <w:tcW w:w="1276"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 </w:t>
            </w:r>
          </w:p>
        </w:tc>
        <w:tc>
          <w:tcPr>
            <w:tcW w:w="1090"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 </w:t>
            </w:r>
          </w:p>
        </w:tc>
        <w:tc>
          <w:tcPr>
            <w:tcW w:w="842" w:type="dxa"/>
            <w:tcBorders>
              <w:top w:val="single" w:sz="4" w:space="0" w:color="auto"/>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 </w:t>
            </w:r>
          </w:p>
        </w:tc>
      </w:tr>
      <w:tr w:rsidR="00B13129" w:rsidRPr="00BE46C0" w:rsidTr="003F0F8A">
        <w:trPr>
          <w:trHeight w:val="210"/>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ind w:firstLineChars="100" w:firstLine="160"/>
              <w:rPr>
                <w:rFonts w:ascii="Arial" w:hAnsi="Arial" w:cs="Arial"/>
                <w:sz w:val="16"/>
                <w:szCs w:val="16"/>
              </w:rPr>
            </w:pPr>
            <w:r w:rsidRPr="00BE46C0">
              <w:rPr>
                <w:rFonts w:ascii="Arial" w:hAnsi="Arial" w:cs="Arial"/>
                <w:sz w:val="16"/>
                <w:szCs w:val="16"/>
              </w:rPr>
              <w:t>Depreciation/amortisation expense</w:t>
            </w:r>
          </w:p>
        </w:tc>
        <w:tc>
          <w:tcPr>
            <w:tcW w:w="85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(134)</w:t>
            </w:r>
          </w:p>
        </w:tc>
        <w:tc>
          <w:tcPr>
            <w:tcW w:w="1276"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(77)</w:t>
            </w:r>
          </w:p>
        </w:tc>
        <w:tc>
          <w:tcPr>
            <w:tcW w:w="109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(671)</w:t>
            </w:r>
          </w:p>
        </w:tc>
        <w:tc>
          <w:tcPr>
            <w:tcW w:w="842"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(882)</w:t>
            </w: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ind w:firstLineChars="100" w:firstLine="161"/>
              <w:rPr>
                <w:rFonts w:ascii="Arial" w:hAnsi="Arial" w:cs="Arial"/>
                <w:b/>
                <w:bCs/>
                <w:sz w:val="16"/>
                <w:szCs w:val="16"/>
              </w:rPr>
            </w:pPr>
            <w:r w:rsidRPr="00BE46C0">
              <w:rPr>
                <w:rFonts w:ascii="Arial" w:hAnsi="Arial" w:cs="Arial"/>
                <w:b/>
                <w:bCs/>
                <w:sz w:val="16"/>
                <w:szCs w:val="16"/>
              </w:rPr>
              <w:t>Total other movements</w:t>
            </w:r>
          </w:p>
        </w:tc>
        <w:tc>
          <w:tcPr>
            <w:tcW w:w="850"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(134)</w:t>
            </w:r>
          </w:p>
        </w:tc>
        <w:tc>
          <w:tcPr>
            <w:tcW w:w="1276"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(77)</w:t>
            </w:r>
          </w:p>
        </w:tc>
        <w:tc>
          <w:tcPr>
            <w:tcW w:w="1090"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(671)</w:t>
            </w:r>
          </w:p>
        </w:tc>
        <w:tc>
          <w:tcPr>
            <w:tcW w:w="842"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(882)</w:t>
            </w: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As at 30 June 2018</w:t>
            </w:r>
          </w:p>
        </w:tc>
        <w:tc>
          <w:tcPr>
            <w:tcW w:w="85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276"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1090"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rPr>
                <w:rFonts w:ascii="Arial" w:hAnsi="Arial" w:cs="Arial"/>
                <w:sz w:val="16"/>
                <w:szCs w:val="16"/>
              </w:rPr>
            </w:pPr>
          </w:p>
        </w:tc>
        <w:tc>
          <w:tcPr>
            <w:tcW w:w="842" w:type="dxa"/>
            <w:tcBorders>
              <w:top w:val="nil"/>
              <w:left w:val="nil"/>
              <w:bottom w:val="nil"/>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sz w:val="16"/>
                <w:szCs w:val="16"/>
              </w:rPr>
            </w:pPr>
          </w:p>
        </w:tc>
      </w:tr>
      <w:tr w:rsidR="00B13129" w:rsidRPr="00BE46C0" w:rsidTr="003F0F8A">
        <w:trPr>
          <w:trHeight w:val="204"/>
        </w:trPr>
        <w:tc>
          <w:tcPr>
            <w:tcW w:w="3701" w:type="dxa"/>
            <w:tcBorders>
              <w:top w:val="nil"/>
              <w:left w:val="nil"/>
              <w:bottom w:val="nil"/>
              <w:right w:val="nil"/>
            </w:tcBorders>
            <w:shd w:val="clear" w:color="auto" w:fill="auto"/>
            <w:vAlign w:val="bottom"/>
            <w:hideMark/>
          </w:tcPr>
          <w:p w:rsidR="00B13129" w:rsidRPr="00BE46C0" w:rsidRDefault="00B13129" w:rsidP="003F0F8A">
            <w:pPr>
              <w:spacing w:after="0" w:line="240" w:lineRule="auto"/>
              <w:ind w:firstLineChars="100" w:firstLine="160"/>
              <w:rPr>
                <w:rFonts w:ascii="Arial" w:hAnsi="Arial" w:cs="Arial"/>
                <w:sz w:val="16"/>
                <w:szCs w:val="16"/>
              </w:rPr>
            </w:pPr>
            <w:r w:rsidRPr="00BE46C0">
              <w:rPr>
                <w:rFonts w:ascii="Arial" w:hAnsi="Arial" w:cs="Arial"/>
                <w:sz w:val="16"/>
                <w:szCs w:val="16"/>
              </w:rPr>
              <w:t>Gross book value</w:t>
            </w:r>
          </w:p>
        </w:tc>
        <w:tc>
          <w:tcPr>
            <w:tcW w:w="85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1,138 </w:t>
            </w:r>
          </w:p>
        </w:tc>
        <w:tc>
          <w:tcPr>
            <w:tcW w:w="1276"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523 </w:t>
            </w:r>
          </w:p>
        </w:tc>
        <w:tc>
          <w:tcPr>
            <w:tcW w:w="109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2,978 </w:t>
            </w:r>
          </w:p>
        </w:tc>
        <w:tc>
          <w:tcPr>
            <w:tcW w:w="842"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 xml:space="preserve">4,639 </w:t>
            </w:r>
          </w:p>
        </w:tc>
      </w:tr>
      <w:tr w:rsidR="00B13129" w:rsidRPr="00BE46C0" w:rsidTr="003F0F8A">
        <w:trPr>
          <w:trHeight w:val="348"/>
        </w:trPr>
        <w:tc>
          <w:tcPr>
            <w:tcW w:w="3701" w:type="dxa"/>
            <w:tcBorders>
              <w:top w:val="nil"/>
              <w:left w:val="nil"/>
              <w:bottom w:val="nil"/>
              <w:right w:val="nil"/>
            </w:tcBorders>
            <w:shd w:val="clear" w:color="auto" w:fill="auto"/>
            <w:vAlign w:val="bottom"/>
            <w:hideMark/>
          </w:tcPr>
          <w:p w:rsidR="00B13129" w:rsidRPr="00BE46C0" w:rsidRDefault="00B13129" w:rsidP="003F0F8A">
            <w:pPr>
              <w:tabs>
                <w:tab w:val="left" w:pos="365"/>
              </w:tabs>
              <w:spacing w:after="0" w:line="240" w:lineRule="auto"/>
              <w:ind w:firstLineChars="100" w:firstLine="160"/>
              <w:rPr>
                <w:rFonts w:ascii="Arial" w:hAnsi="Arial" w:cs="Arial"/>
                <w:sz w:val="16"/>
                <w:szCs w:val="16"/>
              </w:rPr>
            </w:pPr>
            <w:r w:rsidRPr="00BE46C0">
              <w:rPr>
                <w:rFonts w:ascii="Arial" w:hAnsi="Arial" w:cs="Arial"/>
                <w:sz w:val="16"/>
                <w:szCs w:val="16"/>
              </w:rPr>
              <w:t xml:space="preserve">Accumulated depreciation/amortisation and </w:t>
            </w:r>
            <w:r w:rsidRPr="00BE46C0">
              <w:rPr>
                <w:rFonts w:ascii="Arial" w:hAnsi="Arial" w:cs="Arial"/>
                <w:sz w:val="16"/>
                <w:szCs w:val="16"/>
              </w:rPr>
              <w:tab/>
              <w:t>impairment</w:t>
            </w:r>
          </w:p>
        </w:tc>
        <w:tc>
          <w:tcPr>
            <w:tcW w:w="85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(1,138)</w:t>
            </w:r>
          </w:p>
        </w:tc>
        <w:tc>
          <w:tcPr>
            <w:tcW w:w="1276"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(468)</w:t>
            </w:r>
          </w:p>
        </w:tc>
        <w:tc>
          <w:tcPr>
            <w:tcW w:w="1090"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(2,191)</w:t>
            </w:r>
          </w:p>
        </w:tc>
        <w:tc>
          <w:tcPr>
            <w:tcW w:w="842" w:type="dxa"/>
            <w:tcBorders>
              <w:top w:val="nil"/>
              <w:left w:val="nil"/>
              <w:bottom w:val="nil"/>
              <w:right w:val="nil"/>
            </w:tcBorders>
            <w:shd w:val="clear" w:color="auto" w:fill="auto"/>
            <w:noWrap/>
            <w:vAlign w:val="center"/>
            <w:hideMark/>
          </w:tcPr>
          <w:p w:rsidR="00B13129" w:rsidRPr="00BE46C0" w:rsidRDefault="00B13129" w:rsidP="003F0F8A">
            <w:pPr>
              <w:spacing w:after="0" w:line="240" w:lineRule="auto"/>
              <w:jc w:val="right"/>
              <w:rPr>
                <w:rFonts w:ascii="Arial" w:hAnsi="Arial" w:cs="Arial"/>
                <w:sz w:val="16"/>
                <w:szCs w:val="16"/>
              </w:rPr>
            </w:pPr>
            <w:r w:rsidRPr="00BE46C0">
              <w:rPr>
                <w:rFonts w:ascii="Arial" w:hAnsi="Arial" w:cs="Arial"/>
                <w:sz w:val="16"/>
                <w:szCs w:val="16"/>
              </w:rPr>
              <w:t>(3,797)</w:t>
            </w:r>
          </w:p>
        </w:tc>
      </w:tr>
      <w:tr w:rsidR="00B13129" w:rsidRPr="00BE46C0" w:rsidTr="003F0F8A">
        <w:trPr>
          <w:trHeight w:val="63"/>
        </w:trPr>
        <w:tc>
          <w:tcPr>
            <w:tcW w:w="3701" w:type="dxa"/>
            <w:tcBorders>
              <w:top w:val="nil"/>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rPr>
                <w:rFonts w:ascii="Arial" w:hAnsi="Arial" w:cs="Arial"/>
                <w:b/>
                <w:bCs/>
                <w:sz w:val="16"/>
                <w:szCs w:val="16"/>
              </w:rPr>
            </w:pPr>
            <w:r w:rsidRPr="00BE46C0">
              <w:rPr>
                <w:rFonts w:ascii="Arial" w:hAnsi="Arial" w:cs="Arial"/>
                <w:b/>
                <w:bCs/>
                <w:sz w:val="16"/>
                <w:szCs w:val="16"/>
              </w:rPr>
              <w:t>Closing net book balance</w:t>
            </w:r>
          </w:p>
        </w:tc>
        <w:tc>
          <w:tcPr>
            <w:tcW w:w="850"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 </w:t>
            </w:r>
          </w:p>
        </w:tc>
        <w:tc>
          <w:tcPr>
            <w:tcW w:w="1276"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55 </w:t>
            </w:r>
          </w:p>
        </w:tc>
        <w:tc>
          <w:tcPr>
            <w:tcW w:w="1090"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787 </w:t>
            </w:r>
          </w:p>
        </w:tc>
        <w:tc>
          <w:tcPr>
            <w:tcW w:w="842" w:type="dxa"/>
            <w:tcBorders>
              <w:top w:val="single" w:sz="4" w:space="0" w:color="auto"/>
              <w:left w:val="nil"/>
              <w:bottom w:val="single" w:sz="4" w:space="0" w:color="auto"/>
              <w:right w:val="nil"/>
            </w:tcBorders>
            <w:shd w:val="clear" w:color="auto" w:fill="auto"/>
            <w:noWrap/>
            <w:vAlign w:val="bottom"/>
            <w:hideMark/>
          </w:tcPr>
          <w:p w:rsidR="00B13129" w:rsidRPr="00BE46C0" w:rsidRDefault="00B13129" w:rsidP="003F0F8A">
            <w:pPr>
              <w:spacing w:after="0" w:line="240" w:lineRule="auto"/>
              <w:jc w:val="right"/>
              <w:rPr>
                <w:rFonts w:ascii="Arial" w:hAnsi="Arial" w:cs="Arial"/>
                <w:b/>
                <w:bCs/>
                <w:sz w:val="16"/>
                <w:szCs w:val="16"/>
              </w:rPr>
            </w:pPr>
            <w:r w:rsidRPr="00BE46C0">
              <w:rPr>
                <w:rFonts w:ascii="Arial" w:hAnsi="Arial" w:cs="Arial"/>
                <w:b/>
                <w:bCs/>
                <w:sz w:val="16"/>
                <w:szCs w:val="16"/>
              </w:rPr>
              <w:t xml:space="preserve">842 </w:t>
            </w:r>
          </w:p>
        </w:tc>
      </w:tr>
    </w:tbl>
    <w:p w:rsidR="00B13129" w:rsidRDefault="00B13129" w:rsidP="00B13129">
      <w:pPr>
        <w:pStyle w:val="ChartandTableFootnoteAlpha"/>
        <w:numPr>
          <w:ilvl w:val="0"/>
          <w:numId w:val="10"/>
        </w:numPr>
        <w:spacing w:before="120"/>
        <w:jc w:val="left"/>
      </w:pPr>
      <w:r>
        <w:t>‘Appropriation equity’ refers to equity injections appropriations provided through Appropriation Bill (No. 2) 2017–18, including CDABs.</w:t>
      </w:r>
    </w:p>
    <w:p w:rsidR="00B13129" w:rsidRDefault="00B13129" w:rsidP="00B13129">
      <w:pPr>
        <w:pStyle w:val="ChartandTableFootnoteAlpha"/>
        <w:numPr>
          <w:ilvl w:val="0"/>
          <w:numId w:val="10"/>
        </w:numPr>
        <w:jc w:val="left"/>
      </w:pPr>
      <w:r>
        <w:t>‘Appropriation ordinary annual services’ refers to funding provided through Appropriation Bill (No. 1) 2017–18 for depreciation/amortisation expenses, DCBs or other operational expenses.</w:t>
      </w:r>
    </w:p>
    <w:p w:rsidR="00B13129" w:rsidRDefault="00B13129" w:rsidP="00B13129">
      <w:pPr>
        <w:pStyle w:val="Source"/>
        <w:spacing w:before="60"/>
      </w:pPr>
      <w:r w:rsidRPr="003458E0">
        <w:t>Prepared on Australian Accounting Standards basis.</w:t>
      </w:r>
    </w:p>
    <w:p w:rsidR="00B13129" w:rsidRDefault="00B13129" w:rsidP="00B13129">
      <w:pPr>
        <w:pStyle w:val="TableHeading"/>
        <w:rPr>
          <w:lang w:val="en-AU"/>
        </w:rPr>
      </w:pPr>
      <w:r>
        <w:br w:type="page"/>
      </w:r>
      <w:r w:rsidRPr="00D30CBA">
        <w:t>Table</w:t>
      </w:r>
      <w:r>
        <w:t xml:space="preserve"> 3.</w:t>
      </w:r>
      <w:r>
        <w:rPr>
          <w:lang w:val="en-AU"/>
        </w:rPr>
        <w:t>7</w:t>
      </w:r>
      <w:r w:rsidRPr="00D30CBA">
        <w:t xml:space="preserve">: Schedule of </w:t>
      </w:r>
      <w:r>
        <w:t>b</w:t>
      </w:r>
      <w:r w:rsidRPr="00D30CBA">
        <w:t xml:space="preserve">udgeted </w:t>
      </w:r>
      <w:r>
        <w:rPr>
          <w:lang w:val="en-AU"/>
        </w:rPr>
        <w:t>income and expenses</w:t>
      </w:r>
      <w:r w:rsidRPr="00D30CBA">
        <w:t xml:space="preserve"> </w:t>
      </w:r>
      <w:r>
        <w:t>a</w:t>
      </w:r>
      <w:r w:rsidRPr="00D30CBA">
        <w:t>dministered o</w:t>
      </w:r>
      <w:r>
        <w:t>n behalf of G</w:t>
      </w:r>
      <w:r w:rsidRPr="00D30CBA">
        <w:t>overnment (</w:t>
      </w:r>
      <w:r>
        <w:rPr>
          <w:lang w:val="en-AU"/>
        </w:rPr>
        <w:t>for the period ended</w:t>
      </w:r>
      <w:r w:rsidRPr="00D30CBA">
        <w:t xml:space="preserve"> 30 June)</w:t>
      </w:r>
    </w:p>
    <w:p w:rsidR="00B13129" w:rsidRDefault="00B13129" w:rsidP="00B13129">
      <w:pPr>
        <w:pStyle w:val="TableGraphic"/>
        <w:rPr>
          <w:lang w:eastAsia="x-none"/>
        </w:rPr>
      </w:pPr>
      <w:r>
        <w:rPr>
          <w:lang w:eastAsia="x-none"/>
        </w:rPr>
        <w:t>The Workplace Gender Equality Agency has no income and expenses administered on behalf of government. For this reason Table 3.7 is not presented.</w:t>
      </w:r>
    </w:p>
    <w:p w:rsidR="00B13129" w:rsidRDefault="00B13129" w:rsidP="00B13129">
      <w:pPr>
        <w:pStyle w:val="TableHeadingcontinued"/>
        <w:spacing w:before="360"/>
      </w:pPr>
      <w:r w:rsidRPr="00BD210E">
        <w:t>Table</w:t>
      </w:r>
      <w:r>
        <w:t xml:space="preserve"> 3.</w:t>
      </w:r>
      <w:r w:rsidRPr="00BD210E">
        <w:t>8: Schedule of budgeted assets and liabilities administered on behalf of Government (as at 30 June</w:t>
      </w:r>
      <w:r>
        <w:t>)</w:t>
      </w:r>
    </w:p>
    <w:p w:rsidR="00B13129" w:rsidRDefault="00B13129" w:rsidP="00B13129">
      <w:pPr>
        <w:pStyle w:val="TableGraphic"/>
      </w:pPr>
      <w:r>
        <w:t xml:space="preserve">The </w:t>
      </w:r>
      <w:r>
        <w:rPr>
          <w:lang w:eastAsia="x-none"/>
        </w:rPr>
        <w:t>Workplace Gender Equality Agency</w:t>
      </w:r>
      <w:r>
        <w:t xml:space="preserve"> has no administered assets and liabilities. For this reason Table 3.8 is not presented. </w:t>
      </w:r>
    </w:p>
    <w:p w:rsidR="00B13129" w:rsidRDefault="00B13129" w:rsidP="00B13129">
      <w:pPr>
        <w:pStyle w:val="TableHeading"/>
        <w:spacing w:before="360"/>
        <w:rPr>
          <w:lang w:val="en-AU"/>
        </w:rPr>
      </w:pPr>
      <w:r>
        <w:t xml:space="preserve">Table 3.9: </w:t>
      </w:r>
      <w:r w:rsidRPr="00C41D55">
        <w:t xml:space="preserve">Schedule of </w:t>
      </w:r>
      <w:r>
        <w:t xml:space="preserve">budgeted administered cash flows </w:t>
      </w:r>
      <w:r w:rsidRPr="00C41D55">
        <w:t>(for</w:t>
      </w:r>
      <w:r>
        <w:t> the </w:t>
      </w:r>
      <w:r w:rsidRPr="00C41D55">
        <w:t>period ended 30 June)</w:t>
      </w:r>
    </w:p>
    <w:p w:rsidR="00B13129" w:rsidRDefault="00B13129" w:rsidP="00B13129">
      <w:pPr>
        <w:pStyle w:val="TableGraphic"/>
        <w:rPr>
          <w:lang w:eastAsia="x-none"/>
        </w:rPr>
      </w:pPr>
      <w:r>
        <w:rPr>
          <w:lang w:eastAsia="x-none"/>
        </w:rPr>
        <w:t>The</w:t>
      </w:r>
      <w:r w:rsidRPr="00E5433F">
        <w:rPr>
          <w:lang w:eastAsia="x-none"/>
        </w:rPr>
        <w:t xml:space="preserve"> </w:t>
      </w:r>
      <w:r>
        <w:rPr>
          <w:lang w:eastAsia="x-none"/>
        </w:rPr>
        <w:t xml:space="preserve">Workplace Gender Equality Agency has no administered cash flows. For this reason Table 3.9 is not presented. </w:t>
      </w:r>
    </w:p>
    <w:p w:rsidR="00B13129" w:rsidRDefault="00B13129" w:rsidP="00B13129">
      <w:pPr>
        <w:pStyle w:val="TableHeading"/>
        <w:spacing w:before="360"/>
        <w:rPr>
          <w:lang w:val="en-AU"/>
        </w:rPr>
      </w:pPr>
      <w:r w:rsidRPr="00D30CBA">
        <w:t>Table</w:t>
      </w:r>
      <w:r>
        <w:t xml:space="preserve"> 3.10</w:t>
      </w:r>
      <w:r w:rsidRPr="00D30CBA">
        <w:t xml:space="preserve">: </w:t>
      </w:r>
      <w:r>
        <w:t>Administered capital budget statement (for the period ended 30 June)</w:t>
      </w:r>
    </w:p>
    <w:p w:rsidR="00B13129" w:rsidRDefault="00B13129" w:rsidP="00B13129">
      <w:pPr>
        <w:pStyle w:val="TableGraphic"/>
        <w:rPr>
          <w:lang w:eastAsia="x-none"/>
        </w:rPr>
      </w:pPr>
      <w:r>
        <w:rPr>
          <w:lang w:eastAsia="x-none"/>
        </w:rPr>
        <w:t>The</w:t>
      </w:r>
      <w:r w:rsidRPr="00E5433F">
        <w:rPr>
          <w:lang w:eastAsia="x-none"/>
        </w:rPr>
        <w:t xml:space="preserve"> </w:t>
      </w:r>
      <w:r>
        <w:rPr>
          <w:lang w:eastAsia="x-none"/>
        </w:rPr>
        <w:t xml:space="preserve">Workplace Gender Equality Agency has no administered capital budget. For this reason Table 3.10 is not presented. </w:t>
      </w:r>
    </w:p>
    <w:p w:rsidR="00B13129" w:rsidRDefault="00B13129" w:rsidP="00B13129">
      <w:pPr>
        <w:pStyle w:val="TableHeading"/>
        <w:spacing w:before="360" w:after="0"/>
        <w:rPr>
          <w:lang w:val="en-AU"/>
        </w:rPr>
      </w:pPr>
      <w:r>
        <w:t>Table 3.11: Statement of administered asset movements (Budget year 2017</w:t>
      </w:r>
      <w:r>
        <w:rPr>
          <w:lang w:val="en-AU"/>
        </w:rPr>
        <w:t>–</w:t>
      </w:r>
      <w:r>
        <w:t xml:space="preserve">18) </w:t>
      </w:r>
    </w:p>
    <w:p w:rsidR="003626F0" w:rsidRPr="005449D2" w:rsidRDefault="00B13129" w:rsidP="00B13129">
      <w:pPr>
        <w:pStyle w:val="TableGraphic"/>
      </w:pPr>
      <w:r>
        <w:t>The</w:t>
      </w:r>
      <w:r w:rsidRPr="00E5433F">
        <w:t xml:space="preserve"> </w:t>
      </w:r>
      <w:r>
        <w:t>Workplace Gender Equality Agency has no administered non-financial assets. For this reason Table 3.11 is not presented.</w:t>
      </w:r>
    </w:p>
    <w:sectPr w:rsidR="003626F0" w:rsidRPr="005449D2" w:rsidSect="005449D2">
      <w:headerReference w:type="default" r:id="rId13"/>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6F" w:rsidRDefault="0065146F" w:rsidP="0094343E">
      <w:pPr>
        <w:spacing w:after="0" w:line="240" w:lineRule="auto"/>
      </w:pPr>
      <w:r>
        <w:separator/>
      </w:r>
    </w:p>
  </w:endnote>
  <w:endnote w:type="continuationSeparator" w:id="0">
    <w:p w:rsidR="0065146F" w:rsidRDefault="0065146F"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19876"/>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891812">
          <w:rPr>
            <w:noProof/>
          </w:rPr>
          <w:t>192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09586"/>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891812">
          <w:rPr>
            <w:noProof/>
          </w:rPr>
          <w:t>175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3351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8282F">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6F" w:rsidRDefault="0065146F" w:rsidP="0094343E">
      <w:pPr>
        <w:spacing w:after="0" w:line="240" w:lineRule="auto"/>
      </w:pPr>
      <w:r>
        <w:separator/>
      </w:r>
    </w:p>
  </w:footnote>
  <w:footnote w:type="continuationSeparator" w:id="0">
    <w:p w:rsidR="0065146F" w:rsidRDefault="0065146F" w:rsidP="0094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B13129" w:rsidP="005449D2">
    <w:pPr>
      <w:pStyle w:val="HeaderOdd"/>
      <w:jc w:val="left"/>
    </w:pPr>
    <w:r>
      <w:t>WGE</w:t>
    </w:r>
    <w:r w:rsidR="00601360">
      <w:t>A</w:t>
    </w:r>
    <w:r w:rsidR="0094343E">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D2" w:rsidRPr="0094343E" w:rsidRDefault="00B13129" w:rsidP="005449D2">
    <w:pPr>
      <w:pStyle w:val="HeaderOdd"/>
    </w:pPr>
    <w:r>
      <w:t>WGEA</w:t>
    </w:r>
    <w:r w:rsidR="005449D2">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484"/>
    <w:multiLevelType w:val="hybridMultilevel"/>
    <w:tmpl w:val="0652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616AA"/>
    <w:multiLevelType w:val="multilevel"/>
    <w:tmpl w:val="742E72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F5120F"/>
    <w:multiLevelType w:val="hybridMultilevel"/>
    <w:tmpl w:val="D9925E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0BB25BB6"/>
    <w:multiLevelType w:val="hybridMultilevel"/>
    <w:tmpl w:val="396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F07B39"/>
    <w:multiLevelType w:val="multilevel"/>
    <w:tmpl w:val="D2C0968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2137A"/>
    <w:multiLevelType w:val="multilevel"/>
    <w:tmpl w:val="D23E43F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5E01"/>
    <w:multiLevelType w:val="hybridMultilevel"/>
    <w:tmpl w:val="5C1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nsid w:val="380B4F4F"/>
    <w:multiLevelType w:val="hybridMultilevel"/>
    <w:tmpl w:val="B8BA3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14671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76E17"/>
    <w:multiLevelType w:val="multilevel"/>
    <w:tmpl w:val="727C747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27E51"/>
    <w:multiLevelType w:val="hybridMultilevel"/>
    <w:tmpl w:val="6C70694C"/>
    <w:lvl w:ilvl="0" w:tplc="9D149076">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33340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F065A0"/>
    <w:multiLevelType w:val="hybridMultilevel"/>
    <w:tmpl w:val="FF6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9E678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9490D16"/>
    <w:multiLevelType w:val="hybridMultilevel"/>
    <w:tmpl w:val="F5DCAB2A"/>
    <w:lvl w:ilvl="0" w:tplc="DDEEA6D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61203"/>
    <w:multiLevelType w:val="hybridMultilevel"/>
    <w:tmpl w:val="50D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A0C20"/>
    <w:multiLevelType w:val="multilevel"/>
    <w:tmpl w:val="8EE2E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E63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6EFC1236"/>
    <w:multiLevelType w:val="multilevel"/>
    <w:tmpl w:val="AC84CD7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nsid w:val="78011607"/>
    <w:multiLevelType w:val="hybridMultilevel"/>
    <w:tmpl w:val="AA0C375C"/>
    <w:lvl w:ilvl="0" w:tplc="2C72964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0400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BD2CEC"/>
    <w:multiLevelType w:val="multilevel"/>
    <w:tmpl w:val="2AAE9D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33"/>
  </w:num>
  <w:num w:numId="4">
    <w:abstractNumId w:val="17"/>
  </w:num>
  <w:num w:numId="5">
    <w:abstractNumId w:val="35"/>
  </w:num>
  <w:num w:numId="6">
    <w:abstractNumId w:val="14"/>
  </w:num>
  <w:num w:numId="7">
    <w:abstractNumId w:val="26"/>
  </w:num>
  <w:num w:numId="8">
    <w:abstractNumId w:val="21"/>
  </w:num>
  <w:num w:numId="9">
    <w:abstractNumId w:val="13"/>
  </w:num>
  <w:num w:numId="10">
    <w:abstractNumId w:val="17"/>
    <w:lvlOverride w:ilvl="0">
      <w:startOverride w:val="1"/>
    </w:lvlOverride>
  </w:num>
  <w:num w:numId="11">
    <w:abstractNumId w:val="8"/>
  </w:num>
  <w:num w:numId="12">
    <w:abstractNumId w:val="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6"/>
  </w:num>
  <w:num w:numId="17">
    <w:abstractNumId w:val="39"/>
  </w:num>
  <w:num w:numId="18">
    <w:abstractNumId w:val="12"/>
  </w:num>
  <w:num w:numId="19">
    <w:abstractNumId w:val="27"/>
  </w:num>
  <w:num w:numId="20">
    <w:abstractNumId w:val="34"/>
  </w:num>
  <w:num w:numId="21">
    <w:abstractNumId w:val="30"/>
  </w:num>
  <w:num w:numId="22">
    <w:abstractNumId w:val="11"/>
  </w:num>
  <w:num w:numId="23">
    <w:abstractNumId w:val="8"/>
    <w:lvlOverride w:ilvl="0">
      <w:startOverride w:val="1"/>
    </w:lvlOverride>
  </w:num>
  <w:num w:numId="24">
    <w:abstractNumId w:val="31"/>
  </w:num>
  <w:num w:numId="25">
    <w:abstractNumId w:val="0"/>
  </w:num>
  <w:num w:numId="26">
    <w:abstractNumId w:val="36"/>
  </w:num>
  <w:num w:numId="27">
    <w:abstractNumId w:val="10"/>
  </w:num>
  <w:num w:numId="28">
    <w:abstractNumId w:val="24"/>
  </w:num>
  <w:num w:numId="29">
    <w:abstractNumId w:val="23"/>
  </w:num>
  <w:num w:numId="30">
    <w:abstractNumId w:val="15"/>
  </w:num>
  <w:num w:numId="31">
    <w:abstractNumId w:val="9"/>
  </w:num>
  <w:num w:numId="32">
    <w:abstractNumId w:val="16"/>
  </w:num>
  <w:num w:numId="33">
    <w:abstractNumId w:val="38"/>
  </w:num>
  <w:num w:numId="34">
    <w:abstractNumId w:val="1"/>
  </w:num>
  <w:num w:numId="35">
    <w:abstractNumId w:val="25"/>
  </w:num>
  <w:num w:numId="36">
    <w:abstractNumId w:val="28"/>
  </w:num>
  <w:num w:numId="37">
    <w:abstractNumId w:val="3"/>
  </w:num>
  <w:num w:numId="38">
    <w:abstractNumId w:val="2"/>
  </w:num>
  <w:num w:numId="39">
    <w:abstractNumId w:val="19"/>
  </w:num>
  <w:num w:numId="40">
    <w:abstractNumId w:val="18"/>
  </w:num>
  <w:num w:numId="41">
    <w:abstractNumId w:val="22"/>
  </w:num>
  <w:num w:numId="42">
    <w:abstractNumId w:val="32"/>
  </w:num>
  <w:num w:numId="43">
    <w:abstractNumId w:val="37"/>
  </w:num>
  <w:num w:numId="44">
    <w:abstractNumId w:val="4"/>
  </w:num>
  <w:num w:numId="45">
    <w:abstractNumId w:val="29"/>
  </w:num>
  <w:num w:numId="46">
    <w:abstractNumId w:val="17"/>
    <w:lvlOverride w:ilvl="0">
      <w:startOverride w:val="1"/>
    </w:lvlOverride>
  </w:num>
  <w:num w:numId="47">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1A1E33"/>
    <w:rsid w:val="003626F0"/>
    <w:rsid w:val="0038282F"/>
    <w:rsid w:val="0039762A"/>
    <w:rsid w:val="004A7A6D"/>
    <w:rsid w:val="005449D2"/>
    <w:rsid w:val="0056685B"/>
    <w:rsid w:val="0058023C"/>
    <w:rsid w:val="00601360"/>
    <w:rsid w:val="0065146F"/>
    <w:rsid w:val="00891812"/>
    <w:rsid w:val="00914D32"/>
    <w:rsid w:val="0094343E"/>
    <w:rsid w:val="00A56CE4"/>
    <w:rsid w:val="00B13129"/>
    <w:rsid w:val="00DE09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ge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3</cp:revision>
  <dcterms:created xsi:type="dcterms:W3CDTF">2017-05-09T00:22:00Z</dcterms:created>
  <dcterms:modified xsi:type="dcterms:W3CDTF">2017-05-09T00:23:00Z</dcterms:modified>
</cp:coreProperties>
</file>