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EF" w:rsidRPr="00D53EEF" w:rsidRDefault="00D53EEF" w:rsidP="00D53EEF">
      <w:pPr>
        <w:jc w:val="center"/>
        <w:rPr>
          <w:rFonts w:ascii="Calibri" w:eastAsia="Times New Roman" w:hAnsi="Calibri" w:cs="Times New Roman"/>
          <w:b/>
          <w:lang w:eastAsia="en-AU"/>
        </w:rPr>
      </w:pPr>
      <w:r w:rsidRPr="00D53EEF">
        <w:rPr>
          <w:rFonts w:ascii="Calibri" w:eastAsia="Times New Roman" w:hAnsi="Calibri" w:cs="Times New Roman"/>
          <w:b/>
          <w:sz w:val="24"/>
          <w:lang w:eastAsia="en-AU"/>
        </w:rPr>
        <w:t>Remuneration for Department’s substantive SES and other highly paid staff</w:t>
      </w:r>
    </w:p>
    <w:p w:rsidR="00D53EEF" w:rsidRPr="00D53EEF" w:rsidRDefault="00D53EEF" w:rsidP="00D53EEF">
      <w:pPr>
        <w:rPr>
          <w:rFonts w:ascii="Calibri" w:eastAsia="Times New Roman" w:hAnsi="Calibri" w:cs="Times New Roman"/>
          <w:b/>
          <w:lang w:eastAsia="en-AU"/>
        </w:rPr>
      </w:pPr>
      <w:r w:rsidRPr="00D53EEF">
        <w:rPr>
          <w:rFonts w:ascii="Calibri" w:eastAsia="Times New Roman" w:hAnsi="Calibri" w:cs="Times New Roman"/>
          <w:b/>
          <w:lang w:eastAsia="en-AU"/>
        </w:rPr>
        <w:t>Table A</w:t>
      </w:r>
    </w:p>
    <w:p w:rsidR="00D53EEF" w:rsidRPr="00D53EEF" w:rsidRDefault="00D53EEF" w:rsidP="00D53EEF">
      <w:pPr>
        <w:pBdr>
          <w:top w:val="single" w:sz="4" w:space="1" w:color="auto"/>
        </w:pBdr>
        <w:spacing w:after="0" w:line="240" w:lineRule="auto"/>
        <w:rPr>
          <w:rFonts w:ascii="Calibri" w:eastAsia="Times New Roman" w:hAnsi="Calibri" w:cs="Times New Roman"/>
          <w:b/>
          <w:lang w:eastAsia="en-AU"/>
        </w:rPr>
      </w:pPr>
      <w:r w:rsidRPr="00D53EEF">
        <w:rPr>
          <w:rFonts w:ascii="Calibri" w:eastAsia="Times New Roman" w:hAnsi="Calibri" w:cs="Times New Roman"/>
          <w:b/>
          <w:lang w:eastAsia="en-AU"/>
        </w:rPr>
        <w:t>Remuneration paid to executives during the reporting period</w:t>
      </w:r>
    </w:p>
    <w:p w:rsidR="00D53EEF" w:rsidRPr="00D53EEF" w:rsidRDefault="00D53EEF" w:rsidP="00D53EEF">
      <w:pPr>
        <w:pBdr>
          <w:top w:val="single" w:sz="4" w:space="1" w:color="auto"/>
        </w:pBdr>
        <w:spacing w:after="0" w:line="240" w:lineRule="auto"/>
        <w:rPr>
          <w:rFonts w:ascii="Calibri" w:eastAsia="Times New Roman" w:hAnsi="Calibri" w:cs="Times New Roman"/>
          <w:lang w:eastAsia="en-AU"/>
        </w:rPr>
      </w:pPr>
      <w:r w:rsidRPr="00D53EEF">
        <w:rPr>
          <w:rFonts w:ascii="Calibri" w:eastAsia="Times New Roman" w:hAnsi="Calibri" w:cs="Times New Roman"/>
          <w:lang w:eastAsia="en-AU"/>
        </w:rPr>
        <w:t>Remuneration paid to executives in 2016-17</w:t>
      </w:r>
    </w:p>
    <w:tbl>
      <w:tblPr>
        <w:tblStyle w:val="TableGrid"/>
        <w:tblW w:w="0" w:type="auto"/>
        <w:tblLook w:val="04A0" w:firstRow="1" w:lastRow="0" w:firstColumn="1" w:lastColumn="0" w:noHBand="0" w:noVBand="1"/>
      </w:tblPr>
      <w:tblGrid>
        <w:gridCol w:w="2893"/>
        <w:gridCol w:w="1156"/>
        <w:gridCol w:w="2025"/>
        <w:gridCol w:w="2025"/>
        <w:gridCol w:w="2025"/>
        <w:gridCol w:w="2025"/>
        <w:gridCol w:w="2025"/>
      </w:tblGrid>
      <w:tr w:rsidR="00D53EEF" w:rsidRPr="00D53EEF" w:rsidTr="00D273DE">
        <w:tc>
          <w:tcPr>
            <w:tcW w:w="2893" w:type="dxa"/>
            <w:vMerge w:val="restart"/>
            <w:tcBorders>
              <w:left w:val="nil"/>
              <w:bottom w:val="nil"/>
              <w:right w:val="nil"/>
            </w:tcBorders>
            <w:vAlign w:val="center"/>
          </w:tcPr>
          <w:p w:rsidR="00D53EEF" w:rsidRPr="00D53EEF" w:rsidRDefault="00D53EEF" w:rsidP="00D53EEF">
            <w:pPr>
              <w:rPr>
                <w:rFonts w:ascii="Calibri" w:hAnsi="Calibri" w:cs="Times New Roman"/>
              </w:rPr>
            </w:pPr>
            <w:r w:rsidRPr="00D53EEF">
              <w:rPr>
                <w:rFonts w:ascii="Calibri" w:hAnsi="Calibri" w:cs="Times New Roman"/>
              </w:rPr>
              <w:t>Total remuneration</w:t>
            </w:r>
          </w:p>
        </w:tc>
        <w:tc>
          <w:tcPr>
            <w:tcW w:w="1156" w:type="dxa"/>
            <w:tcBorders>
              <w:left w:val="nil"/>
              <w:bottom w:val="nil"/>
              <w:right w:val="nil"/>
            </w:tcBorders>
            <w:vAlign w:val="center"/>
          </w:tcPr>
          <w:p w:rsidR="00D53EEF" w:rsidRPr="00D53EEF" w:rsidRDefault="00D53EEF" w:rsidP="00D53EEF">
            <w:pPr>
              <w:jc w:val="center"/>
              <w:rPr>
                <w:rFonts w:ascii="Calibri" w:hAnsi="Calibri" w:cs="Times New Roman"/>
              </w:rPr>
            </w:pPr>
            <w:r w:rsidRPr="00D53EEF">
              <w:rPr>
                <w:rFonts w:ascii="Calibri" w:hAnsi="Calibri" w:cs="Times New Roman"/>
              </w:rPr>
              <w:t xml:space="preserve">Executives </w:t>
            </w:r>
            <w:r w:rsidRPr="00D53EEF">
              <w:rPr>
                <w:rFonts w:ascii="Calibri" w:hAnsi="Calibri" w:cs="Times New Roman"/>
              </w:rPr>
              <w:br/>
            </w:r>
          </w:p>
        </w:tc>
        <w:tc>
          <w:tcPr>
            <w:tcW w:w="2025" w:type="dxa"/>
            <w:tcBorders>
              <w:left w:val="nil"/>
              <w:bottom w:val="nil"/>
              <w:right w:val="nil"/>
            </w:tcBorders>
            <w:vAlign w:val="center"/>
          </w:tcPr>
          <w:p w:rsidR="00D53EEF" w:rsidRPr="00D53EEF" w:rsidRDefault="00D53EEF" w:rsidP="00D53EEF">
            <w:pPr>
              <w:jc w:val="center"/>
              <w:rPr>
                <w:rFonts w:ascii="Calibri" w:hAnsi="Calibri" w:cs="Times New Roman"/>
              </w:rPr>
            </w:pPr>
            <w:r w:rsidRPr="00D53EEF">
              <w:rPr>
                <w:rFonts w:ascii="Calibri" w:hAnsi="Calibri" w:cs="Times New Roman"/>
              </w:rPr>
              <w:t>Average Reportable Salary</w:t>
            </w:r>
          </w:p>
        </w:tc>
        <w:tc>
          <w:tcPr>
            <w:tcW w:w="2025" w:type="dxa"/>
            <w:tcBorders>
              <w:left w:val="nil"/>
              <w:bottom w:val="nil"/>
              <w:right w:val="nil"/>
            </w:tcBorders>
            <w:vAlign w:val="center"/>
          </w:tcPr>
          <w:p w:rsidR="00D53EEF" w:rsidRPr="00D53EEF" w:rsidRDefault="00D53EEF" w:rsidP="00D53EEF">
            <w:pPr>
              <w:jc w:val="center"/>
              <w:rPr>
                <w:rFonts w:ascii="Calibri" w:hAnsi="Calibri" w:cs="Times New Roman"/>
              </w:rPr>
            </w:pPr>
            <w:r w:rsidRPr="00D53EEF">
              <w:rPr>
                <w:rFonts w:ascii="Calibri" w:hAnsi="Calibri" w:cs="Times New Roman"/>
              </w:rPr>
              <w:t>Average Contributed Superannuation</w:t>
            </w:r>
          </w:p>
        </w:tc>
        <w:tc>
          <w:tcPr>
            <w:tcW w:w="2025" w:type="dxa"/>
            <w:tcBorders>
              <w:left w:val="nil"/>
              <w:bottom w:val="nil"/>
              <w:right w:val="nil"/>
            </w:tcBorders>
            <w:vAlign w:val="center"/>
          </w:tcPr>
          <w:p w:rsidR="00D53EEF" w:rsidRPr="00D53EEF" w:rsidRDefault="00D53EEF" w:rsidP="00D53EEF">
            <w:pPr>
              <w:jc w:val="center"/>
              <w:rPr>
                <w:rFonts w:ascii="Calibri" w:hAnsi="Calibri" w:cs="Times New Roman"/>
              </w:rPr>
            </w:pPr>
            <w:r w:rsidRPr="00D53EEF">
              <w:rPr>
                <w:rFonts w:ascii="Calibri" w:hAnsi="Calibri" w:cs="Times New Roman"/>
              </w:rPr>
              <w:t>Average Allowances</w:t>
            </w:r>
          </w:p>
        </w:tc>
        <w:tc>
          <w:tcPr>
            <w:tcW w:w="2025" w:type="dxa"/>
            <w:tcBorders>
              <w:left w:val="nil"/>
              <w:bottom w:val="nil"/>
              <w:right w:val="nil"/>
            </w:tcBorders>
            <w:vAlign w:val="center"/>
          </w:tcPr>
          <w:p w:rsidR="00D53EEF" w:rsidRPr="00D53EEF" w:rsidRDefault="00D53EEF" w:rsidP="00D53EEF">
            <w:pPr>
              <w:jc w:val="center"/>
              <w:rPr>
                <w:rFonts w:ascii="Calibri" w:hAnsi="Calibri" w:cs="Times New Roman"/>
              </w:rPr>
            </w:pPr>
            <w:r w:rsidRPr="00D53EEF">
              <w:rPr>
                <w:rFonts w:ascii="Calibri" w:hAnsi="Calibri" w:cs="Times New Roman"/>
              </w:rPr>
              <w:t>Average Bonus Paid</w:t>
            </w:r>
          </w:p>
        </w:tc>
        <w:tc>
          <w:tcPr>
            <w:tcW w:w="2025" w:type="dxa"/>
            <w:tcBorders>
              <w:left w:val="nil"/>
              <w:bottom w:val="nil"/>
              <w:right w:val="nil"/>
            </w:tcBorders>
            <w:vAlign w:val="center"/>
          </w:tcPr>
          <w:p w:rsidR="00D53EEF" w:rsidRPr="00D53EEF" w:rsidRDefault="00D53EEF" w:rsidP="00D53EEF">
            <w:pPr>
              <w:jc w:val="center"/>
              <w:rPr>
                <w:rFonts w:ascii="Calibri" w:hAnsi="Calibri" w:cs="Times New Roman"/>
              </w:rPr>
            </w:pPr>
            <w:r w:rsidRPr="00D53EEF">
              <w:rPr>
                <w:rFonts w:ascii="Calibri" w:hAnsi="Calibri" w:cs="Times New Roman"/>
              </w:rPr>
              <w:t>Average Total Remuneration</w:t>
            </w:r>
          </w:p>
          <w:p w:rsidR="00D53EEF" w:rsidRPr="00D53EEF" w:rsidRDefault="00D53EEF" w:rsidP="00D53EEF">
            <w:pPr>
              <w:jc w:val="center"/>
              <w:rPr>
                <w:rFonts w:ascii="Calibri" w:hAnsi="Calibri" w:cs="Times New Roman"/>
              </w:rPr>
            </w:pPr>
          </w:p>
        </w:tc>
      </w:tr>
      <w:tr w:rsidR="00D53EEF" w:rsidRPr="00D53EEF" w:rsidTr="00D273DE">
        <w:tc>
          <w:tcPr>
            <w:tcW w:w="2893" w:type="dxa"/>
            <w:vMerge/>
            <w:tcBorders>
              <w:top w:val="nil"/>
              <w:left w:val="nil"/>
              <w:right w:val="nil"/>
            </w:tcBorders>
          </w:tcPr>
          <w:p w:rsidR="00D53EEF" w:rsidRPr="00D53EEF" w:rsidRDefault="00D53EEF" w:rsidP="00D53EEF">
            <w:pPr>
              <w:rPr>
                <w:rFonts w:ascii="Calibri" w:hAnsi="Calibri" w:cs="Times New Roman"/>
              </w:rPr>
            </w:pPr>
          </w:p>
        </w:tc>
        <w:tc>
          <w:tcPr>
            <w:tcW w:w="1156"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No.</w:t>
            </w:r>
          </w:p>
        </w:tc>
        <w:tc>
          <w:tcPr>
            <w:tcW w:w="2025"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tcBorders>
              <w:top w:val="nil"/>
              <w:left w:val="nil"/>
              <w:right w:val="nil"/>
            </w:tcBorders>
          </w:tcPr>
          <w:p w:rsidR="00D53EEF" w:rsidRPr="00D53EEF" w:rsidRDefault="00D53EEF" w:rsidP="00D53EEF">
            <w:pPr>
              <w:jc w:val="center"/>
              <w:rPr>
                <w:rFonts w:ascii="Calibri" w:hAnsi="Calibri" w:cs="Times New Roman"/>
                <w:b/>
              </w:rPr>
            </w:pPr>
            <w:r w:rsidRPr="00D53EEF">
              <w:rPr>
                <w:rFonts w:ascii="Calibri" w:hAnsi="Calibri" w:cs="Times New Roman"/>
              </w:rPr>
              <w:t>$</w:t>
            </w:r>
          </w:p>
        </w:tc>
        <w:tc>
          <w:tcPr>
            <w:tcW w:w="2025"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$200,000 and less</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17</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$109,608</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$20,575</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$130,182</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$200,001 to $225,000</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9</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$185,826</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$32,015</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$217,841</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$225,001 to $250,000</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12</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$200,009</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$36,605</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$236,614</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$250,001 to $275,000</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13</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$220,870</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$39,733</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$260,603</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$275,001 to $300,000</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6</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$243,151</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$43,398</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$286,549</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$300,001 to $325,000</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$259,903</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$51,536</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$311,439</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$325,001 to $350,000</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8</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$284,926</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$51,322</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$336,248</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$400,001 to $425,000</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3</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$349,241</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$62,082</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$411,323</w:t>
            </w:r>
          </w:p>
        </w:tc>
      </w:tr>
      <w:tr w:rsidR="00D53EEF" w:rsidRPr="00D53EEF" w:rsidTr="00D273DE">
        <w:trPr>
          <w:trHeight w:val="510"/>
        </w:trPr>
        <w:tc>
          <w:tcPr>
            <w:tcW w:w="2893" w:type="dxa"/>
            <w:vAlign w:val="center"/>
          </w:tcPr>
          <w:p w:rsidR="00D53EEF" w:rsidRPr="00D53EEF" w:rsidRDefault="00D53EEF" w:rsidP="00D53EEF">
            <w:pPr>
              <w:rPr>
                <w:rFonts w:ascii="Calibri" w:hAnsi="Calibri" w:cs="Times New Roman"/>
              </w:rPr>
            </w:pPr>
            <w:r w:rsidRPr="00D53EEF">
              <w:rPr>
                <w:rFonts w:ascii="Calibri" w:hAnsi="Calibri" w:cs="Times New Roman"/>
              </w:rPr>
              <w:t>$700,001 to $725,000</w:t>
            </w:r>
          </w:p>
        </w:tc>
        <w:tc>
          <w:tcPr>
            <w:tcW w:w="1156"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$613,835</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$92,253</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$706,088</w:t>
            </w:r>
          </w:p>
        </w:tc>
      </w:tr>
    </w:tbl>
    <w:p w:rsidR="00D53EEF" w:rsidRPr="00D53EEF" w:rsidRDefault="00D53EEF" w:rsidP="00D53EEF">
      <w:pPr>
        <w:pBdr>
          <w:bottom w:val="single" w:sz="4" w:space="10" w:color="auto"/>
        </w:pBdr>
        <w:tabs>
          <w:tab w:val="left" w:pos="3261"/>
        </w:tabs>
        <w:rPr>
          <w:rFonts w:ascii="Calibri" w:eastAsia="Times New Roman" w:hAnsi="Calibri" w:cs="Times New Roman"/>
          <w:b/>
          <w:lang w:eastAsia="en-AU"/>
        </w:rPr>
      </w:pPr>
      <w:r w:rsidRPr="00D53EEF">
        <w:rPr>
          <w:rFonts w:ascii="Calibri" w:eastAsia="Times New Roman" w:hAnsi="Calibri" w:cs="Times New Roman"/>
          <w:b/>
          <w:lang w:eastAsia="en-AU"/>
        </w:rPr>
        <w:t>Total number of executives</w:t>
      </w:r>
      <w:r w:rsidRPr="00D53EEF">
        <w:rPr>
          <w:rFonts w:ascii="Calibri" w:eastAsia="Times New Roman" w:hAnsi="Calibri" w:cs="Times New Roman"/>
          <w:b/>
          <w:lang w:eastAsia="en-AU"/>
        </w:rPr>
        <w:tab/>
        <w:t>70</w:t>
      </w:r>
      <w:r w:rsidRPr="00D53EEF">
        <w:rPr>
          <w:rFonts w:ascii="Calibri" w:eastAsia="Times New Roman" w:hAnsi="Calibri" w:cs="Times New Roman"/>
          <w:b/>
          <w:vertAlign w:val="superscript"/>
          <w:lang w:eastAsia="en-AU"/>
        </w:rPr>
        <w:footnoteReference w:id="1"/>
      </w:r>
    </w:p>
    <w:p w:rsidR="00D53EEF" w:rsidRPr="00D53EEF" w:rsidRDefault="00D53EEF" w:rsidP="00D53EEF">
      <w:pPr>
        <w:rPr>
          <w:rFonts w:ascii="Calibri" w:eastAsia="Times New Roman" w:hAnsi="Calibri" w:cs="Times New Roman"/>
          <w:lang w:eastAsia="en-AU"/>
        </w:rPr>
        <w:sectPr w:rsidR="00D53EEF" w:rsidRPr="00D53EEF" w:rsidSect="00FE081A">
          <w:headerReference w:type="default" r:id="rId7"/>
          <w:pgSz w:w="16838" w:h="11906" w:orient="landscape"/>
          <w:pgMar w:top="720" w:right="720" w:bottom="720" w:left="720" w:header="708" w:footer="708" w:gutter="0"/>
          <w:cols w:space="708"/>
          <w:docGrid w:linePitch="360"/>
        </w:sectPr>
      </w:pPr>
    </w:p>
    <w:p w:rsidR="00D53EEF" w:rsidRPr="00D53EEF" w:rsidRDefault="00D53EEF" w:rsidP="00D53EEF">
      <w:pPr>
        <w:rPr>
          <w:rFonts w:ascii="Calibri" w:eastAsia="Times New Roman" w:hAnsi="Calibri" w:cs="Times New Roman"/>
          <w:b/>
          <w:lang w:eastAsia="en-AU"/>
        </w:rPr>
      </w:pPr>
      <w:r w:rsidRPr="00D53EEF">
        <w:rPr>
          <w:rFonts w:ascii="Calibri" w:eastAsia="Times New Roman" w:hAnsi="Calibri" w:cs="Times New Roman"/>
          <w:b/>
          <w:lang w:eastAsia="en-AU"/>
        </w:rPr>
        <w:lastRenderedPageBreak/>
        <w:t>Table B</w:t>
      </w:r>
    </w:p>
    <w:p w:rsidR="00D53EEF" w:rsidRPr="00D53EEF" w:rsidRDefault="00D53EEF" w:rsidP="00D53EEF">
      <w:pPr>
        <w:pBdr>
          <w:top w:val="single" w:sz="4" w:space="1" w:color="auto"/>
        </w:pBdr>
        <w:rPr>
          <w:rFonts w:ascii="Calibri" w:eastAsia="Times New Roman" w:hAnsi="Calibri" w:cs="Times New Roman"/>
          <w:b/>
          <w:lang w:eastAsia="en-AU"/>
        </w:rPr>
      </w:pPr>
      <w:r w:rsidRPr="00D53EEF">
        <w:rPr>
          <w:rFonts w:ascii="Calibri" w:eastAsia="Times New Roman" w:hAnsi="Calibri" w:cs="Times New Roman"/>
          <w:b/>
          <w:lang w:eastAsia="en-AU"/>
        </w:rPr>
        <w:t>Remuneration paid to high paid staff during the reporting period</w:t>
      </w:r>
    </w:p>
    <w:p w:rsidR="00D53EEF" w:rsidRPr="00D53EEF" w:rsidRDefault="00D53EEF" w:rsidP="00D53EEF">
      <w:pPr>
        <w:pBdr>
          <w:top w:val="single" w:sz="4" w:space="1" w:color="auto"/>
        </w:pBdr>
        <w:rPr>
          <w:rFonts w:ascii="Calibri" w:eastAsia="Times New Roman" w:hAnsi="Calibri" w:cs="Times New Roman"/>
          <w:lang w:eastAsia="en-AU"/>
        </w:rPr>
      </w:pPr>
      <w:r w:rsidRPr="00D53EEF">
        <w:rPr>
          <w:rFonts w:ascii="Calibri" w:eastAsia="Times New Roman" w:hAnsi="Calibri" w:cs="Times New Roman"/>
          <w:lang w:eastAsia="en-AU"/>
        </w:rPr>
        <w:t>Remuneration paid to highly paid staff in 2016-17</w:t>
      </w:r>
    </w:p>
    <w:tbl>
      <w:tblPr>
        <w:tblStyle w:val="TableGrid"/>
        <w:tblW w:w="0" w:type="auto"/>
        <w:tblLook w:val="04A0" w:firstRow="1" w:lastRow="0" w:firstColumn="1" w:lastColumn="0" w:noHBand="0" w:noVBand="1"/>
      </w:tblPr>
      <w:tblGrid>
        <w:gridCol w:w="2376"/>
        <w:gridCol w:w="1673"/>
        <w:gridCol w:w="2025"/>
        <w:gridCol w:w="2025"/>
        <w:gridCol w:w="2025"/>
        <w:gridCol w:w="2025"/>
        <w:gridCol w:w="2025"/>
      </w:tblGrid>
      <w:tr w:rsidR="00D53EEF" w:rsidRPr="00D53EEF" w:rsidTr="00D273DE">
        <w:tc>
          <w:tcPr>
            <w:tcW w:w="2376" w:type="dxa"/>
            <w:vMerge w:val="restart"/>
            <w:tcBorders>
              <w:left w:val="nil"/>
              <w:bottom w:val="nil"/>
              <w:right w:val="nil"/>
            </w:tcBorders>
            <w:vAlign w:val="center"/>
          </w:tcPr>
          <w:p w:rsidR="00D53EEF" w:rsidRPr="00D53EEF" w:rsidRDefault="00D53EEF" w:rsidP="00D53EEF">
            <w:pPr>
              <w:rPr>
                <w:rFonts w:ascii="Calibri" w:hAnsi="Calibri" w:cs="Times New Roman"/>
              </w:rPr>
            </w:pPr>
            <w:r w:rsidRPr="00D53EEF">
              <w:rPr>
                <w:rFonts w:ascii="Calibri" w:hAnsi="Calibri" w:cs="Times New Roman"/>
              </w:rPr>
              <w:t>Total remuneration</w:t>
            </w:r>
          </w:p>
        </w:tc>
        <w:tc>
          <w:tcPr>
            <w:tcW w:w="1673" w:type="dxa"/>
            <w:tcBorders>
              <w:left w:val="nil"/>
              <w:bottom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 xml:space="preserve">Highly paid </w:t>
            </w:r>
            <w:r w:rsidRPr="00D53EEF">
              <w:rPr>
                <w:rFonts w:ascii="Calibri" w:hAnsi="Calibri" w:cs="Times New Roman"/>
              </w:rPr>
              <w:br/>
              <w:t>staff</w:t>
            </w:r>
            <w:r w:rsidRPr="00D53EEF">
              <w:rPr>
                <w:rFonts w:ascii="Calibri" w:hAnsi="Calibri" w:cs="Times New Roman"/>
              </w:rPr>
              <w:br/>
            </w:r>
          </w:p>
        </w:tc>
        <w:tc>
          <w:tcPr>
            <w:tcW w:w="2025" w:type="dxa"/>
            <w:tcBorders>
              <w:left w:val="nil"/>
              <w:bottom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Average Reportable Salary</w:t>
            </w:r>
          </w:p>
        </w:tc>
        <w:tc>
          <w:tcPr>
            <w:tcW w:w="2025" w:type="dxa"/>
            <w:tcBorders>
              <w:left w:val="nil"/>
              <w:bottom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Average Contributed Superannuation</w:t>
            </w:r>
          </w:p>
        </w:tc>
        <w:tc>
          <w:tcPr>
            <w:tcW w:w="2025" w:type="dxa"/>
            <w:tcBorders>
              <w:left w:val="nil"/>
              <w:bottom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Average Allowances</w:t>
            </w:r>
          </w:p>
        </w:tc>
        <w:tc>
          <w:tcPr>
            <w:tcW w:w="2025" w:type="dxa"/>
            <w:tcBorders>
              <w:left w:val="nil"/>
              <w:bottom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Average Bonus Paid</w:t>
            </w:r>
          </w:p>
        </w:tc>
        <w:tc>
          <w:tcPr>
            <w:tcW w:w="2025" w:type="dxa"/>
            <w:tcBorders>
              <w:left w:val="nil"/>
              <w:bottom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Average Total Remuneration</w:t>
            </w:r>
          </w:p>
          <w:p w:rsidR="00D53EEF" w:rsidRPr="00D53EEF" w:rsidRDefault="00D53EEF" w:rsidP="00D53EEF">
            <w:pPr>
              <w:jc w:val="center"/>
              <w:rPr>
                <w:rFonts w:ascii="Calibri" w:hAnsi="Calibri" w:cs="Times New Roman"/>
              </w:rPr>
            </w:pPr>
          </w:p>
        </w:tc>
      </w:tr>
      <w:tr w:rsidR="00D53EEF" w:rsidRPr="00D53EEF" w:rsidTr="00D273DE">
        <w:tc>
          <w:tcPr>
            <w:tcW w:w="2376" w:type="dxa"/>
            <w:vMerge/>
            <w:tcBorders>
              <w:top w:val="nil"/>
              <w:left w:val="nil"/>
              <w:right w:val="nil"/>
            </w:tcBorders>
          </w:tcPr>
          <w:p w:rsidR="00D53EEF" w:rsidRPr="00D53EEF" w:rsidRDefault="00D53EEF" w:rsidP="00D53EEF">
            <w:pPr>
              <w:rPr>
                <w:rFonts w:ascii="Calibri" w:hAnsi="Calibri" w:cs="Times New Roman"/>
              </w:rPr>
            </w:pPr>
          </w:p>
        </w:tc>
        <w:tc>
          <w:tcPr>
            <w:tcW w:w="1673"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No.</w:t>
            </w:r>
          </w:p>
        </w:tc>
        <w:tc>
          <w:tcPr>
            <w:tcW w:w="2025"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tcBorders>
              <w:top w:val="nil"/>
              <w:left w:val="nil"/>
              <w:right w:val="nil"/>
            </w:tcBorders>
          </w:tcPr>
          <w:p w:rsidR="00D53EEF" w:rsidRPr="00D53EEF" w:rsidRDefault="00D53EEF" w:rsidP="00D53EEF">
            <w:pPr>
              <w:jc w:val="center"/>
              <w:rPr>
                <w:rFonts w:ascii="Calibri" w:hAnsi="Calibri" w:cs="Times New Roman"/>
                <w:b/>
              </w:rPr>
            </w:pPr>
            <w:r w:rsidRPr="00D53EEF">
              <w:rPr>
                <w:rFonts w:ascii="Calibri" w:hAnsi="Calibri" w:cs="Times New Roman"/>
              </w:rPr>
              <w:t>$</w:t>
            </w:r>
          </w:p>
        </w:tc>
        <w:tc>
          <w:tcPr>
            <w:tcW w:w="2025"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tcBorders>
              <w:top w:val="nil"/>
              <w:left w:val="nil"/>
              <w:right w:val="nil"/>
            </w:tcBorders>
          </w:tcPr>
          <w:p w:rsidR="00D53EEF" w:rsidRPr="00D53EEF" w:rsidRDefault="00D53EEF" w:rsidP="00D53EEF">
            <w:pPr>
              <w:jc w:val="center"/>
              <w:rPr>
                <w:rFonts w:ascii="Calibri" w:hAnsi="Calibri" w:cs="Times New Roman"/>
              </w:rPr>
            </w:pPr>
            <w:r w:rsidRPr="00D53EEF">
              <w:rPr>
                <w:rFonts w:ascii="Calibri" w:hAnsi="Calibri" w:cs="Times New Roman"/>
              </w:rPr>
              <w:t>$</w:t>
            </w:r>
          </w:p>
        </w:tc>
      </w:tr>
      <w:tr w:rsidR="00D53EEF" w:rsidRPr="00D53EEF" w:rsidTr="00D273DE">
        <w:trPr>
          <w:trHeight w:val="510"/>
        </w:trPr>
        <w:tc>
          <w:tcPr>
            <w:tcW w:w="2376" w:type="dxa"/>
            <w:vAlign w:val="center"/>
          </w:tcPr>
          <w:p w:rsidR="00D53EEF" w:rsidRPr="00D53EEF" w:rsidRDefault="00D53EEF" w:rsidP="00D53EEF">
            <w:pPr>
              <w:rPr>
                <w:rFonts w:ascii="Calibri" w:hAnsi="Calibri" w:cs="Times New Roman"/>
              </w:rPr>
            </w:pPr>
            <w:r w:rsidRPr="00D53EEF">
              <w:rPr>
                <w:rFonts w:ascii="Calibri" w:hAnsi="Calibri" w:cs="Times New Roman"/>
              </w:rPr>
              <w:t>$200,001 to $225,000</w:t>
            </w:r>
          </w:p>
        </w:tc>
        <w:tc>
          <w:tcPr>
            <w:tcW w:w="1673"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$196,689</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$26,501</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w:t>
            </w:r>
          </w:p>
        </w:tc>
        <w:tc>
          <w:tcPr>
            <w:tcW w:w="2025" w:type="dxa"/>
            <w:vAlign w:val="center"/>
          </w:tcPr>
          <w:p w:rsidR="00D53EEF" w:rsidRPr="00D53EEF" w:rsidRDefault="00D53EEF" w:rsidP="00D53EEF">
            <w:pPr>
              <w:jc w:val="center"/>
              <w:rPr>
                <w:rFonts w:ascii="Calibri" w:hAnsi="Calibri" w:cs="Times New Roman"/>
              </w:rPr>
            </w:pPr>
            <w:r w:rsidRPr="00D53EEF">
              <w:rPr>
                <w:rFonts w:ascii="Calibri" w:hAnsi="Calibri" w:cs="Times New Roman"/>
              </w:rPr>
              <w:t>-</w:t>
            </w:r>
          </w:p>
        </w:tc>
        <w:tc>
          <w:tcPr>
            <w:tcW w:w="2025" w:type="dxa"/>
            <w:vAlign w:val="center"/>
          </w:tcPr>
          <w:p w:rsidR="00D53EEF" w:rsidRPr="00D53EEF" w:rsidRDefault="00D53EEF" w:rsidP="00D53EEF">
            <w:pPr>
              <w:jc w:val="center"/>
              <w:rPr>
                <w:rFonts w:ascii="Arial" w:hAnsi="Arial" w:cs="Arial"/>
                <w:sz w:val="20"/>
                <w:szCs w:val="20"/>
              </w:rPr>
            </w:pPr>
            <w:r w:rsidRPr="00D53EEF">
              <w:rPr>
                <w:rFonts w:ascii="Arial" w:hAnsi="Arial" w:cs="Arial"/>
                <w:sz w:val="20"/>
                <w:szCs w:val="20"/>
              </w:rPr>
              <w:t>$223,190</w:t>
            </w:r>
          </w:p>
        </w:tc>
      </w:tr>
    </w:tbl>
    <w:p w:rsidR="00D53EEF" w:rsidRPr="00D53EEF" w:rsidRDefault="00D53EEF" w:rsidP="00D53EEF">
      <w:pPr>
        <w:rPr>
          <w:rFonts w:ascii="Calibri" w:eastAsia="Times New Roman" w:hAnsi="Calibri" w:cs="Times New Roman"/>
          <w:lang w:eastAsia="en-AU"/>
        </w:rPr>
      </w:pPr>
    </w:p>
    <w:p w:rsidR="00610CBF" w:rsidRDefault="00D53EEF">
      <w:bookmarkStart w:id="0" w:name="_GoBack"/>
      <w:bookmarkEnd w:id="0"/>
    </w:p>
    <w:sectPr w:rsidR="00610CBF" w:rsidSect="00D53EE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EF" w:rsidRDefault="00D53EEF" w:rsidP="00D53EEF">
      <w:pPr>
        <w:spacing w:after="0" w:line="240" w:lineRule="auto"/>
      </w:pPr>
      <w:r>
        <w:separator/>
      </w:r>
    </w:p>
  </w:endnote>
  <w:endnote w:type="continuationSeparator" w:id="0">
    <w:p w:rsidR="00D53EEF" w:rsidRDefault="00D53EEF" w:rsidP="00D5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EF" w:rsidRDefault="00D53EEF" w:rsidP="00D53EEF">
      <w:pPr>
        <w:spacing w:after="0" w:line="240" w:lineRule="auto"/>
      </w:pPr>
      <w:r>
        <w:separator/>
      </w:r>
    </w:p>
  </w:footnote>
  <w:footnote w:type="continuationSeparator" w:id="0">
    <w:p w:rsidR="00D53EEF" w:rsidRDefault="00D53EEF" w:rsidP="00D53EEF">
      <w:pPr>
        <w:spacing w:after="0" w:line="240" w:lineRule="auto"/>
      </w:pPr>
      <w:r>
        <w:continuationSeparator/>
      </w:r>
    </w:p>
  </w:footnote>
  <w:footnote w:id="1">
    <w:p w:rsidR="00D53EEF" w:rsidRDefault="00D53EEF" w:rsidP="00D53EEF">
      <w:pPr>
        <w:pStyle w:val="FootnoteText"/>
      </w:pPr>
      <w:r>
        <w:rPr>
          <w:rStyle w:val="FootnoteReference"/>
        </w:rPr>
        <w:footnoteRef/>
      </w:r>
      <w:r>
        <w:t xml:space="preserve"> All substantive SES are included as headcount in the note regardless of time engaged with the agency for the reporting period or dollar value of remuneration. Accordingly SES staff movements may result in SES numbers that exceed the number of SES positions.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EF" w:rsidRPr="003C6A0B" w:rsidRDefault="00D53EEF" w:rsidP="00E468C0">
    <w:pPr>
      <w:pStyle w:val="Header"/>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EF"/>
    <w:rsid w:val="00310B91"/>
    <w:rsid w:val="00580AB7"/>
    <w:rsid w:val="00D53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EEF"/>
    <w:pPr>
      <w:tabs>
        <w:tab w:val="center" w:pos="4513"/>
        <w:tab w:val="right" w:pos="9026"/>
      </w:tabs>
      <w:spacing w:after="0" w:line="240" w:lineRule="auto"/>
    </w:pPr>
    <w:rPr>
      <w:rFonts w:eastAsia="Times New Roman"/>
      <w:lang w:eastAsia="en-AU"/>
    </w:rPr>
  </w:style>
  <w:style w:type="character" w:customStyle="1" w:styleId="HeaderChar">
    <w:name w:val="Header Char"/>
    <w:basedOn w:val="DefaultParagraphFont"/>
    <w:link w:val="Header"/>
    <w:uiPriority w:val="99"/>
    <w:rsid w:val="00D53EEF"/>
    <w:rPr>
      <w:rFonts w:eastAsia="Times New Roman"/>
      <w:lang w:eastAsia="en-AU"/>
    </w:rPr>
  </w:style>
  <w:style w:type="table" w:styleId="TableGrid">
    <w:name w:val="Table Grid"/>
    <w:basedOn w:val="TableNormal"/>
    <w:uiPriority w:val="59"/>
    <w:rsid w:val="00D53EEF"/>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EEF"/>
    <w:pPr>
      <w:spacing w:after="0" w:line="240" w:lineRule="auto"/>
    </w:pPr>
    <w:rPr>
      <w:rFonts w:eastAsia="Times New Roman"/>
      <w:sz w:val="20"/>
      <w:szCs w:val="20"/>
      <w:lang w:eastAsia="en-AU"/>
    </w:rPr>
  </w:style>
  <w:style w:type="character" w:customStyle="1" w:styleId="FootnoteTextChar">
    <w:name w:val="Footnote Text Char"/>
    <w:basedOn w:val="DefaultParagraphFont"/>
    <w:link w:val="FootnoteText"/>
    <w:uiPriority w:val="99"/>
    <w:semiHidden/>
    <w:rsid w:val="00D53EEF"/>
    <w:rPr>
      <w:rFonts w:eastAsia="Times New Roman"/>
      <w:sz w:val="20"/>
      <w:szCs w:val="20"/>
      <w:lang w:eastAsia="en-AU"/>
    </w:rPr>
  </w:style>
  <w:style w:type="character" w:styleId="FootnoteReference">
    <w:name w:val="footnote reference"/>
    <w:basedOn w:val="DefaultParagraphFont"/>
    <w:uiPriority w:val="99"/>
    <w:semiHidden/>
    <w:unhideWhenUsed/>
    <w:rsid w:val="00D53EEF"/>
    <w:rPr>
      <w:vertAlign w:val="superscript"/>
    </w:rPr>
  </w:style>
  <w:style w:type="paragraph" w:styleId="Footer">
    <w:name w:val="footer"/>
    <w:basedOn w:val="Normal"/>
    <w:link w:val="FooterChar"/>
    <w:uiPriority w:val="99"/>
    <w:unhideWhenUsed/>
    <w:rsid w:val="00D53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EEF"/>
    <w:pPr>
      <w:tabs>
        <w:tab w:val="center" w:pos="4513"/>
        <w:tab w:val="right" w:pos="9026"/>
      </w:tabs>
      <w:spacing w:after="0" w:line="240" w:lineRule="auto"/>
    </w:pPr>
    <w:rPr>
      <w:rFonts w:eastAsia="Times New Roman"/>
      <w:lang w:eastAsia="en-AU"/>
    </w:rPr>
  </w:style>
  <w:style w:type="character" w:customStyle="1" w:styleId="HeaderChar">
    <w:name w:val="Header Char"/>
    <w:basedOn w:val="DefaultParagraphFont"/>
    <w:link w:val="Header"/>
    <w:uiPriority w:val="99"/>
    <w:rsid w:val="00D53EEF"/>
    <w:rPr>
      <w:rFonts w:eastAsia="Times New Roman"/>
      <w:lang w:eastAsia="en-AU"/>
    </w:rPr>
  </w:style>
  <w:style w:type="table" w:styleId="TableGrid">
    <w:name w:val="Table Grid"/>
    <w:basedOn w:val="TableNormal"/>
    <w:uiPriority w:val="59"/>
    <w:rsid w:val="00D53EEF"/>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EEF"/>
    <w:pPr>
      <w:spacing w:after="0" w:line="240" w:lineRule="auto"/>
    </w:pPr>
    <w:rPr>
      <w:rFonts w:eastAsia="Times New Roman"/>
      <w:sz w:val="20"/>
      <w:szCs w:val="20"/>
      <w:lang w:eastAsia="en-AU"/>
    </w:rPr>
  </w:style>
  <w:style w:type="character" w:customStyle="1" w:styleId="FootnoteTextChar">
    <w:name w:val="Footnote Text Char"/>
    <w:basedOn w:val="DefaultParagraphFont"/>
    <w:link w:val="FootnoteText"/>
    <w:uiPriority w:val="99"/>
    <w:semiHidden/>
    <w:rsid w:val="00D53EEF"/>
    <w:rPr>
      <w:rFonts w:eastAsia="Times New Roman"/>
      <w:sz w:val="20"/>
      <w:szCs w:val="20"/>
      <w:lang w:eastAsia="en-AU"/>
    </w:rPr>
  </w:style>
  <w:style w:type="character" w:styleId="FootnoteReference">
    <w:name w:val="footnote reference"/>
    <w:basedOn w:val="DefaultParagraphFont"/>
    <w:uiPriority w:val="99"/>
    <w:semiHidden/>
    <w:unhideWhenUsed/>
    <w:rsid w:val="00D53EEF"/>
    <w:rPr>
      <w:vertAlign w:val="superscript"/>
    </w:rPr>
  </w:style>
  <w:style w:type="paragraph" w:styleId="Footer">
    <w:name w:val="footer"/>
    <w:basedOn w:val="Normal"/>
    <w:link w:val="FooterChar"/>
    <w:uiPriority w:val="99"/>
    <w:unhideWhenUsed/>
    <w:rsid w:val="00D53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CF4DF-EC25-465E-B20E-EDA6FBE1CD40}"/>
</file>

<file path=customXml/itemProps2.xml><?xml version="1.0" encoding="utf-8"?>
<ds:datastoreItem xmlns:ds="http://schemas.openxmlformats.org/officeDocument/2006/customXml" ds:itemID="{D9D2BB90-2087-4B71-A221-822D5F17ACB5}"/>
</file>

<file path=customXml/itemProps3.xml><?xml version="1.0" encoding="utf-8"?>
<ds:datastoreItem xmlns:ds="http://schemas.openxmlformats.org/officeDocument/2006/customXml" ds:itemID="{75380618-0AB6-4457-9CCC-1397A47F4C14}"/>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Hargreaves</dc:creator>
  <cp:lastModifiedBy>Libby Hargreaves</cp:lastModifiedBy>
  <cp:revision>1</cp:revision>
  <dcterms:created xsi:type="dcterms:W3CDTF">2017-07-31T04:15:00Z</dcterms:created>
  <dcterms:modified xsi:type="dcterms:W3CDTF">2017-07-31T04:18:00Z</dcterms:modified>
</cp:coreProperties>
</file>