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9FFCA" w14:textId="4D21EA72" w:rsidR="00603FC8" w:rsidRDefault="0041400C" w:rsidP="00793E1B">
      <w:pPr>
        <w:pStyle w:val="Title"/>
      </w:pPr>
      <w:bookmarkStart w:id="0" w:name="_GoBack"/>
      <w:r w:rsidRPr="0041400C">
        <w:t>Next gene</w:t>
      </w:r>
      <w:r>
        <w:t xml:space="preserve">ration of employment services: </w:t>
      </w:r>
      <w:r w:rsidRPr="0041400C">
        <w:t>appendices</w:t>
      </w:r>
    </w:p>
    <w:bookmarkEnd w:id="0"/>
    <w:p w14:paraId="145ECF3C" w14:textId="77777777" w:rsidR="00603FC8" w:rsidRDefault="00603FC8">
      <w:pPr>
        <w:spacing w:after="160" w:line="259" w:lineRule="auto"/>
        <w:rPr>
          <w:rFonts w:ascii="Calibri" w:eastAsiaTheme="majorEastAsia" w:hAnsi="Calibri" w:cstheme="majorBidi"/>
          <w:b/>
          <w:bCs/>
          <w:color w:val="1E3D6B"/>
          <w:sz w:val="36"/>
          <w:szCs w:val="28"/>
        </w:rPr>
      </w:pPr>
      <w:r>
        <w:br w:type="page"/>
      </w:r>
    </w:p>
    <w:sdt>
      <w:sdtPr>
        <w:rPr>
          <w:rFonts w:asciiTheme="minorHAnsi" w:eastAsiaTheme="minorEastAsia" w:hAnsiTheme="minorHAnsi" w:cstheme="minorBidi"/>
          <w:color w:val="auto"/>
          <w:sz w:val="22"/>
          <w:szCs w:val="22"/>
          <w:lang w:val="en-AU"/>
        </w:rPr>
        <w:id w:val="-1162775526"/>
        <w:docPartObj>
          <w:docPartGallery w:val="Table of Contents"/>
          <w:docPartUnique/>
        </w:docPartObj>
      </w:sdtPr>
      <w:sdtEndPr>
        <w:rPr>
          <w:b/>
          <w:bCs/>
          <w:noProof/>
        </w:rPr>
      </w:sdtEndPr>
      <w:sdtContent>
        <w:p w14:paraId="7EC48526" w14:textId="77777777" w:rsidR="00616746" w:rsidRDefault="00616746" w:rsidP="00D00151">
          <w:pPr>
            <w:pStyle w:val="TOCHeading"/>
          </w:pPr>
          <w:r>
            <w:t>Contents</w:t>
          </w:r>
        </w:p>
        <w:p w14:paraId="559EA44E" w14:textId="534E21C2" w:rsidR="00F21A94" w:rsidRDefault="00616746">
          <w:pPr>
            <w:pStyle w:val="TOC1"/>
            <w:tabs>
              <w:tab w:val="right" w:leader="dot" w:pos="9016"/>
            </w:tabs>
            <w:rPr>
              <w:noProof/>
              <w:lang w:eastAsia="en-AU"/>
            </w:rPr>
          </w:pPr>
          <w:r>
            <w:fldChar w:fldCharType="begin"/>
          </w:r>
          <w:r>
            <w:instrText xml:space="preserve"> TOC \o "1-1" \h \z \u </w:instrText>
          </w:r>
          <w:r>
            <w:fldChar w:fldCharType="separate"/>
          </w:r>
          <w:hyperlink w:anchor="_Toc518050078" w:history="1">
            <w:r w:rsidR="00F21A94" w:rsidRPr="00B03248">
              <w:rPr>
                <w:rStyle w:val="Hyperlink"/>
                <w:noProof/>
              </w:rPr>
              <w:t>Appendix A: Short history of employment services</w:t>
            </w:r>
            <w:r w:rsidR="00F21A94">
              <w:rPr>
                <w:noProof/>
                <w:webHidden/>
              </w:rPr>
              <w:tab/>
            </w:r>
            <w:r w:rsidR="00F21A94">
              <w:rPr>
                <w:noProof/>
                <w:webHidden/>
              </w:rPr>
              <w:fldChar w:fldCharType="begin"/>
            </w:r>
            <w:r w:rsidR="00F21A94">
              <w:rPr>
                <w:noProof/>
                <w:webHidden/>
              </w:rPr>
              <w:instrText xml:space="preserve"> PAGEREF _Toc518050078 \h </w:instrText>
            </w:r>
            <w:r w:rsidR="00F21A94">
              <w:rPr>
                <w:noProof/>
                <w:webHidden/>
              </w:rPr>
            </w:r>
            <w:r w:rsidR="00F21A94">
              <w:rPr>
                <w:noProof/>
                <w:webHidden/>
              </w:rPr>
              <w:fldChar w:fldCharType="separate"/>
            </w:r>
            <w:r w:rsidR="00F21A94">
              <w:rPr>
                <w:noProof/>
                <w:webHidden/>
              </w:rPr>
              <w:t>3</w:t>
            </w:r>
            <w:r w:rsidR="00F21A94">
              <w:rPr>
                <w:noProof/>
                <w:webHidden/>
              </w:rPr>
              <w:fldChar w:fldCharType="end"/>
            </w:r>
          </w:hyperlink>
        </w:p>
        <w:p w14:paraId="42122691" w14:textId="39A67162" w:rsidR="00F21A94" w:rsidRDefault="001C143A">
          <w:pPr>
            <w:pStyle w:val="TOC1"/>
            <w:tabs>
              <w:tab w:val="right" w:leader="dot" w:pos="9016"/>
            </w:tabs>
            <w:rPr>
              <w:noProof/>
              <w:lang w:eastAsia="en-AU"/>
            </w:rPr>
          </w:pPr>
          <w:hyperlink w:anchor="_Toc518050079" w:history="1">
            <w:r w:rsidR="00F21A94" w:rsidRPr="00B03248">
              <w:rPr>
                <w:rStyle w:val="Hyperlink"/>
                <w:noProof/>
              </w:rPr>
              <w:t>Appendix B: A guide to jobactive</w:t>
            </w:r>
            <w:r w:rsidR="00F21A94">
              <w:rPr>
                <w:noProof/>
                <w:webHidden/>
              </w:rPr>
              <w:tab/>
            </w:r>
            <w:r w:rsidR="00F21A94">
              <w:rPr>
                <w:noProof/>
                <w:webHidden/>
              </w:rPr>
              <w:fldChar w:fldCharType="begin"/>
            </w:r>
            <w:r w:rsidR="00F21A94">
              <w:rPr>
                <w:noProof/>
                <w:webHidden/>
              </w:rPr>
              <w:instrText xml:space="preserve"> PAGEREF _Toc518050079 \h </w:instrText>
            </w:r>
            <w:r w:rsidR="00F21A94">
              <w:rPr>
                <w:noProof/>
                <w:webHidden/>
              </w:rPr>
            </w:r>
            <w:r w:rsidR="00F21A94">
              <w:rPr>
                <w:noProof/>
                <w:webHidden/>
              </w:rPr>
              <w:fldChar w:fldCharType="separate"/>
            </w:r>
            <w:r w:rsidR="00F21A94">
              <w:rPr>
                <w:noProof/>
                <w:webHidden/>
              </w:rPr>
              <w:t>4</w:t>
            </w:r>
            <w:r w:rsidR="00F21A94">
              <w:rPr>
                <w:noProof/>
                <w:webHidden/>
              </w:rPr>
              <w:fldChar w:fldCharType="end"/>
            </w:r>
          </w:hyperlink>
        </w:p>
        <w:p w14:paraId="4D5E6789" w14:textId="5940E457" w:rsidR="00F21A94" w:rsidRDefault="001C143A">
          <w:pPr>
            <w:pStyle w:val="TOC1"/>
            <w:tabs>
              <w:tab w:val="right" w:leader="dot" w:pos="9016"/>
            </w:tabs>
            <w:rPr>
              <w:noProof/>
              <w:lang w:eastAsia="en-AU"/>
            </w:rPr>
          </w:pPr>
          <w:hyperlink w:anchor="_Toc518050080" w:history="1">
            <w:r w:rsidR="00F21A94" w:rsidRPr="00B03248">
              <w:rPr>
                <w:rStyle w:val="Hyperlink"/>
                <w:noProof/>
              </w:rPr>
              <w:t>Appendix C: Summary of complementary programs</w:t>
            </w:r>
            <w:r w:rsidR="00F21A94">
              <w:rPr>
                <w:noProof/>
                <w:webHidden/>
              </w:rPr>
              <w:tab/>
            </w:r>
            <w:r w:rsidR="00F21A94">
              <w:rPr>
                <w:noProof/>
                <w:webHidden/>
              </w:rPr>
              <w:fldChar w:fldCharType="begin"/>
            </w:r>
            <w:r w:rsidR="00F21A94">
              <w:rPr>
                <w:noProof/>
                <w:webHidden/>
              </w:rPr>
              <w:instrText xml:space="preserve"> PAGEREF _Toc518050080 \h </w:instrText>
            </w:r>
            <w:r w:rsidR="00F21A94">
              <w:rPr>
                <w:noProof/>
                <w:webHidden/>
              </w:rPr>
            </w:r>
            <w:r w:rsidR="00F21A94">
              <w:rPr>
                <w:noProof/>
                <w:webHidden/>
              </w:rPr>
              <w:fldChar w:fldCharType="separate"/>
            </w:r>
            <w:r w:rsidR="00F21A94">
              <w:rPr>
                <w:noProof/>
                <w:webHidden/>
              </w:rPr>
              <w:t>8</w:t>
            </w:r>
            <w:r w:rsidR="00F21A94">
              <w:rPr>
                <w:noProof/>
                <w:webHidden/>
              </w:rPr>
              <w:fldChar w:fldCharType="end"/>
            </w:r>
          </w:hyperlink>
        </w:p>
        <w:p w14:paraId="39B6CAF6" w14:textId="0C3AF241" w:rsidR="00F21A94" w:rsidRDefault="001C143A">
          <w:pPr>
            <w:pStyle w:val="TOC1"/>
            <w:tabs>
              <w:tab w:val="right" w:leader="dot" w:pos="9016"/>
            </w:tabs>
            <w:rPr>
              <w:noProof/>
              <w:lang w:eastAsia="en-AU"/>
            </w:rPr>
          </w:pPr>
          <w:hyperlink w:anchor="_Toc518050081" w:history="1">
            <w:r w:rsidR="00F21A94" w:rsidRPr="00B03248">
              <w:rPr>
                <w:rStyle w:val="Hyperlink"/>
                <w:noProof/>
              </w:rPr>
              <w:t>Appendix D: Common misconceptions of employment services</w:t>
            </w:r>
            <w:r w:rsidR="00F21A94">
              <w:rPr>
                <w:noProof/>
                <w:webHidden/>
              </w:rPr>
              <w:tab/>
            </w:r>
            <w:r w:rsidR="00F21A94">
              <w:rPr>
                <w:noProof/>
                <w:webHidden/>
              </w:rPr>
              <w:fldChar w:fldCharType="begin"/>
            </w:r>
            <w:r w:rsidR="00F21A94">
              <w:rPr>
                <w:noProof/>
                <w:webHidden/>
              </w:rPr>
              <w:instrText xml:space="preserve"> PAGEREF _Toc518050081 \h </w:instrText>
            </w:r>
            <w:r w:rsidR="00F21A94">
              <w:rPr>
                <w:noProof/>
                <w:webHidden/>
              </w:rPr>
            </w:r>
            <w:r w:rsidR="00F21A94">
              <w:rPr>
                <w:noProof/>
                <w:webHidden/>
              </w:rPr>
              <w:fldChar w:fldCharType="separate"/>
            </w:r>
            <w:r w:rsidR="00F21A94">
              <w:rPr>
                <w:noProof/>
                <w:webHidden/>
              </w:rPr>
              <w:t>14</w:t>
            </w:r>
            <w:r w:rsidR="00F21A94">
              <w:rPr>
                <w:noProof/>
                <w:webHidden/>
              </w:rPr>
              <w:fldChar w:fldCharType="end"/>
            </w:r>
          </w:hyperlink>
        </w:p>
        <w:p w14:paraId="34951131" w14:textId="0CCF42CA" w:rsidR="00F21A94" w:rsidRDefault="001C143A">
          <w:pPr>
            <w:pStyle w:val="TOC1"/>
            <w:tabs>
              <w:tab w:val="right" w:leader="dot" w:pos="9016"/>
            </w:tabs>
            <w:rPr>
              <w:noProof/>
              <w:lang w:eastAsia="en-AU"/>
            </w:rPr>
          </w:pPr>
          <w:hyperlink w:anchor="_Toc518050082" w:history="1">
            <w:r w:rsidR="00F21A94" w:rsidRPr="00B03248">
              <w:rPr>
                <w:rStyle w:val="Hyperlink"/>
                <w:noProof/>
              </w:rPr>
              <w:t>Appendix E: jobactive caseload data</w:t>
            </w:r>
            <w:r w:rsidR="00F21A94">
              <w:rPr>
                <w:noProof/>
                <w:webHidden/>
              </w:rPr>
              <w:tab/>
            </w:r>
            <w:r w:rsidR="00F21A94">
              <w:rPr>
                <w:noProof/>
                <w:webHidden/>
              </w:rPr>
              <w:fldChar w:fldCharType="begin"/>
            </w:r>
            <w:r w:rsidR="00F21A94">
              <w:rPr>
                <w:noProof/>
                <w:webHidden/>
              </w:rPr>
              <w:instrText xml:space="preserve"> PAGEREF _Toc518050082 \h </w:instrText>
            </w:r>
            <w:r w:rsidR="00F21A94">
              <w:rPr>
                <w:noProof/>
                <w:webHidden/>
              </w:rPr>
            </w:r>
            <w:r w:rsidR="00F21A94">
              <w:rPr>
                <w:noProof/>
                <w:webHidden/>
              </w:rPr>
              <w:fldChar w:fldCharType="separate"/>
            </w:r>
            <w:r w:rsidR="00F21A94">
              <w:rPr>
                <w:noProof/>
                <w:webHidden/>
              </w:rPr>
              <w:t>16</w:t>
            </w:r>
            <w:r w:rsidR="00F21A94">
              <w:rPr>
                <w:noProof/>
                <w:webHidden/>
              </w:rPr>
              <w:fldChar w:fldCharType="end"/>
            </w:r>
          </w:hyperlink>
        </w:p>
        <w:p w14:paraId="55C145C3" w14:textId="45A704C2" w:rsidR="00F21A94" w:rsidRDefault="001C143A">
          <w:pPr>
            <w:pStyle w:val="TOC1"/>
            <w:tabs>
              <w:tab w:val="right" w:leader="dot" w:pos="9016"/>
            </w:tabs>
            <w:rPr>
              <w:noProof/>
              <w:lang w:eastAsia="en-AU"/>
            </w:rPr>
          </w:pPr>
          <w:hyperlink w:anchor="_Toc518050083" w:history="1">
            <w:r w:rsidR="00F21A94" w:rsidRPr="00B03248">
              <w:rPr>
                <w:rStyle w:val="Hyperlink"/>
                <w:noProof/>
              </w:rPr>
              <w:t xml:space="preserve">Appendix F: Performance of jobactive </w:t>
            </w:r>
            <w:r w:rsidR="00F21A94" w:rsidRPr="00B03248">
              <w:rPr>
                <w:rStyle w:val="Hyperlink"/>
                <w:rFonts w:cstheme="minorHAnsi"/>
                <w:noProof/>
              </w:rPr>
              <w:t>(1 July 2015 to 31 May 2018)</w:t>
            </w:r>
            <w:r w:rsidR="00F21A94">
              <w:rPr>
                <w:noProof/>
                <w:webHidden/>
              </w:rPr>
              <w:tab/>
            </w:r>
            <w:r w:rsidR="00F21A94">
              <w:rPr>
                <w:noProof/>
                <w:webHidden/>
              </w:rPr>
              <w:fldChar w:fldCharType="begin"/>
            </w:r>
            <w:r w:rsidR="00F21A94">
              <w:rPr>
                <w:noProof/>
                <w:webHidden/>
              </w:rPr>
              <w:instrText xml:space="preserve"> PAGEREF _Toc518050083 \h </w:instrText>
            </w:r>
            <w:r w:rsidR="00F21A94">
              <w:rPr>
                <w:noProof/>
                <w:webHidden/>
              </w:rPr>
            </w:r>
            <w:r w:rsidR="00F21A94">
              <w:rPr>
                <w:noProof/>
                <w:webHidden/>
              </w:rPr>
              <w:fldChar w:fldCharType="separate"/>
            </w:r>
            <w:r w:rsidR="00F21A94">
              <w:rPr>
                <w:noProof/>
                <w:webHidden/>
              </w:rPr>
              <w:t>19</w:t>
            </w:r>
            <w:r w:rsidR="00F21A94">
              <w:rPr>
                <w:noProof/>
                <w:webHidden/>
              </w:rPr>
              <w:fldChar w:fldCharType="end"/>
            </w:r>
          </w:hyperlink>
        </w:p>
        <w:p w14:paraId="729E362F" w14:textId="2E0E1A65" w:rsidR="00F21A94" w:rsidRDefault="001C143A">
          <w:pPr>
            <w:pStyle w:val="TOC1"/>
            <w:tabs>
              <w:tab w:val="right" w:leader="dot" w:pos="9016"/>
            </w:tabs>
            <w:rPr>
              <w:noProof/>
              <w:lang w:eastAsia="en-AU"/>
            </w:rPr>
          </w:pPr>
          <w:hyperlink w:anchor="_Toc518050084" w:history="1">
            <w:r w:rsidR="00F21A94" w:rsidRPr="00B03248">
              <w:rPr>
                <w:rStyle w:val="Hyperlink"/>
                <w:noProof/>
              </w:rPr>
              <w:t>Appendix G – Labour Market data and information</w:t>
            </w:r>
            <w:r w:rsidR="00F21A94">
              <w:rPr>
                <w:noProof/>
                <w:webHidden/>
              </w:rPr>
              <w:tab/>
            </w:r>
            <w:r w:rsidR="00F21A94">
              <w:rPr>
                <w:noProof/>
                <w:webHidden/>
              </w:rPr>
              <w:fldChar w:fldCharType="begin"/>
            </w:r>
            <w:r w:rsidR="00F21A94">
              <w:rPr>
                <w:noProof/>
                <w:webHidden/>
              </w:rPr>
              <w:instrText xml:space="preserve"> PAGEREF _Toc518050084 \h </w:instrText>
            </w:r>
            <w:r w:rsidR="00F21A94">
              <w:rPr>
                <w:noProof/>
                <w:webHidden/>
              </w:rPr>
            </w:r>
            <w:r w:rsidR="00F21A94">
              <w:rPr>
                <w:noProof/>
                <w:webHidden/>
              </w:rPr>
              <w:fldChar w:fldCharType="separate"/>
            </w:r>
            <w:r w:rsidR="00F21A94">
              <w:rPr>
                <w:noProof/>
                <w:webHidden/>
              </w:rPr>
              <w:t>27</w:t>
            </w:r>
            <w:r w:rsidR="00F21A94">
              <w:rPr>
                <w:noProof/>
                <w:webHidden/>
              </w:rPr>
              <w:fldChar w:fldCharType="end"/>
            </w:r>
          </w:hyperlink>
        </w:p>
        <w:p w14:paraId="3A919BF1" w14:textId="41866059" w:rsidR="00F21A94" w:rsidRDefault="001C143A">
          <w:pPr>
            <w:pStyle w:val="TOC1"/>
            <w:tabs>
              <w:tab w:val="right" w:leader="dot" w:pos="9016"/>
            </w:tabs>
            <w:rPr>
              <w:noProof/>
              <w:lang w:eastAsia="en-AU"/>
            </w:rPr>
          </w:pPr>
          <w:hyperlink w:anchor="_Toc518050085" w:history="1">
            <w:r w:rsidR="00F21A94" w:rsidRPr="00B03248">
              <w:rPr>
                <w:rStyle w:val="Hyperlink"/>
                <w:noProof/>
              </w:rPr>
              <w:t>Appendix H: International employment services</w:t>
            </w:r>
            <w:r w:rsidR="00F21A94">
              <w:rPr>
                <w:noProof/>
                <w:webHidden/>
              </w:rPr>
              <w:tab/>
            </w:r>
            <w:r w:rsidR="00F21A94">
              <w:rPr>
                <w:noProof/>
                <w:webHidden/>
              </w:rPr>
              <w:fldChar w:fldCharType="begin"/>
            </w:r>
            <w:r w:rsidR="00F21A94">
              <w:rPr>
                <w:noProof/>
                <w:webHidden/>
              </w:rPr>
              <w:instrText xml:space="preserve"> PAGEREF _Toc518050085 \h </w:instrText>
            </w:r>
            <w:r w:rsidR="00F21A94">
              <w:rPr>
                <w:noProof/>
                <w:webHidden/>
              </w:rPr>
            </w:r>
            <w:r w:rsidR="00F21A94">
              <w:rPr>
                <w:noProof/>
                <w:webHidden/>
              </w:rPr>
              <w:fldChar w:fldCharType="separate"/>
            </w:r>
            <w:r w:rsidR="00F21A94">
              <w:rPr>
                <w:noProof/>
                <w:webHidden/>
              </w:rPr>
              <w:t>37</w:t>
            </w:r>
            <w:r w:rsidR="00F21A94">
              <w:rPr>
                <w:noProof/>
                <w:webHidden/>
              </w:rPr>
              <w:fldChar w:fldCharType="end"/>
            </w:r>
          </w:hyperlink>
        </w:p>
        <w:p w14:paraId="79B84D1E" w14:textId="4C1B7D31" w:rsidR="00616746" w:rsidRDefault="00616746">
          <w:r>
            <w:fldChar w:fldCharType="end"/>
          </w:r>
        </w:p>
      </w:sdtContent>
    </w:sdt>
    <w:p w14:paraId="2E7361C6" w14:textId="77777777" w:rsidR="00DC1088" w:rsidRDefault="00DC1088" w:rsidP="00DC1088">
      <w:pPr>
        <w:sectPr w:rsidR="00DC1088" w:rsidSect="005F103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985" w:right="1440" w:bottom="1440" w:left="1440" w:header="708" w:footer="1011" w:gutter="0"/>
          <w:cols w:space="708"/>
          <w:docGrid w:linePitch="360"/>
        </w:sectPr>
      </w:pPr>
    </w:p>
    <w:p w14:paraId="1B7AB5BC" w14:textId="4D2DF470" w:rsidR="00B4343F" w:rsidRPr="008021DD" w:rsidRDefault="00DC1088" w:rsidP="00D00151">
      <w:pPr>
        <w:pStyle w:val="Heading1"/>
      </w:pPr>
      <w:bookmarkStart w:id="1" w:name="_Toc516229083"/>
      <w:bookmarkStart w:id="2" w:name="_Toc518050078"/>
      <w:r w:rsidRPr="00841CF2">
        <w:lastRenderedPageBreak/>
        <w:t xml:space="preserve">Appendix </w:t>
      </w:r>
      <w:r>
        <w:t>A</w:t>
      </w:r>
      <w:r w:rsidR="000255DC">
        <w:t xml:space="preserve">: </w:t>
      </w:r>
      <w:r>
        <w:t>Short history of employment services</w:t>
      </w:r>
      <w:bookmarkEnd w:id="1"/>
      <w:bookmarkEnd w:id="2"/>
      <w:r w:rsidR="00B4343F" w:rsidRPr="00B4343F">
        <w:rPr>
          <w:rFonts w:eastAsiaTheme="minorHAnsi" w:cs="Calibri"/>
          <w:sz w:val="25"/>
          <w:szCs w:val="25"/>
        </w:rPr>
        <w:tab/>
      </w:r>
    </w:p>
    <w:p w14:paraId="4D9AA7BE" w14:textId="6E3DD873" w:rsidR="00B4343F" w:rsidRPr="004D20A0" w:rsidRDefault="00B4343F" w:rsidP="00793E1B">
      <w:pPr>
        <w:spacing w:after="0" w:line="240" w:lineRule="auto"/>
        <w:rPr>
          <w:rFonts w:ascii="Calibri" w:eastAsiaTheme="minorHAnsi" w:hAnsi="Calibri" w:cs="Calibri"/>
          <w:lang w:val="en-GB"/>
        </w:rPr>
      </w:pPr>
      <w:r w:rsidRPr="004D20A0">
        <w:rPr>
          <w:rFonts w:ascii="Calibri" w:eastAsiaTheme="minorHAnsi" w:hAnsi="Calibri" w:cs="Calibri"/>
          <w:lang w:val="en-GB"/>
        </w:rPr>
        <w:t>Unlike most other nations around the world, Australia has outsourced all its employment services. Under this arrangement, the Australia</w:t>
      </w:r>
      <w:r w:rsidR="00A556DB">
        <w:rPr>
          <w:rFonts w:ascii="Calibri" w:eastAsiaTheme="minorHAnsi" w:hAnsi="Calibri" w:cs="Calibri"/>
          <w:lang w:val="en-GB"/>
        </w:rPr>
        <w:t>n</w:t>
      </w:r>
      <w:r w:rsidRPr="004D20A0">
        <w:rPr>
          <w:rFonts w:ascii="Calibri" w:eastAsiaTheme="minorHAnsi" w:hAnsi="Calibri" w:cs="Calibri"/>
          <w:lang w:val="en-GB"/>
        </w:rPr>
        <w:t xml:space="preserve"> Government purchase services from a range of </w:t>
      </w:r>
      <w:r w:rsidR="00A556DB" w:rsidRPr="004D20A0">
        <w:rPr>
          <w:rFonts w:ascii="Calibri" w:eastAsiaTheme="minorHAnsi" w:hAnsi="Calibri" w:cs="Calibri"/>
          <w:lang w:val="en-GB"/>
        </w:rPr>
        <w:t>not</w:t>
      </w:r>
      <w:r w:rsidR="00A556DB">
        <w:rPr>
          <w:rFonts w:ascii="Calibri" w:eastAsiaTheme="minorHAnsi" w:hAnsi="Calibri" w:cs="Calibri"/>
          <w:lang w:val="en-GB"/>
        </w:rPr>
        <w:t>-</w:t>
      </w:r>
      <w:r w:rsidRPr="004D20A0">
        <w:rPr>
          <w:rFonts w:ascii="Calibri" w:eastAsiaTheme="minorHAnsi" w:hAnsi="Calibri" w:cs="Calibri"/>
          <w:lang w:val="en-GB"/>
        </w:rPr>
        <w:t>for</w:t>
      </w:r>
      <w:r w:rsidR="00A556DB">
        <w:rPr>
          <w:rFonts w:ascii="Calibri" w:eastAsiaTheme="minorHAnsi" w:hAnsi="Calibri" w:cs="Calibri"/>
          <w:lang w:val="en-GB"/>
        </w:rPr>
        <w:t>-</w:t>
      </w:r>
      <w:r w:rsidRPr="004D20A0">
        <w:rPr>
          <w:rFonts w:ascii="Calibri" w:eastAsiaTheme="minorHAnsi" w:hAnsi="Calibri" w:cs="Calibri"/>
          <w:lang w:val="en-GB"/>
        </w:rPr>
        <w:t xml:space="preserve">profit and </w:t>
      </w:r>
      <w:r w:rsidR="00603FC8" w:rsidRPr="004D20A0">
        <w:rPr>
          <w:rFonts w:ascii="Calibri" w:eastAsiaTheme="minorHAnsi" w:hAnsi="Calibri" w:cs="Calibri"/>
          <w:lang w:val="en-GB"/>
        </w:rPr>
        <w:t>for profit</w:t>
      </w:r>
      <w:r w:rsidRPr="004D20A0">
        <w:rPr>
          <w:rFonts w:ascii="Calibri" w:eastAsiaTheme="minorHAnsi" w:hAnsi="Calibri" w:cs="Calibri"/>
          <w:lang w:val="en-GB"/>
        </w:rPr>
        <w:t xml:space="preserve"> employment services providers.</w:t>
      </w:r>
    </w:p>
    <w:p w14:paraId="4E3D6E2A" w14:textId="55A5A598" w:rsidR="00B4343F" w:rsidRPr="004D20A0" w:rsidRDefault="00B4343F" w:rsidP="00793E1B">
      <w:pPr>
        <w:spacing w:after="0" w:line="240" w:lineRule="auto"/>
        <w:rPr>
          <w:rFonts w:ascii="Calibri" w:eastAsiaTheme="minorHAnsi" w:hAnsi="Calibri" w:cs="Calibri"/>
          <w:lang w:val="en-GB"/>
        </w:rPr>
      </w:pPr>
      <w:r w:rsidRPr="004D20A0">
        <w:rPr>
          <w:rFonts w:ascii="Calibri" w:eastAsiaTheme="minorHAnsi" w:hAnsi="Calibri" w:cs="Calibri"/>
          <w:lang w:val="en-GB"/>
        </w:rPr>
        <w:t xml:space="preserve">This was not always the case – up until 1998 all </w:t>
      </w:r>
      <w:r w:rsidR="00471C89">
        <w:rPr>
          <w:rFonts w:ascii="Calibri" w:eastAsiaTheme="minorHAnsi" w:hAnsi="Calibri" w:cs="Calibri"/>
          <w:lang w:val="en-GB"/>
        </w:rPr>
        <w:t>G</w:t>
      </w:r>
      <w:r w:rsidRPr="004D20A0">
        <w:rPr>
          <w:rFonts w:ascii="Calibri" w:eastAsiaTheme="minorHAnsi" w:hAnsi="Calibri" w:cs="Calibri"/>
          <w:lang w:val="en-GB"/>
        </w:rPr>
        <w:t>overnment employment services were predominately delivered in the public sector. From 1998 onwards, employment services were gradually contracted out to a contestable market.</w:t>
      </w:r>
    </w:p>
    <w:p w14:paraId="266F77AA" w14:textId="77777777" w:rsidR="00B4343F" w:rsidRPr="004D20A0" w:rsidRDefault="00B4343F" w:rsidP="00793E1B">
      <w:pPr>
        <w:spacing w:after="0" w:line="240" w:lineRule="auto"/>
        <w:rPr>
          <w:rFonts w:ascii="Calibri" w:eastAsiaTheme="minorHAnsi" w:hAnsi="Calibri" w:cs="Calibri"/>
          <w:lang w:val="en-GB"/>
        </w:rPr>
      </w:pPr>
      <w:r w:rsidRPr="004D20A0">
        <w:rPr>
          <w:rFonts w:ascii="Calibri" w:eastAsiaTheme="minorHAnsi" w:hAnsi="Calibri" w:cs="Calibri"/>
        </w:rPr>
        <w:t xml:space="preserve">The model we now have is the result of evolution over the past 20 years. </w:t>
      </w:r>
      <w:r w:rsidRPr="004D20A0">
        <w:rPr>
          <w:rFonts w:ascii="Calibri" w:eastAsiaTheme="minorHAnsi" w:hAnsi="Calibri" w:cs="Calibri"/>
          <w:lang w:val="en-GB"/>
        </w:rPr>
        <w:t>Employment services, if they are to remain effective, must respond to a changing labour market and digital transformation.</w:t>
      </w:r>
    </w:p>
    <w:p w14:paraId="7677A53C" w14:textId="5DE4D4C0" w:rsidR="00B4343F" w:rsidRPr="00B4343F" w:rsidRDefault="00A41B48" w:rsidP="00B4343F">
      <w:pPr>
        <w:spacing w:after="0" w:line="240" w:lineRule="auto"/>
        <w:rPr>
          <w:rFonts w:ascii="Calibri" w:eastAsiaTheme="minorHAnsi" w:hAnsi="Calibri" w:cs="Calibri"/>
          <w:sz w:val="20"/>
          <w:lang w:val="en-GB"/>
        </w:rPr>
      </w:pPr>
      <w:r w:rsidRPr="00B4343F">
        <w:rPr>
          <w:rFonts w:ascii="Calibri" w:eastAsiaTheme="minorHAnsi" w:hAnsi="Calibri" w:cs="Calibri"/>
          <w:noProof/>
          <w:sz w:val="20"/>
          <w:lang w:eastAsia="en-AU"/>
        </w:rPr>
        <mc:AlternateContent>
          <mc:Choice Requires="wps">
            <w:drawing>
              <wp:anchor distT="0" distB="0" distL="114300" distR="114300" simplePos="0" relativeHeight="251664384" behindDoc="0" locked="0" layoutInCell="1" allowOverlap="1" wp14:anchorId="4F5A14D2" wp14:editId="67B4CCF5">
                <wp:simplePos x="0" y="0"/>
                <wp:positionH relativeFrom="margin">
                  <wp:posOffset>1854200</wp:posOffset>
                </wp:positionH>
                <wp:positionV relativeFrom="paragraph">
                  <wp:posOffset>158750</wp:posOffset>
                </wp:positionV>
                <wp:extent cx="1762125" cy="378650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762125" cy="3786505"/>
                        </a:xfrm>
                        <a:prstGeom prst="rect">
                          <a:avLst/>
                        </a:prstGeom>
                        <a:noFill/>
                        <a:ln w="6350">
                          <a:noFill/>
                        </a:ln>
                        <a:effectLst/>
                      </wps:spPr>
                      <wps:txbx>
                        <w:txbxContent>
                          <w:p w14:paraId="7D78F200" w14:textId="0D674BD5" w:rsidR="00E019B6" w:rsidRPr="001050EE" w:rsidRDefault="00A41B48" w:rsidP="00A41B48">
                            <w:pPr>
                              <w:jc w:val="center"/>
                              <w:rPr>
                                <w:b/>
                                <w:color w:val="44546A" w:themeColor="text2"/>
                                <w:sz w:val="26"/>
                                <w:szCs w:val="26"/>
                              </w:rPr>
                            </w:pPr>
                            <w:r>
                              <w:rPr>
                                <w:b/>
                                <w:color w:val="44546A" w:themeColor="text2"/>
                                <w:sz w:val="26"/>
                                <w:szCs w:val="26"/>
                              </w:rPr>
                              <w:t>1998</w:t>
                            </w:r>
                            <w:r>
                              <w:rPr>
                                <w:b/>
                                <w:color w:val="44546A" w:themeColor="text2"/>
                                <w:sz w:val="26"/>
                                <w:szCs w:val="26"/>
                              </w:rPr>
                              <w:br/>
                            </w:r>
                            <w:r w:rsidR="00E019B6" w:rsidRPr="001050EE">
                              <w:rPr>
                                <w:b/>
                                <w:color w:val="44546A" w:themeColor="text2"/>
                                <w:sz w:val="26"/>
                                <w:szCs w:val="26"/>
                              </w:rPr>
                              <w:t>Job Network</w:t>
                            </w:r>
                          </w:p>
                          <w:p w14:paraId="23E8D8BF" w14:textId="77777777" w:rsidR="00E019B6" w:rsidRPr="004D20A0" w:rsidRDefault="00E019B6" w:rsidP="00B4343F">
                            <w:pPr>
                              <w:spacing w:after="120"/>
                              <w:rPr>
                                <w:szCs w:val="26"/>
                              </w:rPr>
                            </w:pPr>
                            <w:r w:rsidRPr="004D20A0">
                              <w:rPr>
                                <w:szCs w:val="26"/>
                              </w:rPr>
                              <w:t>Fundamental change: a proportion of employment services were contracted out to a contestable market.</w:t>
                            </w:r>
                          </w:p>
                          <w:p w14:paraId="36CFDCD9" w14:textId="77777777" w:rsidR="00E019B6" w:rsidRPr="004D20A0" w:rsidRDefault="00E019B6" w:rsidP="00B4343F">
                            <w:pPr>
                              <w:spacing w:after="120"/>
                              <w:rPr>
                                <w:szCs w:val="26"/>
                              </w:rPr>
                            </w:pPr>
                            <w:r w:rsidRPr="004D20A0">
                              <w:rPr>
                                <w:szCs w:val="26"/>
                              </w:rPr>
                              <w:t>A contestable market offered a more efficient and cost-effective model compared to the CES.</w:t>
                            </w:r>
                          </w:p>
                          <w:p w14:paraId="55A64327" w14:textId="2EC2B81F" w:rsidR="00E019B6" w:rsidRDefault="00E019B6" w:rsidP="00B4343F">
                            <w:pPr>
                              <w:spacing w:after="120"/>
                              <w:rPr>
                                <w:color w:val="41C8F4" w:themeColor="accent1"/>
                                <w:sz w:val="20"/>
                                <w:szCs w:val="26"/>
                              </w:rPr>
                            </w:pPr>
                            <w:r w:rsidRPr="004D20A0">
                              <w:rPr>
                                <w:szCs w:val="26"/>
                              </w:rPr>
                              <w:t>Tentative moves to services based on individual needs e.g. intensive assistance for the most disadvantaged.</w:t>
                            </w:r>
                          </w:p>
                          <w:p w14:paraId="666B0A94" w14:textId="77777777" w:rsidR="00E019B6" w:rsidRDefault="00E019B6" w:rsidP="00B4343F">
                            <w:pPr>
                              <w:spacing w:after="120"/>
                              <w:rPr>
                                <w:color w:val="41C8F4" w:themeColor="accent1"/>
                                <w:sz w:val="20"/>
                                <w:szCs w:val="26"/>
                              </w:rPr>
                            </w:pPr>
                          </w:p>
                          <w:p w14:paraId="3381C0AF" w14:textId="77777777" w:rsidR="00E019B6" w:rsidRPr="00995FA7" w:rsidRDefault="00E019B6" w:rsidP="00B4343F">
                            <w:pPr>
                              <w:spacing w:after="120"/>
                              <w:rPr>
                                <w:color w:val="41C8F4" w:themeColor="accent1"/>
                                <w:sz w:val="20"/>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A14D2" id="_x0000_t202" coordsize="21600,21600" o:spt="202" path="m,l,21600r21600,l21600,xe">
                <v:stroke joinstyle="miter"/>
                <v:path gradientshapeok="t" o:connecttype="rect"/>
              </v:shapetype>
              <v:shape id="Text Box 4" o:spid="_x0000_s1026" type="#_x0000_t202" style="position:absolute;margin-left:146pt;margin-top:12.5pt;width:138.75pt;height:29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0QMwIAAGMEAAAOAAAAZHJzL2Uyb0RvYy54bWysVE1vGjEQvVfqf7B8L7sQIAliiWgiqkoo&#10;iQRVzsZrsyvZHtc27NJf37GXJSjtqerFzNc+e96bYf7QakWOwvkaTEGHg5wSYTiUtdkX9Md29eWO&#10;Eh+YKZkCIwp6Ep4+LD5/mjd2JkZQgSqFIwhi/KyxBa1CsLMs87wSmvkBWGEwKcFpFtB1+6x0rEF0&#10;rbJRnk+zBlxpHXDhPUafuiRdJHwpBQ8vUnoRiCoovi2k06VzF89sMWezvWO2qvn5GewfXqFZbfDS&#10;C9QTC4wcXP0HlK65Aw8yDDjoDKSsuUg9YDfD/EM3m4pZkXpBcry90OT/Hyx/Pr46UpcFHVNimEaJ&#10;tqIN5Cu0ZBzZaayfYdHGYlloMYwq93GPwdh0K52Ov9gOwTzyfLpwG8F4/Oh2OhqOJpRwzN3c3k0n&#10;+STiZO+fW+fDNwGaRKOgDsVLnLLj2oeutC+JtxlY1UolAZUhTUGnN5M8fXDJILgysVakUTjDxJa6&#10;p0crtLs2ETDq29pBecJuHXTT4i1f1fiiNfPhlTkcD2wQRz684CEV4M1wtiipwP36WzzWo2qYpaTB&#10;cSuo/3lgTlCivhvU8344Hsf5vHbctbNLDpaYg34EnOYhLpblycSoC6o3pQP9hluxjDdiihmO9xY0&#10;9OZj6BYAt4qL5TIV4TRaFtZmY3mEjpxFrrftG3P2LEhALZ+hH0o2+6BLV9spszwEkHUSLXLcMYpi&#10;RwcnOcl+3rq4Ktd+qnr/b1j8BgAA//8DAFBLAwQUAAYACAAAACEA2kw4yeAAAAAKAQAADwAAAGRy&#10;cy9kb3ducmV2LnhtbEyPQU/DMAyF70j8h8hI3Fi6Ti2sNJ3QJE4gxDq0Xb0maysSpzTZVv495gQn&#10;23pPz98rV5Oz4mzG0HtSMJ8lIAw1XvfUKvjYPt89gAgRSaP1ZBR8mwCr6vqqxEL7C23MuY6t4BAK&#10;BSroYhwKKUPTGYdh5gdDrB396DDyObZSj3jhcGdlmiS5dNgTf+hwMOvONJ/1ySl4f7nf2n4X17TA&#10;+m3/Gr6OU4ZK3d5MT48gopninxl+8RkdKmY6+BPpIKyCdJlyl8hLxpMNWb7MQBwU5Ol8AbIq5f8K&#10;1Q8AAAD//wMAUEsBAi0AFAAGAAgAAAAhALaDOJL+AAAA4QEAABMAAAAAAAAAAAAAAAAAAAAAAFtD&#10;b250ZW50X1R5cGVzXS54bWxQSwECLQAUAAYACAAAACEAOP0h/9YAAACUAQAACwAAAAAAAAAAAAAA&#10;AAAvAQAAX3JlbHMvLnJlbHNQSwECLQAUAAYACAAAACEAdkS9EDMCAABjBAAADgAAAAAAAAAAAAAA&#10;AAAuAgAAZHJzL2Uyb0RvYy54bWxQSwECLQAUAAYACAAAACEA2kw4yeAAAAAKAQAADwAAAAAAAAAA&#10;AAAAAACNBAAAZHJzL2Rvd25yZXYueG1sUEsFBgAAAAAEAAQA8wAAAJoFAAAAAA==&#10;" filled="f" stroked="f" strokeweight=".5pt">
                <v:textbox inset=",7.2pt,,0">
                  <w:txbxContent>
                    <w:p w14:paraId="7D78F200" w14:textId="0D674BD5" w:rsidR="00E019B6" w:rsidRPr="001050EE" w:rsidRDefault="00A41B48" w:rsidP="00A41B48">
                      <w:pPr>
                        <w:jc w:val="center"/>
                        <w:rPr>
                          <w:b/>
                          <w:color w:val="44546A" w:themeColor="text2"/>
                          <w:sz w:val="26"/>
                          <w:szCs w:val="26"/>
                        </w:rPr>
                      </w:pPr>
                      <w:r>
                        <w:rPr>
                          <w:b/>
                          <w:color w:val="44546A" w:themeColor="text2"/>
                          <w:sz w:val="26"/>
                          <w:szCs w:val="26"/>
                        </w:rPr>
                        <w:t>1998</w:t>
                      </w:r>
                      <w:r>
                        <w:rPr>
                          <w:b/>
                          <w:color w:val="44546A" w:themeColor="text2"/>
                          <w:sz w:val="26"/>
                          <w:szCs w:val="26"/>
                        </w:rPr>
                        <w:br/>
                      </w:r>
                      <w:r w:rsidR="00E019B6" w:rsidRPr="001050EE">
                        <w:rPr>
                          <w:b/>
                          <w:color w:val="44546A" w:themeColor="text2"/>
                          <w:sz w:val="26"/>
                          <w:szCs w:val="26"/>
                        </w:rPr>
                        <w:t>Job Network</w:t>
                      </w:r>
                    </w:p>
                    <w:p w14:paraId="23E8D8BF" w14:textId="77777777" w:rsidR="00E019B6" w:rsidRPr="004D20A0" w:rsidRDefault="00E019B6" w:rsidP="00B4343F">
                      <w:pPr>
                        <w:spacing w:after="120"/>
                        <w:rPr>
                          <w:szCs w:val="26"/>
                        </w:rPr>
                      </w:pPr>
                      <w:r w:rsidRPr="004D20A0">
                        <w:rPr>
                          <w:szCs w:val="26"/>
                        </w:rPr>
                        <w:t>Fundamental change: a proportion of employment services were contracted out to a contestable market.</w:t>
                      </w:r>
                    </w:p>
                    <w:p w14:paraId="36CFDCD9" w14:textId="77777777" w:rsidR="00E019B6" w:rsidRPr="004D20A0" w:rsidRDefault="00E019B6" w:rsidP="00B4343F">
                      <w:pPr>
                        <w:spacing w:after="120"/>
                        <w:rPr>
                          <w:szCs w:val="26"/>
                        </w:rPr>
                      </w:pPr>
                      <w:r w:rsidRPr="004D20A0">
                        <w:rPr>
                          <w:szCs w:val="26"/>
                        </w:rPr>
                        <w:t>A contestable market offered a more efficient and cost-effective model compared to the CES.</w:t>
                      </w:r>
                    </w:p>
                    <w:p w14:paraId="55A64327" w14:textId="2EC2B81F" w:rsidR="00E019B6" w:rsidRDefault="00E019B6" w:rsidP="00B4343F">
                      <w:pPr>
                        <w:spacing w:after="120"/>
                        <w:rPr>
                          <w:color w:val="41C8F4" w:themeColor="accent1"/>
                          <w:sz w:val="20"/>
                          <w:szCs w:val="26"/>
                        </w:rPr>
                      </w:pPr>
                      <w:r w:rsidRPr="004D20A0">
                        <w:rPr>
                          <w:szCs w:val="26"/>
                        </w:rPr>
                        <w:t>Tentative moves to services based on individual needs e.g. intensive assistance for the most disadvantaged.</w:t>
                      </w:r>
                    </w:p>
                    <w:p w14:paraId="666B0A94" w14:textId="77777777" w:rsidR="00E019B6" w:rsidRDefault="00E019B6" w:rsidP="00B4343F">
                      <w:pPr>
                        <w:spacing w:after="120"/>
                        <w:rPr>
                          <w:color w:val="41C8F4" w:themeColor="accent1"/>
                          <w:sz w:val="20"/>
                          <w:szCs w:val="26"/>
                        </w:rPr>
                      </w:pPr>
                    </w:p>
                    <w:p w14:paraId="3381C0AF" w14:textId="77777777" w:rsidR="00E019B6" w:rsidRPr="00995FA7" w:rsidRDefault="00E019B6" w:rsidP="00B4343F">
                      <w:pPr>
                        <w:spacing w:after="120"/>
                        <w:rPr>
                          <w:color w:val="41C8F4" w:themeColor="accent1"/>
                          <w:sz w:val="20"/>
                          <w:szCs w:val="26"/>
                        </w:rPr>
                      </w:pPr>
                    </w:p>
                  </w:txbxContent>
                </v:textbox>
                <w10:wrap type="square" anchorx="margin"/>
              </v:shape>
            </w:pict>
          </mc:Fallback>
        </mc:AlternateContent>
      </w:r>
      <w:r w:rsidRPr="00B4343F">
        <w:rPr>
          <w:rFonts w:ascii="Calibri" w:eastAsiaTheme="minorHAnsi" w:hAnsi="Calibri" w:cs="Calibri"/>
          <w:noProof/>
          <w:sz w:val="20"/>
          <w:lang w:eastAsia="en-AU"/>
        </w:rPr>
        <mc:AlternateContent>
          <mc:Choice Requires="wps">
            <w:drawing>
              <wp:anchor distT="0" distB="0" distL="114300" distR="114300" simplePos="0" relativeHeight="251665408" behindDoc="0" locked="0" layoutInCell="1" allowOverlap="1" wp14:anchorId="29751F7E" wp14:editId="7980A10B">
                <wp:simplePos x="0" y="0"/>
                <wp:positionH relativeFrom="page">
                  <wp:posOffset>4123055</wp:posOffset>
                </wp:positionH>
                <wp:positionV relativeFrom="paragraph">
                  <wp:posOffset>149860</wp:posOffset>
                </wp:positionV>
                <wp:extent cx="1771650" cy="363982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771650" cy="3639820"/>
                        </a:xfrm>
                        <a:prstGeom prst="rect">
                          <a:avLst/>
                        </a:prstGeom>
                        <a:noFill/>
                        <a:ln w="6350">
                          <a:noFill/>
                        </a:ln>
                        <a:effectLst/>
                      </wps:spPr>
                      <wps:txbx>
                        <w:txbxContent>
                          <w:p w14:paraId="7D2DD5DA" w14:textId="7784C863" w:rsidR="00E019B6" w:rsidRPr="001050EE" w:rsidRDefault="00A41B48" w:rsidP="00A41B48">
                            <w:pPr>
                              <w:spacing w:after="120"/>
                              <w:jc w:val="center"/>
                              <w:rPr>
                                <w:b/>
                                <w:color w:val="44546A" w:themeColor="text2"/>
                                <w:sz w:val="26"/>
                                <w:szCs w:val="26"/>
                              </w:rPr>
                            </w:pPr>
                            <w:r>
                              <w:rPr>
                                <w:b/>
                                <w:color w:val="44546A" w:themeColor="text2"/>
                                <w:sz w:val="26"/>
                                <w:szCs w:val="26"/>
                              </w:rPr>
                              <w:t>2003</w:t>
                            </w:r>
                            <w:r>
                              <w:rPr>
                                <w:b/>
                                <w:color w:val="44546A" w:themeColor="text2"/>
                                <w:sz w:val="26"/>
                                <w:szCs w:val="26"/>
                              </w:rPr>
                              <w:br/>
                            </w:r>
                            <w:r w:rsidR="00E019B6" w:rsidRPr="001050EE">
                              <w:rPr>
                                <w:b/>
                                <w:color w:val="44546A" w:themeColor="text2"/>
                                <w:sz w:val="26"/>
                                <w:szCs w:val="26"/>
                              </w:rPr>
                              <w:t>Active Participation Model</w:t>
                            </w:r>
                          </w:p>
                          <w:p w14:paraId="627206ED" w14:textId="77777777" w:rsidR="00E019B6" w:rsidRPr="004D20A0" w:rsidRDefault="00E019B6" w:rsidP="00B4343F">
                            <w:pPr>
                              <w:spacing w:after="120"/>
                              <w:rPr>
                                <w:szCs w:val="26"/>
                              </w:rPr>
                            </w:pPr>
                            <w:r w:rsidRPr="004D20A0">
                              <w:rPr>
                                <w:szCs w:val="26"/>
                              </w:rPr>
                              <w:t>Job Network began to deliver a continuum of uninterrupted targeted assistance.</w:t>
                            </w:r>
                          </w:p>
                          <w:p w14:paraId="4B80A051" w14:textId="77777777" w:rsidR="00E019B6" w:rsidRPr="004D20A0" w:rsidRDefault="00E019B6" w:rsidP="00B4343F">
                            <w:pPr>
                              <w:spacing w:after="120"/>
                              <w:rPr>
                                <w:szCs w:val="26"/>
                              </w:rPr>
                            </w:pPr>
                            <w:r w:rsidRPr="004D20A0">
                              <w:rPr>
                                <w:szCs w:val="26"/>
                              </w:rPr>
                              <w:t>Demand-driven model.</w:t>
                            </w:r>
                          </w:p>
                          <w:p w14:paraId="47F31E92" w14:textId="2078FE56" w:rsidR="00E019B6" w:rsidRPr="00995FA7" w:rsidRDefault="00E019B6" w:rsidP="00B4343F">
                            <w:pPr>
                              <w:spacing w:after="120"/>
                              <w:rPr>
                                <w:color w:val="41C8F4" w:themeColor="accent1"/>
                                <w:sz w:val="20"/>
                                <w:szCs w:val="26"/>
                              </w:rPr>
                            </w:pPr>
                            <w:r w:rsidRPr="004D20A0">
                              <w:rPr>
                                <w:szCs w:val="26"/>
                              </w:rPr>
                              <w:t>The Job Seeker Account was introduced to assist with individual needs, e.g. training, work equipment, wage subsidies, etc.</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51F7E" id="Text Box 9" o:spid="_x0000_s1027" type="#_x0000_t202" style="position:absolute;margin-left:324.65pt;margin-top:11.8pt;width:139.5pt;height:286.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S6MQIAAGMEAAAOAAAAZHJzL2Uyb0RvYy54bWysVE2P2jAQvVfqf7B8L+Fjyy6IsKK7oqqE&#10;dleCas/GcUikxOPahoT++j47wNJtT1Uvznx5PPPeTGb3bV2xg7KuJJ3yQa/PmdKSslLvUv59s/x0&#10;x5nzQmeiIq1SflSO388/fpg1ZqqGVFCVKcuQRLtpY1JeeG+mSeJkoWrhemSUhjMnWwsP1e6SzIoG&#10;2esqGfb746QhmxlLUjkH62Pn5POYP8+V9M957pRnVcpRm4+njec2nMl8JqY7K0xRylMZ4h+qqEWp&#10;8egl1aPwgu1t+UequpSWHOW+J6lOKM9LqWIP6GbQf9fNuhBGxV4AjjMXmNz/SyufDi+WlVnKJ5xp&#10;UYOijWo9+0ItmwR0GuOmCFobhPkWZrB8tjsYQ9NtbuvwRTsMfuB8vGAbkslw6fZ2MP4Ml4RvNB5N&#10;7oYR/eTturHOf1VUsyCk3IK8iKk4rJxHKQg9h4TXNC3LqooEVpo1KR+PkP83D25UOlhUHIVTmtBS&#10;V3qQfLttIwCXtraUHdGtpW5anJHLEhWthPMvwmI80AVG3j/jyCvCy3SSOCvI/vybPcSDNXg5azBu&#10;KXc/9sIqzqpvGnxOBjc3YT6vFXutbKOCEL2vHwjTPMBiGRlFWK2vzmJuqX7FVizCi3AJLfFuyv1Z&#10;fPDdAmCrpFosYhCm0Qi/0msjQ+qAWcB6074Ka06EeHD5ROehFNN3vHSxHf6Lvae8jKQFjDtEwWBQ&#10;MMmRy9PWhVW51mPU279h/gsAAP//AwBQSwMEFAAGAAgAAAAhAGhRq/rfAAAACgEAAA8AAABkcnMv&#10;ZG93bnJldi54bWxMj8FOg0AQhu8mvsNmTLzZRbAIlKUxTTxpjFJjr1N2CkR2Ftlti2/vetLjzHz5&#10;5/vL9WwGcaLJ9ZYV3C4iEMSN1T23Ct63jzcZCOeRNQ6WScE3OVhXlxclFtqe+Y1OtW9FCGFXoILO&#10;+7GQ0jUdGXQLOxKH28FOBn0Yp1bqCc8h3AwyjqJUGuw5fOhwpE1HzWd9NApen+63Q//hN5xg/bJ7&#10;dl+HeYlKXV/NDysQnmb/B8OvflCHKjjt7ZG1E4OC9C5PAqogTlIQAcjjLCz2CpZ5moGsSvm/QvUD&#10;AAD//wMAUEsBAi0AFAAGAAgAAAAhALaDOJL+AAAA4QEAABMAAAAAAAAAAAAAAAAAAAAAAFtDb250&#10;ZW50X1R5cGVzXS54bWxQSwECLQAUAAYACAAAACEAOP0h/9YAAACUAQAACwAAAAAAAAAAAAAAAAAv&#10;AQAAX3JlbHMvLnJlbHNQSwECLQAUAAYACAAAACEAMqUEujECAABjBAAADgAAAAAAAAAAAAAAAAAu&#10;AgAAZHJzL2Uyb0RvYy54bWxQSwECLQAUAAYACAAAACEAaFGr+t8AAAAKAQAADwAAAAAAAAAAAAAA&#10;AACLBAAAZHJzL2Rvd25yZXYueG1sUEsFBgAAAAAEAAQA8wAAAJcFAAAAAA==&#10;" filled="f" stroked="f" strokeweight=".5pt">
                <v:textbox inset=",7.2pt,,0">
                  <w:txbxContent>
                    <w:p w14:paraId="7D2DD5DA" w14:textId="7784C863" w:rsidR="00E019B6" w:rsidRPr="001050EE" w:rsidRDefault="00A41B48" w:rsidP="00A41B48">
                      <w:pPr>
                        <w:spacing w:after="120"/>
                        <w:jc w:val="center"/>
                        <w:rPr>
                          <w:b/>
                          <w:color w:val="44546A" w:themeColor="text2"/>
                          <w:sz w:val="26"/>
                          <w:szCs w:val="26"/>
                        </w:rPr>
                      </w:pPr>
                      <w:r>
                        <w:rPr>
                          <w:b/>
                          <w:color w:val="44546A" w:themeColor="text2"/>
                          <w:sz w:val="26"/>
                          <w:szCs w:val="26"/>
                        </w:rPr>
                        <w:t>2003</w:t>
                      </w:r>
                      <w:r>
                        <w:rPr>
                          <w:b/>
                          <w:color w:val="44546A" w:themeColor="text2"/>
                          <w:sz w:val="26"/>
                          <w:szCs w:val="26"/>
                        </w:rPr>
                        <w:br/>
                      </w:r>
                      <w:r w:rsidR="00E019B6" w:rsidRPr="001050EE">
                        <w:rPr>
                          <w:b/>
                          <w:color w:val="44546A" w:themeColor="text2"/>
                          <w:sz w:val="26"/>
                          <w:szCs w:val="26"/>
                        </w:rPr>
                        <w:t>Active Participation Model</w:t>
                      </w:r>
                    </w:p>
                    <w:p w14:paraId="627206ED" w14:textId="77777777" w:rsidR="00E019B6" w:rsidRPr="004D20A0" w:rsidRDefault="00E019B6" w:rsidP="00B4343F">
                      <w:pPr>
                        <w:spacing w:after="120"/>
                        <w:rPr>
                          <w:szCs w:val="26"/>
                        </w:rPr>
                      </w:pPr>
                      <w:r w:rsidRPr="004D20A0">
                        <w:rPr>
                          <w:szCs w:val="26"/>
                        </w:rPr>
                        <w:t>Job Network began to deliver a continuum of uninterrupted targeted assistance.</w:t>
                      </w:r>
                    </w:p>
                    <w:p w14:paraId="4B80A051" w14:textId="77777777" w:rsidR="00E019B6" w:rsidRPr="004D20A0" w:rsidRDefault="00E019B6" w:rsidP="00B4343F">
                      <w:pPr>
                        <w:spacing w:after="120"/>
                        <w:rPr>
                          <w:szCs w:val="26"/>
                        </w:rPr>
                      </w:pPr>
                      <w:r w:rsidRPr="004D20A0">
                        <w:rPr>
                          <w:szCs w:val="26"/>
                        </w:rPr>
                        <w:t>Demand-driven model.</w:t>
                      </w:r>
                    </w:p>
                    <w:p w14:paraId="47F31E92" w14:textId="2078FE56" w:rsidR="00E019B6" w:rsidRPr="00995FA7" w:rsidRDefault="00E019B6" w:rsidP="00B4343F">
                      <w:pPr>
                        <w:spacing w:after="120"/>
                        <w:rPr>
                          <w:color w:val="41C8F4" w:themeColor="accent1"/>
                          <w:sz w:val="20"/>
                          <w:szCs w:val="26"/>
                        </w:rPr>
                      </w:pPr>
                      <w:r w:rsidRPr="004D20A0">
                        <w:rPr>
                          <w:szCs w:val="26"/>
                        </w:rPr>
                        <w:t>The Job Seeker Account was introduced to assist with individual needs, e.g. training, work equipment, wage subsidies, etc.</w:t>
                      </w:r>
                    </w:p>
                  </w:txbxContent>
                </v:textbox>
                <w10:wrap type="square" anchorx="page"/>
              </v:shape>
            </w:pict>
          </mc:Fallback>
        </mc:AlternateContent>
      </w:r>
      <w:r w:rsidRPr="00B4343F">
        <w:rPr>
          <w:rFonts w:ascii="Calibri" w:eastAsiaTheme="minorHAnsi" w:hAnsi="Calibri" w:cs="Calibri"/>
          <w:noProof/>
          <w:sz w:val="20"/>
          <w:lang w:eastAsia="en-AU"/>
        </w:rPr>
        <mc:AlternateContent>
          <mc:Choice Requires="wps">
            <w:drawing>
              <wp:anchor distT="0" distB="0" distL="114300" distR="114300" simplePos="0" relativeHeight="251667456" behindDoc="0" locked="0" layoutInCell="1" allowOverlap="1" wp14:anchorId="3DE21D4A" wp14:editId="4A891296">
                <wp:simplePos x="0" y="0"/>
                <wp:positionH relativeFrom="margin">
                  <wp:posOffset>7375525</wp:posOffset>
                </wp:positionH>
                <wp:positionV relativeFrom="paragraph">
                  <wp:posOffset>132715</wp:posOffset>
                </wp:positionV>
                <wp:extent cx="1743075" cy="3872865"/>
                <wp:effectExtent l="0" t="0" r="0" b="13335"/>
                <wp:wrapSquare wrapText="bothSides"/>
                <wp:docPr id="16" name="Text Box 16"/>
                <wp:cNvGraphicFramePr/>
                <a:graphic xmlns:a="http://schemas.openxmlformats.org/drawingml/2006/main">
                  <a:graphicData uri="http://schemas.microsoft.com/office/word/2010/wordprocessingShape">
                    <wps:wsp>
                      <wps:cNvSpPr txBox="1"/>
                      <wps:spPr>
                        <a:xfrm>
                          <a:off x="0" y="0"/>
                          <a:ext cx="1743075" cy="3872865"/>
                        </a:xfrm>
                        <a:prstGeom prst="rect">
                          <a:avLst/>
                        </a:prstGeom>
                        <a:noFill/>
                        <a:ln w="6350">
                          <a:noFill/>
                        </a:ln>
                        <a:effectLst/>
                      </wps:spPr>
                      <wps:txbx>
                        <w:txbxContent>
                          <w:p w14:paraId="7296F9EA" w14:textId="31F96A2F" w:rsidR="00E019B6" w:rsidRPr="001050EE" w:rsidRDefault="00A41B48" w:rsidP="00A41B48">
                            <w:pPr>
                              <w:jc w:val="center"/>
                              <w:rPr>
                                <w:b/>
                                <w:color w:val="44546A" w:themeColor="text2"/>
                                <w:sz w:val="26"/>
                                <w:szCs w:val="26"/>
                              </w:rPr>
                            </w:pPr>
                            <w:r>
                              <w:rPr>
                                <w:b/>
                                <w:color w:val="44546A" w:themeColor="text2"/>
                                <w:sz w:val="26"/>
                                <w:szCs w:val="26"/>
                              </w:rPr>
                              <w:t>2015</w:t>
                            </w:r>
                            <w:r>
                              <w:rPr>
                                <w:b/>
                                <w:color w:val="44546A" w:themeColor="text2"/>
                                <w:sz w:val="26"/>
                                <w:szCs w:val="26"/>
                              </w:rPr>
                              <w:br/>
                            </w:r>
                            <w:r w:rsidR="00E019B6" w:rsidRPr="001050EE">
                              <w:rPr>
                                <w:b/>
                                <w:color w:val="44546A" w:themeColor="text2"/>
                                <w:sz w:val="26"/>
                                <w:szCs w:val="26"/>
                              </w:rPr>
                              <w:t>jobactive</w:t>
                            </w:r>
                          </w:p>
                          <w:p w14:paraId="24FE6938" w14:textId="77777777" w:rsidR="00E019B6" w:rsidRPr="004D20A0" w:rsidRDefault="00E019B6" w:rsidP="00B4343F">
                            <w:pPr>
                              <w:spacing w:after="120"/>
                              <w:rPr>
                                <w:szCs w:val="26"/>
                              </w:rPr>
                            </w:pPr>
                            <w:r w:rsidRPr="004D20A0">
                              <w:rPr>
                                <w:szCs w:val="26"/>
                              </w:rPr>
                              <w:t>Stronger expectations for providers to better meet the needs of employers.</w:t>
                            </w:r>
                          </w:p>
                          <w:p w14:paraId="4F17406A" w14:textId="77777777" w:rsidR="00E019B6" w:rsidRPr="004D20A0" w:rsidRDefault="00E019B6" w:rsidP="00B4343F">
                            <w:pPr>
                              <w:spacing w:after="120"/>
                              <w:rPr>
                                <w:szCs w:val="26"/>
                              </w:rPr>
                            </w:pPr>
                            <w:r w:rsidRPr="004D20A0">
                              <w:rPr>
                                <w:szCs w:val="26"/>
                              </w:rPr>
                              <w:t>Payments to providers intended to be geared towards achieving sustainable employment outcomes.</w:t>
                            </w:r>
                          </w:p>
                          <w:p w14:paraId="4A0F0FC1" w14:textId="77777777" w:rsidR="00E019B6" w:rsidRPr="004D20A0" w:rsidRDefault="00E019B6" w:rsidP="00B4343F">
                            <w:pPr>
                              <w:spacing w:after="120"/>
                              <w:rPr>
                                <w:szCs w:val="26"/>
                              </w:rPr>
                            </w:pPr>
                            <w:r w:rsidRPr="004D20A0">
                              <w:rPr>
                                <w:szCs w:val="26"/>
                              </w:rPr>
                              <w:t>A range of subsidies to assist employers to recruit and train job seekers.</w:t>
                            </w:r>
                          </w:p>
                          <w:p w14:paraId="3EDC3282" w14:textId="77777777" w:rsidR="00E019B6" w:rsidRPr="004D20A0" w:rsidRDefault="00E019B6" w:rsidP="00B4343F">
                            <w:pPr>
                              <w:spacing w:after="120"/>
                              <w:rPr>
                                <w:color w:val="41C8F4" w:themeColor="accent1"/>
                                <w:szCs w:val="26"/>
                              </w:rPr>
                            </w:pPr>
                            <w:r w:rsidRPr="004D20A0">
                              <w:rPr>
                                <w:szCs w:val="26"/>
                              </w:rPr>
                              <w:t>Stronger emphasis on job seekers finding work and moving off welfare quickly.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1D4A" id="Text Box 16" o:spid="_x0000_s1028" type="#_x0000_t202" style="position:absolute;margin-left:580.75pt;margin-top:10.45pt;width:137.25pt;height:304.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bxMQIAAF4EAAAOAAAAZHJzL2Uyb0RvYy54bWysVF1v2yAUfZ+0/4B4X+x8NrXiVFmrTJOi&#10;tlIy9ZlgiC0ZLgMSO/v1u2Anjbo9TXvB94sD956DFw+tqslJWFeBzulwkFIiNIei0oec/titv8wp&#10;cZ7pgtWgRU7PwtGH5edPi8ZkYgQl1IWwBEG0yxqT09J7kyWJ46VQzA3ACI1JCVYxj649JIVlDaKr&#10;Ohml6SxpwBbGAhfOYfSpS9JlxJdScP8ipROe1DnFu/m42rjuw5osFyw7WGbKivfXYP9wC8UqjYde&#10;oZ6YZ+Roqz+gVMUtOJB+wEElIGXFRewBuxmmH7rZlsyI2AsOx5nrmNz/g+XPp1dLqgK5m1GimUKO&#10;dqL15Cu0BEM4n8a4DMu2Bgt9i3GsvcQdBkPbrbQqfLEhgnmc9Pk63YDGw6a7yTi9m1LCMTee343m&#10;s2nASd63G+v8NwGKBCOnFumLU2WnjfNd6aUknKZhXdV1pLDWpMnpbDxN44ZrBsFrHWpFFEMPE1rq&#10;rh4s3+7bvs89FGds00InFGf4usKrbJjzr8yiMrAzVLt/wUXWgEdCb1FSgv31t3ioR8IwS0mDSsup&#10;+3lkVlBSf9dI5f1wMgnSvHXsrbOPDpboo3oEFPIQ35Th0cSo9fXFlBbUGz6IVTgRU0xzPDen/mI+&#10;+k77+KC4WK1iEQrRML/RW8MDdBhWGPKufWPW9Ex4JPEZLnpk2QdCutqOktXRg6wiW2G43USR5eCg&#10;iCPf/YMLr+TWj1Xvv4XlbwAAAP//AwBQSwMEFAAGAAgAAAAhAOrdpBzgAAAADAEAAA8AAABkcnMv&#10;ZG93bnJldi54bWxMj8FOwzAQRO9I/IO1SNyonYaGEuJUqBInECopgus2cZMIex1itw1/z/YEx9E+&#10;zb4pVpOz4mjG0HvSkMwUCEO1b3pqNbxvn26WIEJEatB6Mhp+TIBVeXlRYN74E72ZYxVbwSUUctTQ&#10;xTjkUoa6Mw7DzA+G+Lb3o8PIcWxlM+KJy52Vc6Uy6bAn/tDhYNadqb+qg9Oweb7b2v4jrinF6vXz&#10;JXzvpwVqfX01PT6AiGaKfzCc9VkdSnba+QM1QVjOSZYsmNUwV/cgzsRtmvG8nYYsVUuQZSH/jyh/&#10;AQAA//8DAFBLAQItABQABgAIAAAAIQC2gziS/gAAAOEBAAATAAAAAAAAAAAAAAAAAAAAAABbQ29u&#10;dGVudF9UeXBlc10ueG1sUEsBAi0AFAAGAAgAAAAhADj9If/WAAAAlAEAAAsAAAAAAAAAAAAAAAAA&#10;LwEAAF9yZWxzLy5yZWxzUEsBAi0AFAAGAAgAAAAhAOEOlvExAgAAXgQAAA4AAAAAAAAAAAAAAAAA&#10;LgIAAGRycy9lMm9Eb2MueG1sUEsBAi0AFAAGAAgAAAAhAOrdpBzgAAAADAEAAA8AAAAAAAAAAAAA&#10;AAAAiwQAAGRycy9kb3ducmV2LnhtbFBLBQYAAAAABAAEAPMAAACYBQAAAAA=&#10;" filled="f" stroked="f" strokeweight=".5pt">
                <v:textbox inset=",7.2pt,,0">
                  <w:txbxContent>
                    <w:p w14:paraId="7296F9EA" w14:textId="31F96A2F" w:rsidR="00E019B6" w:rsidRPr="001050EE" w:rsidRDefault="00A41B48" w:rsidP="00A41B48">
                      <w:pPr>
                        <w:jc w:val="center"/>
                        <w:rPr>
                          <w:b/>
                          <w:color w:val="44546A" w:themeColor="text2"/>
                          <w:sz w:val="26"/>
                          <w:szCs w:val="26"/>
                        </w:rPr>
                      </w:pPr>
                      <w:r>
                        <w:rPr>
                          <w:b/>
                          <w:color w:val="44546A" w:themeColor="text2"/>
                          <w:sz w:val="26"/>
                          <w:szCs w:val="26"/>
                        </w:rPr>
                        <w:t>2015</w:t>
                      </w:r>
                      <w:r>
                        <w:rPr>
                          <w:b/>
                          <w:color w:val="44546A" w:themeColor="text2"/>
                          <w:sz w:val="26"/>
                          <w:szCs w:val="26"/>
                        </w:rPr>
                        <w:br/>
                      </w:r>
                      <w:r w:rsidR="00E019B6" w:rsidRPr="001050EE">
                        <w:rPr>
                          <w:b/>
                          <w:color w:val="44546A" w:themeColor="text2"/>
                          <w:sz w:val="26"/>
                          <w:szCs w:val="26"/>
                        </w:rPr>
                        <w:t>jobactive</w:t>
                      </w:r>
                    </w:p>
                    <w:p w14:paraId="24FE6938" w14:textId="77777777" w:rsidR="00E019B6" w:rsidRPr="004D20A0" w:rsidRDefault="00E019B6" w:rsidP="00B4343F">
                      <w:pPr>
                        <w:spacing w:after="120"/>
                        <w:rPr>
                          <w:szCs w:val="26"/>
                        </w:rPr>
                      </w:pPr>
                      <w:r w:rsidRPr="004D20A0">
                        <w:rPr>
                          <w:szCs w:val="26"/>
                        </w:rPr>
                        <w:t>Stronger expectations for providers to better meet the needs of employers.</w:t>
                      </w:r>
                    </w:p>
                    <w:p w14:paraId="4F17406A" w14:textId="77777777" w:rsidR="00E019B6" w:rsidRPr="004D20A0" w:rsidRDefault="00E019B6" w:rsidP="00B4343F">
                      <w:pPr>
                        <w:spacing w:after="120"/>
                        <w:rPr>
                          <w:szCs w:val="26"/>
                        </w:rPr>
                      </w:pPr>
                      <w:r w:rsidRPr="004D20A0">
                        <w:rPr>
                          <w:szCs w:val="26"/>
                        </w:rPr>
                        <w:t>Payments to providers intended to be geared towards achieving sustainable employment outcomes.</w:t>
                      </w:r>
                    </w:p>
                    <w:p w14:paraId="4A0F0FC1" w14:textId="77777777" w:rsidR="00E019B6" w:rsidRPr="004D20A0" w:rsidRDefault="00E019B6" w:rsidP="00B4343F">
                      <w:pPr>
                        <w:spacing w:after="120"/>
                        <w:rPr>
                          <w:szCs w:val="26"/>
                        </w:rPr>
                      </w:pPr>
                      <w:r w:rsidRPr="004D20A0">
                        <w:rPr>
                          <w:szCs w:val="26"/>
                        </w:rPr>
                        <w:t>A range of subsidies to assist employers to recruit and train job seekers.</w:t>
                      </w:r>
                    </w:p>
                    <w:p w14:paraId="3EDC3282" w14:textId="77777777" w:rsidR="00E019B6" w:rsidRPr="004D20A0" w:rsidRDefault="00E019B6" w:rsidP="00B4343F">
                      <w:pPr>
                        <w:spacing w:after="120"/>
                        <w:rPr>
                          <w:color w:val="41C8F4" w:themeColor="accent1"/>
                          <w:szCs w:val="26"/>
                        </w:rPr>
                      </w:pPr>
                      <w:r w:rsidRPr="004D20A0">
                        <w:rPr>
                          <w:szCs w:val="26"/>
                        </w:rPr>
                        <w:t>Stronger emphasis on job seekers finding work and moving off welfare quickly.</w:t>
                      </w:r>
                    </w:p>
                  </w:txbxContent>
                </v:textbox>
                <w10:wrap type="square" anchorx="margin"/>
              </v:shape>
            </w:pict>
          </mc:Fallback>
        </mc:AlternateContent>
      </w:r>
      <w:r w:rsidRPr="00B4343F">
        <w:rPr>
          <w:rFonts w:ascii="Calibri" w:eastAsiaTheme="minorHAnsi" w:hAnsi="Calibri" w:cs="Calibri"/>
          <w:noProof/>
          <w:sz w:val="20"/>
          <w:lang w:eastAsia="en-AU"/>
        </w:rPr>
        <mc:AlternateContent>
          <mc:Choice Requires="wps">
            <w:drawing>
              <wp:anchor distT="0" distB="0" distL="114300" distR="114300" simplePos="0" relativeHeight="251663360" behindDoc="0" locked="0" layoutInCell="1" allowOverlap="1" wp14:anchorId="4AE349FE" wp14:editId="0E491FB9">
                <wp:simplePos x="0" y="0"/>
                <wp:positionH relativeFrom="margin">
                  <wp:posOffset>0</wp:posOffset>
                </wp:positionH>
                <wp:positionV relativeFrom="paragraph">
                  <wp:posOffset>158750</wp:posOffset>
                </wp:positionV>
                <wp:extent cx="1771650" cy="4010660"/>
                <wp:effectExtent l="0" t="0" r="0" b="8890"/>
                <wp:wrapSquare wrapText="bothSides"/>
                <wp:docPr id="200" name="Text Box 200"/>
                <wp:cNvGraphicFramePr/>
                <a:graphic xmlns:a="http://schemas.openxmlformats.org/drawingml/2006/main">
                  <a:graphicData uri="http://schemas.microsoft.com/office/word/2010/wordprocessingShape">
                    <wps:wsp>
                      <wps:cNvSpPr txBox="1"/>
                      <wps:spPr>
                        <a:xfrm>
                          <a:off x="0" y="0"/>
                          <a:ext cx="1771650" cy="4010660"/>
                        </a:xfrm>
                        <a:prstGeom prst="rect">
                          <a:avLst/>
                        </a:prstGeom>
                        <a:noFill/>
                        <a:ln w="6350">
                          <a:noFill/>
                        </a:ln>
                        <a:effectLst/>
                      </wps:spPr>
                      <wps:txbx>
                        <w:txbxContent>
                          <w:p w14:paraId="3F368CE6" w14:textId="33673D81" w:rsidR="00E019B6" w:rsidRPr="001050EE" w:rsidRDefault="00A41B48" w:rsidP="00A41B48">
                            <w:pPr>
                              <w:spacing w:after="120"/>
                              <w:jc w:val="center"/>
                              <w:rPr>
                                <w:b/>
                                <w:color w:val="44546A" w:themeColor="text2"/>
                                <w:sz w:val="26"/>
                                <w:szCs w:val="26"/>
                              </w:rPr>
                            </w:pPr>
                            <w:r>
                              <w:rPr>
                                <w:b/>
                                <w:color w:val="44546A" w:themeColor="text2"/>
                                <w:sz w:val="26"/>
                                <w:szCs w:val="26"/>
                              </w:rPr>
                              <w:t>1946</w:t>
                            </w:r>
                            <w:r>
                              <w:rPr>
                                <w:b/>
                                <w:color w:val="44546A" w:themeColor="text2"/>
                                <w:sz w:val="26"/>
                                <w:szCs w:val="26"/>
                              </w:rPr>
                              <w:br/>
                            </w:r>
                            <w:r w:rsidR="00E019B6" w:rsidRPr="001050EE">
                              <w:rPr>
                                <w:b/>
                                <w:color w:val="44546A" w:themeColor="text2"/>
                                <w:sz w:val="26"/>
                                <w:szCs w:val="26"/>
                              </w:rPr>
                              <w:t>Commonwealth Employment Service</w:t>
                            </w:r>
                          </w:p>
                          <w:p w14:paraId="2AC82215" w14:textId="77777777" w:rsidR="00E019B6" w:rsidRPr="004D20A0" w:rsidRDefault="00E019B6" w:rsidP="00B4343F">
                            <w:pPr>
                              <w:spacing w:after="120"/>
                              <w:rPr>
                                <w:szCs w:val="26"/>
                              </w:rPr>
                            </w:pPr>
                            <w:r w:rsidRPr="004D20A0">
                              <w:rPr>
                                <w:szCs w:val="26"/>
                              </w:rPr>
                              <w:t>Government employment services were delivered by the CES, a monopoly public provider.</w:t>
                            </w:r>
                          </w:p>
                          <w:p w14:paraId="5AD040E4" w14:textId="77777777" w:rsidR="00E019B6" w:rsidRPr="004D20A0" w:rsidRDefault="00E019B6" w:rsidP="00B4343F">
                            <w:pPr>
                              <w:spacing w:after="120"/>
                              <w:rPr>
                                <w:szCs w:val="26"/>
                              </w:rPr>
                            </w:pPr>
                            <w:r w:rsidRPr="004D20A0">
                              <w:rPr>
                                <w:szCs w:val="26"/>
                              </w:rPr>
                              <w:t>Job matching service and ‘one-size fits all’ programs.</w:t>
                            </w:r>
                          </w:p>
                          <w:p w14:paraId="02564CB0" w14:textId="77777777" w:rsidR="00E019B6" w:rsidRPr="004D20A0" w:rsidRDefault="00E019B6" w:rsidP="00B4343F">
                            <w:pPr>
                              <w:spacing w:after="120"/>
                              <w:rPr>
                                <w:szCs w:val="26"/>
                              </w:rPr>
                            </w:pPr>
                            <w:r w:rsidRPr="004D20A0">
                              <w:rPr>
                                <w:szCs w:val="26"/>
                              </w:rPr>
                              <w:t>Job seekers had to slot into the programs and not the other way round.</w:t>
                            </w:r>
                          </w:p>
                          <w:p w14:paraId="4558C7A4" w14:textId="1DA89507" w:rsidR="00E019B6" w:rsidRPr="00995FA7" w:rsidRDefault="00E019B6" w:rsidP="00B4343F">
                            <w:pPr>
                              <w:spacing w:after="120"/>
                              <w:rPr>
                                <w:color w:val="41C8F4" w:themeColor="accent1"/>
                                <w:sz w:val="20"/>
                                <w:szCs w:val="26"/>
                              </w:rPr>
                            </w:pPr>
                            <w:r w:rsidRPr="004D20A0">
                              <w:rPr>
                                <w:szCs w:val="26"/>
                              </w:rPr>
                              <w:t>The CES was considered unresponsive, inefficient and costly.</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349FE" id="Text Box 200" o:spid="_x0000_s1029" type="#_x0000_t202" style="position:absolute;margin-left:0;margin-top:12.5pt;width:139.5pt;height:31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RrMgIAAGcEAAAOAAAAZHJzL2Uyb0RvYy54bWysVF1v2jAUfZ+0/2D5fQRaRreIULFWTJOq&#10;thJMfTaOQyIlvp5tSNiv37FDKOv2NO3F+H7k+N5z7mV+2zU1OyjrKtIZn4zGnCktKa/0LuPfN6sP&#10;nzhzXuhc1KRVxo/K8dvF+3fz1qTqikqqc2UZQLRLW5Px0nuTJomTpWqEG5FRGsGCbCM8TLtLcita&#10;oDd1cjUez5KWbG4sSeUcvPd9kC8iflEo6Z+KwinP6oyjNh9PG89tOJPFXKQ7K0xZyVMZ4h+qaESl&#10;8egZ6l54wfa2+gOqqaQlR4UfSWoSKopKqtgDupmM33SzLoVRsReQ48yZJvf/YOXj4dmyKs842ORM&#10;iwYibVTn2RfqWPCBoda4FIlrg1TfIQClB7+DMzTeFbYJv2iJIQ6s45nfACfDRzc3k9lHhCRiU/Q7&#10;m0X85PVzY53/qqhh4ZJxCwEjr+Lw4DxKQeqQEl7TtKrqOopYa9ZmfHYN/N8i+KLWwaPiOJxgQkt9&#10;6eHmu20XSbge2tpSfkS3lvqJcUauKlT0IJx/FhYjgi4w9v4JR1ETXqbTjbOS7M+/+UM+lEOUsxYj&#10;l3H3Yy+s4qz+pqHp58l0Clh/adhLYxsNpOh9c0eY6AmWy8h4hdf6ergWlpoXbMYyvIiQ0BLvZtwP&#10;1zvfLwE2S6rlMiZhIo3wD3ptZIAOnAWuN92LsOYkiIeWjzQMpkjf6NLn9vwv956KKooWOO4ZhYLB&#10;wDRHLU+bF9bl0o5Zr/8Pi18AAAD//wMAUEsDBBQABgAIAAAAIQBHRGpH3AAAAAcBAAAPAAAAZHJz&#10;L2Rvd25yZXYueG1sTI9BT8MwDIXvSPyHyEjcWEpROyh1JzSJEwixDsHVa7K2onFKk23l32NOcPKz&#10;nvXe53I1u0Ed7RR6zwjXiwSU5cabnluEt+3j1S2oEIkNDZ4twrcNsKrOz0oqjD/xxh7r2CoJ4VAQ&#10;QhfjWGgdms46Cgs/WhZv7ydHUdap1Waik4S7QadJkmtHPUtDR6Ndd7b5rA8O4fVpuR3697jmG6pf&#10;Pp7D137OCPHyYn64BxXtHP+O4Rdf0KESpp0/sAlqQJBHIkKayRQ3Xd6J2CHkWZ6Drkr9n7/6AQAA&#10;//8DAFBLAQItABQABgAIAAAAIQC2gziS/gAAAOEBAAATAAAAAAAAAAAAAAAAAAAAAABbQ29udGVu&#10;dF9UeXBlc10ueG1sUEsBAi0AFAAGAAgAAAAhADj9If/WAAAAlAEAAAsAAAAAAAAAAAAAAAAALwEA&#10;AF9yZWxzLy5yZWxzUEsBAi0AFAAGAAgAAAAhAEe8pGsyAgAAZwQAAA4AAAAAAAAAAAAAAAAALgIA&#10;AGRycy9lMm9Eb2MueG1sUEsBAi0AFAAGAAgAAAAhAEdEakfcAAAABwEAAA8AAAAAAAAAAAAAAAAA&#10;jAQAAGRycy9kb3ducmV2LnhtbFBLBQYAAAAABAAEAPMAAACVBQAAAAA=&#10;" filled="f" stroked="f" strokeweight=".5pt">
                <v:textbox inset=",7.2pt,,0">
                  <w:txbxContent>
                    <w:p w14:paraId="3F368CE6" w14:textId="33673D81" w:rsidR="00E019B6" w:rsidRPr="001050EE" w:rsidRDefault="00A41B48" w:rsidP="00A41B48">
                      <w:pPr>
                        <w:spacing w:after="120"/>
                        <w:jc w:val="center"/>
                        <w:rPr>
                          <w:b/>
                          <w:color w:val="44546A" w:themeColor="text2"/>
                          <w:sz w:val="26"/>
                          <w:szCs w:val="26"/>
                        </w:rPr>
                      </w:pPr>
                      <w:r>
                        <w:rPr>
                          <w:b/>
                          <w:color w:val="44546A" w:themeColor="text2"/>
                          <w:sz w:val="26"/>
                          <w:szCs w:val="26"/>
                        </w:rPr>
                        <w:t>1946</w:t>
                      </w:r>
                      <w:r>
                        <w:rPr>
                          <w:b/>
                          <w:color w:val="44546A" w:themeColor="text2"/>
                          <w:sz w:val="26"/>
                          <w:szCs w:val="26"/>
                        </w:rPr>
                        <w:br/>
                      </w:r>
                      <w:r w:rsidR="00E019B6" w:rsidRPr="001050EE">
                        <w:rPr>
                          <w:b/>
                          <w:color w:val="44546A" w:themeColor="text2"/>
                          <w:sz w:val="26"/>
                          <w:szCs w:val="26"/>
                        </w:rPr>
                        <w:t>Commonwealth Employment Service</w:t>
                      </w:r>
                    </w:p>
                    <w:p w14:paraId="2AC82215" w14:textId="77777777" w:rsidR="00E019B6" w:rsidRPr="004D20A0" w:rsidRDefault="00E019B6" w:rsidP="00B4343F">
                      <w:pPr>
                        <w:spacing w:after="120"/>
                        <w:rPr>
                          <w:szCs w:val="26"/>
                        </w:rPr>
                      </w:pPr>
                      <w:r w:rsidRPr="004D20A0">
                        <w:rPr>
                          <w:szCs w:val="26"/>
                        </w:rPr>
                        <w:t>Government employment services were delivered by the CES, a monopoly public provider.</w:t>
                      </w:r>
                    </w:p>
                    <w:p w14:paraId="5AD040E4" w14:textId="77777777" w:rsidR="00E019B6" w:rsidRPr="004D20A0" w:rsidRDefault="00E019B6" w:rsidP="00B4343F">
                      <w:pPr>
                        <w:spacing w:after="120"/>
                        <w:rPr>
                          <w:szCs w:val="26"/>
                        </w:rPr>
                      </w:pPr>
                      <w:r w:rsidRPr="004D20A0">
                        <w:rPr>
                          <w:szCs w:val="26"/>
                        </w:rPr>
                        <w:t>Job matching service and ‘one-size fits all’ programs.</w:t>
                      </w:r>
                    </w:p>
                    <w:p w14:paraId="02564CB0" w14:textId="77777777" w:rsidR="00E019B6" w:rsidRPr="004D20A0" w:rsidRDefault="00E019B6" w:rsidP="00B4343F">
                      <w:pPr>
                        <w:spacing w:after="120"/>
                        <w:rPr>
                          <w:szCs w:val="26"/>
                        </w:rPr>
                      </w:pPr>
                      <w:r w:rsidRPr="004D20A0">
                        <w:rPr>
                          <w:szCs w:val="26"/>
                        </w:rPr>
                        <w:t>Job seekers had to slot into the programs and not the other way round.</w:t>
                      </w:r>
                    </w:p>
                    <w:p w14:paraId="4558C7A4" w14:textId="1DA89507" w:rsidR="00E019B6" w:rsidRPr="00995FA7" w:rsidRDefault="00E019B6" w:rsidP="00B4343F">
                      <w:pPr>
                        <w:spacing w:after="120"/>
                        <w:rPr>
                          <w:color w:val="41C8F4" w:themeColor="accent1"/>
                          <w:sz w:val="20"/>
                          <w:szCs w:val="26"/>
                        </w:rPr>
                      </w:pPr>
                      <w:r w:rsidRPr="004D20A0">
                        <w:rPr>
                          <w:szCs w:val="26"/>
                        </w:rPr>
                        <w:t>The CES was considered unresponsive, inefficient and costly.</w:t>
                      </w:r>
                    </w:p>
                  </w:txbxContent>
                </v:textbox>
                <w10:wrap type="square" anchorx="margin"/>
              </v:shape>
            </w:pict>
          </mc:Fallback>
        </mc:AlternateContent>
      </w:r>
    </w:p>
    <w:p w14:paraId="670AE8A1" w14:textId="77777777" w:rsidR="00DC1088" w:rsidRDefault="00B4343F" w:rsidP="00DC1088">
      <w:r w:rsidRPr="00B4343F">
        <w:rPr>
          <w:rFonts w:ascii="Calibri" w:eastAsiaTheme="minorHAnsi" w:hAnsi="Calibri" w:cs="Calibri"/>
          <w:noProof/>
          <w:sz w:val="20"/>
          <w:lang w:eastAsia="en-AU"/>
        </w:rPr>
        <mc:AlternateContent>
          <mc:Choice Requires="wps">
            <w:drawing>
              <wp:anchor distT="0" distB="0" distL="114300" distR="114300" simplePos="0" relativeHeight="251666432" behindDoc="0" locked="0" layoutInCell="1" allowOverlap="1" wp14:anchorId="1D8B475A" wp14:editId="5729410B">
                <wp:simplePos x="0" y="0"/>
                <wp:positionH relativeFrom="margin">
                  <wp:posOffset>5400040</wp:posOffset>
                </wp:positionH>
                <wp:positionV relativeFrom="paragraph">
                  <wp:posOffset>13970</wp:posOffset>
                </wp:positionV>
                <wp:extent cx="1743075" cy="354520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743075" cy="3545205"/>
                        </a:xfrm>
                        <a:prstGeom prst="rect">
                          <a:avLst/>
                        </a:prstGeom>
                        <a:noFill/>
                        <a:ln w="6350">
                          <a:noFill/>
                        </a:ln>
                        <a:effectLst/>
                      </wps:spPr>
                      <wps:txbx>
                        <w:txbxContent>
                          <w:p w14:paraId="7A100EBC" w14:textId="4A6B0346" w:rsidR="00E019B6" w:rsidRPr="001050EE" w:rsidRDefault="00A41B48" w:rsidP="00A41B48">
                            <w:pPr>
                              <w:jc w:val="center"/>
                              <w:rPr>
                                <w:b/>
                                <w:color w:val="44546A" w:themeColor="text2"/>
                                <w:sz w:val="26"/>
                                <w:szCs w:val="26"/>
                              </w:rPr>
                            </w:pPr>
                            <w:r>
                              <w:rPr>
                                <w:b/>
                                <w:color w:val="44546A" w:themeColor="text2"/>
                                <w:sz w:val="26"/>
                                <w:szCs w:val="26"/>
                              </w:rPr>
                              <w:t>2009</w:t>
                            </w:r>
                            <w:r>
                              <w:rPr>
                                <w:b/>
                                <w:color w:val="44546A" w:themeColor="text2"/>
                                <w:sz w:val="26"/>
                                <w:szCs w:val="26"/>
                              </w:rPr>
                              <w:br/>
                            </w:r>
                            <w:r w:rsidR="00E019B6" w:rsidRPr="001050EE">
                              <w:rPr>
                                <w:b/>
                                <w:color w:val="44546A" w:themeColor="text2"/>
                                <w:sz w:val="26"/>
                                <w:szCs w:val="26"/>
                              </w:rPr>
                              <w:t>Job Services Australia</w:t>
                            </w:r>
                          </w:p>
                          <w:p w14:paraId="55122BB8" w14:textId="14A50196" w:rsidR="00E019B6" w:rsidRPr="004D20A0" w:rsidRDefault="00E019B6" w:rsidP="00B4343F">
                            <w:pPr>
                              <w:spacing w:after="120"/>
                              <w:rPr>
                                <w:szCs w:val="26"/>
                              </w:rPr>
                            </w:pPr>
                            <w:r w:rsidRPr="004D20A0">
                              <w:rPr>
                                <w:szCs w:val="26"/>
                              </w:rPr>
                              <w:t xml:space="preserve">Job seekers </w:t>
                            </w:r>
                            <w:r>
                              <w:rPr>
                                <w:szCs w:val="26"/>
                              </w:rPr>
                              <w:t xml:space="preserve">were </w:t>
                            </w:r>
                            <w:r w:rsidRPr="004D20A0">
                              <w:rPr>
                                <w:szCs w:val="26"/>
                              </w:rPr>
                              <w:t>serviced in four streams based on assessed level of disadvantage, to allow</w:t>
                            </w:r>
                            <w:r>
                              <w:rPr>
                                <w:szCs w:val="26"/>
                              </w:rPr>
                              <w:t xml:space="preserve"> for </w:t>
                            </w:r>
                            <w:r w:rsidRPr="004D20A0">
                              <w:rPr>
                                <w:szCs w:val="26"/>
                              </w:rPr>
                              <w:t>more tailoring of services.</w:t>
                            </w:r>
                          </w:p>
                          <w:p w14:paraId="214AA93A" w14:textId="04252597" w:rsidR="00E019B6" w:rsidRPr="00995FA7" w:rsidRDefault="00E019B6" w:rsidP="00B4343F">
                            <w:pPr>
                              <w:spacing w:after="120"/>
                              <w:rPr>
                                <w:color w:val="41C8F4" w:themeColor="accent1"/>
                                <w:sz w:val="20"/>
                                <w:szCs w:val="26"/>
                              </w:rPr>
                            </w:pPr>
                            <w:r w:rsidRPr="004D20A0">
                              <w:rPr>
                                <w:szCs w:val="26"/>
                              </w:rPr>
                              <w:t xml:space="preserve">Employment Pathway Fund replaced the Job Seeker </w:t>
                            </w:r>
                            <w:r>
                              <w:rPr>
                                <w:szCs w:val="26"/>
                              </w:rPr>
                              <w:t>A</w:t>
                            </w:r>
                            <w:r w:rsidRPr="004D20A0">
                              <w:rPr>
                                <w:szCs w:val="26"/>
                              </w:rPr>
                              <w:t>ccount, providing funding to help job seekers with a range of specific needs.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475A" id="Text Box 5" o:spid="_x0000_s1030" type="#_x0000_t202" style="position:absolute;margin-left:425.2pt;margin-top:1.1pt;width:137.25pt;height:27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dRMwIAAGMEAAAOAAAAZHJzL2Uyb0RvYy54bWysVMlu2zAQvRfoPxC815K3pBUsB24CFwWC&#10;JIBd5ExTpCWA5LAkbcn9+g4pyzHSnopeKM7CWd6b0eKu04ochfMNmJKORzklwnCoGrMv6Y/t+tNn&#10;SnxgpmIKjCjpSXh6t/z4YdHaQkygBlUJRzCI8UVrS1qHYIss87wWmvkRWGHQKMFpFlB0+6xyrMXo&#10;WmWTPL/JWnCVdcCF96h96I10meJLKXh4ltKLQFRJsbaQTpfOXTyz5YIVe8ds3fBzGewfqtCsMZj0&#10;EuqBBUYOrvkjlG64Aw8yjDjoDKRsuEg9YDfj/F03m5pZkXpBcLy9wOT/X1j+dHxxpKlKOqfEMI0U&#10;bUUXyFfoyDyi01pfoNPGolvoUI0sD3qPyth0J52OX2yHoB1xPl2wjcF4fHQ7m+a3mISjbTqfzSd5&#10;ip+9PbfOh28CNImXkjokL2HKjo8+YCnoOrjEbAbWjVKJQGVIW9Kb6TxPDy4WfKFM9BVpFM5hYkt9&#10;6fEWul2XAJgNbe2gOmG3Dvpp8ZavG6zokfnwwhyOBzaIIx+e8ZAKMDOcb5TU4H79TR/9kTW0UtLi&#10;uJXU/zwwJyhR3w3y+WU8m8X5vBbctbBLArqYg74HnOYxLpbl6YpaF9RwlQ70K27FKmZEEzMc85Y0&#10;DNf70C8AbhUXq1Vywmm0LDyajeUxdMQsYr3tXpmzZ0ICcvkEw1Cy4h0vvW/PzOoQQDaJtIhxjygy&#10;GAWc5MTleeviqlzLyevt37D8DQAA//8DAFBLAwQUAAYACAAAACEAAdViVN8AAAAKAQAADwAAAGRy&#10;cy9kb3ducmV2LnhtbEyPwU7DMBBE70j8g7VI3Kjd0JQSsqlQJU4gVFLUXreJm0TY6xC7bfh73BMc&#10;RzOaeZMvR2vESQ++c4wwnSgQmitXd9wgfG5e7hYgfCCuyTjWCD/aw7K4vsopq92ZP/SpDI2IJewz&#10;QmhD6DMpfdVqS37ies3RO7jBUohyaGQ90DmWWyMTpebSUsdxoaVer1pdfZVHi7B+fdiYbhtWfE/l&#10;++7Nfx/GlBBvb8bnJxBBj+EvDBf8iA5FZNq7I9deGIRFqmYxipAkIC7+NJk9gtgjpHOVgixy+f9C&#10;8QsAAP//AwBQSwECLQAUAAYACAAAACEAtoM4kv4AAADhAQAAEwAAAAAAAAAAAAAAAAAAAAAAW0Nv&#10;bnRlbnRfVHlwZXNdLnhtbFBLAQItABQABgAIAAAAIQA4/SH/1gAAAJQBAAALAAAAAAAAAAAAAAAA&#10;AC8BAABfcmVscy8ucmVsc1BLAQItABQABgAIAAAAIQDuFrdRMwIAAGMEAAAOAAAAAAAAAAAAAAAA&#10;AC4CAABkcnMvZTJvRG9jLnhtbFBLAQItABQABgAIAAAAIQAB1WJU3wAAAAoBAAAPAAAAAAAAAAAA&#10;AAAAAI0EAABkcnMvZG93bnJldi54bWxQSwUGAAAAAAQABADzAAAAmQUAAAAA&#10;" filled="f" stroked="f" strokeweight=".5pt">
                <v:textbox inset=",7.2pt,,0">
                  <w:txbxContent>
                    <w:p w14:paraId="7A100EBC" w14:textId="4A6B0346" w:rsidR="00E019B6" w:rsidRPr="001050EE" w:rsidRDefault="00A41B48" w:rsidP="00A41B48">
                      <w:pPr>
                        <w:jc w:val="center"/>
                        <w:rPr>
                          <w:b/>
                          <w:color w:val="44546A" w:themeColor="text2"/>
                          <w:sz w:val="26"/>
                          <w:szCs w:val="26"/>
                        </w:rPr>
                      </w:pPr>
                      <w:r>
                        <w:rPr>
                          <w:b/>
                          <w:color w:val="44546A" w:themeColor="text2"/>
                          <w:sz w:val="26"/>
                          <w:szCs w:val="26"/>
                        </w:rPr>
                        <w:t>2009</w:t>
                      </w:r>
                      <w:r>
                        <w:rPr>
                          <w:b/>
                          <w:color w:val="44546A" w:themeColor="text2"/>
                          <w:sz w:val="26"/>
                          <w:szCs w:val="26"/>
                        </w:rPr>
                        <w:br/>
                      </w:r>
                      <w:r w:rsidR="00E019B6" w:rsidRPr="001050EE">
                        <w:rPr>
                          <w:b/>
                          <w:color w:val="44546A" w:themeColor="text2"/>
                          <w:sz w:val="26"/>
                          <w:szCs w:val="26"/>
                        </w:rPr>
                        <w:t>Job Services Australia</w:t>
                      </w:r>
                    </w:p>
                    <w:p w14:paraId="55122BB8" w14:textId="14A50196" w:rsidR="00E019B6" w:rsidRPr="004D20A0" w:rsidRDefault="00E019B6" w:rsidP="00B4343F">
                      <w:pPr>
                        <w:spacing w:after="120"/>
                        <w:rPr>
                          <w:szCs w:val="26"/>
                        </w:rPr>
                      </w:pPr>
                      <w:r w:rsidRPr="004D20A0">
                        <w:rPr>
                          <w:szCs w:val="26"/>
                        </w:rPr>
                        <w:t xml:space="preserve">Job seekers </w:t>
                      </w:r>
                      <w:r>
                        <w:rPr>
                          <w:szCs w:val="26"/>
                        </w:rPr>
                        <w:t xml:space="preserve">were </w:t>
                      </w:r>
                      <w:r w:rsidRPr="004D20A0">
                        <w:rPr>
                          <w:szCs w:val="26"/>
                        </w:rPr>
                        <w:t>serviced in four streams based on assessed level of disadvantage, to allow</w:t>
                      </w:r>
                      <w:r>
                        <w:rPr>
                          <w:szCs w:val="26"/>
                        </w:rPr>
                        <w:t xml:space="preserve"> for </w:t>
                      </w:r>
                      <w:r w:rsidRPr="004D20A0">
                        <w:rPr>
                          <w:szCs w:val="26"/>
                        </w:rPr>
                        <w:t>more tailoring of services.</w:t>
                      </w:r>
                    </w:p>
                    <w:p w14:paraId="214AA93A" w14:textId="04252597" w:rsidR="00E019B6" w:rsidRPr="00995FA7" w:rsidRDefault="00E019B6" w:rsidP="00B4343F">
                      <w:pPr>
                        <w:spacing w:after="120"/>
                        <w:rPr>
                          <w:color w:val="41C8F4" w:themeColor="accent1"/>
                          <w:sz w:val="20"/>
                          <w:szCs w:val="26"/>
                        </w:rPr>
                      </w:pPr>
                      <w:r w:rsidRPr="004D20A0">
                        <w:rPr>
                          <w:szCs w:val="26"/>
                        </w:rPr>
                        <w:t xml:space="preserve">Employment Pathway Fund replaced the Job Seeker </w:t>
                      </w:r>
                      <w:r>
                        <w:rPr>
                          <w:szCs w:val="26"/>
                        </w:rPr>
                        <w:t>A</w:t>
                      </w:r>
                      <w:r w:rsidRPr="004D20A0">
                        <w:rPr>
                          <w:szCs w:val="26"/>
                        </w:rPr>
                        <w:t>ccount, providing funding to help job seekers with a range of specific needs.</w:t>
                      </w:r>
                    </w:p>
                  </w:txbxContent>
                </v:textbox>
                <w10:wrap type="square" anchorx="margin"/>
              </v:shape>
            </w:pict>
          </mc:Fallback>
        </mc:AlternateContent>
      </w:r>
    </w:p>
    <w:p w14:paraId="288B4FD1" w14:textId="77777777" w:rsidR="005F103E" w:rsidRPr="001C143A" w:rsidRDefault="005F103E" w:rsidP="001C143A">
      <w:bookmarkStart w:id="3" w:name="_Toc513814263"/>
      <w:bookmarkStart w:id="4" w:name="_Toc516229084"/>
    </w:p>
    <w:p w14:paraId="0381CAEA" w14:textId="77777777" w:rsidR="005F103E" w:rsidRDefault="005F103E" w:rsidP="005F103E"/>
    <w:p w14:paraId="25521926" w14:textId="77777777" w:rsidR="005F103E" w:rsidRDefault="005F103E" w:rsidP="005F103E"/>
    <w:p w14:paraId="599B8BBD" w14:textId="77777777" w:rsidR="005F103E" w:rsidRDefault="005F103E" w:rsidP="005F103E"/>
    <w:p w14:paraId="3F4CAFB2" w14:textId="77777777" w:rsidR="005F103E" w:rsidRDefault="005F103E" w:rsidP="005F103E"/>
    <w:p w14:paraId="7BFD17ED" w14:textId="77777777" w:rsidR="005F103E" w:rsidRDefault="005F103E" w:rsidP="005F103E"/>
    <w:p w14:paraId="378BDE40" w14:textId="77777777" w:rsidR="005F103E" w:rsidRDefault="005F103E" w:rsidP="005F103E"/>
    <w:p w14:paraId="0BDA2089" w14:textId="77777777" w:rsidR="005F103E" w:rsidRDefault="005F103E" w:rsidP="005F103E"/>
    <w:p w14:paraId="4A1ECEBB" w14:textId="77777777" w:rsidR="005F103E" w:rsidRDefault="005F103E" w:rsidP="005F103E"/>
    <w:p w14:paraId="1AEDC729" w14:textId="77777777" w:rsidR="005F103E" w:rsidRDefault="005F103E" w:rsidP="005F103E">
      <w:pPr>
        <w:sectPr w:rsidR="005F103E" w:rsidSect="00B4343F">
          <w:endnotePr>
            <w:numFmt w:val="decimal"/>
          </w:endnotePr>
          <w:pgSz w:w="16838" w:h="11906" w:orient="landscape"/>
          <w:pgMar w:top="720" w:right="720" w:bottom="720" w:left="720" w:header="708" w:footer="1011" w:gutter="0"/>
          <w:cols w:space="708"/>
          <w:docGrid w:linePitch="360"/>
        </w:sectPr>
      </w:pPr>
    </w:p>
    <w:p w14:paraId="2EFE2099" w14:textId="6D428AF4" w:rsidR="00616746" w:rsidRDefault="00036DF7" w:rsidP="00D00151">
      <w:pPr>
        <w:pStyle w:val="Heading1"/>
      </w:pPr>
      <w:bookmarkStart w:id="5" w:name="_Toc518050079"/>
      <w:r>
        <w:lastRenderedPageBreak/>
        <w:t>Appendix B:</w:t>
      </w:r>
      <w:r>
        <w:br/>
      </w:r>
      <w:r w:rsidR="00616746">
        <w:t>A guide to jobactive</w:t>
      </w:r>
      <w:bookmarkEnd w:id="5"/>
    </w:p>
    <w:p w14:paraId="663569F7" w14:textId="77777777" w:rsidR="003D0F76" w:rsidRPr="00D00151" w:rsidRDefault="003D0F76" w:rsidP="006966DA">
      <w:pPr>
        <w:pStyle w:val="Heading2"/>
      </w:pPr>
      <w:r w:rsidRPr="00D00151">
        <w:t>What is jobactive?</w:t>
      </w:r>
    </w:p>
    <w:p w14:paraId="2A2F2783" w14:textId="77777777" w:rsidR="003D0F76" w:rsidRPr="009E27DE" w:rsidRDefault="003D0F76" w:rsidP="00B16665">
      <w:pPr>
        <w:pStyle w:val="ListParagraph"/>
      </w:pPr>
      <w:r w:rsidRPr="009E27DE">
        <w:t>A network of non-government providers contracted by the Australian Government to deliver employment services to Australians.</w:t>
      </w:r>
    </w:p>
    <w:p w14:paraId="4C2B479A" w14:textId="77777777" w:rsidR="003D0F76" w:rsidRPr="009E27DE" w:rsidRDefault="003D0F76" w:rsidP="00B16665">
      <w:pPr>
        <w:pStyle w:val="ListParagraph"/>
      </w:pPr>
      <w:r w:rsidRPr="009E27DE">
        <w:t>Government funds employment service</w:t>
      </w:r>
      <w:r w:rsidR="00471C89" w:rsidRPr="009E27DE">
        <w:t>s</w:t>
      </w:r>
      <w:r w:rsidRPr="009E27DE">
        <w:t xml:space="preserve"> providers to help job seekers find work by: </w:t>
      </w:r>
    </w:p>
    <w:p w14:paraId="3366CC91" w14:textId="04C74BBC" w:rsidR="003D0F76" w:rsidRPr="00036DF7" w:rsidRDefault="003D0F76" w:rsidP="00623DDB">
      <w:pPr>
        <w:pStyle w:val="dotpoint2"/>
      </w:pPr>
      <w:r w:rsidRPr="00036DF7">
        <w:t>connecti</w:t>
      </w:r>
      <w:r w:rsidR="00D00151" w:rsidRPr="00036DF7">
        <w:t>ng them with job opportunities</w:t>
      </w:r>
    </w:p>
    <w:p w14:paraId="09C2A68E" w14:textId="6CB11EC5" w:rsidR="003D0F76" w:rsidRPr="00036DF7" w:rsidRDefault="003D0F76" w:rsidP="00623DDB">
      <w:pPr>
        <w:pStyle w:val="dotpoint2"/>
      </w:pPr>
      <w:r w:rsidRPr="00036DF7">
        <w:t xml:space="preserve">providing career and job search coaching </w:t>
      </w:r>
    </w:p>
    <w:p w14:paraId="0B7C3AD4" w14:textId="77777777" w:rsidR="003D0F76" w:rsidRPr="00036DF7" w:rsidRDefault="003D0F76" w:rsidP="00623DDB">
      <w:pPr>
        <w:pStyle w:val="dotpoint2"/>
      </w:pPr>
      <w:r w:rsidRPr="00036DF7">
        <w:t>directing job seekers to activities that will increase their chance of finding work</w:t>
      </w:r>
    </w:p>
    <w:p w14:paraId="37E9950F" w14:textId="77777777" w:rsidR="003D0F76" w:rsidRPr="00036DF7" w:rsidRDefault="003D0F76" w:rsidP="00623DDB">
      <w:pPr>
        <w:pStyle w:val="dotpoint2"/>
      </w:pPr>
      <w:r w:rsidRPr="00036DF7">
        <w:t xml:space="preserve">investing in the job seeker to help them overcome the barriers they face </w:t>
      </w:r>
    </w:p>
    <w:p w14:paraId="17082337" w14:textId="471B7ACA" w:rsidR="003D0F76" w:rsidRPr="00036DF7" w:rsidRDefault="003D0F76" w:rsidP="00623DDB">
      <w:pPr>
        <w:pStyle w:val="dotpoint2"/>
      </w:pPr>
      <w:r w:rsidRPr="00036DF7">
        <w:t>offering employers wage subsidies to hire them</w:t>
      </w:r>
      <w:r w:rsidR="00D00151" w:rsidRPr="00036DF7">
        <w:t>, and</w:t>
      </w:r>
    </w:p>
    <w:p w14:paraId="2E3BA263" w14:textId="77777777" w:rsidR="003D0F76" w:rsidRPr="00036DF7" w:rsidRDefault="003D0F76" w:rsidP="00623DDB">
      <w:pPr>
        <w:pStyle w:val="dotpoint2"/>
      </w:pPr>
      <w:r w:rsidRPr="00036DF7">
        <w:t>offering a free recruitment service to employers.</w:t>
      </w:r>
    </w:p>
    <w:p w14:paraId="420DB098" w14:textId="7BCDDBC1" w:rsidR="003D0F76" w:rsidRPr="00036DF7" w:rsidRDefault="003D0F76" w:rsidP="00036DF7">
      <w:pPr>
        <w:pStyle w:val="ListParagraph"/>
      </w:pPr>
      <w:r w:rsidRPr="00036DF7">
        <w:t>Providers principally deliver services to people in receipt of income s</w:t>
      </w:r>
      <w:r w:rsidR="00D00151" w:rsidRPr="00036DF7">
        <w:t xml:space="preserve">upport to place them into work. </w:t>
      </w:r>
      <w:r w:rsidRPr="00036DF7">
        <w:t xml:space="preserve">People </w:t>
      </w:r>
      <w:r w:rsidR="00D00151" w:rsidRPr="00036DF7">
        <w:t xml:space="preserve">who don’t receive income </w:t>
      </w:r>
      <w:r w:rsidRPr="00036DF7">
        <w:t xml:space="preserve">support can also access employment services on a voluntary basis. </w:t>
      </w:r>
    </w:p>
    <w:p w14:paraId="080BC455" w14:textId="77777777" w:rsidR="003D0F76" w:rsidRPr="00036DF7" w:rsidRDefault="003D0F76" w:rsidP="00036DF7">
      <w:pPr>
        <w:pStyle w:val="ListParagraph"/>
      </w:pPr>
      <w:r w:rsidRPr="00036DF7">
        <w:t xml:space="preserve">jobactive providers receive payments for successfully connecting job seekers with employment, on behalf of the Government. </w:t>
      </w:r>
    </w:p>
    <w:p w14:paraId="77BDBF28" w14:textId="2D23C88D" w:rsidR="003D0F76" w:rsidRPr="00036DF7" w:rsidRDefault="003D0F76" w:rsidP="00036DF7">
      <w:pPr>
        <w:pStyle w:val="ListParagraph"/>
      </w:pPr>
      <w:r w:rsidRPr="00036DF7">
        <w:t xml:space="preserve">Additionally, providers fulfil a compliance monitoring role to </w:t>
      </w:r>
      <w:r w:rsidR="0096086B" w:rsidRPr="00036DF7">
        <w:t xml:space="preserve">make sure </w:t>
      </w:r>
      <w:r w:rsidRPr="00036DF7">
        <w:t>people in receipt of income support comply with their mutual obligation requirements (below).</w:t>
      </w:r>
    </w:p>
    <w:p w14:paraId="5DFAB875" w14:textId="77777777" w:rsidR="003D0F76" w:rsidRPr="00036DF7" w:rsidRDefault="003D0F76" w:rsidP="00036DF7">
      <w:pPr>
        <w:pStyle w:val="ListParagraph"/>
      </w:pPr>
      <w:r w:rsidRPr="00036DF7">
        <w:t>The jobactive service is free for job seekers and for employers seeking assistance of providers to fill vacancies.</w:t>
      </w:r>
    </w:p>
    <w:p w14:paraId="2381B238" w14:textId="77777777" w:rsidR="003D0F76" w:rsidRPr="00036DF7" w:rsidRDefault="003D0F76" w:rsidP="00036DF7">
      <w:pPr>
        <w:pStyle w:val="ListParagraph"/>
      </w:pPr>
      <w:r w:rsidRPr="00036DF7">
        <w:t>All jobactive providers have access to the Employment Fund which can be used to pay for training or other assistance to help participants gain and keep employment. The Employment Fund focuses on work-related items, training and support that meet the needs of participants and employers.</w:t>
      </w:r>
    </w:p>
    <w:p w14:paraId="0724716C" w14:textId="77777777" w:rsidR="003D0F76" w:rsidRPr="00036DF7" w:rsidRDefault="003D0F76" w:rsidP="00036DF7">
      <w:pPr>
        <w:pStyle w:val="ListParagraph"/>
      </w:pPr>
      <w:r w:rsidRPr="00036DF7">
        <w:t>Employment services were privatised under a contestable market model in 1998, initially through the Job Network and, since 2015, through jobactive. This model replaced the former Commonwealth Employment Services established in 1946 as the monopoly public provider.</w:t>
      </w:r>
    </w:p>
    <w:p w14:paraId="1332C8A6" w14:textId="77777777" w:rsidR="003D0F76" w:rsidRPr="00036DF7" w:rsidRDefault="003D0F76" w:rsidP="00036DF7">
      <w:pPr>
        <w:pStyle w:val="ListParagraph"/>
      </w:pPr>
      <w:r w:rsidRPr="00036DF7">
        <w:t>The current arrangement can be described as a quasi-market model as the Government determines the price and mix of services that employment providers will deliver. This is designed to deliver sustainable and equitable employment service markets.</w:t>
      </w:r>
    </w:p>
    <w:p w14:paraId="57C7CFAF" w14:textId="3EE94861" w:rsidR="003D0F76" w:rsidRPr="00036DF7" w:rsidRDefault="003D0F76" w:rsidP="00036DF7">
      <w:pPr>
        <w:pStyle w:val="ListParagraph"/>
      </w:pPr>
      <w:r w:rsidRPr="00036DF7">
        <w:t>The Government regulates the number of providers that will operate in each employment region. Providers are selected through a competitive process and compete to service job seek</w:t>
      </w:r>
      <w:r w:rsidR="00D00151" w:rsidRPr="00036DF7">
        <w:t>ers. Job seekers on welfare must</w:t>
      </w:r>
      <w:r w:rsidRPr="00036DF7">
        <w:t xml:space="preserve"> use a jobactive provider but can choose the provider when registering for employment services.</w:t>
      </w:r>
    </w:p>
    <w:p w14:paraId="281F87CD" w14:textId="5B84EFA0" w:rsidR="003D0F76" w:rsidRPr="00036DF7" w:rsidRDefault="003D0F76" w:rsidP="00036DF7">
      <w:pPr>
        <w:pStyle w:val="ListParagraph"/>
      </w:pPr>
      <w:r w:rsidRPr="00036DF7">
        <w:t xml:space="preserve">The Government monitors providers’ performance (see </w:t>
      </w:r>
      <w:r w:rsidR="00D00151" w:rsidRPr="00036DF7">
        <w:t>‘</w:t>
      </w:r>
      <w:r w:rsidRPr="00036DF7">
        <w:t>Star Ratings</w:t>
      </w:r>
      <w:r w:rsidR="00D00151" w:rsidRPr="00036DF7">
        <w:t>’ below</w:t>
      </w:r>
      <w:r w:rsidRPr="00036DF7">
        <w:t>) and may reallocate some of their market share to their competitors if their performance is poor.</w:t>
      </w:r>
    </w:p>
    <w:p w14:paraId="5CA979CB" w14:textId="77777777" w:rsidR="003D0F76" w:rsidRPr="003D0F76" w:rsidRDefault="003D0F76" w:rsidP="009E27DE">
      <w:pPr>
        <w:pStyle w:val="Heading2"/>
      </w:pPr>
      <w:r w:rsidRPr="003D0F76">
        <w:lastRenderedPageBreak/>
        <w:t xml:space="preserve">Mutual obligation requirements </w:t>
      </w:r>
    </w:p>
    <w:p w14:paraId="6CB25508" w14:textId="77777777" w:rsidR="003D0F76" w:rsidRPr="009E27DE" w:rsidRDefault="003D0F76" w:rsidP="00B16665">
      <w:pPr>
        <w:pStyle w:val="ListParagraph"/>
      </w:pPr>
      <w:r w:rsidRPr="009E27DE">
        <w:t xml:space="preserve">People in receipt of income support are required to demonstrate that they are actively looking for work and undertaking activities to improve their employment prospects. </w:t>
      </w:r>
    </w:p>
    <w:p w14:paraId="76074E20" w14:textId="77777777" w:rsidR="003D0F76" w:rsidRPr="009E27DE" w:rsidRDefault="003D0F76" w:rsidP="00B16665">
      <w:pPr>
        <w:pStyle w:val="ListParagraph"/>
      </w:pPr>
      <w:r w:rsidRPr="009E27DE">
        <w:t xml:space="preserve">People must look for, and be prepared to accept, work in a variety of fields, not just work that they prefer or are qualified to do. </w:t>
      </w:r>
    </w:p>
    <w:p w14:paraId="5337E074" w14:textId="77777777" w:rsidR="003D0F76" w:rsidRPr="009E27DE" w:rsidRDefault="003D0F76" w:rsidP="00B16665">
      <w:pPr>
        <w:pStyle w:val="ListParagraph"/>
      </w:pPr>
      <w:r w:rsidRPr="009E27DE">
        <w:t>Most people are required to apply for 20 jobs per month and report these to their jobactive provider. This is in addition to completing the other activities in their Job Plan.</w:t>
      </w:r>
    </w:p>
    <w:p w14:paraId="21AAABCB" w14:textId="77777777" w:rsidR="003D0F76" w:rsidRPr="003D0F76" w:rsidRDefault="003D0F76" w:rsidP="006966DA">
      <w:pPr>
        <w:pStyle w:val="Heading2"/>
      </w:pPr>
      <w:r w:rsidRPr="003D0F76">
        <w:t>The jobactive network</w:t>
      </w:r>
    </w:p>
    <w:p w14:paraId="2B8D4292" w14:textId="2A3974BA" w:rsidR="003D0F76" w:rsidRPr="009E27DE" w:rsidRDefault="00D63263" w:rsidP="00B16665">
      <w:pPr>
        <w:pStyle w:val="ListParagraph"/>
      </w:pPr>
      <w:r w:rsidRPr="009E27DE">
        <w:t>The network is made up of 42</w:t>
      </w:r>
      <w:r w:rsidR="003D0F76" w:rsidRPr="009E27DE">
        <w:t xml:space="preserve"> jobactive </w:t>
      </w:r>
      <w:r w:rsidR="00E410A3" w:rsidRPr="009E27DE">
        <w:t>e</w:t>
      </w:r>
      <w:r w:rsidR="003D0F76" w:rsidRPr="009E27DE">
        <w:t xml:space="preserve">mployment </w:t>
      </w:r>
      <w:r w:rsidR="00E410A3" w:rsidRPr="009E27DE">
        <w:t>s</w:t>
      </w:r>
      <w:r w:rsidR="003D0F76" w:rsidRPr="009E27DE">
        <w:t>ervice</w:t>
      </w:r>
      <w:r w:rsidR="00E410A3" w:rsidRPr="009E27DE">
        <w:t>s</w:t>
      </w:r>
      <w:r w:rsidR="003D0F76" w:rsidRPr="009E27DE">
        <w:t xml:space="preserve"> </w:t>
      </w:r>
      <w:r w:rsidR="00E410A3" w:rsidRPr="009E27DE">
        <w:t>p</w:t>
      </w:r>
      <w:r w:rsidR="003D0F76" w:rsidRPr="009E27DE">
        <w:t>roviders in over 1,700 locations across the country.</w:t>
      </w:r>
    </w:p>
    <w:p w14:paraId="54257A49" w14:textId="77777777" w:rsidR="003D0F76" w:rsidRPr="009E27DE" w:rsidRDefault="003D0F76" w:rsidP="00B16665">
      <w:pPr>
        <w:pStyle w:val="ListParagraph"/>
      </w:pPr>
      <w:r w:rsidRPr="009E27DE">
        <w:t>Providers are contracted to deliver services from one or more sites in an employment region.</w:t>
      </w:r>
    </w:p>
    <w:p w14:paraId="3EBDD5A3" w14:textId="6A463B56" w:rsidR="003D0F76" w:rsidRPr="009E27DE" w:rsidRDefault="003D0F76" w:rsidP="00B16665">
      <w:pPr>
        <w:pStyle w:val="ListParagraph"/>
      </w:pPr>
      <w:r w:rsidRPr="009E27DE">
        <w:t>There are currently 51 employment re</w:t>
      </w:r>
      <w:r w:rsidR="00D63263" w:rsidRPr="009E27DE">
        <w:t>gions, with a range of between one and seven</w:t>
      </w:r>
      <w:r w:rsidRPr="009E27DE">
        <w:t xml:space="preserve"> providers </w:t>
      </w:r>
      <w:r w:rsidR="00D63263" w:rsidRPr="009E27DE">
        <w:t>in each</w:t>
      </w:r>
      <w:r w:rsidRPr="009E27DE">
        <w:t xml:space="preserve"> region.</w:t>
      </w:r>
    </w:p>
    <w:p w14:paraId="13B9945A" w14:textId="77777777" w:rsidR="003D0F76" w:rsidRPr="003D0F76" w:rsidRDefault="003D0F76" w:rsidP="006966DA">
      <w:pPr>
        <w:pStyle w:val="Heading2"/>
      </w:pPr>
      <w:r w:rsidRPr="003D0F76">
        <w:t>The jobactive contract</w:t>
      </w:r>
    </w:p>
    <w:p w14:paraId="517CF4C5" w14:textId="235F3B25" w:rsidR="003D0F76" w:rsidRPr="009E27DE" w:rsidRDefault="003D0F76" w:rsidP="00B16665">
      <w:pPr>
        <w:pStyle w:val="ListParagraph"/>
      </w:pPr>
      <w:r w:rsidRPr="009E27DE">
        <w:t>jobactive commenced on 1 July 2015 and is scheduled to expire on 30 June 2020 (with re-arranged transition period built into the end of the contract).</w:t>
      </w:r>
    </w:p>
    <w:p w14:paraId="0C3C0E8D" w14:textId="052CD804" w:rsidR="003D0F76" w:rsidRPr="009E27DE" w:rsidRDefault="003D0F76" w:rsidP="00B16665">
      <w:pPr>
        <w:pStyle w:val="ListParagraph"/>
      </w:pPr>
      <w:r w:rsidRPr="009E27DE">
        <w:t>The Australian Government has allocated $</w:t>
      </w:r>
      <w:r w:rsidR="00D63263" w:rsidRPr="009E27DE">
        <w:t>6.</w:t>
      </w:r>
      <w:r w:rsidRPr="009E27DE">
        <w:t xml:space="preserve">7 billion of funding for jobactive over five years (2015-2020). </w:t>
      </w:r>
    </w:p>
    <w:p w14:paraId="5E1C1592" w14:textId="7D9E9755" w:rsidR="003D0F76" w:rsidRPr="009E27DE" w:rsidRDefault="003D0F76" w:rsidP="00B16665">
      <w:pPr>
        <w:pStyle w:val="ListParagraph"/>
      </w:pPr>
      <w:r w:rsidRPr="009E27DE">
        <w:t>jobactive is an uncapped demand driven service, which means that there is no limit to the number of job seekers who can be referred to it</w:t>
      </w:r>
      <w:r w:rsidR="00D63263" w:rsidRPr="009E27DE">
        <w:t>,</w:t>
      </w:r>
      <w:r w:rsidRPr="009E27DE">
        <w:t xml:space="preserve"> or the </w:t>
      </w:r>
      <w:r w:rsidR="00D63263" w:rsidRPr="009E27DE">
        <w:t>number of outcomes</w:t>
      </w:r>
      <w:r w:rsidRPr="009E27DE">
        <w:t xml:space="preserve"> providers can earn for placing people in employment.</w:t>
      </w:r>
    </w:p>
    <w:p w14:paraId="6AEF81A6" w14:textId="77777777" w:rsidR="003D0F76" w:rsidRPr="003D0F76" w:rsidRDefault="003D0F76" w:rsidP="006966DA">
      <w:pPr>
        <w:pStyle w:val="Heading2"/>
      </w:pPr>
      <w:r w:rsidRPr="003D0F76">
        <w:t>How do jobactive providers get paid?</w:t>
      </w:r>
    </w:p>
    <w:p w14:paraId="014D9A72" w14:textId="4C28005D" w:rsidR="003D0F76" w:rsidRPr="009E27DE" w:rsidRDefault="003D0F76" w:rsidP="00B16665">
      <w:pPr>
        <w:pStyle w:val="ListParagraph"/>
      </w:pPr>
      <w:r w:rsidRPr="009E27DE">
        <w:t>Providers receive two main types of payment to deliver employment services</w:t>
      </w:r>
      <w:r w:rsidR="00D63263" w:rsidRPr="009E27DE">
        <w:t>: administration fees and o</w:t>
      </w:r>
      <w:r w:rsidRPr="009E27DE">
        <w:t>utc</w:t>
      </w:r>
      <w:r w:rsidR="00D63263" w:rsidRPr="009E27DE">
        <w:t>ome p</w:t>
      </w:r>
      <w:r w:rsidRPr="009E27DE">
        <w:t>ayments.</w:t>
      </w:r>
    </w:p>
    <w:p w14:paraId="160E9CFD" w14:textId="046CA70C" w:rsidR="003D0F76" w:rsidRPr="009E27DE" w:rsidRDefault="003D0F76" w:rsidP="00B16665">
      <w:pPr>
        <w:pStyle w:val="ListParagraph"/>
      </w:pPr>
      <w:r w:rsidRPr="009E27DE">
        <w:t xml:space="preserve">These prices are fixed and </w:t>
      </w:r>
      <w:r w:rsidR="00533BD2" w:rsidRPr="009E27DE">
        <w:t>are</w:t>
      </w:r>
      <w:r w:rsidRPr="009E27DE">
        <w:t xml:space="preserve"> designed to incentivise providers to place the full range of job seekers into sustainable employment. </w:t>
      </w:r>
    </w:p>
    <w:p w14:paraId="0047277F" w14:textId="77777777" w:rsidR="003D0F76" w:rsidRPr="009E27DE" w:rsidRDefault="003D0F76" w:rsidP="00B16665">
      <w:pPr>
        <w:pStyle w:val="ListParagraph"/>
      </w:pPr>
      <w:r w:rsidRPr="009E27DE">
        <w:t xml:space="preserve">All payments recognise the additional costs in delivering services in regional areas through the application of a 25 per cent regional loading. </w:t>
      </w:r>
    </w:p>
    <w:p w14:paraId="03A5CBC2" w14:textId="3DA9B9BB" w:rsidR="003D0F76" w:rsidRPr="009E27DE" w:rsidRDefault="003D0F76" w:rsidP="00B16665">
      <w:pPr>
        <w:pStyle w:val="ListParagraph"/>
      </w:pPr>
      <w:r w:rsidRPr="009E27DE">
        <w:t>Outcome Payments are paid to providers when a job seeker has been placed</w:t>
      </w:r>
      <w:r w:rsidR="00533BD2" w:rsidRPr="009E27DE">
        <w:t xml:space="preserve"> in employment for a period of four</w:t>
      </w:r>
      <w:r w:rsidRPr="009E27DE">
        <w:t xml:space="preserve">, 12 and 26 weeks. </w:t>
      </w:r>
    </w:p>
    <w:p w14:paraId="631513ED" w14:textId="0CDB6362" w:rsidR="003D0F76" w:rsidRPr="009E27DE" w:rsidRDefault="003D0F76" w:rsidP="00B16665">
      <w:pPr>
        <w:pStyle w:val="ListParagraph"/>
      </w:pPr>
      <w:r w:rsidRPr="009E27DE">
        <w:t xml:space="preserve">Payment rates are structured to reflect a job seekers’ stream and length of unemployment, with higher fees </w:t>
      </w:r>
      <w:r w:rsidR="00533BD2" w:rsidRPr="009E27DE">
        <w:t>paid for placi</w:t>
      </w:r>
      <w:r w:rsidRPr="009E27DE">
        <w:t xml:space="preserve">ng job seekers with higher levels of disadvantage. </w:t>
      </w:r>
    </w:p>
    <w:p w14:paraId="3484B5EF" w14:textId="77777777" w:rsidR="003D0F76" w:rsidRPr="003D0F76" w:rsidRDefault="003D0F76" w:rsidP="006966DA">
      <w:pPr>
        <w:pStyle w:val="Heading2"/>
      </w:pPr>
      <w:r w:rsidRPr="003D0F76">
        <w:t>Job seeker streams</w:t>
      </w:r>
    </w:p>
    <w:p w14:paraId="62445E66" w14:textId="77777777" w:rsidR="003D0F76" w:rsidRPr="009E27DE" w:rsidRDefault="003D0F76" w:rsidP="00B16665">
      <w:pPr>
        <w:pStyle w:val="ListParagraph"/>
      </w:pPr>
      <w:r w:rsidRPr="009E27DE">
        <w:t>In connecting a job seeker to employment services, the Department of Human Services assesses the job seeker’s level of disadvantage using the Job Seeker Classification Instrument (JSCI) to help determine the type and level of assistance required.</w:t>
      </w:r>
    </w:p>
    <w:p w14:paraId="683060B3" w14:textId="77777777" w:rsidR="003D0F76" w:rsidRPr="009E27DE" w:rsidRDefault="003D0F76" w:rsidP="00B16665">
      <w:pPr>
        <w:pStyle w:val="ListParagraph"/>
      </w:pPr>
      <w:r w:rsidRPr="009E27DE">
        <w:lastRenderedPageBreak/>
        <w:t>The JSCI is comprised of up to 49 questions. Generally, a job seeker who has a higher level of disadvantage will answer more questions. Based on their responses, job seekers are placed into one of three Streams (A, B or C).</w:t>
      </w:r>
    </w:p>
    <w:p w14:paraId="068CB22E" w14:textId="79D03F74" w:rsidR="003D0F76" w:rsidRPr="009E27DE" w:rsidRDefault="003D0F76" w:rsidP="00B16665">
      <w:pPr>
        <w:pStyle w:val="ListParagraph"/>
      </w:pPr>
      <w:r w:rsidRPr="009E27DE">
        <w:t>Stream A job seekers (</w:t>
      </w:r>
      <w:r w:rsidR="00896914" w:rsidRPr="009E27DE">
        <w:t>approx. 39</w:t>
      </w:r>
      <w:r w:rsidRPr="009E27DE">
        <w:t>.</w:t>
      </w:r>
      <w:r w:rsidR="00896914" w:rsidRPr="009E27DE">
        <w:t>2</w:t>
      </w:r>
      <w:r w:rsidR="00533BD2" w:rsidRPr="009E27DE">
        <w:t xml:space="preserve"> per cent</w:t>
      </w:r>
      <w:r w:rsidRPr="009E27DE">
        <w:t xml:space="preserve"> of job seekers) are the most job-ready. They will receive services to help them understand what employers want and how to navigate the local labour market, build a résumé, look for jobs and learn how to access self-help facilities. </w:t>
      </w:r>
    </w:p>
    <w:p w14:paraId="29F4D083" w14:textId="426E33C1" w:rsidR="003D0F76" w:rsidRPr="009E27DE" w:rsidRDefault="003D0F76" w:rsidP="00B16665">
      <w:pPr>
        <w:pStyle w:val="ListParagraph"/>
      </w:pPr>
      <w:r w:rsidRPr="009E27DE">
        <w:t>Stream B job seekers (</w:t>
      </w:r>
      <w:r w:rsidR="00896914" w:rsidRPr="009E27DE">
        <w:t>approx. 42.9</w:t>
      </w:r>
      <w:r w:rsidR="00533BD2" w:rsidRPr="009E27DE">
        <w:t xml:space="preserve"> per cent</w:t>
      </w:r>
      <w:r w:rsidRPr="009E27DE">
        <w:t xml:space="preserve"> of job seekers) need their jobactive provider to play a greater role to help them become job-ready and will be referred for case management support. </w:t>
      </w:r>
    </w:p>
    <w:p w14:paraId="21C90820" w14:textId="66192F7C" w:rsidR="003D0F76" w:rsidRPr="009E27DE" w:rsidRDefault="003D0F76" w:rsidP="00B16665">
      <w:pPr>
        <w:pStyle w:val="ListParagraph"/>
      </w:pPr>
      <w:r w:rsidRPr="009E27DE">
        <w:t>Stream C job seekers (</w:t>
      </w:r>
      <w:r w:rsidR="00896914" w:rsidRPr="009E27DE">
        <w:t>approx. 16.4</w:t>
      </w:r>
      <w:r w:rsidR="00533BD2" w:rsidRPr="009E27DE">
        <w:t xml:space="preserve"> per cent</w:t>
      </w:r>
      <w:r w:rsidRPr="009E27DE">
        <w:t xml:space="preserve"> of job seekers) have a combination of work capacity and personal issues that need to be addressed so that they can take up and keep a job. </w:t>
      </w:r>
    </w:p>
    <w:p w14:paraId="38497689" w14:textId="77777777" w:rsidR="003D0F76" w:rsidRPr="003D0F76" w:rsidRDefault="003D0F76" w:rsidP="006966DA">
      <w:pPr>
        <w:pStyle w:val="Heading2"/>
      </w:pPr>
      <w:r w:rsidRPr="003D0F76">
        <w:t>Work for the Dole</w:t>
      </w:r>
    </w:p>
    <w:p w14:paraId="75554779" w14:textId="77777777" w:rsidR="003D0F76" w:rsidRPr="003D0F76" w:rsidRDefault="003D0F76" w:rsidP="00B16665">
      <w:pPr>
        <w:pStyle w:val="ListParagraph"/>
      </w:pPr>
      <w:r w:rsidRPr="003D0F76">
        <w:t>Job seekers in receipt of income support who have not found a job within 12 months of commencing with jobactive will generally start in Work for the Dole, or another approved activity, depending on their capacity.</w:t>
      </w:r>
    </w:p>
    <w:p w14:paraId="21FF18F4" w14:textId="58E232EB" w:rsidR="003D0F76" w:rsidRPr="008021DD" w:rsidRDefault="003D0F76" w:rsidP="00B16665">
      <w:pPr>
        <w:pStyle w:val="ListParagraph"/>
      </w:pPr>
      <w:r w:rsidRPr="003D0F76">
        <w:t xml:space="preserve">Work for the Dole engages these job seekers in activities where they can gain skills and experience that give back to the community and can help them find a job. </w:t>
      </w:r>
      <w:r w:rsidR="00533BD2">
        <w:t>T</w:t>
      </w:r>
      <w:r w:rsidRPr="003D0F76">
        <w:t>o keep receiving income support, job seekers must participate in Work for the Dole if they are in jobactive and have mutual obligation requirements.</w:t>
      </w:r>
    </w:p>
    <w:p w14:paraId="526D1ECF" w14:textId="77777777" w:rsidR="003D0F76" w:rsidRPr="003D0F76" w:rsidRDefault="003D0F76" w:rsidP="006966DA">
      <w:pPr>
        <w:pStyle w:val="Heading2"/>
      </w:pPr>
      <w:r w:rsidRPr="003D0F76">
        <w:t>Provider Performance – Star Ratings</w:t>
      </w:r>
    </w:p>
    <w:p w14:paraId="3F43C0B1" w14:textId="161C47A1" w:rsidR="003D0F76" w:rsidRPr="00B16665" w:rsidRDefault="003D0F76" w:rsidP="00B16665">
      <w:pPr>
        <w:pStyle w:val="ListParagraph"/>
      </w:pPr>
      <w:r w:rsidRPr="00B16665">
        <w:t xml:space="preserve">Star </w:t>
      </w:r>
      <w:r w:rsidR="00471C89" w:rsidRPr="00B16665">
        <w:t>R</w:t>
      </w:r>
      <w:r w:rsidRPr="00B16665">
        <w:t xml:space="preserve">atings assess the performance of jobactive providers to all users, while also accounting for differences in job seeker and labour market characteristics. </w:t>
      </w:r>
    </w:p>
    <w:p w14:paraId="4304A611" w14:textId="64C6C06A" w:rsidR="003D0F76" w:rsidRPr="00B16665" w:rsidRDefault="003D0F76" w:rsidP="00B16665">
      <w:pPr>
        <w:pStyle w:val="ListParagraph"/>
      </w:pPr>
      <w:r w:rsidRPr="00B16665">
        <w:t>This means t</w:t>
      </w:r>
      <w:r w:rsidR="00533BD2" w:rsidRPr="00B16665">
        <w:t>hat a provider that achieved 5-s</w:t>
      </w:r>
      <w:r w:rsidRPr="00B16665">
        <w:t>tars is achieving significantly higher levels of expected outcomes for their job seekers in their labour market across the four aspects (see below) t</w:t>
      </w:r>
      <w:r w:rsidR="00533BD2" w:rsidRPr="00B16665">
        <w:t>han a provider that achieved 1-s</w:t>
      </w:r>
      <w:r w:rsidRPr="00B16665">
        <w:t xml:space="preserve">tar. </w:t>
      </w:r>
    </w:p>
    <w:p w14:paraId="2463B909" w14:textId="77777777" w:rsidR="003D0F76" w:rsidRPr="00B16665" w:rsidRDefault="003D0F76" w:rsidP="00B16665">
      <w:pPr>
        <w:pStyle w:val="ListParagraph"/>
      </w:pPr>
      <w:r w:rsidRPr="00B16665">
        <w:t>Providers are rewarded the highest scores (4-5 stars) for achieving:</w:t>
      </w:r>
    </w:p>
    <w:p w14:paraId="20BE6676" w14:textId="5794ED98" w:rsidR="003D0F76" w:rsidRPr="00623DDB" w:rsidRDefault="00533BD2" w:rsidP="00623DDB">
      <w:pPr>
        <w:pStyle w:val="dotpoint2"/>
      </w:pPr>
      <w:r w:rsidRPr="00623DDB">
        <w:t>s</w:t>
      </w:r>
      <w:r w:rsidR="003D0F76" w:rsidRPr="00623DDB">
        <w:t>ustained (26 Week) employment outcomes for all job seekers</w:t>
      </w:r>
    </w:p>
    <w:p w14:paraId="436D8EB0" w14:textId="4B493D8F" w:rsidR="003D0F76" w:rsidRPr="00623DDB" w:rsidRDefault="00533BD2" w:rsidP="00623DDB">
      <w:pPr>
        <w:pStyle w:val="dotpoint2"/>
      </w:pPr>
      <w:r w:rsidRPr="00623DDB">
        <w:t>s</w:t>
      </w:r>
      <w:r w:rsidR="003D0F76" w:rsidRPr="00623DDB">
        <w:t>ustained employment outcomes for Indigenous job seekers</w:t>
      </w:r>
    </w:p>
    <w:p w14:paraId="5D07DD43" w14:textId="55876ACF" w:rsidR="003D0F76" w:rsidRPr="00623DDB" w:rsidRDefault="00533BD2" w:rsidP="00623DDB">
      <w:pPr>
        <w:pStyle w:val="dotpoint2"/>
      </w:pPr>
      <w:r w:rsidRPr="00623DDB">
        <w:t>t</w:t>
      </w:r>
      <w:r w:rsidR="003D0F76" w:rsidRPr="00623DDB">
        <w:t>he active engagement of job seekers, including participation in Work for the Dole</w:t>
      </w:r>
      <w:r w:rsidRPr="00623DDB">
        <w:t>,</w:t>
      </w:r>
      <w:r w:rsidR="003D0F76" w:rsidRPr="00623DDB">
        <w:t xml:space="preserve"> and</w:t>
      </w:r>
    </w:p>
    <w:p w14:paraId="11C03FB0" w14:textId="5943B6FB" w:rsidR="003D0F76" w:rsidRPr="00623DDB" w:rsidRDefault="00533BD2" w:rsidP="00623DDB">
      <w:pPr>
        <w:pStyle w:val="dotpoint2"/>
      </w:pPr>
      <w:r w:rsidRPr="00623DDB">
        <w:t>a</w:t>
      </w:r>
      <w:r w:rsidR="003D0F76" w:rsidRPr="00623DDB">
        <w:t>chieving outcomes for the most disadvantaged job seekers in Streams B and C which contribute 75</w:t>
      </w:r>
      <w:r w:rsidRPr="00623DDB">
        <w:t xml:space="preserve"> per cent</w:t>
      </w:r>
      <w:r w:rsidR="003D0F76" w:rsidRPr="00623DDB">
        <w:t xml:space="preserve"> towards the overall rating</w:t>
      </w:r>
      <w:r w:rsidRPr="00623DDB">
        <w:t>.</w:t>
      </w:r>
    </w:p>
    <w:p w14:paraId="285526FD" w14:textId="77777777" w:rsidR="002D0892" w:rsidRPr="00B16665" w:rsidRDefault="002D0892" w:rsidP="00B16665">
      <w:pPr>
        <w:pStyle w:val="ListParagraph"/>
      </w:pPr>
      <w:r w:rsidRPr="00B16665">
        <w:t>Star Ratings are publically available for individual provider sites. Of the 1688 sites across Australia which have a Star Rating (as at March 2018):</w:t>
      </w:r>
    </w:p>
    <w:p w14:paraId="65C56F94" w14:textId="1B5D6051" w:rsidR="002D0892" w:rsidRDefault="002D0892" w:rsidP="00623DDB">
      <w:pPr>
        <w:pStyle w:val="dotpoint2"/>
      </w:pPr>
      <w:r>
        <w:t>23</w:t>
      </w:r>
      <w:r w:rsidR="00533BD2">
        <w:t xml:space="preserve"> per cent are 5-s</w:t>
      </w:r>
      <w:r>
        <w:t>tar</w:t>
      </w:r>
    </w:p>
    <w:p w14:paraId="62567F65" w14:textId="70037DB6" w:rsidR="002D0892" w:rsidRDefault="002D0892" w:rsidP="00623DDB">
      <w:pPr>
        <w:pStyle w:val="dotpoint2"/>
      </w:pPr>
      <w:r>
        <w:t>13</w:t>
      </w:r>
      <w:r w:rsidR="00533BD2">
        <w:t xml:space="preserve"> per cent are 4-s</w:t>
      </w:r>
      <w:r>
        <w:t xml:space="preserve">tar </w:t>
      </w:r>
    </w:p>
    <w:p w14:paraId="2B621E7C" w14:textId="48EA554B" w:rsidR="002D0892" w:rsidRDefault="002D0892" w:rsidP="00623DDB">
      <w:pPr>
        <w:pStyle w:val="dotpoint2"/>
      </w:pPr>
      <w:r>
        <w:t>29</w:t>
      </w:r>
      <w:r w:rsidR="00533BD2">
        <w:t xml:space="preserve"> per cent are 3-s</w:t>
      </w:r>
      <w:r>
        <w:t>tar</w:t>
      </w:r>
    </w:p>
    <w:p w14:paraId="6E3837E3" w14:textId="5DD18B13" w:rsidR="002D0892" w:rsidRDefault="002D0892" w:rsidP="00623DDB">
      <w:pPr>
        <w:pStyle w:val="dotpoint2"/>
      </w:pPr>
      <w:r>
        <w:t>20</w:t>
      </w:r>
      <w:r w:rsidR="00533BD2">
        <w:t xml:space="preserve"> per cent</w:t>
      </w:r>
      <w:r>
        <w:t xml:space="preserve"> are </w:t>
      </w:r>
      <w:r w:rsidR="00533BD2">
        <w:t>2-s</w:t>
      </w:r>
      <w:r>
        <w:t>tar</w:t>
      </w:r>
      <w:r w:rsidR="00533BD2">
        <w:t>, and</w:t>
      </w:r>
    </w:p>
    <w:p w14:paraId="7DC4EC2F" w14:textId="4AD13FE7" w:rsidR="002D0892" w:rsidRDefault="002D0892" w:rsidP="00623DDB">
      <w:pPr>
        <w:pStyle w:val="dotpoint2"/>
      </w:pPr>
      <w:r>
        <w:lastRenderedPageBreak/>
        <w:t>15</w:t>
      </w:r>
      <w:r w:rsidR="00533BD2">
        <w:t xml:space="preserve"> per cent are 1-s</w:t>
      </w:r>
      <w:r>
        <w:t>tar</w:t>
      </w:r>
      <w:r w:rsidR="00533BD2">
        <w:t>.</w:t>
      </w:r>
    </w:p>
    <w:p w14:paraId="06A5B67F" w14:textId="77777777" w:rsidR="002D0892" w:rsidRDefault="002D0892" w:rsidP="002D0892">
      <w:pPr>
        <w:spacing w:after="120"/>
      </w:pPr>
      <w:r>
        <w:t>(Note:</w:t>
      </w:r>
      <w:r w:rsidRPr="002D0892">
        <w:t xml:space="preserve"> there are </w:t>
      </w:r>
      <w:r>
        <w:t>1716 Sites in Australia,</w:t>
      </w:r>
      <w:r w:rsidRPr="002D0892">
        <w:t xml:space="preserve"> 28 are new, an</w:t>
      </w:r>
      <w:r>
        <w:t>d do not yet have a Star Rating).</w:t>
      </w:r>
    </w:p>
    <w:p w14:paraId="1E56DD83" w14:textId="35F70AE4" w:rsidR="003D0F76" w:rsidRPr="006966DA" w:rsidRDefault="006966DA" w:rsidP="006966DA">
      <w:pPr>
        <w:pStyle w:val="Heading2"/>
      </w:pPr>
      <w:r w:rsidRPr="006966DA">
        <w:t>Provider performance – workforce turnover rates</w:t>
      </w:r>
    </w:p>
    <w:p w14:paraId="057CA6FC" w14:textId="7A0E8EC2" w:rsidR="003D0F76" w:rsidRPr="00B16665" w:rsidRDefault="003D0F76" w:rsidP="00B16665">
      <w:pPr>
        <w:pStyle w:val="ListParagraph"/>
      </w:pPr>
      <w:r w:rsidRPr="00B16665">
        <w:t>The National Employment Services Association (NESA) reports that employment service</w:t>
      </w:r>
      <w:r w:rsidR="00471C89" w:rsidRPr="00B16665">
        <w:t>s</w:t>
      </w:r>
      <w:r w:rsidRPr="00B16665">
        <w:t xml:space="preserve"> providers have a highly transient workforce</w:t>
      </w:r>
      <w:r w:rsidR="006966DA" w:rsidRPr="00B16665">
        <w:t>. N</w:t>
      </w:r>
      <w:r w:rsidRPr="00B16665">
        <w:t xml:space="preserve">early 70 per cent of providers </w:t>
      </w:r>
      <w:r w:rsidR="002D475E" w:rsidRPr="00B16665">
        <w:t>have a</w:t>
      </w:r>
      <w:r w:rsidR="0096086B" w:rsidRPr="00B16665">
        <w:t xml:space="preserve"> </w:t>
      </w:r>
      <w:r w:rsidRPr="00B16665">
        <w:t>turnover rate of above 30 per cent, with:</w:t>
      </w:r>
    </w:p>
    <w:p w14:paraId="1A1ED476" w14:textId="461181E2" w:rsidR="003D0F76" w:rsidRPr="009E27DE" w:rsidRDefault="003D0F76" w:rsidP="00623DDB">
      <w:pPr>
        <w:pStyle w:val="dotpoint2"/>
      </w:pPr>
      <w:r w:rsidRPr="00B16665">
        <w:t>42</w:t>
      </w:r>
      <w:r w:rsidRPr="009E27DE">
        <w:t>.1 per cent of providers having an annual turnov</w:t>
      </w:r>
      <w:r w:rsidR="002D475E" w:rsidRPr="009E27DE">
        <w:t>er rate of 40 per cent and over, and</w:t>
      </w:r>
    </w:p>
    <w:p w14:paraId="2BC96E36" w14:textId="154E47EB" w:rsidR="003D0F76" w:rsidRPr="009E27DE" w:rsidRDefault="003D0F76" w:rsidP="00623DDB">
      <w:pPr>
        <w:pStyle w:val="dotpoint2"/>
      </w:pPr>
      <w:r w:rsidRPr="009E27DE">
        <w:t>26.3 per cent having an ann</w:t>
      </w:r>
      <w:r w:rsidR="002D475E" w:rsidRPr="009E27DE">
        <w:t>ual turnover rate of between 30 to 40 per cent</w:t>
      </w:r>
      <w:r w:rsidR="009E27DE" w:rsidRPr="009E27DE">
        <w:t>.</w:t>
      </w:r>
    </w:p>
    <w:p w14:paraId="6995E20F" w14:textId="4DC4C823" w:rsidR="00D30531" w:rsidRPr="003D0F76" w:rsidRDefault="003D0F76" w:rsidP="00B16665">
      <w:pPr>
        <w:pStyle w:val="ListParagraph"/>
      </w:pPr>
      <w:r w:rsidRPr="003D0F76">
        <w:t xml:space="preserve">The average annual rate </w:t>
      </w:r>
      <w:r w:rsidR="00406FC4">
        <w:t xml:space="preserve">of </w:t>
      </w:r>
      <w:r w:rsidRPr="003D0F76">
        <w:t>turnover for employment servi</w:t>
      </w:r>
      <w:r w:rsidR="008021DD">
        <w:t>ces providers is 41.9 per cent.</w:t>
      </w:r>
      <w:bookmarkEnd w:id="3"/>
      <w:bookmarkEnd w:id="4"/>
      <w:r w:rsidR="00D30531">
        <w:rPr>
          <w:rStyle w:val="EndnoteReference"/>
        </w:rPr>
        <w:endnoteReference w:id="1"/>
      </w:r>
      <w:r w:rsidR="00D30531">
        <w:t xml:space="preserve"> </w:t>
      </w:r>
      <w:r w:rsidR="00D30531" w:rsidRPr="003D0F76">
        <w:t xml:space="preserve">This average turnover rate is more than double the economy-wide average of 15.7 per </w:t>
      </w:r>
      <w:r w:rsidR="00D30531">
        <w:t>cent</w:t>
      </w:r>
      <w:r w:rsidR="00D30531" w:rsidRPr="003D0F76">
        <w:t>.</w:t>
      </w:r>
      <w:r w:rsidR="00D30531">
        <w:rPr>
          <w:rStyle w:val="EndnoteReference"/>
        </w:rPr>
        <w:endnoteReference w:id="2"/>
      </w:r>
    </w:p>
    <w:p w14:paraId="360E4E7D" w14:textId="77777777" w:rsidR="00D30531" w:rsidRDefault="00D30531">
      <w:pPr>
        <w:spacing w:after="160" w:line="259" w:lineRule="auto"/>
      </w:pPr>
      <w:r>
        <w:br w:type="page"/>
      </w:r>
    </w:p>
    <w:p w14:paraId="5DE5E09C" w14:textId="40E97AB2" w:rsidR="00D30531" w:rsidRDefault="00D30531" w:rsidP="00D00151">
      <w:pPr>
        <w:pStyle w:val="Heading1"/>
      </w:pPr>
      <w:bookmarkStart w:id="6" w:name="_Toc518050080"/>
      <w:r>
        <w:lastRenderedPageBreak/>
        <w:t>Appendix C</w:t>
      </w:r>
      <w:r w:rsidR="009C697F">
        <w:t>:</w:t>
      </w:r>
      <w:r w:rsidR="00623DDB">
        <w:br/>
      </w:r>
      <w:r>
        <w:t>Summary of complementary programs</w:t>
      </w:r>
      <w:bookmarkEnd w:id="6"/>
      <w:r>
        <w:t xml:space="preserve"> </w:t>
      </w:r>
    </w:p>
    <w:p w14:paraId="56E69A49" w14:textId="69626FB7" w:rsidR="00D30531" w:rsidRDefault="00D30531" w:rsidP="00623DDB">
      <w:pPr>
        <w:rPr>
          <w:noProof/>
        </w:rPr>
      </w:pPr>
      <w:r>
        <w:rPr>
          <w:noProof/>
        </w:rPr>
        <w:t>The Department of Jobs and Small Business (</w:t>
      </w:r>
      <w:r w:rsidR="00E23843">
        <w:rPr>
          <w:noProof/>
        </w:rPr>
        <w:t>the department</w:t>
      </w:r>
      <w:r>
        <w:rPr>
          <w:noProof/>
        </w:rPr>
        <w:t xml:space="preserve">) currently delivers the following complementary programs to help job seekers on their pathway to employment. </w:t>
      </w:r>
    </w:p>
    <w:p w14:paraId="67B9C5A6" w14:textId="77777777" w:rsidR="00D30531" w:rsidRPr="00E23843" w:rsidRDefault="00D30531" w:rsidP="00E23843">
      <w:pPr>
        <w:pStyle w:val="Heading2"/>
      </w:pPr>
      <w:bookmarkStart w:id="7" w:name="_Toc513814264"/>
      <w:r w:rsidRPr="00E23843">
        <w:t>Career Transition Assistance</w:t>
      </w:r>
      <w:bookmarkEnd w:id="7"/>
    </w:p>
    <w:p w14:paraId="5CE0570E" w14:textId="08AA1012" w:rsidR="00D30531" w:rsidRPr="00963E33" w:rsidRDefault="00D30531" w:rsidP="00623DDB">
      <w:pPr>
        <w:rPr>
          <w:rFonts w:eastAsiaTheme="minorHAnsi"/>
        </w:rPr>
      </w:pPr>
      <w:r w:rsidRPr="00963E33">
        <w:t>Th</w:t>
      </w:r>
      <w:r w:rsidR="009C697F">
        <w:t xml:space="preserve">e Career Transition Assistance </w:t>
      </w:r>
      <w:r w:rsidRPr="00963E33">
        <w:t xml:space="preserve">program, announced in the 2017–18 Budget, will provide older Australians with a voluntary short, intensive course consisting of skills assessments, exploration of suitable occupations, resilience strategies and digital skills. </w:t>
      </w:r>
    </w:p>
    <w:p w14:paraId="2578A78D" w14:textId="77777777" w:rsidR="00D30531" w:rsidRPr="00963E33" w:rsidRDefault="00D30531" w:rsidP="00623DDB">
      <w:r w:rsidRPr="00963E33">
        <w:t>A trial in five regions (Ballarat, VIC; Somerset, QLD; Central West, NSW; Adelaide South, SA; and Perth North, WA) to inform the program was already scheduled to start in July 2018. In response to positive community and stakeholder feedback, the Government has decided to bring forward the program’s national rollout by one year, to start from 1 July 2019.</w:t>
      </w:r>
    </w:p>
    <w:p w14:paraId="20C0A28B" w14:textId="77777777" w:rsidR="00D30531" w:rsidRPr="00963E33" w:rsidRDefault="00D30531" w:rsidP="00623DDB">
      <w:r w:rsidRPr="00963E33">
        <w:t xml:space="preserve">Eligibility for the program will be extended to </w:t>
      </w:r>
      <w:r>
        <w:t xml:space="preserve">individuals registered with jobactive and aged </w:t>
      </w:r>
      <w:r w:rsidRPr="00801B71">
        <w:t>45 to 49 </w:t>
      </w:r>
      <w:r w:rsidRPr="00963E33">
        <w:t>year</w:t>
      </w:r>
      <w:r>
        <w:t xml:space="preserve">s </w:t>
      </w:r>
      <w:r w:rsidRPr="00801B71">
        <w:t>old</w:t>
      </w:r>
      <w:r w:rsidRPr="00963E33">
        <w:t>, beyond the current age bracket of 50 years and over. This will enable a much larger number of older Australians to benefit from targeted career transition assistance to extend their working lives and future job opportunities.</w:t>
      </w:r>
    </w:p>
    <w:p w14:paraId="19286B91" w14:textId="77777777" w:rsidR="00D30531" w:rsidRPr="00623DDB" w:rsidRDefault="00D30531" w:rsidP="00623DDB">
      <w:pPr>
        <w:pStyle w:val="Heading2"/>
      </w:pPr>
      <w:bookmarkStart w:id="8" w:name="_Toc513814265"/>
      <w:r w:rsidRPr="00623DDB">
        <w:t>Empowering YOUth Initiatives</w:t>
      </w:r>
      <w:bookmarkEnd w:id="8"/>
    </w:p>
    <w:p w14:paraId="3EB34E93" w14:textId="0B571F95" w:rsidR="00D30531" w:rsidRDefault="00D30531" w:rsidP="00623DDB">
      <w:r>
        <w:t>The Empowering YOUth Initiatives</w:t>
      </w:r>
      <w:r w:rsidR="00355FC8">
        <w:t xml:space="preserve"> (EYI)</w:t>
      </w:r>
      <w:r>
        <w:t xml:space="preserve"> assist</w:t>
      </w:r>
      <w:r w:rsidR="00355FC8">
        <w:t>s</w:t>
      </w:r>
      <w:r>
        <w:t xml:space="preserve"> vulnerable young people aged 15-24 who are long-term unemployed</w:t>
      </w:r>
      <w:r w:rsidR="00355FC8">
        <w:t>,</w:t>
      </w:r>
      <w:r>
        <w:t xml:space="preserve"> or at risk of long-term unemployment</w:t>
      </w:r>
      <w:r w:rsidR="00355FC8">
        <w:t>,</w:t>
      </w:r>
      <w:r>
        <w:t xml:space="preserve"> into employment or onto the pathway to employment. The program provides grants for a range of organisations to deliver new or different approaches that may help young people at any stage of their transition to employment. </w:t>
      </w:r>
    </w:p>
    <w:p w14:paraId="7FDA4061" w14:textId="77777777" w:rsidR="00D30531" w:rsidRPr="00490825" w:rsidRDefault="00D30531" w:rsidP="00623DDB">
      <w:r w:rsidRPr="00490825">
        <w:t xml:space="preserve">The objectives for </w:t>
      </w:r>
      <w:r>
        <w:t>EYI</w:t>
      </w:r>
      <w:r w:rsidRPr="00490825">
        <w:t xml:space="preserve"> are to:</w:t>
      </w:r>
    </w:p>
    <w:p w14:paraId="72E4C76A" w14:textId="286355EC" w:rsidR="00D30531" w:rsidRPr="00623DDB" w:rsidRDefault="00D30531" w:rsidP="00623DDB">
      <w:pPr>
        <w:pStyle w:val="ListParagraph"/>
      </w:pPr>
      <w:r w:rsidRPr="00623DDB">
        <w:t>identify innovative approaches that have the greatest potential to improve employment outcomes for young people at risk of long-term unemployment</w:t>
      </w:r>
      <w:r w:rsidR="00355FC8" w:rsidRPr="00623DDB">
        <w:t>,</w:t>
      </w:r>
      <w:r w:rsidRPr="00623DDB">
        <w:t xml:space="preserve"> and prevent long-term welfare dependency</w:t>
      </w:r>
    </w:p>
    <w:p w14:paraId="4DC32937" w14:textId="77777777" w:rsidR="00D30531" w:rsidRPr="00623DDB" w:rsidRDefault="00D30531" w:rsidP="00623DDB">
      <w:pPr>
        <w:pStyle w:val="ListParagraph"/>
      </w:pPr>
      <w:r w:rsidRPr="00623DDB">
        <w:t>promote learnings from EYI to enhance current and future youth services, and</w:t>
      </w:r>
    </w:p>
    <w:p w14:paraId="5310F89F" w14:textId="77777777" w:rsidR="00D30531" w:rsidRPr="00623DDB" w:rsidRDefault="00D30531" w:rsidP="00623DDB">
      <w:pPr>
        <w:pStyle w:val="ListParagraph"/>
      </w:pPr>
      <w:r w:rsidRPr="00623DDB">
        <w:t>help more young people at risk of long-term unemployment to find and keep a job.</w:t>
      </w:r>
    </w:p>
    <w:p w14:paraId="4D1EDD34" w14:textId="77777777" w:rsidR="00D30531" w:rsidRDefault="00D30531" w:rsidP="00E8748B">
      <w:pPr>
        <w:pStyle w:val="Heading3"/>
      </w:pPr>
      <w:r>
        <w:t>Contracting</w:t>
      </w:r>
    </w:p>
    <w:p w14:paraId="3418EDE1" w14:textId="29E798B5" w:rsidR="00D30531" w:rsidRDefault="00D30531" w:rsidP="00DC1088">
      <w:pPr>
        <w:rPr>
          <w:lang w:val="en"/>
        </w:rPr>
      </w:pPr>
      <w:r>
        <w:rPr>
          <w:lang w:val="en"/>
        </w:rPr>
        <w:t xml:space="preserve">EYI has funded 39 projects </w:t>
      </w:r>
      <w:r w:rsidRPr="006546BF">
        <w:rPr>
          <w:lang w:val="en"/>
        </w:rPr>
        <w:t xml:space="preserve">across Australia. Initiatives range from developing a gamification </w:t>
      </w:r>
      <w:r w:rsidR="00355FC8">
        <w:rPr>
          <w:lang w:val="en"/>
        </w:rPr>
        <w:t>a</w:t>
      </w:r>
      <w:r w:rsidRPr="006546BF">
        <w:rPr>
          <w:lang w:val="en"/>
        </w:rPr>
        <w:t xml:space="preserve">pp, </w:t>
      </w:r>
      <w:r>
        <w:rPr>
          <w:lang w:val="en"/>
        </w:rPr>
        <w:t>mobile</w:t>
      </w:r>
      <w:r w:rsidRPr="006546BF">
        <w:rPr>
          <w:lang w:val="en"/>
        </w:rPr>
        <w:t xml:space="preserve"> careers information, working in a social enterprise</w:t>
      </w:r>
      <w:r>
        <w:rPr>
          <w:lang w:val="en"/>
        </w:rPr>
        <w:t>,</w:t>
      </w:r>
      <w:r w:rsidRPr="006546BF">
        <w:rPr>
          <w:lang w:val="en"/>
        </w:rPr>
        <w:t xml:space="preserve"> or getting hands on building skills on a practical training site</w:t>
      </w:r>
      <w:r>
        <w:rPr>
          <w:lang w:val="en"/>
        </w:rPr>
        <w:t xml:space="preserve"> (among other initiatives)</w:t>
      </w:r>
      <w:r w:rsidRPr="006546BF">
        <w:rPr>
          <w:lang w:val="en"/>
        </w:rPr>
        <w:t>.</w:t>
      </w:r>
    </w:p>
    <w:p w14:paraId="3B6AB059" w14:textId="77777777" w:rsidR="00D30531" w:rsidRDefault="00D30531" w:rsidP="006966DA">
      <w:pPr>
        <w:pStyle w:val="Heading2"/>
      </w:pPr>
      <w:bookmarkStart w:id="9" w:name="_Toc513814266"/>
      <w:r>
        <w:t>Harvest Labour Service</w:t>
      </w:r>
      <w:bookmarkEnd w:id="9"/>
      <w:r>
        <w:t xml:space="preserve"> and the National Harvest Labour Information Service</w:t>
      </w:r>
    </w:p>
    <w:p w14:paraId="06FC177C" w14:textId="27937734" w:rsidR="00D30531" w:rsidRDefault="00D30531" w:rsidP="00DC1088">
      <w:pPr>
        <w:rPr>
          <w:noProof/>
        </w:rPr>
      </w:pPr>
      <w:r>
        <w:rPr>
          <w:noProof/>
        </w:rPr>
        <w:t xml:space="preserve">The Harvest Labour Service (HLS) was introduced in 1998 to address horticultural industry labour shortages. </w:t>
      </w:r>
      <w:r w:rsidR="00355FC8">
        <w:rPr>
          <w:noProof/>
        </w:rPr>
        <w:t>The department</w:t>
      </w:r>
      <w:r>
        <w:rPr>
          <w:noProof/>
        </w:rPr>
        <w:t xml:space="preserve"> has contracted five organisations from 1 July 2015 until </w:t>
      </w:r>
      <w:r>
        <w:rPr>
          <w:noProof/>
        </w:rPr>
        <w:lastRenderedPageBreak/>
        <w:t xml:space="preserve">June 2020 to deliver 20,750 places per annum through 15 sites across 11 areas. There is at least one harvest area in all states and territories, except for Tasmania and the ACT. </w:t>
      </w:r>
    </w:p>
    <w:p w14:paraId="101D98A9" w14:textId="77777777" w:rsidR="00D30531" w:rsidRDefault="00D30531" w:rsidP="00DC1088">
      <w:pPr>
        <w:keepNext/>
        <w:spacing w:after="0"/>
        <w:rPr>
          <w:noProof/>
        </w:rPr>
      </w:pPr>
      <w:r>
        <w:rPr>
          <w:noProof/>
        </w:rPr>
        <w:t xml:space="preserve">HLS aims to: </w:t>
      </w:r>
    </w:p>
    <w:p w14:paraId="5A76501A" w14:textId="77777777" w:rsidR="00D30531" w:rsidRDefault="00D30531" w:rsidP="00B16665">
      <w:pPr>
        <w:pStyle w:val="ListParagraph"/>
      </w:pPr>
      <w:r>
        <w:t>meet growers’ demand for harvest labour</w:t>
      </w:r>
    </w:p>
    <w:p w14:paraId="07EBE4F1" w14:textId="5A54AECB" w:rsidR="00D30531" w:rsidRDefault="00D30531" w:rsidP="00B16665">
      <w:pPr>
        <w:pStyle w:val="ListParagraph"/>
      </w:pPr>
      <w:r>
        <w:t>mobilise people outside a harvest area to help meet demand for labour</w:t>
      </w:r>
      <w:r w:rsidR="00355FC8">
        <w:t>, and</w:t>
      </w:r>
    </w:p>
    <w:p w14:paraId="7FBAAFD0" w14:textId="6B267A0E" w:rsidR="00D30531" w:rsidRDefault="00D30531" w:rsidP="00B16665">
      <w:pPr>
        <w:pStyle w:val="ListParagraph"/>
      </w:pPr>
      <w:r>
        <w:t>connect people looking for harvest work, including job seekers on income support, with harvest employers looking for employees.</w:t>
      </w:r>
    </w:p>
    <w:p w14:paraId="37F7BC98" w14:textId="77777777" w:rsidR="00D30531" w:rsidRDefault="00D30531" w:rsidP="00DC1088">
      <w:pPr>
        <w:rPr>
          <w:noProof/>
        </w:rPr>
      </w:pPr>
      <w:r>
        <w:rPr>
          <w:noProof/>
        </w:rPr>
        <w:t xml:space="preserve">The program also provides information regarding harvest-related work opportunities across Australia via its National Harvest Labour Information Service. Information on the National Harvest Labour Information Service (NHLIS): </w:t>
      </w:r>
      <w:hyperlink r:id="rId14" w:history="1">
        <w:r w:rsidRPr="00897082">
          <w:rPr>
            <w:rStyle w:val="Hyperlink"/>
            <w:noProof/>
          </w:rPr>
          <w:t>https://jobsearch.gov.au/harvest</w:t>
        </w:r>
      </w:hyperlink>
    </w:p>
    <w:p w14:paraId="360ADAC7" w14:textId="77777777" w:rsidR="00D30531" w:rsidRDefault="00D30531" w:rsidP="006966DA">
      <w:pPr>
        <w:pStyle w:val="Heading2"/>
      </w:pPr>
      <w:r>
        <w:t xml:space="preserve">Launch into Work </w:t>
      </w:r>
    </w:p>
    <w:p w14:paraId="5977C9AD" w14:textId="77777777" w:rsidR="00D30531" w:rsidRPr="00F31B34" w:rsidRDefault="00D30531" w:rsidP="00DC1088">
      <w:pPr>
        <w:spacing w:after="0"/>
        <w:rPr>
          <w:lang w:val="en"/>
        </w:rPr>
      </w:pPr>
      <w:r w:rsidRPr="00F31B34">
        <w:rPr>
          <w:lang w:val="en"/>
        </w:rPr>
        <w:t>The</w:t>
      </w:r>
      <w:r>
        <w:rPr>
          <w:lang w:val="en"/>
        </w:rPr>
        <w:t xml:space="preserve"> Launch into Work</w:t>
      </w:r>
      <w:r w:rsidRPr="00F31B34">
        <w:rPr>
          <w:lang w:val="en"/>
        </w:rPr>
        <w:t xml:space="preserve"> program trials pre-employment projects that provide training, work experience and mentoring to support job seekers to increase their skills, experience and confidence. Projects are intended to train job seekers for specific roles within the organisation, and may be conducted in a variety of industries.</w:t>
      </w:r>
      <w:r>
        <w:rPr>
          <w:lang w:val="en"/>
        </w:rPr>
        <w:t xml:space="preserve"> </w:t>
      </w:r>
      <w:r w:rsidRPr="00F31B34">
        <w:rPr>
          <w:lang w:val="en"/>
        </w:rPr>
        <w:t>Launch into Work projects support participants to:</w:t>
      </w:r>
    </w:p>
    <w:p w14:paraId="6380D354" w14:textId="77777777" w:rsidR="00D30531" w:rsidRPr="00F31B34" w:rsidRDefault="00D30531" w:rsidP="00B16665">
      <w:pPr>
        <w:pStyle w:val="ListParagraph"/>
        <w:rPr>
          <w:lang w:val="en"/>
        </w:rPr>
      </w:pPr>
      <w:r w:rsidRPr="00F31B34">
        <w:rPr>
          <w:lang w:val="en"/>
        </w:rPr>
        <w:t>move from welfare into paid work</w:t>
      </w:r>
    </w:p>
    <w:p w14:paraId="6038236B" w14:textId="77777777" w:rsidR="00D30531" w:rsidRPr="00F31B34" w:rsidRDefault="00D30531" w:rsidP="00B16665">
      <w:pPr>
        <w:pStyle w:val="ListParagraph"/>
        <w:rPr>
          <w:lang w:val="en"/>
        </w:rPr>
      </w:pPr>
      <w:r w:rsidRPr="00F31B34">
        <w:rPr>
          <w:lang w:val="en"/>
        </w:rPr>
        <w:t>build the skills and experience required to overcome individual barriers to employment</w:t>
      </w:r>
    </w:p>
    <w:p w14:paraId="64B39AE8" w14:textId="22607757" w:rsidR="00D30531" w:rsidRPr="00F31B34" w:rsidRDefault="00D30531" w:rsidP="00B16665">
      <w:pPr>
        <w:pStyle w:val="ListParagraph"/>
        <w:rPr>
          <w:lang w:val="en"/>
        </w:rPr>
      </w:pPr>
      <w:r w:rsidRPr="00F31B34">
        <w:rPr>
          <w:lang w:val="en"/>
        </w:rPr>
        <w:t>develop increased confidence and self-worth associated with engaging in meaningful work</w:t>
      </w:r>
      <w:r w:rsidR="00E96AD4">
        <w:rPr>
          <w:lang w:val="en"/>
        </w:rPr>
        <w:t>, and</w:t>
      </w:r>
    </w:p>
    <w:p w14:paraId="20843906" w14:textId="377D2E2F" w:rsidR="00D30531" w:rsidRPr="00E96AD4" w:rsidRDefault="00D30531" w:rsidP="00B16665">
      <w:pPr>
        <w:pStyle w:val="ListParagraph"/>
      </w:pPr>
      <w:r w:rsidRPr="00E96AD4">
        <w:t>gain the opportunity to have a career and plan for the future.</w:t>
      </w:r>
    </w:p>
    <w:p w14:paraId="0B8C6F67" w14:textId="77777777" w:rsidR="00D30531" w:rsidRPr="005C5A04" w:rsidRDefault="00D30531" w:rsidP="00DC1088">
      <w:pPr>
        <w:spacing w:after="0"/>
        <w:rPr>
          <w:lang w:val="en"/>
        </w:rPr>
      </w:pPr>
      <w:r w:rsidRPr="005C5A04">
        <w:rPr>
          <w:lang w:val="en"/>
        </w:rPr>
        <w:t>The following entity types may be eligible to apply:</w:t>
      </w:r>
    </w:p>
    <w:p w14:paraId="259A7C31" w14:textId="458ECE88" w:rsidR="00D30531" w:rsidRPr="005C5A04" w:rsidRDefault="00D30531" w:rsidP="00B16665">
      <w:pPr>
        <w:pStyle w:val="ListParagraph"/>
        <w:rPr>
          <w:lang w:val="en"/>
        </w:rPr>
      </w:pPr>
      <w:r w:rsidRPr="005C5A04">
        <w:rPr>
          <w:lang w:val="en"/>
        </w:rPr>
        <w:t>Employers</w:t>
      </w:r>
      <w:r w:rsidR="00E96AD4">
        <w:rPr>
          <w:lang w:val="en"/>
        </w:rPr>
        <w:t>, including</w:t>
      </w:r>
      <w:r w:rsidRPr="005C5A04">
        <w:rPr>
          <w:lang w:val="en"/>
        </w:rPr>
        <w:t xml:space="preserve"> for</w:t>
      </w:r>
      <w:r w:rsidR="00E96AD4">
        <w:rPr>
          <w:lang w:val="en"/>
        </w:rPr>
        <w:t xml:space="preserve"> </w:t>
      </w:r>
      <w:r w:rsidRPr="005C5A04">
        <w:rPr>
          <w:lang w:val="en"/>
        </w:rPr>
        <w:t>profit, not</w:t>
      </w:r>
      <w:r>
        <w:rPr>
          <w:lang w:val="en"/>
        </w:rPr>
        <w:t>-</w:t>
      </w:r>
      <w:r w:rsidRPr="005C5A04">
        <w:rPr>
          <w:lang w:val="en"/>
        </w:rPr>
        <w:t>for</w:t>
      </w:r>
      <w:r>
        <w:rPr>
          <w:lang w:val="en"/>
        </w:rPr>
        <w:t>-</w:t>
      </w:r>
      <w:r w:rsidRPr="005C5A04">
        <w:rPr>
          <w:lang w:val="en"/>
        </w:rPr>
        <w:t>profit and</w:t>
      </w:r>
      <w:r w:rsidR="00E96AD4">
        <w:rPr>
          <w:lang w:val="en"/>
        </w:rPr>
        <w:t xml:space="preserve"> s</w:t>
      </w:r>
      <w:r w:rsidRPr="005C5A04">
        <w:rPr>
          <w:lang w:val="en"/>
        </w:rPr>
        <w:t>tate and local governments or councils.</w:t>
      </w:r>
    </w:p>
    <w:p w14:paraId="329B1900" w14:textId="24DAF022" w:rsidR="00D30531" w:rsidRDefault="00D30531" w:rsidP="00B16665">
      <w:pPr>
        <w:pStyle w:val="ListParagraph"/>
        <w:rPr>
          <w:lang w:val="en"/>
        </w:rPr>
      </w:pPr>
      <w:r w:rsidRPr="005C5A04">
        <w:rPr>
          <w:lang w:val="en"/>
        </w:rPr>
        <w:t>Peak bodies and industry associations can facilitate or lead a project, but must have committ</w:t>
      </w:r>
      <w:r w:rsidR="00E96AD4">
        <w:rPr>
          <w:lang w:val="en"/>
        </w:rPr>
        <w:t>ed employers with job vacancies</w:t>
      </w:r>
      <w:r w:rsidRPr="005C5A04">
        <w:rPr>
          <w:lang w:val="en"/>
        </w:rPr>
        <w:t xml:space="preserve"> that are willing to participate in the co-design process and project delivery. The contracted organisation is responsible for the contract deliverables and outcomes.</w:t>
      </w:r>
    </w:p>
    <w:p w14:paraId="3B15C21B" w14:textId="77777777" w:rsidR="00D30531" w:rsidRPr="00E96AD4" w:rsidRDefault="00D30531" w:rsidP="00E96AD4">
      <w:r w:rsidRPr="00E96AD4">
        <w:t>Job seekers on the jobactive, Transition to Work and ParentsNext caseloads are eligible to participate.</w:t>
      </w:r>
    </w:p>
    <w:p w14:paraId="4CC45CA7" w14:textId="77777777" w:rsidR="00D30531" w:rsidRPr="00E96AD4" w:rsidRDefault="00D30531" w:rsidP="00E96AD4">
      <w:pPr>
        <w:pStyle w:val="Heading2"/>
      </w:pPr>
      <w:bookmarkStart w:id="10" w:name="_Toc513814267"/>
      <w:r w:rsidRPr="00E96AD4">
        <w:t>National Work Experience Program</w:t>
      </w:r>
      <w:bookmarkEnd w:id="10"/>
      <w:r w:rsidRPr="00E96AD4">
        <w:t>me</w:t>
      </w:r>
    </w:p>
    <w:p w14:paraId="24235128" w14:textId="77777777" w:rsidR="00D30531" w:rsidRPr="00796E58" w:rsidRDefault="00D30531" w:rsidP="00DC1088">
      <w:r w:rsidRPr="00796E58">
        <w:t>The National Work Experience Programme places job seekers in work experience placements to gain experience and confidence, while demonstrating skills to potential employers. The program offers work experience and employment opportunities for job seekers by providing unpaid placements with businesses for up to four weeks, to a maximum of 25 hours per week. Businesses who offer participants ongoing employment after the placement may be eligible for a wage subsidy.</w:t>
      </w:r>
    </w:p>
    <w:p w14:paraId="79ED20E1" w14:textId="77777777" w:rsidR="00D30531" w:rsidRPr="00E96AD4" w:rsidRDefault="00D30531" w:rsidP="00E96AD4">
      <w:pPr>
        <w:pStyle w:val="Heading2"/>
      </w:pPr>
      <w:bookmarkStart w:id="11" w:name="_Toc513814268"/>
      <w:r w:rsidRPr="00E96AD4">
        <w:lastRenderedPageBreak/>
        <w:t>New Enterprise Incentive Scheme</w:t>
      </w:r>
      <w:bookmarkEnd w:id="11"/>
    </w:p>
    <w:p w14:paraId="19133E2B" w14:textId="317A818F" w:rsidR="00D30531" w:rsidRDefault="00D30531" w:rsidP="00DC1088">
      <w:pPr>
        <w:rPr>
          <w:noProof/>
        </w:rPr>
      </w:pPr>
      <w:r w:rsidRPr="008D2F99">
        <w:rPr>
          <w:noProof/>
        </w:rPr>
        <w:t xml:space="preserve">The New Enterprise Incentive Scheme </w:t>
      </w:r>
      <w:r>
        <w:rPr>
          <w:noProof/>
        </w:rPr>
        <w:t xml:space="preserve">(NEIS) </w:t>
      </w:r>
      <w:r w:rsidRPr="008D2F99">
        <w:rPr>
          <w:noProof/>
        </w:rPr>
        <w:t xml:space="preserve">was established in 1985 </w:t>
      </w:r>
      <w:r>
        <w:rPr>
          <w:noProof/>
        </w:rPr>
        <w:t>to help</w:t>
      </w:r>
      <w:r w:rsidRPr="008D2F99">
        <w:rPr>
          <w:noProof/>
        </w:rPr>
        <w:t xml:space="preserve"> eligible people start </w:t>
      </w:r>
      <w:r>
        <w:rPr>
          <w:noProof/>
        </w:rPr>
        <w:t xml:space="preserve">a </w:t>
      </w:r>
      <w:r w:rsidRPr="008D2F99">
        <w:rPr>
          <w:noProof/>
        </w:rPr>
        <w:t>business</w:t>
      </w:r>
      <w:r>
        <w:rPr>
          <w:noProof/>
        </w:rPr>
        <w:t xml:space="preserve">. There are 90 NEIS contracts across 51 </w:t>
      </w:r>
      <w:r w:rsidR="00484BB8">
        <w:rPr>
          <w:noProof/>
        </w:rPr>
        <w:t xml:space="preserve">employment regions </w:t>
      </w:r>
      <w:r>
        <w:rPr>
          <w:noProof/>
        </w:rPr>
        <w:t>that run from 1</w:t>
      </w:r>
      <w:r w:rsidRPr="008D2F99">
        <w:rPr>
          <w:noProof/>
        </w:rPr>
        <w:t xml:space="preserve"> July 2015 until June 2020</w:t>
      </w:r>
      <w:r>
        <w:rPr>
          <w:noProof/>
        </w:rPr>
        <w:t>.</w:t>
      </w:r>
    </w:p>
    <w:p w14:paraId="1244B6CA" w14:textId="77777777" w:rsidR="00D30531" w:rsidRPr="008D2F99" w:rsidRDefault="00D30531" w:rsidP="00DC1088">
      <w:pPr>
        <w:spacing w:after="0"/>
        <w:rPr>
          <w:noProof/>
        </w:rPr>
      </w:pPr>
      <w:r>
        <w:rPr>
          <w:noProof/>
        </w:rPr>
        <w:t xml:space="preserve">NEIS </w:t>
      </w:r>
      <w:r w:rsidRPr="008D2F99">
        <w:rPr>
          <w:noProof/>
        </w:rPr>
        <w:t>provides:</w:t>
      </w:r>
    </w:p>
    <w:p w14:paraId="71251B94" w14:textId="77777777" w:rsidR="00D30531" w:rsidRPr="00120734" w:rsidRDefault="00D30531" w:rsidP="00B16665">
      <w:pPr>
        <w:pStyle w:val="ListParagraph"/>
      </w:pPr>
      <w:r w:rsidRPr="00120734">
        <w:t xml:space="preserve">accredited small business training </w:t>
      </w:r>
    </w:p>
    <w:p w14:paraId="379FDF72" w14:textId="77FB43A1" w:rsidR="00D30531" w:rsidRPr="00120734" w:rsidRDefault="00D30531" w:rsidP="00B16665">
      <w:pPr>
        <w:pStyle w:val="ListParagraph"/>
      </w:pPr>
      <w:r w:rsidRPr="00120734">
        <w:t xml:space="preserve">personalised mentoring </w:t>
      </w:r>
      <w:r>
        <w:t xml:space="preserve">and </w:t>
      </w:r>
      <w:r w:rsidRPr="00120734">
        <w:t xml:space="preserve">support to help </w:t>
      </w:r>
      <w:r>
        <w:t>p</w:t>
      </w:r>
      <w:r w:rsidRPr="00120734">
        <w:t>ut business ideas into practice</w:t>
      </w:r>
      <w:r w:rsidR="00484BB8">
        <w:t>, and</w:t>
      </w:r>
    </w:p>
    <w:p w14:paraId="0B4BFACC" w14:textId="77777777" w:rsidR="00D30531" w:rsidRPr="00120734" w:rsidRDefault="00D30531" w:rsidP="00B16665">
      <w:pPr>
        <w:pStyle w:val="ListParagraph"/>
      </w:pPr>
      <w:r w:rsidRPr="00120734">
        <w:t xml:space="preserve">income support for up to 39 weeks and </w:t>
      </w:r>
      <w:r>
        <w:t>r</w:t>
      </w:r>
      <w:r w:rsidRPr="00120734">
        <w:t xml:space="preserve">ental </w:t>
      </w:r>
      <w:r>
        <w:t>a</w:t>
      </w:r>
      <w:r w:rsidRPr="00120734">
        <w:t>ssistance for up to 26 weeks</w:t>
      </w:r>
      <w:r>
        <w:t xml:space="preserve"> (if eligible)</w:t>
      </w:r>
      <w:r w:rsidRPr="00120734">
        <w:t xml:space="preserve">. </w:t>
      </w:r>
    </w:p>
    <w:p w14:paraId="7CE12A8A" w14:textId="22343B0B" w:rsidR="00D30531" w:rsidRDefault="00D30531" w:rsidP="00DC1088">
      <w:pPr>
        <w:rPr>
          <w:noProof/>
        </w:rPr>
      </w:pPr>
      <w:r>
        <w:rPr>
          <w:noProof/>
        </w:rPr>
        <w:t xml:space="preserve">Eligibility for NEIS has broadened to </w:t>
      </w:r>
      <w:r w:rsidRPr="008D2F99">
        <w:rPr>
          <w:noProof/>
        </w:rPr>
        <w:t>allow people who are not in em</w:t>
      </w:r>
      <w:r w:rsidR="00B16665">
        <w:rPr>
          <w:noProof/>
        </w:rPr>
        <w:t xml:space="preserve">ployment, education or training – </w:t>
      </w:r>
      <w:r>
        <w:rPr>
          <w:noProof/>
        </w:rPr>
        <w:t>and people who are</w:t>
      </w:r>
      <w:r w:rsidRPr="008D2F99">
        <w:rPr>
          <w:noProof/>
        </w:rPr>
        <w:t xml:space="preserve"> not in receipt of income support</w:t>
      </w:r>
      <w:r>
        <w:rPr>
          <w:noProof/>
        </w:rPr>
        <w:t xml:space="preserve"> </w:t>
      </w:r>
      <w:r w:rsidR="00B16665">
        <w:rPr>
          <w:noProof/>
        </w:rPr>
        <w:t xml:space="preserve">– </w:t>
      </w:r>
      <w:r>
        <w:rPr>
          <w:noProof/>
        </w:rPr>
        <w:t>to access the scheme (eligibility permitting).</w:t>
      </w:r>
    </w:p>
    <w:p w14:paraId="6529E671" w14:textId="77777777" w:rsidR="00D30531" w:rsidRDefault="00D30531" w:rsidP="00E8748B">
      <w:pPr>
        <w:pStyle w:val="Heading3"/>
      </w:pPr>
      <w:r>
        <w:t>Contracting</w:t>
      </w:r>
    </w:p>
    <w:p w14:paraId="137A7610" w14:textId="77777777" w:rsidR="00D30531" w:rsidRPr="008D2F99" w:rsidRDefault="00D30531" w:rsidP="00DC1088">
      <w:pPr>
        <w:rPr>
          <w:noProof/>
        </w:rPr>
      </w:pPr>
      <w:r>
        <w:rPr>
          <w:noProof/>
        </w:rPr>
        <w:t>NEIS is delivered by a network of 21 providers nationally. A total of 8,600 NEIS places are available each financial year.</w:t>
      </w:r>
    </w:p>
    <w:p w14:paraId="5C1004B3" w14:textId="77777777" w:rsidR="00D30531" w:rsidRDefault="00D30531" w:rsidP="006966DA">
      <w:pPr>
        <w:pStyle w:val="Heading2"/>
      </w:pPr>
      <w:bookmarkStart w:id="12" w:name="_Toc513814269"/>
      <w:r w:rsidRPr="00EA6E5A">
        <w:t>ParentsNext</w:t>
      </w:r>
      <w:bookmarkEnd w:id="12"/>
    </w:p>
    <w:p w14:paraId="6D912C67" w14:textId="77777777" w:rsidR="00D30531" w:rsidRDefault="00D30531" w:rsidP="00DC1088">
      <w:pPr>
        <w:keepNext/>
        <w:widowControl w:val="0"/>
        <w:spacing w:after="0"/>
        <w:rPr>
          <w:noProof/>
        </w:rPr>
      </w:pPr>
      <w:r>
        <w:rPr>
          <w:noProof/>
        </w:rPr>
        <w:t>ParentsNext is a pre-employment program which connects parents of young children to services in their local community to help them plan and prepare for employment. ParentsNext providers work with parents to help them to identify their education and employment goals, develop a pathway to achieve their goals and link them to activities and services in the local community. Parents may be eligible for ParentsNext if:</w:t>
      </w:r>
    </w:p>
    <w:p w14:paraId="75616267" w14:textId="77777777" w:rsidR="00D30531" w:rsidRDefault="00D30531" w:rsidP="00623DDB">
      <w:pPr>
        <w:pStyle w:val="ListParagraph"/>
      </w:pPr>
      <w:r>
        <w:t>their youngest child is aged five years or under</w:t>
      </w:r>
    </w:p>
    <w:p w14:paraId="3408F457" w14:textId="77777777" w:rsidR="00D30531" w:rsidRDefault="00D30531" w:rsidP="00623DDB">
      <w:pPr>
        <w:pStyle w:val="ListParagraph"/>
      </w:pPr>
      <w:r>
        <w:t>they have not had paid employment in the last six months, and</w:t>
      </w:r>
    </w:p>
    <w:p w14:paraId="56928F3C" w14:textId="77777777" w:rsidR="00D30531" w:rsidRDefault="00D30531" w:rsidP="00623DDB">
      <w:pPr>
        <w:pStyle w:val="ListParagraph"/>
      </w:pPr>
      <w:r>
        <w:t>they reside in a location where ParentsNext is being delivered.</w:t>
      </w:r>
    </w:p>
    <w:p w14:paraId="4F8DE4A3" w14:textId="77777777" w:rsidR="00D30531" w:rsidRDefault="00D30531" w:rsidP="00623DDB">
      <w:r>
        <w:t xml:space="preserve">Participation in ParentsNext may be compulsory as a condition of receiving welfare. Other parents may seek to voluntarily participate in the program if they meet the eligibility criteria. </w:t>
      </w:r>
    </w:p>
    <w:p w14:paraId="11891404" w14:textId="77777777" w:rsidR="00D30531" w:rsidRDefault="00D30531" w:rsidP="00E8748B">
      <w:pPr>
        <w:pStyle w:val="Heading3"/>
      </w:pPr>
      <w:r>
        <w:t>Contracting</w:t>
      </w:r>
    </w:p>
    <w:p w14:paraId="52D185EA" w14:textId="60593F53" w:rsidR="00D30531" w:rsidRDefault="00D30531" w:rsidP="00DC1088">
      <w:r>
        <w:t>ParentsNext commenced on 4 April 2016 with 31 projects established across 10 Local Government Areas that are delivered by 25 contracted service providers. ParentsNext</w:t>
      </w:r>
      <w:r w:rsidR="00B16665">
        <w:t xml:space="preserve"> will be rolled out nationally </w:t>
      </w:r>
      <w:r>
        <w:t xml:space="preserve">to an additional 20 locations from 1 July 2018. </w:t>
      </w:r>
    </w:p>
    <w:p w14:paraId="4B0B3F25" w14:textId="77777777" w:rsidR="00D30531" w:rsidRDefault="00D30531" w:rsidP="006966DA">
      <w:pPr>
        <w:pStyle w:val="Heading2"/>
      </w:pPr>
      <w:bookmarkStart w:id="13" w:name="_Toc513814270"/>
      <w:r>
        <w:t>Structural Adjustment Programs</w:t>
      </w:r>
      <w:bookmarkEnd w:id="13"/>
      <w:r>
        <w:t xml:space="preserve"> and Stronger Transitions</w:t>
      </w:r>
    </w:p>
    <w:p w14:paraId="09823FD1" w14:textId="28575EED" w:rsidR="00D30531" w:rsidRDefault="00D30531" w:rsidP="00DC1088">
      <w:pPr>
        <w:spacing w:after="160"/>
        <w:rPr>
          <w:rFonts w:ascii="Arial" w:hAnsi="Arial" w:cs="Arial"/>
        </w:rPr>
      </w:pPr>
      <w:r>
        <w:t>T</w:t>
      </w:r>
      <w:r w:rsidR="00B16665">
        <w:t>he d</w:t>
      </w:r>
      <w:r>
        <w:t>epartment provides labour market structural adjustment programs , on a case-by-case bas</w:t>
      </w:r>
      <w:r w:rsidR="00B16665">
        <w:t>is in exceptional circumstances</w:t>
      </w:r>
      <w:r>
        <w:t xml:space="preserve"> to assist retrenched workers to find new employment </w:t>
      </w:r>
      <w:r w:rsidR="00B16665">
        <w:t>quickly</w:t>
      </w:r>
      <w:r>
        <w:t>. These programs have been set up in response to large scale retrenchments and to provide retrenched workers with tailored assistance and access to intensive employment services.</w:t>
      </w:r>
    </w:p>
    <w:p w14:paraId="64D6F271" w14:textId="77777777" w:rsidR="00D30531" w:rsidRDefault="00D30531" w:rsidP="00DC1088">
      <w:pPr>
        <w:spacing w:after="240"/>
      </w:pPr>
      <w:r>
        <w:lastRenderedPageBreak/>
        <w:t xml:space="preserve">Structural adjustment programs are currently or have recently been in place for workers in the automotive manufacturing industry, and workers who have lost their job from Queensland Nickel in North Queensland, BlueScope Steel in the Illawarra, Caterpillar Underground mining in North-West Tasmania, Arrium in Whyalla, Hazelwood mine and power station in the Latrobe Valley and Alinta Energy in South Australia. </w:t>
      </w:r>
    </w:p>
    <w:p w14:paraId="251FB7C3" w14:textId="77777777" w:rsidR="00D30531" w:rsidRPr="00D1767D" w:rsidRDefault="00D30531" w:rsidP="00623DDB">
      <w:pPr>
        <w:pStyle w:val="Heading2"/>
      </w:pPr>
      <w:r w:rsidRPr="00D1767D">
        <w:t xml:space="preserve">Stronger Transitions </w:t>
      </w:r>
    </w:p>
    <w:p w14:paraId="04448433" w14:textId="77777777" w:rsidR="005353F5" w:rsidRDefault="00D30531" w:rsidP="00D1767D">
      <w:r w:rsidRPr="00D1767D">
        <w:t>As part of lessons learnt from the structural adjustment program, the Government’s Stronger Transitions package of assistance from 1 July 2018 will provide immediate access to employment services for retrenched workers in Adelaide, Mandurah, North Queensland, North/North-West Tasmania and Melbourne North/West to the, including access to intensive, personalised support and c</w:t>
      </w:r>
      <w:r w:rsidR="005353F5">
        <w:t>omprehensive skills assessments.</w:t>
      </w:r>
    </w:p>
    <w:p w14:paraId="4CD97E18" w14:textId="7DF03C41" w:rsidR="00D30531" w:rsidRDefault="00D30531" w:rsidP="00D1767D">
      <w:r w:rsidRPr="00D1767D">
        <w:t xml:space="preserve">From 1 July 2019, retrenched workers and their partners across Australia will receive immediate access to employment services before they become eligible for income support. This support will need to be incorporated into the new approach for delivering employment services in 2020. </w:t>
      </w:r>
    </w:p>
    <w:tbl>
      <w:tblPr>
        <w:tblW w:w="0" w:type="auto"/>
        <w:tblCellMar>
          <w:left w:w="0" w:type="dxa"/>
          <w:right w:w="0" w:type="dxa"/>
        </w:tblCellMar>
        <w:tblLook w:val="04A0" w:firstRow="1" w:lastRow="0" w:firstColumn="1" w:lastColumn="0" w:noHBand="0" w:noVBand="1"/>
      </w:tblPr>
      <w:tblGrid>
        <w:gridCol w:w="8463"/>
      </w:tblGrid>
      <w:tr w:rsidR="00D30531" w14:paraId="32B91E1D" w14:textId="77777777" w:rsidTr="0021258F">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738C8" w14:textId="77777777" w:rsidR="00D30531" w:rsidRPr="0021258F" w:rsidRDefault="00D30531" w:rsidP="00E8748B">
            <w:pPr>
              <w:pStyle w:val="Heading3"/>
              <w:rPr>
                <w:rFonts w:eastAsiaTheme="minorHAnsi"/>
              </w:rPr>
            </w:pPr>
            <w:r w:rsidRPr="0021258F">
              <w:t>Support for the transition of retrenched workers into future jobs</w:t>
            </w:r>
          </w:p>
          <w:p w14:paraId="4BDA373C" w14:textId="77777777" w:rsidR="00D30531" w:rsidRPr="0021258F" w:rsidRDefault="00D30531">
            <w:r w:rsidRPr="0021258F">
              <w:t xml:space="preserve">As part of the Government’s efforts to support workers to manage change, the </w:t>
            </w:r>
            <w:r w:rsidRPr="005353F5">
              <w:rPr>
                <w:iCs/>
              </w:rPr>
              <w:t xml:space="preserve">Stronger Transitions </w:t>
            </w:r>
            <w:r w:rsidRPr="005353F5">
              <w:t>p</w:t>
            </w:r>
            <w:r w:rsidRPr="0021258F">
              <w:t xml:space="preserve">ackage of assistance will help put retrenched workers on the pathway to finding new jobs and taking advantage of labour market opportunities across Australia. </w:t>
            </w:r>
          </w:p>
          <w:p w14:paraId="0D85C5D4" w14:textId="77777777" w:rsidR="00D30531" w:rsidRPr="0021258F" w:rsidRDefault="00D30531">
            <w:r w:rsidRPr="0021258F">
              <w:t>The Government is partnering with business to help retrenched workers move into new employment. Services for workers may include career advice, training and recognition of prior learning, skills assessment, access to language, literacy and numeracy, resilience training, digital literacy and online job search support and resume writing.  This support will be available from 1 July 2018, across Adelaide, Mandurah, North Queensland, North/North-West Tasmania and Melbourne North/West. The support will cease on 30 June 2020.</w:t>
            </w:r>
          </w:p>
          <w:p w14:paraId="6002FF00" w14:textId="77777777" w:rsidR="00D30531" w:rsidRPr="0021258F" w:rsidRDefault="00D30531">
            <w:r w:rsidRPr="0021258F">
              <w:t xml:space="preserve">These retrenched workers in addition have immediate access to the Government’s </w:t>
            </w:r>
            <w:r w:rsidRPr="005353F5">
              <w:rPr>
                <w:iCs/>
              </w:rPr>
              <w:t>Relocation Assistance To Take Up a Job Programme</w:t>
            </w:r>
            <w:r w:rsidRPr="0021258F">
              <w:t xml:space="preserve"> to better connect them to employment opportunities in other regions. They can also pursue small business opportunities through access to </w:t>
            </w:r>
            <w:r w:rsidRPr="005353F5">
              <w:t xml:space="preserve">the </w:t>
            </w:r>
            <w:r w:rsidRPr="005353F5">
              <w:rPr>
                <w:iCs/>
              </w:rPr>
              <w:t>New Enterprise Incentive Scheme</w:t>
            </w:r>
            <w:r w:rsidRPr="005353F5">
              <w:t xml:space="preserve"> three</w:t>
            </w:r>
            <w:r w:rsidRPr="0021258F">
              <w:t xml:space="preserve"> months prior to retrenchment.</w:t>
            </w:r>
          </w:p>
          <w:p w14:paraId="6DFD8A8C" w14:textId="77777777" w:rsidR="00D30531" w:rsidRDefault="00D30531">
            <w:pPr>
              <w:rPr>
                <w:color w:val="FF0000"/>
              </w:rPr>
            </w:pPr>
            <w:r w:rsidRPr="0021258F">
              <w:t xml:space="preserve">More information on Stronger Transitions is </w:t>
            </w:r>
            <w:r w:rsidRPr="005353F5">
              <w:rPr>
                <w:b/>
              </w:rPr>
              <w:t xml:space="preserve">at </w:t>
            </w:r>
            <w:hyperlink r:id="rId15" w:history="1">
              <w:r w:rsidRPr="005353F5">
                <w:rPr>
                  <w:rStyle w:val="Hyperlink"/>
                  <w:b/>
                  <w:color w:val="auto"/>
                  <w:u w:val="none"/>
                </w:rPr>
                <w:t>https://www.jobs.gov.au/stronger-transitions</w:t>
              </w:r>
            </w:hyperlink>
          </w:p>
        </w:tc>
      </w:tr>
    </w:tbl>
    <w:p w14:paraId="5AC39F55" w14:textId="77777777" w:rsidR="000255DC" w:rsidRDefault="000255DC">
      <w:pPr>
        <w:spacing w:before="0" w:after="160" w:line="259" w:lineRule="auto"/>
        <w:rPr>
          <w:rFonts w:eastAsia="Calibri"/>
          <w:b/>
        </w:rPr>
      </w:pPr>
      <w:r>
        <w:br w:type="page"/>
      </w:r>
    </w:p>
    <w:p w14:paraId="5A6DD8C6" w14:textId="2D2AB738" w:rsidR="00D30531" w:rsidRDefault="00D30531" w:rsidP="006966DA">
      <w:pPr>
        <w:pStyle w:val="Heading2"/>
      </w:pPr>
      <w:r>
        <w:lastRenderedPageBreak/>
        <w:t xml:space="preserve">Time to Work </w:t>
      </w:r>
    </w:p>
    <w:p w14:paraId="432219A5" w14:textId="537301F3" w:rsidR="00D30531" w:rsidRPr="00E90EEF" w:rsidRDefault="00D30531" w:rsidP="00623DDB">
      <w:r w:rsidRPr="008069B7">
        <w:t>The Time to Work Employment Service will assist Aboriginal and Torres Strait Islander prisoners to find employment and reintegrate into the community upo</w:t>
      </w:r>
      <w:r w:rsidR="008E25C9">
        <w:t>n their release</w:t>
      </w:r>
      <w:r w:rsidRPr="008069B7">
        <w:t>.</w:t>
      </w:r>
    </w:p>
    <w:p w14:paraId="0E3EA723" w14:textId="77777777" w:rsidR="00D30531" w:rsidRPr="00973EE0" w:rsidRDefault="00D30531" w:rsidP="00623DDB">
      <w:pPr>
        <w:keepNext/>
        <w:rPr>
          <w:lang w:val="en"/>
        </w:rPr>
      </w:pPr>
      <w:r w:rsidRPr="00973EE0">
        <w:rPr>
          <w:lang w:val="en"/>
        </w:rPr>
        <w:t>As part of the service, Aboriginal and Torres Strait Islander prisoners will receive:</w:t>
      </w:r>
    </w:p>
    <w:p w14:paraId="149E952D" w14:textId="54E2E40F" w:rsidR="00D30531" w:rsidRPr="00623DDB" w:rsidRDefault="00D30531" w:rsidP="00623DDB">
      <w:pPr>
        <w:pStyle w:val="ListParagraph"/>
      </w:pPr>
      <w:r w:rsidRPr="00623DDB">
        <w:t>a comprehensive assessment to i</w:t>
      </w:r>
      <w:r w:rsidR="008E25C9" w:rsidRPr="00623DDB">
        <w:t xml:space="preserve">dentify any employability needs or </w:t>
      </w:r>
      <w:r w:rsidRPr="00623DDB">
        <w:t>barriers they might face</w:t>
      </w:r>
    </w:p>
    <w:p w14:paraId="22CDA050" w14:textId="2003F93B" w:rsidR="00D30531" w:rsidRPr="007B5352" w:rsidRDefault="008E25C9" w:rsidP="00623DDB">
      <w:pPr>
        <w:pStyle w:val="ListParagraph"/>
      </w:pPr>
      <w:r w:rsidRPr="00623DDB">
        <w:t>help to</w:t>
      </w:r>
      <w:r w:rsidR="00D30531" w:rsidRPr="00623DDB">
        <w:t xml:space="preserve"> develop a transition plan that incorporate</w:t>
      </w:r>
      <w:r w:rsidRPr="00623DDB">
        <w:t>s activities addressing and</w:t>
      </w:r>
      <w:r w:rsidR="00D30531" w:rsidRPr="00623DDB">
        <w:t xml:space="preserve"> acknowledging these barriers</w:t>
      </w:r>
      <w:r w:rsidRPr="007B5352">
        <w:t>, and</w:t>
      </w:r>
    </w:p>
    <w:p w14:paraId="458BE30C" w14:textId="0D638155" w:rsidR="00D30531" w:rsidRPr="007B5352" w:rsidRDefault="00D30531" w:rsidP="00623DDB">
      <w:pPr>
        <w:pStyle w:val="ListParagraph"/>
      </w:pPr>
      <w:r w:rsidRPr="007B5352">
        <w:t xml:space="preserve">a facilitated transfer to an employment services provider, who will </w:t>
      </w:r>
      <w:r w:rsidR="008E25C9" w:rsidRPr="007B5352">
        <w:t>help</w:t>
      </w:r>
      <w:r w:rsidRPr="007B5352">
        <w:t xml:space="preserve"> them to find work once they leave prison.</w:t>
      </w:r>
    </w:p>
    <w:p w14:paraId="22920FDD" w14:textId="3D655B97" w:rsidR="00D30531" w:rsidRPr="007B5352" w:rsidRDefault="00D30531" w:rsidP="00623DDB">
      <w:r w:rsidRPr="007B5352">
        <w:t>To participate in the Time to Work, a prisoner must be:</w:t>
      </w:r>
    </w:p>
    <w:p w14:paraId="58775638" w14:textId="77777777" w:rsidR="00D30531" w:rsidRPr="007B5352" w:rsidRDefault="00D30531" w:rsidP="00623DDB">
      <w:pPr>
        <w:pStyle w:val="ListParagraph"/>
      </w:pPr>
      <w:r w:rsidRPr="007B5352">
        <w:t>a self-identifying Aboriginal or Torres Strait Islander</w:t>
      </w:r>
    </w:p>
    <w:p w14:paraId="75338060" w14:textId="77777777" w:rsidR="00D30531" w:rsidRPr="007B5352" w:rsidRDefault="00D30531" w:rsidP="00623DDB">
      <w:pPr>
        <w:pStyle w:val="ListParagraph"/>
      </w:pPr>
      <w:r w:rsidRPr="007B5352">
        <w:t>over 18 years old, and</w:t>
      </w:r>
    </w:p>
    <w:p w14:paraId="53D0E181" w14:textId="77777777" w:rsidR="00D30531" w:rsidRPr="00623DDB" w:rsidRDefault="00D30531" w:rsidP="00623DDB">
      <w:pPr>
        <w:pStyle w:val="ListParagraph"/>
      </w:pPr>
      <w:r w:rsidRPr="007B5352">
        <w:t>sentenced and within</w:t>
      </w:r>
      <w:r w:rsidRPr="00623DDB">
        <w:t xml:space="preserve"> three months of their release from prison.</w:t>
      </w:r>
    </w:p>
    <w:p w14:paraId="0F67EACE" w14:textId="77777777" w:rsidR="00D30531" w:rsidRPr="008069B7" w:rsidRDefault="00D30531" w:rsidP="00623DDB">
      <w:r w:rsidRPr="008069B7">
        <w:t>Participation in the service is voluntary.</w:t>
      </w:r>
    </w:p>
    <w:p w14:paraId="20A7AB9E" w14:textId="77777777" w:rsidR="00D30531" w:rsidRDefault="00D30531" w:rsidP="006966DA">
      <w:pPr>
        <w:pStyle w:val="Heading2"/>
      </w:pPr>
      <w:bookmarkStart w:id="14" w:name="_Toc513814271"/>
      <w:r>
        <w:t>Transition to Work</w:t>
      </w:r>
      <w:bookmarkEnd w:id="14"/>
    </w:p>
    <w:p w14:paraId="5B6F8A83" w14:textId="71F9785D" w:rsidR="00D30531" w:rsidRDefault="00D30531" w:rsidP="00623DDB">
      <w:r>
        <w:t>Transition to Work (TtW) is for young people aged 15 to 21 years. The service targets early school leavers and young people who are experiencing difficulty transitioning from education to employment</w:t>
      </w:r>
      <w:r w:rsidRPr="00BA6D45">
        <w:t xml:space="preserve"> </w:t>
      </w:r>
      <w:r>
        <w:t xml:space="preserve">and </w:t>
      </w:r>
      <w:r w:rsidR="008E25C9">
        <w:t xml:space="preserve">who </w:t>
      </w:r>
      <w:r>
        <w:t>are at risk of long-term welfare dependency. It is also for young Aboriginal or Torres Strait Islander people who have been awarded a Year 12 certificate or Certificate III or higher.</w:t>
      </w:r>
    </w:p>
    <w:p w14:paraId="6121B3AE" w14:textId="77777777" w:rsidR="00D30531" w:rsidRDefault="00D30531" w:rsidP="00623DDB">
      <w:r>
        <w:t>TtW focuses on practical support and work experience to build skills, confidence and readiness for employment.</w:t>
      </w:r>
    </w:p>
    <w:p w14:paraId="64F71039" w14:textId="77777777" w:rsidR="00D30531" w:rsidRPr="00623DDB" w:rsidRDefault="00D30531" w:rsidP="00623DDB">
      <w:pPr>
        <w:pStyle w:val="ListParagraph"/>
      </w:pPr>
      <w:r w:rsidRPr="00623DDB">
        <w:t>Young people receive intensive, pre-employment support to improve their work readiness and help them into work or education, including apprenticeships or traineeships.</w:t>
      </w:r>
    </w:p>
    <w:p w14:paraId="753637C4" w14:textId="096A819A" w:rsidR="00D30531" w:rsidRPr="00623DDB" w:rsidRDefault="00D30531" w:rsidP="00623DDB">
      <w:pPr>
        <w:pStyle w:val="ListParagraph"/>
      </w:pPr>
      <w:r w:rsidRPr="00623DDB">
        <w:t>Employers receive help to recruit young employees who meet their business needs, including a youth bonus wage subsidy of up to $10,000 over six mon</w:t>
      </w:r>
      <w:r w:rsidR="008E25C9" w:rsidRPr="00623DDB">
        <w:t>ths</w:t>
      </w:r>
      <w:r w:rsidRPr="00623DDB">
        <w:t xml:space="preserve"> to help employers take on eligible new starters</w:t>
      </w:r>
      <w:r w:rsidR="008E25C9" w:rsidRPr="00623DDB">
        <w:t>,</w:t>
      </w:r>
      <w:r w:rsidRPr="00623DDB">
        <w:t xml:space="preserve"> and cover costs</w:t>
      </w:r>
      <w:r w:rsidR="008E25C9" w:rsidRPr="00623DDB">
        <w:t xml:space="preserve"> </w:t>
      </w:r>
      <w:r w:rsidRPr="00623DDB">
        <w:t>such as hiring or training expenses.</w:t>
      </w:r>
    </w:p>
    <w:p w14:paraId="3C064AF9" w14:textId="77777777" w:rsidR="00D30531" w:rsidRPr="00623DDB" w:rsidRDefault="00D30531" w:rsidP="00623DDB">
      <w:pPr>
        <w:pStyle w:val="ListParagraph"/>
      </w:pPr>
      <w:r w:rsidRPr="00623DDB">
        <w:t xml:space="preserve">TtW providers have experience working with disengaged and disadvantaged young people, and strong links with employers, community services and schools in their local community. </w:t>
      </w:r>
    </w:p>
    <w:p w14:paraId="5876F42B" w14:textId="77777777" w:rsidR="00D30531" w:rsidRDefault="00D30531" w:rsidP="00E8748B">
      <w:pPr>
        <w:pStyle w:val="Heading3"/>
      </w:pPr>
      <w:r>
        <w:t>Contracting</w:t>
      </w:r>
    </w:p>
    <w:p w14:paraId="6681FAEC" w14:textId="77777777" w:rsidR="00D30531" w:rsidRDefault="00D30531" w:rsidP="007B5352">
      <w:pPr>
        <w:rPr>
          <w:noProof/>
        </w:rPr>
      </w:pPr>
      <w:r w:rsidRPr="00D76E0B">
        <w:rPr>
          <w:noProof/>
        </w:rPr>
        <w:t xml:space="preserve">Only one TtW provider delivers services in a location </w:t>
      </w:r>
      <w:r>
        <w:rPr>
          <w:noProof/>
        </w:rPr>
        <w:t>with</w:t>
      </w:r>
      <w:r w:rsidRPr="00D76E0B">
        <w:rPr>
          <w:noProof/>
        </w:rPr>
        <w:t xml:space="preserve">in an Employment Region. There may be multiple TtW providers in </w:t>
      </w:r>
      <w:r>
        <w:rPr>
          <w:noProof/>
        </w:rPr>
        <w:t>an</w:t>
      </w:r>
      <w:r w:rsidRPr="00D76E0B">
        <w:rPr>
          <w:noProof/>
        </w:rPr>
        <w:t xml:space="preserve"> Employment Region</w:t>
      </w:r>
      <w:r>
        <w:rPr>
          <w:noProof/>
        </w:rPr>
        <w:t xml:space="preserve">. </w:t>
      </w:r>
    </w:p>
    <w:p w14:paraId="23841FC1" w14:textId="3EC28257" w:rsidR="00D30531" w:rsidRDefault="008E25C9" w:rsidP="007B5352">
      <w:pPr>
        <w:rPr>
          <w:noProof/>
        </w:rPr>
      </w:pPr>
      <w:r>
        <w:rPr>
          <w:noProof/>
        </w:rPr>
        <w:t xml:space="preserve">Providers are allocated </w:t>
      </w:r>
      <w:r w:rsidR="00E431FC">
        <w:rPr>
          <w:noProof/>
        </w:rPr>
        <w:t xml:space="preserve">annual funded places </w:t>
      </w:r>
      <w:r w:rsidR="00D30531">
        <w:rPr>
          <w:noProof/>
        </w:rPr>
        <w:t>receiving upfront payments per place</w:t>
      </w:r>
      <w:r w:rsidR="00D30531" w:rsidRPr="00E74DBD">
        <w:rPr>
          <w:noProof/>
        </w:rPr>
        <w:t>, reflecting the number of participants</w:t>
      </w:r>
      <w:r w:rsidR="00D30531">
        <w:rPr>
          <w:noProof/>
        </w:rPr>
        <w:t xml:space="preserve"> they are expected to service. </w:t>
      </w:r>
      <w:r w:rsidR="00D30531" w:rsidRPr="00E74DBD">
        <w:t>Provider</w:t>
      </w:r>
      <w:r w:rsidR="00E431FC">
        <w:t xml:space="preserve">s are also eligible to receive </w:t>
      </w:r>
      <w:r w:rsidR="00D30531" w:rsidRPr="00E74DBD">
        <w:t xml:space="preserve">outcome payments if participants achieve employment or education outcomes, and will attract </w:t>
      </w:r>
      <w:r w:rsidR="00E431FC" w:rsidRPr="00E74DBD">
        <w:t xml:space="preserve">bonus </w:t>
      </w:r>
      <w:r w:rsidR="00E431FC">
        <w:t>outcome</w:t>
      </w:r>
      <w:r w:rsidR="00E431FC" w:rsidRPr="00E74DBD">
        <w:t xml:space="preserve"> payments</w:t>
      </w:r>
      <w:r w:rsidR="00D30531" w:rsidRPr="00E74DBD">
        <w:t xml:space="preserve"> when they achieve a</w:t>
      </w:r>
      <w:r w:rsidR="00D30531">
        <w:t xml:space="preserve"> </w:t>
      </w:r>
      <w:r w:rsidR="00D30531" w:rsidRPr="00E74DBD">
        <w:t>quarterly outcome benchmark</w:t>
      </w:r>
      <w:r w:rsidR="00D30531">
        <w:rPr>
          <w:noProof/>
        </w:rPr>
        <w:t xml:space="preserve">. </w:t>
      </w:r>
    </w:p>
    <w:p w14:paraId="1EC2F7CC" w14:textId="77777777" w:rsidR="00D30531" w:rsidRDefault="00D30531" w:rsidP="006966DA">
      <w:pPr>
        <w:pStyle w:val="Heading2"/>
      </w:pPr>
      <w:bookmarkStart w:id="15" w:name="_Toc513814272"/>
      <w:r>
        <w:lastRenderedPageBreak/>
        <w:t>Work for the Dole</w:t>
      </w:r>
      <w:bookmarkEnd w:id="15"/>
    </w:p>
    <w:p w14:paraId="38A907EE" w14:textId="77777777" w:rsidR="00D30531" w:rsidRPr="00963E33" w:rsidRDefault="00D30531" w:rsidP="00623DDB">
      <w:r w:rsidRPr="00963E33">
        <w:t xml:space="preserve">Work for the Dole is a work experience program which places job seekers in work-like activities where they can gain skills, experience and confidence to move from welfare to work, while giving back to their community. </w:t>
      </w:r>
    </w:p>
    <w:p w14:paraId="47A1FF7D" w14:textId="1F5C7176" w:rsidR="00D30531" w:rsidRPr="00963E33" w:rsidRDefault="00D30531" w:rsidP="00623DDB">
      <w:r w:rsidRPr="00963E33">
        <w:t>Work for the Dole activities can be hosted by not-for-profit organisations and g</w:t>
      </w:r>
      <w:r w:rsidR="003D5C1B">
        <w:t xml:space="preserve">overnment agencies. The program </w:t>
      </w:r>
      <w:r w:rsidRPr="00963E33">
        <w:t>gives organisations an extra set of hands to help to undertake activities that would not normally be done. jobactive providers work with host organisations to identify suitable activities.</w:t>
      </w:r>
    </w:p>
    <w:p w14:paraId="2CD349EF" w14:textId="71909316" w:rsidR="00D30531" w:rsidRPr="00963E33" w:rsidRDefault="00D30531" w:rsidP="00623DDB">
      <w:r w:rsidRPr="00963E33">
        <w:t>A job seeker’s jobactive provider will let them know when they need to take part in Work for the Dole. Job seekers who have mutual obligation requirements must participate in Work for the Dole or another approved activity for six months of each year after their first year on payment to keep receiving their income support. There are different hourly requirements based on a job seeker’s age, caring responsibilities and work capacity.</w:t>
      </w:r>
      <w:r>
        <w:t xml:space="preserve"> </w:t>
      </w:r>
      <w:r w:rsidRPr="00963E33">
        <w:t xml:space="preserve">Job seekers who </w:t>
      </w:r>
      <w:r w:rsidR="003D5C1B">
        <w:t>do not</w:t>
      </w:r>
      <w:r w:rsidRPr="00963E33">
        <w:t xml:space="preserve"> have mutual obligation requirements can volunteer to participate in Work for the Dole.</w:t>
      </w:r>
    </w:p>
    <w:p w14:paraId="40C82267" w14:textId="77777777" w:rsidR="00D30531" w:rsidRPr="00963E33" w:rsidRDefault="00D30531" w:rsidP="00623DDB">
      <w:r w:rsidRPr="00963E33">
        <w:t>Job seekers on income support who are participating in Work for the Dole can receive an income support supplement of $20.80 per fortnight.</w:t>
      </w:r>
    </w:p>
    <w:p w14:paraId="58DC9552" w14:textId="77777777" w:rsidR="00D30531" w:rsidRDefault="00D30531" w:rsidP="006966DA">
      <w:pPr>
        <w:pStyle w:val="Heading2"/>
      </w:pPr>
      <w:bookmarkStart w:id="16" w:name="_Toc513814273"/>
      <w:r>
        <w:t>Youth Jobs PaTH</w:t>
      </w:r>
      <w:bookmarkEnd w:id="16"/>
    </w:p>
    <w:p w14:paraId="215944B5" w14:textId="77777777" w:rsidR="00D30531" w:rsidRDefault="00D30531" w:rsidP="00623DDB">
      <w:r>
        <w:t>Youth Jobs PaTH supports young people (</w:t>
      </w:r>
      <w:r>
        <w:rPr>
          <w:rFonts w:cstheme="minorHAnsi"/>
        </w:rPr>
        <w:t xml:space="preserve">aged 15-24 years) </w:t>
      </w:r>
      <w:r>
        <w:t xml:space="preserve">to gain employability skills and work experience. It supports employers to host internship placements and provides them with incentives when they take on a young person. </w:t>
      </w:r>
    </w:p>
    <w:p w14:paraId="78AD8607" w14:textId="77777777" w:rsidR="00D30531" w:rsidRDefault="00D30531" w:rsidP="003D5C1B">
      <w:pPr>
        <w:keepNext/>
        <w:spacing w:after="0"/>
      </w:pPr>
      <w:r>
        <w:t>There are three elements of Youth Jobs PaTH—Prepare, Trial and Hire:</w:t>
      </w:r>
    </w:p>
    <w:p w14:paraId="33FBB62D" w14:textId="4F3DBEAE" w:rsidR="00D30531" w:rsidRDefault="00D30531" w:rsidP="003D5C1B">
      <w:pPr>
        <w:pStyle w:val="ListParagraph"/>
      </w:pPr>
      <w:r w:rsidRPr="00963E33">
        <w:rPr>
          <w:b/>
        </w:rPr>
        <w:t>Prepare</w:t>
      </w:r>
      <w:r>
        <w:t xml:space="preserve"> — employability skills training helps young people understand the expectations of employers in the recruitment process and in the workplace</w:t>
      </w:r>
      <w:r w:rsidR="003D5C1B">
        <w:t>.</w:t>
      </w:r>
    </w:p>
    <w:p w14:paraId="5A88AB19" w14:textId="0EC90449" w:rsidR="00D30531" w:rsidRDefault="00D30531" w:rsidP="003D5C1B">
      <w:pPr>
        <w:pStyle w:val="ListParagraph"/>
      </w:pPr>
      <w:r w:rsidRPr="00963E33">
        <w:rPr>
          <w:b/>
        </w:rPr>
        <w:t>Trial</w:t>
      </w:r>
      <w:r>
        <w:t xml:space="preserve"> — gives young people a chance to demonstrate their skills to businesses through an internship</w:t>
      </w:r>
      <w:r w:rsidR="003D5C1B">
        <w:t>.</w:t>
      </w:r>
    </w:p>
    <w:p w14:paraId="4818B440" w14:textId="77777777" w:rsidR="00D30531" w:rsidRDefault="00D30531" w:rsidP="003D5C1B">
      <w:pPr>
        <w:pStyle w:val="ListParagraph"/>
      </w:pPr>
      <w:r w:rsidRPr="00963E33">
        <w:rPr>
          <w:b/>
        </w:rPr>
        <w:t>Hire</w:t>
      </w:r>
      <w:r>
        <w:t xml:space="preserve"> — supports employers with the costs of recruitment through a wage subsidy up to $10,000.</w:t>
      </w:r>
    </w:p>
    <w:p w14:paraId="76C7D0BD" w14:textId="77777777" w:rsidR="00D30531" w:rsidRDefault="00D30531" w:rsidP="00623DDB">
      <w:r>
        <w:t xml:space="preserve">Under PaTH, employment services providers check prospective businesses meets eligibility requirements to host an internship before a PaTH Internship Agreement is created. An eligible business must: </w:t>
      </w:r>
    </w:p>
    <w:p w14:paraId="6A9FEC87" w14:textId="77777777" w:rsidR="00D30531" w:rsidRPr="00D96A28" w:rsidRDefault="00D30531" w:rsidP="003D5C1B">
      <w:pPr>
        <w:pStyle w:val="ListParagraph"/>
      </w:pPr>
      <w:r w:rsidRPr="00D96A28">
        <w:t xml:space="preserve">have a valid ABN </w:t>
      </w:r>
    </w:p>
    <w:p w14:paraId="1441D947" w14:textId="77777777" w:rsidR="00D30531" w:rsidRDefault="00D30531" w:rsidP="003D5C1B">
      <w:pPr>
        <w:pStyle w:val="ListParagraph"/>
      </w:pPr>
      <w:r w:rsidRPr="00D96A28">
        <w:t xml:space="preserve">have a reasonable prospect of employment, which means that the business: </w:t>
      </w:r>
    </w:p>
    <w:p w14:paraId="3D39314A" w14:textId="78021DEE" w:rsidR="00D30531" w:rsidRPr="009B4097" w:rsidRDefault="00D30531" w:rsidP="00623DDB">
      <w:pPr>
        <w:pStyle w:val="dotpoint2"/>
      </w:pPr>
      <w:r w:rsidRPr="009B4097">
        <w:t>has a current vacancy</w:t>
      </w:r>
    </w:p>
    <w:p w14:paraId="5624BC13" w14:textId="1C3D207F" w:rsidR="00D30531" w:rsidRPr="009B4097" w:rsidRDefault="00D30531" w:rsidP="00623DDB">
      <w:pPr>
        <w:pStyle w:val="dotpoint2"/>
      </w:pPr>
      <w:r w:rsidRPr="009B4097">
        <w:t>will likely have a vacancy following the internship</w:t>
      </w:r>
      <w:r w:rsidR="003D5C1B">
        <w:t>, or</w:t>
      </w:r>
    </w:p>
    <w:p w14:paraId="5A4FF6B9" w14:textId="77777777" w:rsidR="00D30531" w:rsidRPr="009B4097" w:rsidRDefault="00D30531" w:rsidP="00623DDB">
      <w:pPr>
        <w:pStyle w:val="dotpoint2"/>
      </w:pPr>
      <w:r w:rsidRPr="009B4097">
        <w:t>has a regular pattern of recruitment for a position aligned with the participant’s interests, experience and qualifications.</w:t>
      </w:r>
    </w:p>
    <w:p w14:paraId="48B8FE88" w14:textId="77777777" w:rsidR="00D30531" w:rsidRDefault="00D30531" w:rsidP="00623DDB">
      <w:pPr>
        <w:sectPr w:rsidR="00D30531" w:rsidSect="000255DC">
          <w:endnotePr>
            <w:numFmt w:val="decimal"/>
          </w:endnotePr>
          <w:pgSz w:w="11906" w:h="16838"/>
          <w:pgMar w:top="1985" w:right="1983" w:bottom="1702" w:left="1440" w:header="708" w:footer="1011" w:gutter="0"/>
          <w:cols w:space="708"/>
          <w:docGrid w:linePitch="360"/>
        </w:sectPr>
      </w:pPr>
    </w:p>
    <w:p w14:paraId="7C0993C0" w14:textId="2DEC6546" w:rsidR="00D30531" w:rsidRDefault="00623DDB" w:rsidP="00D00151">
      <w:pPr>
        <w:pStyle w:val="Heading1"/>
      </w:pPr>
      <w:bookmarkStart w:id="17" w:name="_Toc518050081"/>
      <w:bookmarkStart w:id="18" w:name="_Toc513814274"/>
      <w:bookmarkStart w:id="19" w:name="_Toc516229085"/>
      <w:r>
        <w:lastRenderedPageBreak/>
        <w:t>Appendix D:</w:t>
      </w:r>
      <w:r>
        <w:br/>
      </w:r>
      <w:r w:rsidR="00D30531">
        <w:t>Common misconceptions of employment services</w:t>
      </w:r>
      <w:bookmarkEnd w:id="17"/>
    </w:p>
    <w:tbl>
      <w:tblPr>
        <w:tblStyle w:val="TableGrid1"/>
        <w:tblW w:w="5000" w:type="pct"/>
        <w:tblLook w:val="04A0" w:firstRow="1" w:lastRow="0" w:firstColumn="1" w:lastColumn="0" w:noHBand="0" w:noVBand="1"/>
        <w:tblDescription w:val="Table outlining common misconceptions of employment services. "/>
      </w:tblPr>
      <w:tblGrid>
        <w:gridCol w:w="1619"/>
        <w:gridCol w:w="7397"/>
      </w:tblGrid>
      <w:tr w:rsidR="00D30531" w:rsidRPr="00616746" w14:paraId="58E73BC9" w14:textId="77777777" w:rsidTr="001C143A">
        <w:trPr>
          <w:tblHeader/>
        </w:trPr>
        <w:tc>
          <w:tcPr>
            <w:tcW w:w="898" w:type="pct"/>
            <w:shd w:val="clear" w:color="auto" w:fill="8CDDF8" w:themeFill="accent1" w:themeFillTint="99"/>
          </w:tcPr>
          <w:p w14:paraId="16761F9E" w14:textId="77777777" w:rsidR="00D30531" w:rsidRPr="00616746" w:rsidRDefault="00D30531" w:rsidP="001118E2">
            <w:pPr>
              <w:spacing w:after="0"/>
              <w:rPr>
                <w:rFonts w:eastAsiaTheme="minorHAnsi" w:cstheme="minorHAnsi"/>
                <w:b/>
                <w:szCs w:val="20"/>
              </w:rPr>
            </w:pPr>
            <w:r w:rsidRPr="00616746">
              <w:rPr>
                <w:rFonts w:eastAsiaTheme="minorHAnsi" w:cstheme="minorHAnsi"/>
                <w:b/>
                <w:szCs w:val="20"/>
              </w:rPr>
              <w:t>Misconception</w:t>
            </w:r>
          </w:p>
        </w:tc>
        <w:tc>
          <w:tcPr>
            <w:tcW w:w="4102" w:type="pct"/>
            <w:shd w:val="clear" w:color="auto" w:fill="8CDDF8" w:themeFill="accent1" w:themeFillTint="99"/>
          </w:tcPr>
          <w:p w14:paraId="4CA7B568" w14:textId="77777777" w:rsidR="00D30531" w:rsidRPr="00616746" w:rsidRDefault="00D30531" w:rsidP="001118E2">
            <w:pPr>
              <w:spacing w:after="0"/>
              <w:rPr>
                <w:rFonts w:eastAsiaTheme="minorHAnsi" w:cstheme="minorHAnsi"/>
                <w:b/>
                <w:szCs w:val="20"/>
              </w:rPr>
            </w:pPr>
            <w:r w:rsidRPr="00616746">
              <w:rPr>
                <w:rFonts w:eastAsiaTheme="minorHAnsi" w:cstheme="minorHAnsi"/>
                <w:b/>
                <w:szCs w:val="20"/>
              </w:rPr>
              <w:t xml:space="preserve">Reality </w:t>
            </w:r>
          </w:p>
        </w:tc>
      </w:tr>
      <w:tr w:rsidR="00D30531" w:rsidRPr="00616746" w14:paraId="3354F586" w14:textId="77777777" w:rsidTr="00616746">
        <w:tc>
          <w:tcPr>
            <w:tcW w:w="898" w:type="pct"/>
          </w:tcPr>
          <w:p w14:paraId="39ED622A" w14:textId="65E30004" w:rsidR="00D30531" w:rsidRPr="00616746" w:rsidRDefault="00D30531" w:rsidP="001118E2">
            <w:pPr>
              <w:spacing w:after="0"/>
              <w:rPr>
                <w:rFonts w:eastAsiaTheme="minorHAnsi" w:cstheme="minorHAnsi"/>
                <w:szCs w:val="20"/>
              </w:rPr>
            </w:pPr>
            <w:r w:rsidRPr="00616746">
              <w:rPr>
                <w:rFonts w:eastAsiaTheme="minorHAnsi" w:cstheme="minorHAnsi"/>
                <w:szCs w:val="20"/>
              </w:rPr>
              <w:t>jobactive should create jobs</w:t>
            </w:r>
            <w:r w:rsidR="00A2354A">
              <w:rPr>
                <w:rFonts w:eastAsiaTheme="minorHAnsi" w:cstheme="minorHAnsi"/>
                <w:szCs w:val="20"/>
              </w:rPr>
              <w:t>.</w:t>
            </w:r>
          </w:p>
        </w:tc>
        <w:tc>
          <w:tcPr>
            <w:tcW w:w="4102" w:type="pct"/>
          </w:tcPr>
          <w:p w14:paraId="62DBBE6C" w14:textId="79994224" w:rsidR="00D30531" w:rsidRPr="00616746" w:rsidRDefault="00D30531" w:rsidP="001118E2">
            <w:pPr>
              <w:spacing w:after="0"/>
              <w:rPr>
                <w:rFonts w:eastAsiaTheme="minorHAnsi" w:cstheme="minorHAnsi"/>
                <w:szCs w:val="20"/>
              </w:rPr>
            </w:pPr>
            <w:r w:rsidRPr="00616746">
              <w:rPr>
                <w:rFonts w:eastAsiaTheme="minorHAnsi" w:cstheme="minorHAnsi"/>
                <w:szCs w:val="20"/>
              </w:rPr>
              <w:t>jobactive does not include public works programs or job creation packages. The Australian labou</w:t>
            </w:r>
            <w:r w:rsidR="006A6A0D">
              <w:rPr>
                <w:rFonts w:eastAsiaTheme="minorHAnsi" w:cstheme="minorHAnsi"/>
                <w:szCs w:val="20"/>
              </w:rPr>
              <w:t>r market experiences between four and five</w:t>
            </w:r>
            <w:r w:rsidRPr="00616746">
              <w:rPr>
                <w:rFonts w:eastAsiaTheme="minorHAnsi" w:cstheme="minorHAnsi"/>
                <w:szCs w:val="20"/>
              </w:rPr>
              <w:t xml:space="preserve"> million job movements into and out of work every year, jobacti</w:t>
            </w:r>
            <w:r w:rsidR="006A6A0D">
              <w:rPr>
                <w:rFonts w:eastAsiaTheme="minorHAnsi" w:cstheme="minorHAnsi"/>
                <w:szCs w:val="20"/>
              </w:rPr>
              <w:t>ve facilitates approximately six to eight</w:t>
            </w:r>
            <w:r w:rsidRPr="00616746">
              <w:rPr>
                <w:rFonts w:eastAsiaTheme="minorHAnsi" w:cstheme="minorHAnsi"/>
                <w:szCs w:val="20"/>
              </w:rPr>
              <w:t xml:space="preserve"> per cent of those movements. jobactive aims to help job seekers find work by:</w:t>
            </w:r>
          </w:p>
          <w:p w14:paraId="232514EB" w14:textId="08156771" w:rsidR="00D30531" w:rsidRPr="00616746" w:rsidRDefault="00D30531" w:rsidP="006A6A0D">
            <w:pPr>
              <w:pStyle w:val="ListParagraph"/>
              <w:rPr>
                <w:rFonts w:eastAsiaTheme="minorHAnsi"/>
              </w:rPr>
            </w:pPr>
            <w:r w:rsidRPr="00616746">
              <w:rPr>
                <w:rFonts w:eastAsiaTheme="minorHAnsi"/>
              </w:rPr>
              <w:t>connect</w:t>
            </w:r>
            <w:r w:rsidR="006A6A0D">
              <w:rPr>
                <w:rFonts w:eastAsiaTheme="minorHAnsi"/>
              </w:rPr>
              <w:t>ing them with job opportunities</w:t>
            </w:r>
          </w:p>
          <w:p w14:paraId="60A0537C" w14:textId="5B481483" w:rsidR="00D30531" w:rsidRPr="00616746" w:rsidRDefault="00D30531" w:rsidP="006A6A0D">
            <w:pPr>
              <w:pStyle w:val="ListParagraph"/>
              <w:rPr>
                <w:rFonts w:eastAsiaTheme="minorHAnsi"/>
              </w:rPr>
            </w:pPr>
            <w:r w:rsidRPr="00616746">
              <w:rPr>
                <w:rFonts w:eastAsiaTheme="minorHAnsi"/>
              </w:rPr>
              <w:t>providing</w:t>
            </w:r>
            <w:r w:rsidR="006A6A0D">
              <w:rPr>
                <w:rFonts w:eastAsiaTheme="minorHAnsi"/>
              </w:rPr>
              <w:t xml:space="preserve"> career and job search coaching</w:t>
            </w:r>
          </w:p>
          <w:p w14:paraId="01AFAD45" w14:textId="1A8FA235" w:rsidR="00D30531" w:rsidRPr="00616746" w:rsidRDefault="00D30531" w:rsidP="006A6A0D">
            <w:pPr>
              <w:pStyle w:val="ListParagraph"/>
              <w:rPr>
                <w:rFonts w:eastAsiaTheme="minorHAnsi"/>
              </w:rPr>
            </w:pPr>
            <w:r w:rsidRPr="00616746">
              <w:rPr>
                <w:rFonts w:eastAsiaTheme="minorHAnsi"/>
              </w:rPr>
              <w:t>directing them to activities that increa</w:t>
            </w:r>
            <w:r w:rsidR="006A6A0D">
              <w:rPr>
                <w:rFonts w:eastAsiaTheme="minorHAnsi"/>
              </w:rPr>
              <w:t>se their chance of finding work</w:t>
            </w:r>
          </w:p>
          <w:p w14:paraId="4B96CEC9" w14:textId="47D3416A" w:rsidR="00D30531" w:rsidRPr="00616746" w:rsidRDefault="00D30531" w:rsidP="006A6A0D">
            <w:pPr>
              <w:pStyle w:val="ListParagraph"/>
              <w:rPr>
                <w:rFonts w:eastAsiaTheme="minorHAnsi"/>
              </w:rPr>
            </w:pPr>
            <w:r w:rsidRPr="00616746">
              <w:rPr>
                <w:rFonts w:eastAsiaTheme="minorHAnsi"/>
              </w:rPr>
              <w:t>assisting them to overc</w:t>
            </w:r>
            <w:r w:rsidR="006A6A0D">
              <w:rPr>
                <w:rFonts w:eastAsiaTheme="minorHAnsi"/>
              </w:rPr>
              <w:t>ome personal barriers they face</w:t>
            </w:r>
          </w:p>
          <w:p w14:paraId="7387E0FE" w14:textId="0047FA2F" w:rsidR="00D30531" w:rsidRPr="00616746" w:rsidRDefault="00D30531" w:rsidP="006A6A0D">
            <w:pPr>
              <w:pStyle w:val="ListParagraph"/>
              <w:rPr>
                <w:rFonts w:eastAsiaTheme="minorHAnsi"/>
              </w:rPr>
            </w:pPr>
            <w:r w:rsidRPr="00616746">
              <w:rPr>
                <w:rFonts w:eastAsiaTheme="minorHAnsi"/>
              </w:rPr>
              <w:t xml:space="preserve">offering employers wage subsidies to hire </w:t>
            </w:r>
            <w:r w:rsidR="006A6A0D">
              <w:rPr>
                <w:rFonts w:eastAsiaTheme="minorHAnsi"/>
              </w:rPr>
              <w:t>them, and</w:t>
            </w:r>
          </w:p>
          <w:p w14:paraId="3ECF574D" w14:textId="77777777" w:rsidR="00D30531" w:rsidRPr="00616746" w:rsidRDefault="00D30531" w:rsidP="006A6A0D">
            <w:pPr>
              <w:pStyle w:val="ListParagraph"/>
              <w:rPr>
                <w:rFonts w:eastAsiaTheme="minorHAnsi"/>
              </w:rPr>
            </w:pPr>
            <w:r w:rsidRPr="00616746">
              <w:rPr>
                <w:rFonts w:eastAsiaTheme="minorHAnsi"/>
              </w:rPr>
              <w:t>offering a free recruitment service to employers.</w:t>
            </w:r>
          </w:p>
        </w:tc>
      </w:tr>
      <w:tr w:rsidR="00D30531" w:rsidRPr="00616746" w14:paraId="6A61DC84" w14:textId="77777777" w:rsidTr="00616746">
        <w:tc>
          <w:tcPr>
            <w:tcW w:w="898" w:type="pct"/>
          </w:tcPr>
          <w:p w14:paraId="5D5BD345" w14:textId="20D3514F" w:rsidR="00D30531" w:rsidRPr="00616746" w:rsidRDefault="00D30531" w:rsidP="001118E2">
            <w:pPr>
              <w:spacing w:after="0"/>
              <w:rPr>
                <w:rFonts w:eastAsiaTheme="minorHAnsi" w:cstheme="minorHAnsi"/>
                <w:szCs w:val="20"/>
              </w:rPr>
            </w:pPr>
            <w:r w:rsidRPr="00616746">
              <w:rPr>
                <w:rFonts w:eastAsiaTheme="minorHAnsi" w:cstheme="minorHAnsi"/>
                <w:szCs w:val="20"/>
              </w:rPr>
              <w:t>All job seekers in jobactive are unemployed</w:t>
            </w:r>
            <w:r w:rsidR="00A2354A">
              <w:rPr>
                <w:rFonts w:eastAsiaTheme="minorHAnsi" w:cstheme="minorHAnsi"/>
                <w:szCs w:val="20"/>
              </w:rPr>
              <w:t>.</w:t>
            </w:r>
          </w:p>
        </w:tc>
        <w:tc>
          <w:tcPr>
            <w:tcW w:w="4102" w:type="pct"/>
          </w:tcPr>
          <w:p w14:paraId="26C4E3BF" w14:textId="2A973A0B" w:rsidR="00D30531" w:rsidRPr="00616746" w:rsidRDefault="00D30531" w:rsidP="00305D2B">
            <w:pPr>
              <w:spacing w:after="0"/>
              <w:rPr>
                <w:rFonts w:eastAsiaTheme="minorHAnsi" w:cstheme="minorHAnsi"/>
                <w:szCs w:val="20"/>
              </w:rPr>
            </w:pPr>
            <w:r w:rsidRPr="00616746">
              <w:rPr>
                <w:rFonts w:eastAsiaTheme="minorHAnsi" w:cstheme="minorHAnsi"/>
                <w:szCs w:val="20"/>
              </w:rPr>
              <w:t>Many job seekers in jobactive currently work part-time or casual jobs, but not enough to remove them from income support. Around 30 per cent of job seekers in jobactive declare income in any fortnight (likely working). Departmental interviews with job seekers suggest many job seekers opt to supplement their income support by working one (or more) part</w:t>
            </w:r>
            <w:r>
              <w:rPr>
                <w:rFonts w:eastAsiaTheme="minorHAnsi" w:cstheme="minorHAnsi"/>
                <w:szCs w:val="20"/>
              </w:rPr>
              <w:t>-</w:t>
            </w:r>
            <w:r w:rsidRPr="00616746">
              <w:rPr>
                <w:rFonts w:eastAsiaTheme="minorHAnsi" w:cstheme="minorHAnsi"/>
                <w:szCs w:val="20"/>
              </w:rPr>
              <w:t>time jobs. Many job seekers expressed concern at the difficulty of securing full-time work.</w:t>
            </w:r>
          </w:p>
        </w:tc>
      </w:tr>
      <w:tr w:rsidR="00D30531" w:rsidRPr="00616746" w14:paraId="422BD768" w14:textId="77777777" w:rsidTr="00616746">
        <w:tc>
          <w:tcPr>
            <w:tcW w:w="898" w:type="pct"/>
          </w:tcPr>
          <w:p w14:paraId="4755B4C1" w14:textId="1ED9B3CC" w:rsidR="00D30531" w:rsidRPr="00616746" w:rsidRDefault="00D30531" w:rsidP="001118E2">
            <w:pPr>
              <w:spacing w:after="0"/>
              <w:rPr>
                <w:rFonts w:eastAsiaTheme="minorHAnsi" w:cstheme="minorHAnsi"/>
                <w:szCs w:val="20"/>
              </w:rPr>
            </w:pPr>
            <w:r w:rsidRPr="00616746">
              <w:rPr>
                <w:rFonts w:eastAsiaTheme="minorHAnsi" w:cstheme="minorHAnsi"/>
                <w:szCs w:val="20"/>
              </w:rPr>
              <w:t>jobactive is for everyone who wants a job</w:t>
            </w:r>
            <w:r w:rsidR="00A2354A">
              <w:rPr>
                <w:rFonts w:eastAsiaTheme="minorHAnsi" w:cstheme="minorHAnsi"/>
                <w:szCs w:val="20"/>
              </w:rPr>
              <w:t>.</w:t>
            </w:r>
          </w:p>
        </w:tc>
        <w:tc>
          <w:tcPr>
            <w:tcW w:w="4102" w:type="pct"/>
          </w:tcPr>
          <w:p w14:paraId="3E04332B" w14:textId="6FC5F3D9" w:rsidR="00D30531" w:rsidRPr="00616746" w:rsidRDefault="00D30531" w:rsidP="00BE1426">
            <w:pPr>
              <w:spacing w:after="0"/>
              <w:rPr>
                <w:rFonts w:eastAsiaTheme="minorHAnsi" w:cstheme="minorHAnsi"/>
                <w:szCs w:val="20"/>
              </w:rPr>
            </w:pPr>
            <w:r w:rsidRPr="00616746">
              <w:rPr>
                <w:rFonts w:eastAsiaTheme="minorHAnsi" w:cstheme="minorHAnsi"/>
                <w:szCs w:val="20"/>
              </w:rPr>
              <w:t>jobactive vacancies are freely listed online and any job seeker can enter jobactive as a volunteer. However</w:t>
            </w:r>
            <w:r w:rsidR="00BE1426">
              <w:rPr>
                <w:rFonts w:eastAsiaTheme="minorHAnsi" w:cstheme="minorHAnsi"/>
                <w:szCs w:val="20"/>
              </w:rPr>
              <w:t xml:space="preserve"> </w:t>
            </w:r>
            <w:r w:rsidRPr="00616746">
              <w:rPr>
                <w:rFonts w:eastAsiaTheme="minorHAnsi" w:cstheme="minorHAnsi"/>
                <w:szCs w:val="20"/>
              </w:rPr>
              <w:t xml:space="preserve">around 99 per cent of job seekers in jobactive are income support recipients. While jobactive welcomes all job seekers, resources are usually targeted towards those who face multiple or complex barriers to work. </w:t>
            </w:r>
          </w:p>
        </w:tc>
      </w:tr>
      <w:tr w:rsidR="00D30531" w:rsidRPr="00616746" w14:paraId="3663354A" w14:textId="77777777" w:rsidTr="00616746">
        <w:tc>
          <w:tcPr>
            <w:tcW w:w="898" w:type="pct"/>
          </w:tcPr>
          <w:p w14:paraId="26F38201" w14:textId="46D61B14" w:rsidR="00D30531" w:rsidRPr="00616746" w:rsidRDefault="00D30531" w:rsidP="001118E2">
            <w:pPr>
              <w:spacing w:after="0"/>
              <w:rPr>
                <w:rFonts w:eastAsiaTheme="minorHAnsi" w:cstheme="minorHAnsi"/>
                <w:szCs w:val="20"/>
              </w:rPr>
            </w:pPr>
            <w:r w:rsidRPr="00616746">
              <w:rPr>
                <w:rFonts w:eastAsiaTheme="minorHAnsi" w:cstheme="minorHAnsi"/>
                <w:szCs w:val="20"/>
              </w:rPr>
              <w:t>jobactive does</w:t>
            </w:r>
            <w:r>
              <w:rPr>
                <w:rFonts w:eastAsiaTheme="minorHAnsi" w:cstheme="minorHAnsi"/>
                <w:szCs w:val="20"/>
              </w:rPr>
              <w:t xml:space="preserve"> not</w:t>
            </w:r>
            <w:r w:rsidRPr="00616746">
              <w:rPr>
                <w:rFonts w:eastAsiaTheme="minorHAnsi" w:cstheme="minorHAnsi"/>
                <w:szCs w:val="20"/>
              </w:rPr>
              <w:t xml:space="preserve"> get many people jobs</w:t>
            </w:r>
            <w:r w:rsidR="00A2354A">
              <w:rPr>
                <w:rFonts w:eastAsiaTheme="minorHAnsi" w:cstheme="minorHAnsi"/>
                <w:szCs w:val="20"/>
              </w:rPr>
              <w:t>.</w:t>
            </w:r>
          </w:p>
        </w:tc>
        <w:tc>
          <w:tcPr>
            <w:tcW w:w="4102" w:type="pct"/>
          </w:tcPr>
          <w:p w14:paraId="66CF364E" w14:textId="00A09968" w:rsidR="00D30531" w:rsidRPr="00616746" w:rsidRDefault="00BE1426" w:rsidP="00BE1426">
            <w:pPr>
              <w:spacing w:after="0"/>
              <w:rPr>
                <w:rFonts w:eastAsiaTheme="minorHAnsi" w:cstheme="minorHAnsi"/>
                <w:szCs w:val="20"/>
              </w:rPr>
            </w:pPr>
            <w:r>
              <w:rPr>
                <w:rFonts w:eastAsiaTheme="minorHAnsi" w:cstheme="minorHAnsi"/>
                <w:szCs w:val="20"/>
              </w:rPr>
              <w:t>jobactive places roughly 1,1</w:t>
            </w:r>
            <w:r w:rsidR="00D30531" w:rsidRPr="00616746">
              <w:rPr>
                <w:rFonts w:eastAsiaTheme="minorHAnsi" w:cstheme="minorHAnsi"/>
                <w:szCs w:val="20"/>
              </w:rPr>
              <w:t xml:space="preserve">00 job seekers per day into employment. Since its inception </w:t>
            </w:r>
            <w:r>
              <w:rPr>
                <w:rFonts w:eastAsiaTheme="minorHAnsi" w:cstheme="minorHAnsi"/>
                <w:szCs w:val="20"/>
              </w:rPr>
              <w:t xml:space="preserve">in </w:t>
            </w:r>
            <w:r w:rsidR="00D30531" w:rsidRPr="00616746">
              <w:rPr>
                <w:rFonts w:eastAsiaTheme="minorHAnsi" w:cstheme="minorHAnsi"/>
                <w:szCs w:val="20"/>
              </w:rPr>
              <w:t>July 20</w:t>
            </w:r>
            <w:r>
              <w:rPr>
                <w:rFonts w:eastAsiaTheme="minorHAnsi" w:cstheme="minorHAnsi"/>
                <w:szCs w:val="20"/>
              </w:rPr>
              <w:t>15</w:t>
            </w:r>
            <w:r w:rsidR="00D30531">
              <w:rPr>
                <w:rFonts w:eastAsiaTheme="minorHAnsi" w:cstheme="minorHAnsi"/>
                <w:szCs w:val="20"/>
              </w:rPr>
              <w:t>, jobactive has placed over 1,0</w:t>
            </w:r>
            <w:r w:rsidR="00D30531" w:rsidRPr="00616746">
              <w:rPr>
                <w:rFonts w:eastAsiaTheme="minorHAnsi" w:cstheme="minorHAnsi"/>
                <w:szCs w:val="20"/>
              </w:rPr>
              <w:t xml:space="preserve">00,000 people into work, with over </w:t>
            </w:r>
            <w:r w:rsidR="00D30531">
              <w:rPr>
                <w:rFonts w:eastAsiaTheme="minorHAnsi" w:cstheme="minorHAnsi"/>
                <w:szCs w:val="20"/>
              </w:rPr>
              <w:t>28</w:t>
            </w:r>
            <w:r w:rsidR="00D30531" w:rsidRPr="00616746">
              <w:rPr>
                <w:rFonts w:eastAsiaTheme="minorHAnsi" w:cstheme="minorHAnsi"/>
                <w:szCs w:val="20"/>
              </w:rPr>
              <w:t xml:space="preserve">0,000 people remaining in work for longer than 26 weeks. </w:t>
            </w:r>
          </w:p>
        </w:tc>
      </w:tr>
      <w:tr w:rsidR="00D30531" w:rsidRPr="00616746" w14:paraId="57C1FFF6" w14:textId="77777777" w:rsidTr="00616746">
        <w:tc>
          <w:tcPr>
            <w:tcW w:w="898" w:type="pct"/>
          </w:tcPr>
          <w:p w14:paraId="17002164" w14:textId="28F47FC3" w:rsidR="00D30531" w:rsidRPr="00616746" w:rsidRDefault="00D30531" w:rsidP="001118E2">
            <w:pPr>
              <w:spacing w:after="0"/>
              <w:rPr>
                <w:rFonts w:eastAsiaTheme="minorHAnsi" w:cstheme="minorHAnsi"/>
                <w:szCs w:val="20"/>
              </w:rPr>
            </w:pPr>
            <w:r w:rsidRPr="00616746">
              <w:rPr>
                <w:rFonts w:eastAsiaTheme="minorHAnsi" w:cstheme="minorHAnsi"/>
                <w:szCs w:val="20"/>
              </w:rPr>
              <w:t>Disadvantaged job seekers do not find work in jobactive</w:t>
            </w:r>
            <w:r w:rsidR="00A2354A">
              <w:rPr>
                <w:rFonts w:eastAsiaTheme="minorHAnsi" w:cstheme="minorHAnsi"/>
                <w:szCs w:val="20"/>
              </w:rPr>
              <w:t>.</w:t>
            </w:r>
          </w:p>
        </w:tc>
        <w:tc>
          <w:tcPr>
            <w:tcW w:w="4102" w:type="pct"/>
          </w:tcPr>
          <w:p w14:paraId="7B0DB412" w14:textId="2C29CD40"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While many job seekers have complex barriers to employment, they are not unemployable. Since July 2015, over </w:t>
            </w:r>
            <w:r>
              <w:rPr>
                <w:rFonts w:eastAsiaTheme="minorHAnsi" w:cstheme="minorHAnsi"/>
                <w:szCs w:val="20"/>
              </w:rPr>
              <w:t>13</w:t>
            </w:r>
            <w:r w:rsidRPr="00616746">
              <w:rPr>
                <w:rFonts w:eastAsiaTheme="minorHAnsi" w:cstheme="minorHAnsi"/>
                <w:szCs w:val="20"/>
              </w:rPr>
              <w:t xml:space="preserve">5,000 Stream C job seekers (the highly disadvantaged) have been placed in a job. </w:t>
            </w:r>
          </w:p>
        </w:tc>
      </w:tr>
      <w:tr w:rsidR="00D30531" w:rsidRPr="00616746" w14:paraId="58FD498F" w14:textId="77777777" w:rsidTr="00616746">
        <w:tc>
          <w:tcPr>
            <w:tcW w:w="898" w:type="pct"/>
          </w:tcPr>
          <w:p w14:paraId="48857016" w14:textId="570D0137" w:rsidR="00D30531" w:rsidRPr="00616746" w:rsidRDefault="00D30531" w:rsidP="001118E2">
            <w:pPr>
              <w:spacing w:after="0"/>
              <w:rPr>
                <w:rFonts w:eastAsiaTheme="minorHAnsi" w:cstheme="minorHAnsi"/>
                <w:szCs w:val="20"/>
              </w:rPr>
            </w:pPr>
            <w:r w:rsidRPr="00616746">
              <w:rPr>
                <w:rFonts w:eastAsiaTheme="minorHAnsi" w:cstheme="minorHAnsi"/>
                <w:szCs w:val="20"/>
              </w:rPr>
              <w:t>Job seeke</w:t>
            </w:r>
            <w:r w:rsidR="00A2354A">
              <w:rPr>
                <w:rFonts w:eastAsiaTheme="minorHAnsi" w:cstheme="minorHAnsi"/>
                <w:szCs w:val="20"/>
              </w:rPr>
              <w:t>rs are unmotivated to find work.</w:t>
            </w:r>
          </w:p>
        </w:tc>
        <w:tc>
          <w:tcPr>
            <w:tcW w:w="4102" w:type="pct"/>
          </w:tcPr>
          <w:p w14:paraId="4229CF2A" w14:textId="77777777"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Departmental and other research indicates that the majority of job seekers want to find work. The stigma of unemployment often compounds their difficulties when pursuing work. Many job seekers report they are eager to work but feel trapped by lack of experience, work ethic misconception or a chequered work history. </w:t>
            </w:r>
          </w:p>
        </w:tc>
      </w:tr>
      <w:tr w:rsidR="00D30531" w:rsidRPr="00616746" w14:paraId="48B9B4C0" w14:textId="77777777" w:rsidTr="00616746">
        <w:tc>
          <w:tcPr>
            <w:tcW w:w="898" w:type="pct"/>
          </w:tcPr>
          <w:p w14:paraId="07FBE1D9" w14:textId="6C095A1A" w:rsidR="00D30531" w:rsidRPr="00616746" w:rsidRDefault="00D30531" w:rsidP="00BE1426">
            <w:pPr>
              <w:keepNext/>
              <w:keepLines/>
              <w:spacing w:after="0"/>
              <w:rPr>
                <w:rFonts w:eastAsiaTheme="minorHAnsi" w:cstheme="minorHAnsi"/>
                <w:szCs w:val="20"/>
              </w:rPr>
            </w:pPr>
            <w:r w:rsidRPr="00616746">
              <w:rPr>
                <w:rFonts w:eastAsiaTheme="minorHAnsi" w:cstheme="minorHAnsi"/>
                <w:szCs w:val="20"/>
              </w:rPr>
              <w:lastRenderedPageBreak/>
              <w:t>Job seekers get the dole without having to do anything in return</w:t>
            </w:r>
            <w:r w:rsidR="00A2354A">
              <w:rPr>
                <w:rFonts w:eastAsiaTheme="minorHAnsi" w:cstheme="minorHAnsi"/>
                <w:szCs w:val="20"/>
              </w:rPr>
              <w:t>.</w:t>
            </w:r>
          </w:p>
        </w:tc>
        <w:tc>
          <w:tcPr>
            <w:tcW w:w="4102" w:type="pct"/>
          </w:tcPr>
          <w:p w14:paraId="6513EEB6" w14:textId="77777777" w:rsidR="00D30531" w:rsidRPr="00616746" w:rsidRDefault="00D30531" w:rsidP="00BE1426">
            <w:pPr>
              <w:keepNext/>
              <w:keepLines/>
              <w:spacing w:after="0"/>
              <w:rPr>
                <w:rFonts w:eastAsiaTheme="minorHAnsi" w:cstheme="minorHAnsi"/>
                <w:szCs w:val="20"/>
              </w:rPr>
            </w:pPr>
            <w:r w:rsidRPr="00616746">
              <w:rPr>
                <w:rFonts w:eastAsiaTheme="minorHAnsi" w:cstheme="minorHAnsi"/>
                <w:szCs w:val="20"/>
              </w:rPr>
              <w:t>People in receipt of income support are required to demonstrate that they are actively looking for work or are undertaking activities to improve their employment prospects. Most people are required to apply for 20 jobs per month and report these to their jobactive provider. This is in addition to completing the other activities (e.g. training) in their Job Plan. After 12 months in jobactive, job seekers are required to participate in an intensive activity. Those not working will generally start in training or Work for the Dole, or another approved activity depending on their circumstances.</w:t>
            </w:r>
          </w:p>
        </w:tc>
      </w:tr>
      <w:tr w:rsidR="00D30531" w:rsidRPr="00616746" w14:paraId="1F6854B9" w14:textId="77777777" w:rsidTr="00616746">
        <w:tc>
          <w:tcPr>
            <w:tcW w:w="898" w:type="pct"/>
          </w:tcPr>
          <w:p w14:paraId="17581487" w14:textId="225799AC" w:rsidR="00D30531" w:rsidRPr="00616746" w:rsidRDefault="00D30531" w:rsidP="001118E2">
            <w:pPr>
              <w:spacing w:after="0"/>
              <w:rPr>
                <w:rFonts w:eastAsiaTheme="minorHAnsi" w:cstheme="minorHAnsi"/>
                <w:szCs w:val="20"/>
              </w:rPr>
            </w:pPr>
            <w:r w:rsidRPr="00616746">
              <w:rPr>
                <w:rFonts w:eastAsiaTheme="minorHAnsi" w:cstheme="minorHAnsi"/>
                <w:szCs w:val="20"/>
              </w:rPr>
              <w:t>Work for the Dole does</w:t>
            </w:r>
            <w:r>
              <w:rPr>
                <w:rFonts w:eastAsiaTheme="minorHAnsi" w:cstheme="minorHAnsi"/>
                <w:szCs w:val="20"/>
              </w:rPr>
              <w:t xml:space="preserve"> not</w:t>
            </w:r>
            <w:r w:rsidRPr="00616746">
              <w:rPr>
                <w:rFonts w:eastAsiaTheme="minorHAnsi" w:cstheme="minorHAnsi"/>
                <w:szCs w:val="20"/>
              </w:rPr>
              <w:t xml:space="preserve"> get anyone a job</w:t>
            </w:r>
            <w:r w:rsidR="00A2354A">
              <w:rPr>
                <w:rFonts w:eastAsiaTheme="minorHAnsi" w:cstheme="minorHAnsi"/>
                <w:szCs w:val="20"/>
              </w:rPr>
              <w:t>.</w:t>
            </w:r>
          </w:p>
        </w:tc>
        <w:tc>
          <w:tcPr>
            <w:tcW w:w="4102" w:type="pct"/>
          </w:tcPr>
          <w:p w14:paraId="29182C4D" w14:textId="0C8696E5"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Departmental data shows that 28.4 per cent of job seekers were either </w:t>
            </w:r>
            <w:r w:rsidR="00A2354A">
              <w:rPr>
                <w:rFonts w:eastAsiaTheme="minorHAnsi" w:cstheme="minorHAnsi"/>
                <w:szCs w:val="20"/>
              </w:rPr>
              <w:br/>
            </w:r>
            <w:r w:rsidRPr="00616746">
              <w:rPr>
                <w:rFonts w:eastAsiaTheme="minorHAnsi" w:cstheme="minorHAnsi"/>
                <w:szCs w:val="20"/>
              </w:rPr>
              <w:t>part-time or full-time employed three months after participating in Work for the Dole. Comparatively, of the job seekers who und</w:t>
            </w:r>
            <w:r w:rsidR="00BE1426">
              <w:rPr>
                <w:rFonts w:eastAsiaTheme="minorHAnsi" w:cstheme="minorHAnsi"/>
                <w:szCs w:val="20"/>
              </w:rPr>
              <w:t>ertook vocational training 36.2 </w:t>
            </w:r>
            <w:r w:rsidRPr="00616746">
              <w:rPr>
                <w:rFonts w:eastAsiaTheme="minorHAnsi" w:cstheme="minorHAnsi"/>
                <w:szCs w:val="20"/>
              </w:rPr>
              <w:t>per cent were employed three months later.</w:t>
            </w:r>
          </w:p>
        </w:tc>
      </w:tr>
      <w:tr w:rsidR="00D30531" w:rsidRPr="00616746" w14:paraId="4E633CA7" w14:textId="77777777" w:rsidTr="00616746">
        <w:tc>
          <w:tcPr>
            <w:tcW w:w="898" w:type="pct"/>
          </w:tcPr>
          <w:p w14:paraId="00871361" w14:textId="15AF2418" w:rsidR="00D30531" w:rsidRPr="00616746" w:rsidRDefault="00D30531" w:rsidP="001118E2">
            <w:pPr>
              <w:spacing w:after="0"/>
              <w:rPr>
                <w:rFonts w:eastAsiaTheme="minorHAnsi" w:cstheme="minorHAnsi"/>
                <w:szCs w:val="20"/>
              </w:rPr>
            </w:pPr>
            <w:r w:rsidRPr="00616746">
              <w:rPr>
                <w:rFonts w:eastAsiaTheme="minorHAnsi" w:cstheme="minorHAnsi"/>
                <w:szCs w:val="20"/>
              </w:rPr>
              <w:t>The unemployed get immediate access to the dole</w:t>
            </w:r>
            <w:r w:rsidR="00A2354A">
              <w:rPr>
                <w:rFonts w:eastAsiaTheme="minorHAnsi" w:cstheme="minorHAnsi"/>
                <w:szCs w:val="20"/>
              </w:rPr>
              <w:t>.</w:t>
            </w:r>
          </w:p>
        </w:tc>
        <w:tc>
          <w:tcPr>
            <w:tcW w:w="4102" w:type="pct"/>
          </w:tcPr>
          <w:p w14:paraId="58FF1F5E" w14:textId="77777777" w:rsidR="00D30531" w:rsidRPr="00616746" w:rsidRDefault="00D30531" w:rsidP="001118E2">
            <w:pPr>
              <w:spacing w:after="0"/>
              <w:rPr>
                <w:rFonts w:eastAsiaTheme="minorHAnsi" w:cstheme="minorHAnsi"/>
                <w:szCs w:val="20"/>
              </w:rPr>
            </w:pPr>
            <w:r w:rsidRPr="00616746">
              <w:rPr>
                <w:rFonts w:eastAsiaTheme="minorHAnsi" w:cstheme="minorHAnsi"/>
                <w:szCs w:val="20"/>
              </w:rPr>
              <w:t>The unemployed do not get immediate access to welfare. Eligibility for payments is targeted through means testing, ensuring that assistance is directed to those with the greatest need. Job seekers who do not meet the means test may receive a partial payment or no payment at all. Recipients who are deemed to have the capacity to work are required to actively seek it.</w:t>
            </w:r>
          </w:p>
        </w:tc>
      </w:tr>
      <w:tr w:rsidR="00D30531" w:rsidRPr="00616746" w14:paraId="520395F8" w14:textId="77777777" w:rsidTr="00616746">
        <w:tc>
          <w:tcPr>
            <w:tcW w:w="898" w:type="pct"/>
          </w:tcPr>
          <w:p w14:paraId="501AC05D" w14:textId="7B086091" w:rsidR="00D30531" w:rsidRPr="00616746" w:rsidRDefault="00D30531" w:rsidP="001118E2">
            <w:pPr>
              <w:spacing w:after="0"/>
              <w:rPr>
                <w:rFonts w:eastAsiaTheme="minorHAnsi" w:cstheme="minorHAnsi"/>
                <w:szCs w:val="20"/>
              </w:rPr>
            </w:pPr>
            <w:r w:rsidRPr="00616746">
              <w:rPr>
                <w:rFonts w:eastAsiaTheme="minorHAnsi" w:cstheme="minorHAnsi"/>
                <w:szCs w:val="20"/>
              </w:rPr>
              <w:t>Job seekers struggle to meet their participation requirements</w:t>
            </w:r>
            <w:r w:rsidR="00A2354A">
              <w:rPr>
                <w:rFonts w:eastAsiaTheme="minorHAnsi" w:cstheme="minorHAnsi"/>
                <w:szCs w:val="20"/>
              </w:rPr>
              <w:t>.</w:t>
            </w:r>
          </w:p>
        </w:tc>
        <w:tc>
          <w:tcPr>
            <w:tcW w:w="4102" w:type="pct"/>
          </w:tcPr>
          <w:p w14:paraId="2D5286A1" w14:textId="59C8F1C4" w:rsidR="00D30531" w:rsidRPr="00616746" w:rsidRDefault="00D30531" w:rsidP="00A2354A">
            <w:pPr>
              <w:spacing w:after="0"/>
              <w:rPr>
                <w:rFonts w:eastAsiaTheme="minorHAnsi" w:cstheme="minorHAnsi"/>
                <w:szCs w:val="20"/>
              </w:rPr>
            </w:pPr>
            <w:r w:rsidRPr="00616746">
              <w:rPr>
                <w:rFonts w:eastAsiaTheme="minorHAnsi" w:cstheme="minorHAnsi"/>
                <w:szCs w:val="20"/>
              </w:rPr>
              <w:t>While there are job seekers who do not meet their participation requirements, almost all aim to meet them. Half of all reports for compliance failures confirmed by the Department of Huma</w:t>
            </w:r>
            <w:r w:rsidR="00A2354A">
              <w:rPr>
                <w:rFonts w:eastAsiaTheme="minorHAnsi" w:cstheme="minorHAnsi"/>
                <w:szCs w:val="20"/>
              </w:rPr>
              <w:t>n Services relate to less than two</w:t>
            </w:r>
            <w:r w:rsidRPr="00616746">
              <w:rPr>
                <w:rFonts w:eastAsiaTheme="minorHAnsi" w:cstheme="minorHAnsi"/>
                <w:szCs w:val="20"/>
              </w:rPr>
              <w:t xml:space="preserve"> per cent of job seekers. Persistent non-compliance results in a range of penalties, for example losing income support payments for up to </w:t>
            </w:r>
            <w:r w:rsidR="00A2354A">
              <w:rPr>
                <w:rFonts w:eastAsiaTheme="minorHAnsi" w:cstheme="minorHAnsi"/>
                <w:szCs w:val="20"/>
              </w:rPr>
              <w:t>eight</w:t>
            </w:r>
            <w:r w:rsidRPr="00616746">
              <w:rPr>
                <w:rFonts w:eastAsiaTheme="minorHAnsi" w:cstheme="minorHAnsi"/>
                <w:szCs w:val="20"/>
              </w:rPr>
              <w:t xml:space="preserve"> weeks. </w:t>
            </w:r>
          </w:p>
        </w:tc>
      </w:tr>
      <w:tr w:rsidR="00D30531" w:rsidRPr="00616746" w14:paraId="50F46390" w14:textId="77777777" w:rsidTr="00616746">
        <w:tc>
          <w:tcPr>
            <w:tcW w:w="898" w:type="pct"/>
          </w:tcPr>
          <w:p w14:paraId="6E9D2FDF" w14:textId="0B6D8F31" w:rsidR="00D30531" w:rsidRPr="00616746" w:rsidRDefault="00D30531" w:rsidP="001118E2">
            <w:pPr>
              <w:spacing w:after="0"/>
              <w:rPr>
                <w:rFonts w:eastAsiaTheme="minorHAnsi" w:cstheme="minorHAnsi"/>
                <w:szCs w:val="20"/>
              </w:rPr>
            </w:pPr>
            <w:r w:rsidRPr="00616746">
              <w:rPr>
                <w:rFonts w:eastAsiaTheme="minorHAnsi" w:cstheme="minorHAnsi"/>
                <w:szCs w:val="20"/>
              </w:rPr>
              <w:t>jobactive providers performance is not monitored</w:t>
            </w:r>
            <w:r w:rsidR="00A2354A">
              <w:rPr>
                <w:rFonts w:eastAsiaTheme="minorHAnsi" w:cstheme="minorHAnsi"/>
                <w:szCs w:val="20"/>
              </w:rPr>
              <w:t>.</w:t>
            </w:r>
          </w:p>
        </w:tc>
        <w:tc>
          <w:tcPr>
            <w:tcW w:w="4102" w:type="pct"/>
          </w:tcPr>
          <w:p w14:paraId="1F42639E" w14:textId="470F9781" w:rsidR="00D30531" w:rsidRPr="00616746" w:rsidRDefault="00D30531" w:rsidP="00A2354A">
            <w:pPr>
              <w:spacing w:after="0"/>
              <w:rPr>
                <w:rFonts w:eastAsiaTheme="minorHAnsi" w:cstheme="minorHAnsi"/>
                <w:szCs w:val="20"/>
              </w:rPr>
            </w:pPr>
            <w:r w:rsidRPr="00616746">
              <w:rPr>
                <w:rFonts w:eastAsiaTheme="minorHAnsi" w:cstheme="minorHAnsi"/>
                <w:szCs w:val="20"/>
              </w:rPr>
              <w:t xml:space="preserve">The </w:t>
            </w:r>
            <w:r w:rsidR="00A2354A">
              <w:rPr>
                <w:rFonts w:eastAsiaTheme="minorHAnsi" w:cstheme="minorHAnsi"/>
                <w:szCs w:val="20"/>
              </w:rPr>
              <w:t>department</w:t>
            </w:r>
            <w:r w:rsidRPr="00616746">
              <w:rPr>
                <w:rFonts w:eastAsiaTheme="minorHAnsi" w:cstheme="minorHAnsi"/>
                <w:szCs w:val="20"/>
              </w:rPr>
              <w:t xml:space="preserve"> monitors all employment servi</w:t>
            </w:r>
            <w:r w:rsidR="00A2354A">
              <w:rPr>
                <w:rFonts w:eastAsiaTheme="minorHAnsi" w:cstheme="minorHAnsi"/>
                <w:szCs w:val="20"/>
              </w:rPr>
              <w:t>ce providers’ performance. T</w:t>
            </w:r>
            <w:r w:rsidRPr="00616746">
              <w:rPr>
                <w:rFonts w:eastAsiaTheme="minorHAnsi" w:cstheme="minorHAnsi"/>
                <w:szCs w:val="20"/>
              </w:rPr>
              <w:t xml:space="preserve">hrough a system of </w:t>
            </w:r>
            <w:r w:rsidR="00A2354A" w:rsidRPr="00616746">
              <w:rPr>
                <w:rFonts w:eastAsiaTheme="minorHAnsi" w:cstheme="minorHAnsi"/>
                <w:szCs w:val="20"/>
              </w:rPr>
              <w:t>star ratings</w:t>
            </w:r>
            <w:r w:rsidR="00A2354A">
              <w:rPr>
                <w:rFonts w:eastAsiaTheme="minorHAnsi" w:cstheme="minorHAnsi"/>
                <w:szCs w:val="20"/>
              </w:rPr>
              <w:t xml:space="preserve">, the department </w:t>
            </w:r>
            <w:r w:rsidRPr="00616746">
              <w:rPr>
                <w:rFonts w:eastAsiaTheme="minorHAnsi" w:cstheme="minorHAnsi"/>
                <w:szCs w:val="20"/>
              </w:rPr>
              <w:t>monitors hi</w:t>
            </w:r>
            <w:r w:rsidR="00A2354A">
              <w:rPr>
                <w:rFonts w:eastAsiaTheme="minorHAnsi" w:cstheme="minorHAnsi"/>
                <w:szCs w:val="20"/>
              </w:rPr>
              <w:t>gh performers (5 </w:t>
            </w:r>
            <w:r w:rsidRPr="00616746">
              <w:rPr>
                <w:rFonts w:eastAsiaTheme="minorHAnsi" w:cstheme="minorHAnsi"/>
                <w:szCs w:val="20"/>
              </w:rPr>
              <w:t xml:space="preserve">star) for best practice and poorer performers (1-2 stars) for service reduction. Following a departmental review, underperforming sites (under 3 stars) can have their business share reduced or in extreme cases their contract terminated. </w:t>
            </w:r>
          </w:p>
        </w:tc>
      </w:tr>
      <w:tr w:rsidR="00D30531" w:rsidRPr="00616746" w14:paraId="3FBAD29B" w14:textId="77777777" w:rsidTr="00616746">
        <w:tc>
          <w:tcPr>
            <w:tcW w:w="898" w:type="pct"/>
          </w:tcPr>
          <w:p w14:paraId="4A9C69DF" w14:textId="3C33F985" w:rsidR="00D30531" w:rsidRPr="00616746" w:rsidRDefault="00D30531" w:rsidP="001118E2">
            <w:pPr>
              <w:spacing w:after="0"/>
              <w:rPr>
                <w:rFonts w:eastAsiaTheme="minorHAnsi" w:cstheme="minorHAnsi"/>
                <w:szCs w:val="20"/>
              </w:rPr>
            </w:pPr>
            <w:r w:rsidRPr="00616746">
              <w:rPr>
                <w:rFonts w:eastAsiaTheme="minorHAnsi" w:cstheme="minorHAnsi"/>
                <w:szCs w:val="20"/>
              </w:rPr>
              <w:t>jobactive providers get paid even if a job seeker does</w:t>
            </w:r>
            <w:r>
              <w:rPr>
                <w:rFonts w:eastAsiaTheme="minorHAnsi" w:cstheme="minorHAnsi"/>
                <w:szCs w:val="20"/>
              </w:rPr>
              <w:t xml:space="preserve"> not</w:t>
            </w:r>
            <w:r w:rsidRPr="00616746">
              <w:rPr>
                <w:rFonts w:eastAsiaTheme="minorHAnsi" w:cstheme="minorHAnsi"/>
                <w:szCs w:val="20"/>
              </w:rPr>
              <w:t xml:space="preserve"> get a job. </w:t>
            </w:r>
          </w:p>
        </w:tc>
        <w:tc>
          <w:tcPr>
            <w:tcW w:w="4102" w:type="pct"/>
          </w:tcPr>
          <w:p w14:paraId="6D9672B1" w14:textId="77777777"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Providers receive two main types of payment to deliver services, administration fees (which on their own are not designed to cover the cost of operating an employment services business) and outcome payments. Outcome payments are paid after a job seeker secures employment and are structured to reflect a job seekers’ length of unemployment, with higher fees payable for placing job seekers of higher disadvantage. Outcome payments form the majority of fees paid to providers. </w:t>
            </w:r>
          </w:p>
        </w:tc>
      </w:tr>
      <w:tr w:rsidR="00D30531" w:rsidRPr="00616746" w14:paraId="431AB55E" w14:textId="77777777" w:rsidTr="00616746">
        <w:tc>
          <w:tcPr>
            <w:tcW w:w="898" w:type="pct"/>
          </w:tcPr>
          <w:p w14:paraId="7D2E6A22" w14:textId="4F899441"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Providers put forward candidates that </w:t>
            </w:r>
            <w:r w:rsidR="00A2354A">
              <w:rPr>
                <w:rFonts w:eastAsiaTheme="minorHAnsi" w:cstheme="minorHAnsi"/>
                <w:szCs w:val="20"/>
              </w:rPr>
              <w:t>are not a good fit for the role.</w:t>
            </w:r>
          </w:p>
        </w:tc>
        <w:tc>
          <w:tcPr>
            <w:tcW w:w="4102" w:type="pct"/>
          </w:tcPr>
          <w:p w14:paraId="78AA94C8" w14:textId="77777777" w:rsidR="00D30531" w:rsidRPr="00616746" w:rsidRDefault="00D30531" w:rsidP="001118E2">
            <w:pPr>
              <w:spacing w:after="0"/>
              <w:rPr>
                <w:rFonts w:eastAsiaTheme="minorHAnsi" w:cstheme="minorHAnsi"/>
                <w:szCs w:val="20"/>
              </w:rPr>
            </w:pPr>
            <w:r w:rsidRPr="00616746">
              <w:rPr>
                <w:rFonts w:eastAsiaTheme="minorHAnsi" w:cstheme="minorHAnsi"/>
                <w:szCs w:val="20"/>
              </w:rPr>
              <w:t xml:space="preserve">The current payment model pays providers more for placing disadvantaged job seekers. This gives a financial incentive to providers to send employers more disadvantaged job seekers. There is a risk this may lead some employers to conclude that jobactive providers do not always supply candidates that are the right fit to fill their vacancies. </w:t>
            </w:r>
          </w:p>
        </w:tc>
      </w:tr>
    </w:tbl>
    <w:p w14:paraId="63E6C469" w14:textId="77777777" w:rsidR="00D30531" w:rsidRDefault="00D30531" w:rsidP="00EE2BFB">
      <w:pPr>
        <w:rPr>
          <w:rFonts w:ascii="Calibri" w:eastAsiaTheme="majorEastAsia" w:hAnsi="Calibri" w:cstheme="majorBidi"/>
          <w:color w:val="1E3D6B"/>
          <w:sz w:val="36"/>
          <w:szCs w:val="28"/>
        </w:rPr>
      </w:pPr>
      <w:r>
        <w:lastRenderedPageBreak/>
        <w:br w:type="page"/>
      </w:r>
    </w:p>
    <w:p w14:paraId="2709E1AA" w14:textId="4AE0B013" w:rsidR="00D30531" w:rsidRDefault="00D30531" w:rsidP="00D00151">
      <w:pPr>
        <w:pStyle w:val="Heading1"/>
        <w:rPr>
          <w:rStyle w:val="BodyChar"/>
          <w:b w:val="0"/>
          <w:color w:val="auto"/>
          <w:sz w:val="22"/>
          <w:szCs w:val="22"/>
        </w:rPr>
      </w:pPr>
      <w:bookmarkStart w:id="20" w:name="_Toc518050082"/>
      <w:r w:rsidRPr="00677F7C">
        <w:lastRenderedPageBreak/>
        <w:t xml:space="preserve">Appendix </w:t>
      </w:r>
      <w:r w:rsidR="000419C7">
        <w:t>E:</w:t>
      </w:r>
      <w:r w:rsidR="00160E59">
        <w:br/>
      </w:r>
      <w:r w:rsidR="00087A17">
        <w:t>jobactive</w:t>
      </w:r>
      <w:r>
        <w:t xml:space="preserve"> caseload data</w:t>
      </w:r>
      <w:r>
        <w:rPr>
          <w:rStyle w:val="EndnoteReference"/>
        </w:rPr>
        <w:endnoteReference w:id="3"/>
      </w:r>
      <w:bookmarkEnd w:id="20"/>
    </w:p>
    <w:p w14:paraId="7491E52E" w14:textId="77777777" w:rsidR="00D30531" w:rsidRDefault="00D30531" w:rsidP="00160E59">
      <w:r>
        <w:t>Between 1 July 2015 and May 2018</w:t>
      </w:r>
      <w:r w:rsidRPr="002D18A1">
        <w:t xml:space="preserve">, </w:t>
      </w:r>
      <w:r>
        <w:t>over 2.0</w:t>
      </w:r>
      <w:r w:rsidRPr="002D18A1">
        <w:t xml:space="preserve"> million unique job </w:t>
      </w:r>
      <w:r>
        <w:t>seekers have utilised jobactive, with 673,780 people on the caseload as at 31 May 2018.</w:t>
      </w:r>
    </w:p>
    <w:p w14:paraId="1C120D99" w14:textId="77777777" w:rsidR="00D30531" w:rsidRDefault="00D30531" w:rsidP="00160E59">
      <w:r>
        <w:t>jobactive is delivered across Australia, with 35.2 per cent of the caseload located outside capital cities.</w:t>
      </w:r>
    </w:p>
    <w:p w14:paraId="7BA07208" w14:textId="77777777" w:rsidR="00D30531" w:rsidRPr="005C59F5" w:rsidRDefault="00D30531" w:rsidP="00160E59">
      <w:pPr>
        <w:pStyle w:val="ChartandTabletitle"/>
        <w:rPr>
          <w:rStyle w:val="Strong"/>
          <w:rFonts w:cstheme="minorHAnsi"/>
          <w:b w:val="0"/>
          <w:u w:val="single"/>
        </w:rPr>
      </w:pPr>
      <w:r w:rsidRPr="005C59F5">
        <w:rPr>
          <w:rStyle w:val="Strong"/>
          <w:rFonts w:cstheme="minorHAnsi"/>
          <w:b w:val="0"/>
          <w:u w:val="single"/>
        </w:rPr>
        <w:t>Key stat</w:t>
      </w:r>
      <w:r>
        <w:rPr>
          <w:rStyle w:val="Strong"/>
          <w:rFonts w:cstheme="minorHAnsi"/>
          <w:b w:val="0"/>
          <w:u w:val="single"/>
        </w:rPr>
        <w:t>i</w:t>
      </w:r>
      <w:r w:rsidRPr="005C59F5">
        <w:rPr>
          <w:rStyle w:val="Strong"/>
          <w:rFonts w:cstheme="minorHAnsi"/>
          <w:b w:val="0"/>
          <w:u w:val="single"/>
        </w:rPr>
        <w:t>s</w:t>
      </w:r>
      <w:r>
        <w:rPr>
          <w:rStyle w:val="Strong"/>
          <w:rFonts w:cstheme="minorHAnsi"/>
          <w:b w:val="0"/>
          <w:u w:val="single"/>
        </w:rPr>
        <w:t>tics</w:t>
      </w:r>
      <w:r w:rsidRPr="005C59F5">
        <w:rPr>
          <w:rStyle w:val="Strong"/>
          <w:rFonts w:cstheme="minorHAnsi"/>
          <w:b w:val="0"/>
          <w:u w:val="single"/>
        </w:rPr>
        <w:t xml:space="preserve"> as at 31 May 2018</w:t>
      </w:r>
    </w:p>
    <w:p w14:paraId="554399BC" w14:textId="77777777" w:rsidR="00D30531" w:rsidRDefault="00D30531" w:rsidP="00EF1C1A">
      <w:pPr>
        <w:spacing w:after="0"/>
        <w:rPr>
          <w:b/>
        </w:rPr>
      </w:pPr>
      <w:r w:rsidRPr="00AB3413">
        <w:rPr>
          <w:rFonts w:cstheme="minorHAnsi"/>
          <w:noProof/>
          <w:lang w:eastAsia="en-AU"/>
        </w:rPr>
        <w:drawing>
          <wp:inline distT="0" distB="0" distL="0" distR="0" wp14:anchorId="5A48016F" wp14:editId="05AED36D">
            <wp:extent cx="3800475" cy="681990"/>
            <wp:effectExtent l="0" t="38100" r="9525" b="3810"/>
            <wp:docPr id="22" name="Diagram 22" descr="Graphic illustrating key statistics for the jobactive program. Current caseload: 673,780, Stream A: 39.2%, Stream B: 42.9%, Stream C: 16.4%&#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AB3413">
        <w:rPr>
          <w:rFonts w:cstheme="minorHAnsi"/>
          <w:noProof/>
          <w:lang w:eastAsia="en-AU"/>
        </w:rPr>
        <w:drawing>
          <wp:inline distT="0" distB="0" distL="0" distR="0" wp14:anchorId="2026610C" wp14:editId="1EF1B5EC">
            <wp:extent cx="1990725" cy="678180"/>
            <wp:effectExtent l="0" t="0" r="9525" b="7620"/>
            <wp:docPr id="29" name="Diagram 29" descr=" Female: 51.1%, Regional: 3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D6DB2D1" w14:textId="749B077F" w:rsidR="00D30531" w:rsidRDefault="00D30531" w:rsidP="003C7BDF">
      <w:pPr>
        <w:spacing w:before="240" w:after="0"/>
        <w:rPr>
          <w:rStyle w:val="Strong"/>
          <w:rFonts w:cstheme="minorHAnsi"/>
          <w:b w:val="0"/>
        </w:rPr>
      </w:pPr>
      <w:r w:rsidRPr="002D18A1">
        <w:rPr>
          <w:rStyle w:val="Strong"/>
          <w:rFonts w:cstheme="minorHAnsi"/>
          <w:b w:val="0"/>
        </w:rPr>
        <w:t xml:space="preserve">Employment services cater for a diverse range of job seekers with differing needs. For example, 27.1 per cent </w:t>
      </w:r>
      <w:r>
        <w:rPr>
          <w:rStyle w:val="Strong"/>
          <w:rFonts w:cstheme="minorHAnsi"/>
          <w:b w:val="0"/>
        </w:rPr>
        <w:t xml:space="preserve">(or 182,760) </w:t>
      </w:r>
      <w:r w:rsidRPr="002D18A1">
        <w:rPr>
          <w:rStyle w:val="Strong"/>
          <w:rFonts w:cstheme="minorHAnsi"/>
          <w:b w:val="0"/>
        </w:rPr>
        <w:t>of job seekers identify as having a disability, 10.9 per cent</w:t>
      </w:r>
      <w:r>
        <w:rPr>
          <w:rStyle w:val="Strong"/>
          <w:rFonts w:cstheme="minorHAnsi"/>
          <w:b w:val="0"/>
        </w:rPr>
        <w:t xml:space="preserve"> (73,400) are Indigenous and 8.3 </w:t>
      </w:r>
      <w:r w:rsidRPr="002D18A1">
        <w:rPr>
          <w:rStyle w:val="Strong"/>
          <w:rFonts w:cstheme="minorHAnsi"/>
          <w:b w:val="0"/>
        </w:rPr>
        <w:t xml:space="preserve">per cent </w:t>
      </w:r>
      <w:r>
        <w:rPr>
          <w:rStyle w:val="Strong"/>
          <w:rFonts w:cstheme="minorHAnsi"/>
          <w:b w:val="0"/>
        </w:rPr>
        <w:t xml:space="preserve">(55,750) </w:t>
      </w:r>
      <w:r w:rsidRPr="002D18A1">
        <w:rPr>
          <w:rStyle w:val="Strong"/>
          <w:rFonts w:cstheme="minorHAnsi"/>
          <w:b w:val="0"/>
        </w:rPr>
        <w:t xml:space="preserve">disclose having challenges with drugs and alcohol (see figure </w:t>
      </w:r>
      <w:r>
        <w:rPr>
          <w:rStyle w:val="Strong"/>
          <w:rFonts w:cstheme="minorHAnsi"/>
          <w:b w:val="0"/>
        </w:rPr>
        <w:t>E.</w:t>
      </w:r>
      <w:r w:rsidRPr="002D18A1">
        <w:rPr>
          <w:rStyle w:val="Strong"/>
          <w:rFonts w:cstheme="minorHAnsi"/>
          <w:b w:val="0"/>
        </w:rPr>
        <w:t>1).</w:t>
      </w:r>
      <w:r>
        <w:rPr>
          <w:rStyle w:val="Strong"/>
          <w:rFonts w:cstheme="minorHAnsi"/>
          <w:b w:val="0"/>
        </w:rPr>
        <w:t xml:space="preserve"> Over 186,000 job seekers (or 27.6 per cent) on</w:t>
      </w:r>
      <w:r w:rsidRPr="002D18A1">
        <w:rPr>
          <w:rStyle w:val="Strong"/>
          <w:rFonts w:cstheme="minorHAnsi"/>
          <w:b w:val="0"/>
        </w:rPr>
        <w:t xml:space="preserve"> the caseload are aged 50 years or over, while </w:t>
      </w:r>
      <w:r>
        <w:rPr>
          <w:rStyle w:val="Strong"/>
          <w:rFonts w:cstheme="minorHAnsi"/>
          <w:b w:val="0"/>
        </w:rPr>
        <w:t>126,170 (</w:t>
      </w:r>
      <w:r w:rsidRPr="002D18A1">
        <w:rPr>
          <w:rStyle w:val="Strong"/>
          <w:rFonts w:cstheme="minorHAnsi"/>
          <w:b w:val="0"/>
        </w:rPr>
        <w:t>18.7 per cent</w:t>
      </w:r>
      <w:r>
        <w:rPr>
          <w:rStyle w:val="Strong"/>
          <w:rFonts w:cstheme="minorHAnsi"/>
          <w:b w:val="0"/>
        </w:rPr>
        <w:t xml:space="preserve">) are </w:t>
      </w:r>
      <w:r w:rsidR="00087A17">
        <w:rPr>
          <w:rStyle w:val="Strong"/>
          <w:rFonts w:cstheme="minorHAnsi"/>
          <w:b w:val="0"/>
        </w:rPr>
        <w:t>young people</w:t>
      </w:r>
      <w:r>
        <w:rPr>
          <w:rStyle w:val="Strong"/>
          <w:rFonts w:cstheme="minorHAnsi"/>
          <w:b w:val="0"/>
        </w:rPr>
        <w:t xml:space="preserve"> (24 </w:t>
      </w:r>
      <w:r w:rsidRPr="002D18A1">
        <w:rPr>
          <w:rStyle w:val="Strong"/>
          <w:rFonts w:cstheme="minorHAnsi"/>
          <w:b w:val="0"/>
        </w:rPr>
        <w:t xml:space="preserve">years and under). </w:t>
      </w:r>
    </w:p>
    <w:p w14:paraId="1471B686" w14:textId="6697002D" w:rsidR="00D30531" w:rsidRPr="002D18A1" w:rsidRDefault="00D30531" w:rsidP="00160E59">
      <w:pPr>
        <w:pStyle w:val="ChartandTabletitle"/>
        <w:rPr>
          <w:rStyle w:val="Strong"/>
          <w:rFonts w:cstheme="minorHAnsi"/>
          <w:b w:val="0"/>
          <w:u w:val="single"/>
        </w:rPr>
      </w:pPr>
      <w:r w:rsidRPr="002D18A1">
        <w:rPr>
          <w:rStyle w:val="Strong"/>
          <w:rFonts w:cstheme="minorHAnsi"/>
          <w:b w:val="0"/>
          <w:u w:val="single"/>
        </w:rPr>
        <w:t xml:space="preserve">Figure </w:t>
      </w:r>
      <w:r>
        <w:rPr>
          <w:rStyle w:val="Strong"/>
          <w:rFonts w:cstheme="minorHAnsi"/>
          <w:b w:val="0"/>
          <w:u w:val="single"/>
        </w:rPr>
        <w:t>E.</w:t>
      </w:r>
      <w:r w:rsidRPr="002D18A1">
        <w:rPr>
          <w:rStyle w:val="Strong"/>
          <w:rFonts w:cstheme="minorHAnsi"/>
          <w:b w:val="0"/>
          <w:u w:val="single"/>
        </w:rPr>
        <w:t xml:space="preserve">1: Current caseload by selected </w:t>
      </w:r>
      <w:r>
        <w:rPr>
          <w:rStyle w:val="Strong"/>
          <w:rFonts w:cstheme="minorHAnsi"/>
          <w:b w:val="0"/>
          <w:u w:val="single"/>
        </w:rPr>
        <w:t>cohorts</w:t>
      </w:r>
      <w:r w:rsidRPr="002D18A1">
        <w:rPr>
          <w:rStyle w:val="Strong"/>
          <w:rFonts w:cstheme="minorHAnsi"/>
          <w:b w:val="0"/>
          <w:u w:val="single"/>
        </w:rPr>
        <w:t xml:space="preserve">, </w:t>
      </w:r>
      <w:r>
        <w:rPr>
          <w:rStyle w:val="Strong"/>
          <w:rFonts w:cstheme="minorHAnsi"/>
          <w:b w:val="0"/>
          <w:u w:val="single"/>
        </w:rPr>
        <w:t xml:space="preserve">31 </w:t>
      </w:r>
      <w:r w:rsidRPr="002D18A1">
        <w:rPr>
          <w:rStyle w:val="Strong"/>
          <w:rFonts w:cstheme="minorHAnsi"/>
          <w:b w:val="0"/>
          <w:u w:val="single"/>
        </w:rPr>
        <w:t>May 2018</w:t>
      </w:r>
    </w:p>
    <w:p w14:paraId="6973E7CD" w14:textId="4943199C" w:rsidR="00D30531" w:rsidRPr="0072397C" w:rsidRDefault="00160E59" w:rsidP="00CA7678">
      <w:pPr>
        <w:pStyle w:val="ChartandTabletitle"/>
        <w:rPr>
          <w:rStyle w:val="Strong"/>
          <w:b w:val="0"/>
        </w:rPr>
      </w:pPr>
      <w:r w:rsidRPr="0072397C">
        <w:rPr>
          <w:noProof/>
          <w:lang w:eastAsia="en-AU"/>
        </w:rPr>
        <w:drawing>
          <wp:inline distT="0" distB="0" distL="0" distR="0" wp14:anchorId="2E3A3F41" wp14:editId="552B2BEF">
            <wp:extent cx="5615940" cy="3024000"/>
            <wp:effectExtent l="0" t="0" r="3810" b="5080"/>
            <wp:docPr id="1" name="Chart 1" descr="Graph showing the proportion of people registered with jobactive from key client groups as at 31 May 2018, as described in the previous paragraph. The proportions range for 27.1 per cent for people with disability to less than 1 per cent for pre-release prisoners. " title="Current caseload - bar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6E6EF7" w14:textId="77777777" w:rsidR="0097700A" w:rsidRDefault="00D30531" w:rsidP="0097700A">
      <w:pPr>
        <w:pStyle w:val="Chartreference"/>
      </w:pPr>
      <w:r w:rsidRPr="002D18A1">
        <w:t>Job seekers can be recorded against multiple cohorts. For example, a job seeker can be both indigenous and a parent.</w:t>
      </w:r>
    </w:p>
    <w:p w14:paraId="19432766" w14:textId="5D1A723C" w:rsidR="0072397C" w:rsidRPr="002D18A1" w:rsidRDefault="00D30531" w:rsidP="00193994">
      <w:pPr>
        <w:pStyle w:val="Chartandtableheader"/>
      </w:pPr>
      <w:r w:rsidRPr="00193994">
        <w:lastRenderedPageBreak/>
        <w:t>Figure E.2: Age composition of caseload</w:t>
      </w:r>
      <w:r w:rsidR="0072397C">
        <w:rPr>
          <w:noProof/>
          <w:lang w:eastAsia="en-AU"/>
        </w:rPr>
        <w:drawing>
          <wp:inline distT="0" distB="0" distL="0" distR="0" wp14:anchorId="430E458C" wp14:editId="30A76C72">
            <wp:extent cx="5645700" cy="1188000"/>
            <wp:effectExtent l="0" t="0" r="0" b="0"/>
            <wp:docPr id="34" name="Chart 34" descr="Graph illustrating the proportion of people from different age groups in jobactive as at 31 May 2018. The graphic shows that people aged 40 to 49 years of age are the largest age group, representing 22.0 per cent of people in jobactive. People aged 60 years and over are the smallest age group, representing 10.7 per cent of people in jobactive. 18.7 per cent of people in jobactive are under 24 years of 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A4E3E0" w14:textId="77777777" w:rsidR="00D30531" w:rsidRPr="00EF1C1A" w:rsidRDefault="00D30531" w:rsidP="006966DA">
      <w:pPr>
        <w:pStyle w:val="Heading2"/>
        <w:rPr>
          <w:rStyle w:val="Strong"/>
          <w:b/>
          <w:sz w:val="24"/>
        </w:rPr>
      </w:pPr>
      <w:r w:rsidRPr="00EF1C1A">
        <w:rPr>
          <w:rStyle w:val="Strong"/>
          <w:b/>
          <w:sz w:val="24"/>
        </w:rPr>
        <w:t>Duration of unemployment</w:t>
      </w:r>
      <w:r w:rsidRPr="00EF1C1A">
        <w:rPr>
          <w:rStyle w:val="EndnoteReference"/>
          <w:sz w:val="24"/>
        </w:rPr>
        <w:endnoteReference w:id="4"/>
      </w:r>
    </w:p>
    <w:p w14:paraId="4CC6DED7" w14:textId="47E7DBC9" w:rsidR="00D30531" w:rsidRDefault="00D30531" w:rsidP="00EF1C1A">
      <w:pPr>
        <w:rPr>
          <w:rFonts w:cstheme="minorHAnsi"/>
        </w:rPr>
      </w:pPr>
      <w:r w:rsidRPr="002D18A1">
        <w:rPr>
          <w:rFonts w:cstheme="minorHAnsi"/>
        </w:rPr>
        <w:t xml:space="preserve">Duration of unemployment refers to the length of time a job seeker has </w:t>
      </w:r>
      <w:r>
        <w:rPr>
          <w:rFonts w:cstheme="minorHAnsi"/>
        </w:rPr>
        <w:t>been registered for employment services</w:t>
      </w:r>
      <w:r>
        <w:rPr>
          <w:rStyle w:val="EndnoteReference"/>
          <w:rFonts w:cstheme="minorHAnsi"/>
        </w:rPr>
        <w:endnoteReference w:id="5"/>
      </w:r>
      <w:r w:rsidRPr="002D18A1">
        <w:rPr>
          <w:rFonts w:cstheme="minorHAnsi"/>
        </w:rPr>
        <w:t xml:space="preserve">. As at 31 May 2018, almost two thirds of the caseload were long-term unemployed (LTU), that is, </w:t>
      </w:r>
      <w:r>
        <w:rPr>
          <w:rFonts w:cstheme="minorHAnsi"/>
        </w:rPr>
        <w:t>registered for</w:t>
      </w:r>
      <w:r w:rsidRPr="002D18A1">
        <w:rPr>
          <w:rFonts w:cstheme="minorHAnsi"/>
        </w:rPr>
        <w:t xml:space="preserve"> at least 12 months. </w:t>
      </w:r>
      <w:r>
        <w:rPr>
          <w:rFonts w:cstheme="minorHAnsi"/>
        </w:rPr>
        <w:t>A</w:t>
      </w:r>
      <w:r w:rsidRPr="002D18A1">
        <w:rPr>
          <w:rFonts w:cstheme="minorHAnsi"/>
        </w:rPr>
        <w:t xml:space="preserve">round one in five job seekers have been on the caseload for over five years (see figure </w:t>
      </w:r>
      <w:r>
        <w:rPr>
          <w:rFonts w:cstheme="minorHAnsi"/>
        </w:rPr>
        <w:t>E.</w:t>
      </w:r>
      <w:r w:rsidRPr="002D18A1">
        <w:rPr>
          <w:rFonts w:cstheme="minorHAnsi"/>
        </w:rPr>
        <w:t>3).</w:t>
      </w:r>
    </w:p>
    <w:p w14:paraId="045FCF7A" w14:textId="71BF0320" w:rsidR="00D30531" w:rsidRPr="00193994" w:rsidRDefault="00D30531" w:rsidP="00193994">
      <w:pPr>
        <w:pStyle w:val="Chartandtableheader"/>
      </w:pPr>
      <w:r w:rsidRPr="00193994">
        <w:rPr>
          <w:rStyle w:val="Strong"/>
          <w:b w:val="0"/>
        </w:rPr>
        <w:t>Figure E.3: Caseload by duration of unemployment</w:t>
      </w:r>
    </w:p>
    <w:p w14:paraId="6AA727FA" w14:textId="06430EE9" w:rsidR="00D30531" w:rsidRDefault="0072397C" w:rsidP="00EF1C1A">
      <w:pPr>
        <w:rPr>
          <w:rFonts w:cstheme="minorHAnsi"/>
        </w:rPr>
      </w:pPr>
      <w:r>
        <w:rPr>
          <w:noProof/>
          <w:lang w:eastAsia="en-AU"/>
        </w:rPr>
        <w:drawing>
          <wp:inline distT="0" distB="0" distL="0" distR="0" wp14:anchorId="559FBADD" wp14:editId="4709E008">
            <wp:extent cx="5683800" cy="1188000"/>
            <wp:effectExtent l="0" t="0" r="0" b="0"/>
            <wp:docPr id="32" name="Chart 32" descr="Graph illustrating the proportion of job seekers who were registered for employment services for different lengths of time as at 31 May 2018, as summarised in the previous paragraph. Under 12 months is the largest proportion, representing 35.1 per cent of job seekers. 60 months or more is the smallest proportion, representing 19.1 per cent of job seek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9B5858D" w14:textId="77777777" w:rsidR="00D30531" w:rsidRPr="0079731C" w:rsidRDefault="00D30531" w:rsidP="00EF1C1A">
      <w:pPr>
        <w:rPr>
          <w:rFonts w:cstheme="minorHAnsi"/>
        </w:rPr>
      </w:pPr>
      <w:r w:rsidRPr="0079731C">
        <w:rPr>
          <w:rFonts w:cstheme="minorHAnsi"/>
        </w:rPr>
        <w:t xml:space="preserve">Reflecting the relative disadvantage of Stream C, 97,890 (or 88.4 per cent) of job seekers in this stream have been in employment services for over 12 months. Of these, 48,960 (or 44.2 per cent of all Stream C job seekers) have been in employment services for over five years. </w:t>
      </w:r>
    </w:p>
    <w:p w14:paraId="33D142FF" w14:textId="4B93A30C" w:rsidR="00D30531" w:rsidRPr="00193994" w:rsidRDefault="00D30531" w:rsidP="00193994">
      <w:pPr>
        <w:pStyle w:val="Chartandtableheader"/>
        <w:rPr>
          <w:rStyle w:val="Strong"/>
          <w:b w:val="0"/>
        </w:rPr>
      </w:pPr>
      <w:r w:rsidRPr="00193994">
        <w:rPr>
          <w:rStyle w:val="Strong"/>
          <w:b w:val="0"/>
        </w:rPr>
        <w:t xml:space="preserve">Figure </w:t>
      </w:r>
      <w:r w:rsidR="00087A17" w:rsidRPr="00193994">
        <w:rPr>
          <w:rStyle w:val="Strong"/>
          <w:b w:val="0"/>
        </w:rPr>
        <w:t>E</w:t>
      </w:r>
      <w:r w:rsidRPr="00193994">
        <w:rPr>
          <w:rStyle w:val="Strong"/>
          <w:b w:val="0"/>
        </w:rPr>
        <w:t xml:space="preserve">.4: Share of stream that is </w:t>
      </w:r>
      <w:r w:rsidR="00913B37" w:rsidRPr="00193994">
        <w:rPr>
          <w:rStyle w:val="Strong"/>
          <w:b w:val="0"/>
        </w:rPr>
        <w:t>LTU</w:t>
      </w:r>
    </w:p>
    <w:p w14:paraId="7E040321" w14:textId="77777777" w:rsidR="00D30531" w:rsidRDefault="00D30531" w:rsidP="0072397C">
      <w:pPr>
        <w:pStyle w:val="Chart"/>
        <w:rPr>
          <w:rFonts w:cstheme="minorHAnsi"/>
        </w:rPr>
      </w:pPr>
      <w:r>
        <w:drawing>
          <wp:inline distT="0" distB="0" distL="0" distR="0" wp14:anchorId="77CD9B1D" wp14:editId="3E522AAC">
            <wp:extent cx="5686425" cy="2520000"/>
            <wp:effectExtent l="0" t="0" r="0" b="0"/>
            <wp:docPr id="33" name="Chart 33" descr="Graph illustrating the proportion of job seekers in each stream of assistance in jobactive who were long-term unemployed as at 31 May 2018. 40.2 per cent of Stream A job seekers were long term unemployed, 80.1 per cent of Stream B job seekers were long-term unemployed and 88.4 per cent of Stream C job seekers were long-term unemploy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F908AA" w14:textId="6782E599" w:rsidR="00D30531" w:rsidRPr="00EA595F" w:rsidRDefault="00D30531" w:rsidP="00EF1C1A">
      <w:pPr>
        <w:rPr>
          <w:rFonts w:cstheme="minorHAnsi"/>
          <w:highlight w:val="yellow"/>
        </w:rPr>
      </w:pPr>
      <w:r>
        <w:rPr>
          <w:rFonts w:cstheme="minorHAnsi"/>
        </w:rPr>
        <w:t xml:space="preserve">While the proportion of the caseload that is long-term unemployed </w:t>
      </w:r>
      <w:r w:rsidR="00087A17">
        <w:rPr>
          <w:rFonts w:cstheme="minorHAnsi"/>
        </w:rPr>
        <w:t>has risen over the year (up by</w:t>
      </w:r>
      <w:r w:rsidRPr="00DC1FDC">
        <w:rPr>
          <w:rFonts w:cstheme="minorHAnsi"/>
        </w:rPr>
        <w:t xml:space="preserve"> 2.9 percentage points to 64.9 per cent</w:t>
      </w:r>
      <w:r w:rsidR="00087A17">
        <w:rPr>
          <w:rFonts w:cstheme="minorHAnsi"/>
        </w:rPr>
        <w:t xml:space="preserve"> in May 2018)</w:t>
      </w:r>
      <w:r>
        <w:rPr>
          <w:rFonts w:cstheme="minorHAnsi"/>
        </w:rPr>
        <w:t xml:space="preserve">, the number of </w:t>
      </w:r>
      <w:r w:rsidR="00087A17">
        <w:rPr>
          <w:rFonts w:cstheme="minorHAnsi"/>
        </w:rPr>
        <w:t>LTU</w:t>
      </w:r>
      <w:r w:rsidRPr="00DC1FDC">
        <w:rPr>
          <w:rFonts w:cstheme="minorHAnsi"/>
        </w:rPr>
        <w:t xml:space="preserve"> has fallen</w:t>
      </w:r>
      <w:r>
        <w:rPr>
          <w:rFonts w:cstheme="minorHAnsi"/>
        </w:rPr>
        <w:t xml:space="preserve"> over the period</w:t>
      </w:r>
      <w:r w:rsidRPr="00DC1FDC">
        <w:rPr>
          <w:rFonts w:cstheme="minorHAnsi"/>
        </w:rPr>
        <w:t xml:space="preserve"> (down by 16,870 or 3.7 per cent)</w:t>
      </w:r>
      <w:r>
        <w:rPr>
          <w:rFonts w:cstheme="minorHAnsi"/>
        </w:rPr>
        <w:t xml:space="preserve">. This is likely due </w:t>
      </w:r>
      <w:r w:rsidRPr="00DC1FDC">
        <w:rPr>
          <w:rFonts w:cstheme="minorHAnsi"/>
        </w:rPr>
        <w:t>to those job seekers who are short-term unemployed (less than 12 months) moving off the caseload at a faster rate than those who are LTU</w:t>
      </w:r>
      <w:r w:rsidRPr="00973ED4">
        <w:rPr>
          <w:rFonts w:cstheme="minorHAnsi"/>
        </w:rPr>
        <w:t xml:space="preserve">. Indeed, the number of short-term unemployed decreased by 65,370 (or 8.8 per cent) over the year to May 2018, significantly larger than the fall for </w:t>
      </w:r>
      <w:r w:rsidR="00087A17">
        <w:rPr>
          <w:rFonts w:cstheme="minorHAnsi"/>
        </w:rPr>
        <w:t>LTU</w:t>
      </w:r>
      <w:r w:rsidRPr="00973ED4">
        <w:rPr>
          <w:rFonts w:cstheme="minorHAnsi"/>
        </w:rPr>
        <w:t xml:space="preserve">. </w:t>
      </w:r>
    </w:p>
    <w:p w14:paraId="3ECE4F61" w14:textId="25A90564" w:rsidR="00D30531" w:rsidRPr="002D18A1" w:rsidRDefault="00D30531" w:rsidP="0016569D">
      <w:pPr>
        <w:pStyle w:val="Chartandtableheader"/>
      </w:pPr>
      <w:r w:rsidRPr="00B131A9">
        <w:lastRenderedPageBreak/>
        <w:t xml:space="preserve">Figure </w:t>
      </w:r>
      <w:r>
        <w:t>E.5</w:t>
      </w:r>
      <w:r w:rsidRPr="00B131A9">
        <w:t>: Number of long-term unemployed and share of the caseload, July 2015 to May 2018</w:t>
      </w:r>
    </w:p>
    <w:p w14:paraId="0BC80C31" w14:textId="77777777" w:rsidR="00D30531" w:rsidRPr="002D18A1" w:rsidRDefault="00D30531" w:rsidP="00EF1C1A">
      <w:pPr>
        <w:rPr>
          <w:rFonts w:cstheme="minorHAnsi"/>
        </w:rPr>
      </w:pPr>
      <w:r>
        <w:rPr>
          <w:noProof/>
          <w:lang w:eastAsia="en-AU"/>
        </w:rPr>
        <w:drawing>
          <wp:inline distT="0" distB="0" distL="0" distR="0" wp14:anchorId="043011BD" wp14:editId="77CEBA62">
            <wp:extent cx="5688000" cy="2592000"/>
            <wp:effectExtent l="0" t="0" r="8255" b="0"/>
            <wp:docPr id="40" name="Chart 40" descr="Graph illustrating the trends described in the previous paragraph in the number of long-term unemployed job seekers in jobactive for each month between July 2015 and May 2018 and the corresponding proportion of all job seekers in jobactive this represents." title="bar and lin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4886003" w14:textId="68917B90" w:rsidR="00D30531" w:rsidRPr="002D18A1" w:rsidRDefault="00D30531" w:rsidP="00EF1C1A">
      <w:pPr>
        <w:rPr>
          <w:rFonts w:cstheme="minorHAnsi"/>
        </w:rPr>
      </w:pPr>
      <w:r w:rsidRPr="002D18A1">
        <w:rPr>
          <w:rFonts w:cstheme="minorHAnsi"/>
        </w:rPr>
        <w:t xml:space="preserve">It is important to note that </w:t>
      </w:r>
      <w:r>
        <w:rPr>
          <w:rFonts w:cstheme="minorHAnsi"/>
        </w:rPr>
        <w:t xml:space="preserve">a person can be working part-time or casually while in receipt of income support. This means that a person on the caseload can be counted as </w:t>
      </w:r>
      <w:r w:rsidR="00087A17">
        <w:rPr>
          <w:rFonts w:cstheme="minorHAnsi"/>
        </w:rPr>
        <w:t>LTU</w:t>
      </w:r>
      <w:r>
        <w:rPr>
          <w:rFonts w:cstheme="minorHAnsi"/>
        </w:rPr>
        <w:t xml:space="preserve"> despite having s</w:t>
      </w:r>
      <w:r w:rsidR="000255DC">
        <w:rPr>
          <w:rFonts w:cstheme="minorHAnsi"/>
        </w:rPr>
        <w:t>ome employment. To illustrate, i</w:t>
      </w:r>
      <w:r>
        <w:rPr>
          <w:rFonts w:cstheme="minorHAnsi"/>
        </w:rPr>
        <w:t>n 2016-17</w:t>
      </w:r>
      <w:r w:rsidRPr="002D18A1">
        <w:rPr>
          <w:rFonts w:cstheme="minorHAnsi"/>
        </w:rPr>
        <w:t xml:space="preserve">, an average of 29.6 per cent of people on the caseload declared earnings. </w:t>
      </w:r>
      <w:r>
        <w:rPr>
          <w:rFonts w:cstheme="minorHAnsi"/>
        </w:rPr>
        <w:t xml:space="preserve">The propensity to have declared earnings falls as duration on the caseload increases. </w:t>
      </w:r>
    </w:p>
    <w:p w14:paraId="4ED80D02" w14:textId="0A7225B0" w:rsidR="00D30531" w:rsidRPr="002D18A1" w:rsidRDefault="00D30531" w:rsidP="0016569D">
      <w:pPr>
        <w:pStyle w:val="Chartandtableheader"/>
      </w:pPr>
      <w:r w:rsidRPr="002D18A1">
        <w:t xml:space="preserve">Figure </w:t>
      </w:r>
      <w:r>
        <w:t>E.6</w:t>
      </w:r>
      <w:r w:rsidRPr="002D18A1">
        <w:t>: Proportion of the jobactive caseload with declared earnings, by duration (average for 2016</w:t>
      </w:r>
      <w:r>
        <w:noBreakHyphen/>
      </w:r>
      <w:r w:rsidRPr="002D18A1">
        <w:t>17)</w:t>
      </w:r>
    </w:p>
    <w:p w14:paraId="5177EF3A" w14:textId="77777777" w:rsidR="00D30531" w:rsidRPr="002D18A1" w:rsidRDefault="00D30531" w:rsidP="0072397C">
      <w:pPr>
        <w:pStyle w:val="Chart"/>
      </w:pPr>
      <w:r w:rsidRPr="002D18A1">
        <w:drawing>
          <wp:inline distT="0" distB="0" distL="0" distR="0" wp14:anchorId="05BFF089" wp14:editId="1B92DEB1">
            <wp:extent cx="5688000" cy="2592000"/>
            <wp:effectExtent l="0" t="0" r="8255" b="0"/>
            <wp:docPr id="21" name="Chart 21" descr="Graph showing the average proportion of all job seekers in jobactive by different durations of unemployment who declared earnings over the 2016-2017 financial year, as described in the previous paragraph. It shows that the proportion of job seekers who declared earnings varied from 33.2 per cent of those who had been in jobactive for under 12 months to 23.1 per cent for those who had been in jobactive for 60 months or more. The average for all job seekers in jobactive is shown as 29.6 per cent in 2016-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1215453" w14:textId="77777777" w:rsidR="00D30531" w:rsidRPr="0016569D" w:rsidRDefault="00D30531" w:rsidP="0016569D">
      <w:pPr>
        <w:pStyle w:val="Heading2"/>
        <w:rPr>
          <w:rStyle w:val="Strong"/>
          <w:b/>
        </w:rPr>
      </w:pPr>
      <w:r w:rsidRPr="0016569D">
        <w:rPr>
          <w:rStyle w:val="Strong"/>
          <w:b/>
        </w:rPr>
        <w:t>Characteristics of the extremely long-term unemployed on the jobactive caseload</w:t>
      </w:r>
    </w:p>
    <w:p w14:paraId="76AC95DE" w14:textId="77777777" w:rsidR="00D30531" w:rsidRPr="002D18A1" w:rsidRDefault="00D30531" w:rsidP="00EF1C1A">
      <w:pPr>
        <w:spacing w:after="0"/>
        <w:rPr>
          <w:rFonts w:cstheme="minorHAnsi"/>
        </w:rPr>
      </w:pPr>
      <w:r w:rsidRPr="002D18A1">
        <w:rPr>
          <w:rFonts w:cstheme="minorHAnsi"/>
        </w:rPr>
        <w:t xml:space="preserve">Around 129,000 (or 19.1 per cent) of the caseload </w:t>
      </w:r>
      <w:r>
        <w:rPr>
          <w:rFonts w:cstheme="minorHAnsi"/>
        </w:rPr>
        <w:t>were extremely long-term unemployment (a duration of 60 months or more)</w:t>
      </w:r>
      <w:r w:rsidRPr="002D18A1">
        <w:rPr>
          <w:rFonts w:cstheme="minorHAnsi"/>
        </w:rPr>
        <w:t xml:space="preserve">, up from </w:t>
      </w:r>
      <w:r>
        <w:rPr>
          <w:rFonts w:cstheme="minorHAnsi"/>
        </w:rPr>
        <w:t>112,180</w:t>
      </w:r>
      <w:r w:rsidRPr="002D18A1">
        <w:rPr>
          <w:rFonts w:cstheme="minorHAnsi"/>
        </w:rPr>
        <w:t xml:space="preserve"> (or 14.4 per cent of the caseload) in</w:t>
      </w:r>
      <w:r>
        <w:rPr>
          <w:rFonts w:cstheme="minorHAnsi"/>
        </w:rPr>
        <w:t xml:space="preserve"> 31</w:t>
      </w:r>
      <w:r w:rsidRPr="002D18A1">
        <w:rPr>
          <w:rFonts w:cstheme="minorHAnsi"/>
        </w:rPr>
        <w:t xml:space="preserve"> May 2016. </w:t>
      </w:r>
      <w:r>
        <w:rPr>
          <w:rFonts w:cstheme="minorHAnsi"/>
        </w:rPr>
        <w:t>Of these:</w:t>
      </w:r>
    </w:p>
    <w:p w14:paraId="1A150AD0" w14:textId="77777777" w:rsidR="00D30531" w:rsidRPr="00087A17" w:rsidRDefault="00D30531" w:rsidP="00087A17">
      <w:pPr>
        <w:pStyle w:val="ListParagraph"/>
      </w:pPr>
      <w:r w:rsidRPr="00087A17">
        <w:t>27.2 per cent are aged between 40 and 49 years</w:t>
      </w:r>
    </w:p>
    <w:p w14:paraId="344C95A5" w14:textId="77777777" w:rsidR="00D30531" w:rsidRPr="00087A17" w:rsidRDefault="00D30531" w:rsidP="00087A17">
      <w:pPr>
        <w:pStyle w:val="ListParagraph"/>
      </w:pPr>
      <w:r w:rsidRPr="00087A17">
        <w:t>53.4 per cent are female</w:t>
      </w:r>
    </w:p>
    <w:p w14:paraId="7915AABD" w14:textId="77777777" w:rsidR="00D30531" w:rsidRPr="00087A17" w:rsidRDefault="00D30531" w:rsidP="00087A17">
      <w:pPr>
        <w:pStyle w:val="ListParagraph"/>
      </w:pPr>
      <w:r w:rsidRPr="00087A17">
        <w:t>52.9 per cent have a disability</w:t>
      </w:r>
    </w:p>
    <w:p w14:paraId="7B98A2AE" w14:textId="372C3D68" w:rsidR="00D30531" w:rsidRPr="0016569D" w:rsidRDefault="00D30531" w:rsidP="00E019B6">
      <w:pPr>
        <w:pStyle w:val="ListParagraph"/>
        <w:rPr>
          <w:rFonts w:cstheme="minorHAnsi"/>
          <w:i/>
        </w:rPr>
      </w:pPr>
      <w:r w:rsidRPr="00087A17">
        <w:t>28,810 have been in employment services for 10 years or more.</w:t>
      </w:r>
      <w:r w:rsidRPr="0016569D">
        <w:rPr>
          <w:rFonts w:cstheme="minorHAnsi"/>
          <w:i/>
        </w:rPr>
        <w:br w:type="page"/>
      </w:r>
    </w:p>
    <w:p w14:paraId="29A5EC71" w14:textId="171E078E" w:rsidR="00D30531" w:rsidRPr="00450D42" w:rsidRDefault="00D30531" w:rsidP="00D00151">
      <w:pPr>
        <w:pStyle w:val="Heading1"/>
        <w:rPr>
          <w:rStyle w:val="BodyChar"/>
          <w:b w:val="0"/>
          <w:color w:val="auto"/>
          <w:sz w:val="22"/>
        </w:rPr>
      </w:pPr>
      <w:bookmarkStart w:id="21" w:name="_Toc518050083"/>
      <w:r w:rsidRPr="00677F7C">
        <w:lastRenderedPageBreak/>
        <w:t xml:space="preserve">Appendix </w:t>
      </w:r>
      <w:r>
        <w:t>F</w:t>
      </w:r>
      <w:r w:rsidR="000419C7">
        <w:t>:</w:t>
      </w:r>
      <w:r w:rsidR="00644AF0">
        <w:br/>
      </w:r>
      <w:r w:rsidRPr="002D18A1">
        <w:t>Performance of jobactive</w:t>
      </w:r>
      <w:r w:rsidR="000419C7">
        <w:br/>
      </w:r>
      <w:r w:rsidRPr="00450D42">
        <w:rPr>
          <w:rFonts w:asciiTheme="minorHAnsi" w:hAnsiTheme="minorHAnsi" w:cstheme="minorHAnsi"/>
          <w:color w:val="auto"/>
          <w:sz w:val="22"/>
          <w:szCs w:val="22"/>
        </w:rPr>
        <w:t>(1 July 2015 to 31 May 2018)</w:t>
      </w:r>
      <w:bookmarkEnd w:id="21"/>
    </w:p>
    <w:p w14:paraId="5D6C6F02" w14:textId="5A6FB6BB" w:rsidR="00D30531" w:rsidRPr="000419C7" w:rsidRDefault="00D30531" w:rsidP="000419C7">
      <w:pPr>
        <w:pStyle w:val="Heading2"/>
      </w:pPr>
      <w:r w:rsidRPr="000419C7">
        <w:t xml:space="preserve">Summary of job placements and outcomes (total) </w:t>
      </w:r>
    </w:p>
    <w:p w14:paraId="23EB9644" w14:textId="77777777" w:rsidR="00D30531" w:rsidRPr="002D18A1" w:rsidRDefault="00D30531" w:rsidP="00EF1C1A">
      <w:pPr>
        <w:spacing w:after="0"/>
        <w:contextualSpacing/>
        <w:rPr>
          <w:rFonts w:cstheme="minorHAnsi"/>
        </w:rPr>
      </w:pPr>
      <w:r w:rsidRPr="002D18A1">
        <w:rPr>
          <w:rFonts w:cstheme="minorHAnsi"/>
          <w:b/>
          <w:noProof/>
          <w:lang w:eastAsia="en-AU"/>
        </w:rPr>
        <mc:AlternateContent>
          <mc:Choice Requires="wps">
            <w:drawing>
              <wp:anchor distT="0" distB="0" distL="114300" distR="114300" simplePos="0" relativeHeight="251687936" behindDoc="0" locked="0" layoutInCell="1" allowOverlap="1" wp14:anchorId="2E802E08" wp14:editId="4D3E3B16">
                <wp:simplePos x="0" y="0"/>
                <wp:positionH relativeFrom="margin">
                  <wp:posOffset>3895725</wp:posOffset>
                </wp:positionH>
                <wp:positionV relativeFrom="margin">
                  <wp:posOffset>1095375</wp:posOffset>
                </wp:positionV>
                <wp:extent cx="2159635" cy="1314450"/>
                <wp:effectExtent l="0" t="0" r="12065" b="19050"/>
                <wp:wrapNone/>
                <wp:docPr id="37" name="Rectangle 37"/>
                <wp:cNvGraphicFramePr/>
                <a:graphic xmlns:a="http://schemas.openxmlformats.org/drawingml/2006/main">
                  <a:graphicData uri="http://schemas.microsoft.com/office/word/2010/wordprocessingShape">
                    <wps:wsp>
                      <wps:cNvSpPr/>
                      <wps:spPr>
                        <a:xfrm>
                          <a:off x="0" y="0"/>
                          <a:ext cx="2159635" cy="1314450"/>
                        </a:xfrm>
                        <a:prstGeom prst="rect">
                          <a:avLst/>
                        </a:prstGeom>
                        <a:solidFill>
                          <a:schemeClr val="accent6">
                            <a:lumMod val="20000"/>
                            <a:lumOff val="80000"/>
                          </a:schemeClr>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CE59AB2" w14:textId="77777777" w:rsidR="00E019B6" w:rsidRDefault="00E019B6" w:rsidP="00EF1C1A">
                            <w:pPr>
                              <w:spacing w:after="120" w:line="240" w:lineRule="auto"/>
                              <w:rPr>
                                <w:rFonts w:cstheme="minorHAnsi"/>
                                <w:color w:val="000000" w:themeColor="text1"/>
                              </w:rPr>
                            </w:pPr>
                            <w:r>
                              <w:rPr>
                                <w:rFonts w:cstheme="minorHAnsi"/>
                                <w:color w:val="000000" w:themeColor="text1"/>
                              </w:rPr>
                              <w:t>In 2016-17, around 5% of employers used a jobactive provider.</w:t>
                            </w:r>
                          </w:p>
                          <w:p w14:paraId="0F6C8971" w14:textId="77777777" w:rsidR="00E019B6" w:rsidRDefault="00E019B6" w:rsidP="00EF1C1A">
                            <w:pPr>
                              <w:spacing w:after="120" w:line="240" w:lineRule="auto"/>
                              <w:rPr>
                                <w:rFonts w:cstheme="minorHAnsi"/>
                                <w:color w:val="000000" w:themeColor="text1"/>
                              </w:rPr>
                            </w:pPr>
                            <w:r>
                              <w:rPr>
                                <w:rFonts w:cstheme="minorHAnsi"/>
                                <w:color w:val="000000" w:themeColor="text1"/>
                              </w:rPr>
                              <w:t xml:space="preserve">Of these, 80% stated that they were satisfied with the service they received.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02E08" id="Rectangle 37" o:spid="_x0000_s1031" style="position:absolute;margin-left:306.75pt;margin-top:86.25pt;width:170.05pt;height:10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5osgIAAAAGAAAOAAAAZHJzL2Uyb0RvYy54bWysVNtOGzEQfa/Uf7D8XjabEC4RGxSBqCpR&#10;iICKZ8drJyvZHtd2spt+fcfeCymlRar64vXczozPzszFZaMV2QnnKzAFzY9GlAjDoazMuqDfnm4+&#10;nVHiAzMlU2BEQffC08v5xw8XtZ2JMWxAlcIRBDF+VtuCbkKwsyzzfCM080dghUGjBKdZQNGts9Kx&#10;GtG1ysaj0UlWgyutAy68R+11a6TzhC+l4OFeSi8CUQXF2kI6XTpX8czmF2y2dsxuKt6Vwf6hCs0q&#10;g0kHqGsWGNm66jcoXXEHHmQ44qAzkLLiIr0BX5OPXr3mccOsSG9BcrwdaPL/D5bf7ZaOVGVBJ6eU&#10;GKbxHz0ga8yslSCoQ4Jq62fo92iXrpM8XuNrG+l0/OI7SJNI3Q+kiiYQjspxPj0/mUwp4WjLJ/nx&#10;8TTRnr2EW+fDZwGaxEtBHeZPZLLdrQ+YEl17l5jNg6rKm0qpJMROEVfKkR3Df8w4FyacpHC11V+h&#10;bPXYK6Pub6Mae6JVn/VqTJF6LiKlhL8kUea9vKHJI1UR5qU6lGJkFglsKUu3sFci4inzICRyH0lK&#10;BQ8VHL5l0po2rBStevrHmhNgRJZIzoCd/w27rbnzj6EiDc0QPHo/eIhImcGEIVhXBtxbACr0bMnW&#10;vyeppSayFJpVk/py2rfgCso99qqDdoi95TcV9sst82HJHE4tzjduonCPh1RQFxS6GyUbcD/e0kd/&#10;HCa0UlLjFiio/75lTlCivhgcs3Ns17g2knA8PR2j4A4tq0OL2eorwCbMcedZnq7RP6j+Kh3oZ1xY&#10;i5gVTcxwzF1QHlwvXIV2O+HK42KxSG64KiwLt+bR8ggeeY7z8NQ8M2e7oQk4b3fQbww2ezU7rW+M&#10;NLDYBpBVGqzIdMtr9wdwzaQu7lZi3GOHcvJ6WdzznwAAAP//AwBQSwMEFAAGAAgAAAAhAIYnVmvi&#10;AAAACwEAAA8AAABkcnMvZG93bnJldi54bWxMj8tOwzAQRfdI/IM1SOyo8yBJk8apChLqoquWIrp0&#10;4yGJiO0Qu2n4e4YV7GZ0j+6cKdez7tmEo+usERAuAmBoaqs60wg4vr48LIE5L42SvTUo4BsdrKvb&#10;m1IWyl7NHqeDbxiVGFdIAa33Q8G5q1vU0i3sgIayDztq6WkdG65GeaVy3fMoCFKuZWfoQisHfG6x&#10;/jxctAD9mGdvwU5tonB3PE1fT9v9+2krxP3dvFkB8zj7Pxh+9UkdKnI624tRjvUC0jBOCKUgi2gg&#10;Ik/iFNhZQJzlCfCq5P9/qH4AAAD//wMAUEsBAi0AFAAGAAgAAAAhALaDOJL+AAAA4QEAABMAAAAA&#10;AAAAAAAAAAAAAAAAAFtDb250ZW50X1R5cGVzXS54bWxQSwECLQAUAAYACAAAACEAOP0h/9YAAACU&#10;AQAACwAAAAAAAAAAAAAAAAAvAQAAX3JlbHMvLnJlbHNQSwECLQAUAAYACAAAACEATzEOaLICAAAA&#10;BgAADgAAAAAAAAAAAAAAAAAuAgAAZHJzL2Uyb0RvYy54bWxQSwECLQAUAAYACAAAACEAhidWa+IA&#10;AAALAQAADwAAAAAAAAAAAAAAAAAMBQAAZHJzL2Rvd25yZXYueG1sUEsFBgAAAAAEAAQA8wAAABsG&#10;AAAAAA==&#10;" fillcolor="#e7f3ec [665]" strokecolor="black [3213]" strokeweight="1pt">
                <v:textbox>
                  <w:txbxContent>
                    <w:p w14:paraId="7CE59AB2" w14:textId="77777777" w:rsidR="00E019B6" w:rsidRDefault="00E019B6" w:rsidP="00EF1C1A">
                      <w:pPr>
                        <w:spacing w:after="120" w:line="240" w:lineRule="auto"/>
                        <w:rPr>
                          <w:rFonts w:cstheme="minorHAnsi"/>
                          <w:color w:val="000000" w:themeColor="text1"/>
                        </w:rPr>
                      </w:pPr>
                      <w:r>
                        <w:rPr>
                          <w:rFonts w:cstheme="minorHAnsi"/>
                          <w:color w:val="000000" w:themeColor="text1"/>
                        </w:rPr>
                        <w:t>In 2016-17, around 5% of employers used a jobactive provider.</w:t>
                      </w:r>
                    </w:p>
                    <w:p w14:paraId="0F6C8971" w14:textId="77777777" w:rsidR="00E019B6" w:rsidRDefault="00E019B6" w:rsidP="00EF1C1A">
                      <w:pPr>
                        <w:spacing w:after="120" w:line="240" w:lineRule="auto"/>
                        <w:rPr>
                          <w:rFonts w:cstheme="minorHAnsi"/>
                          <w:color w:val="000000" w:themeColor="text1"/>
                        </w:rPr>
                      </w:pPr>
                      <w:r>
                        <w:rPr>
                          <w:rFonts w:cstheme="minorHAnsi"/>
                          <w:color w:val="000000" w:themeColor="text1"/>
                        </w:rPr>
                        <w:t xml:space="preserve">Of these, 80% stated that they were satisfied with the service they received. </w:t>
                      </w:r>
                    </w:p>
                  </w:txbxContent>
                </v:textbox>
                <w10:wrap anchorx="margin" anchory="margin"/>
              </v:rect>
            </w:pict>
          </mc:Fallback>
        </mc:AlternateContent>
      </w:r>
      <w:r w:rsidRPr="002D18A1">
        <w:rPr>
          <w:rFonts w:cstheme="minorHAnsi"/>
          <w:noProof/>
          <w:lang w:eastAsia="en-AU"/>
        </w:rPr>
        <w:drawing>
          <wp:inline distT="0" distB="0" distL="0" distR="0" wp14:anchorId="7A4FDA72" wp14:editId="08916A4D">
            <wp:extent cx="3060000" cy="683895"/>
            <wp:effectExtent l="0" t="38100" r="7620" b="1905"/>
            <wp:docPr id="41" name="Diagram 41" descr="Graphic illustrating key statistics for placemen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FF06FD1" w14:textId="77777777" w:rsidR="00D30531" w:rsidRPr="002D18A1" w:rsidRDefault="00D30531" w:rsidP="00EF1C1A">
      <w:pPr>
        <w:spacing w:after="0"/>
        <w:contextualSpacing/>
        <w:rPr>
          <w:rFonts w:cstheme="minorHAnsi"/>
        </w:rPr>
      </w:pPr>
      <w:r w:rsidRPr="002D18A1">
        <w:rPr>
          <w:rFonts w:cstheme="minorHAnsi"/>
          <w:noProof/>
          <w:lang w:eastAsia="en-AU"/>
        </w:rPr>
        <w:drawing>
          <wp:inline distT="0" distB="0" distL="0" distR="0" wp14:anchorId="0D83F95B" wp14:editId="6749FCCE">
            <wp:extent cx="3060000" cy="683895"/>
            <wp:effectExtent l="0" t="38100" r="7620" b="1905"/>
            <wp:docPr id="42" name="Diagram 42" descr="graphic with 4, 12 and 26 week outcom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65FE78D8" w14:textId="77777777" w:rsidR="00D30531" w:rsidRDefault="00D30531" w:rsidP="00EF1C1A">
      <w:pPr>
        <w:rPr>
          <w:rFonts w:cstheme="minorHAnsi"/>
        </w:rPr>
      </w:pPr>
    </w:p>
    <w:p w14:paraId="6E6EE117" w14:textId="77777777" w:rsidR="00D30531" w:rsidRPr="002D18A1" w:rsidRDefault="00D30531" w:rsidP="00EF1C1A">
      <w:r w:rsidRPr="002D18A1">
        <w:t>A key component of jobactive is placing job seekers into employment. When a job seeker finds a job whether on their own or with assistance from their provider, that job is called a ‘job placement’.</w:t>
      </w:r>
    </w:p>
    <w:p w14:paraId="2EBE1B67" w14:textId="1090EF2E" w:rsidR="00D30531" w:rsidRPr="002D18A1" w:rsidRDefault="00D30531" w:rsidP="00896914">
      <w:pPr>
        <w:spacing w:after="0"/>
        <w:rPr>
          <w:rFonts w:cstheme="minorHAnsi"/>
        </w:rPr>
      </w:pPr>
      <w:r>
        <w:rPr>
          <w:rFonts w:cstheme="minorHAnsi"/>
        </w:rPr>
        <w:t>O</w:t>
      </w:r>
      <w:r w:rsidRPr="002D18A1">
        <w:rPr>
          <w:rFonts w:cstheme="minorHAnsi"/>
        </w:rPr>
        <w:t>utcomes are payable to jobactive providers 4, 12 and 26 weeks after an individual is placed into employment, unsubsidised self-employment or an apprenticeship or traineeship. There are two</w:t>
      </w:r>
      <w:r w:rsidR="000419C7">
        <w:rPr>
          <w:rFonts w:cstheme="minorHAnsi"/>
        </w:rPr>
        <w:t xml:space="preserve"> types of employment outcomes, </w:t>
      </w:r>
      <w:r w:rsidRPr="002D18A1">
        <w:rPr>
          <w:rFonts w:cstheme="minorHAnsi"/>
        </w:rPr>
        <w:t xml:space="preserve">full and partial. </w:t>
      </w:r>
    </w:p>
    <w:p w14:paraId="4E2E158F" w14:textId="655FD86D" w:rsidR="00D30531" w:rsidRPr="000419C7" w:rsidRDefault="00D30531" w:rsidP="000419C7">
      <w:pPr>
        <w:pStyle w:val="ListParagraph"/>
      </w:pPr>
      <w:r w:rsidRPr="000419C7">
        <w:t xml:space="preserve">A full outcome is achieved when an individual earns enough to move them fully off income support for the outcome period. For individuals with a partial work capacity or who are principal carer parents, their reduced working capacity is taken into account. </w:t>
      </w:r>
    </w:p>
    <w:p w14:paraId="58FDF24E" w14:textId="2DF816FD" w:rsidR="00D30531" w:rsidRDefault="00D30531" w:rsidP="000419C7">
      <w:pPr>
        <w:pStyle w:val="ListParagraph"/>
      </w:pPr>
      <w:r w:rsidRPr="000419C7">
        <w:t>A partial outcome is achieved when an individual earns enough to reduce their income support by at least 60 per cent (on average) over the outcome period, and is only available for 4 and 12</w:t>
      </w:r>
      <w:r w:rsidR="000419C7">
        <w:t> </w:t>
      </w:r>
      <w:r w:rsidRPr="000419C7">
        <w:t>week outcome payments. For individuals with a partial work capacity or who are principal carer parents, their reduced working capacity is taken into account</w:t>
      </w:r>
      <w:r w:rsidRPr="002D18A1">
        <w:t>.</w:t>
      </w:r>
    </w:p>
    <w:p w14:paraId="21456EA2" w14:textId="23C3449E" w:rsidR="00D30531" w:rsidRPr="000419C7" w:rsidRDefault="00D30531" w:rsidP="000419C7">
      <w:pPr>
        <w:pStyle w:val="ChartandTabletitle"/>
      </w:pPr>
      <w:r w:rsidRPr="000419C7">
        <w:t>Table F.1: Outcomes by type, 1 July 2015 to 31 May 2018</w:t>
      </w:r>
    </w:p>
    <w:tbl>
      <w:tblPr>
        <w:tblStyle w:val="TableGrid1"/>
        <w:tblW w:w="5099" w:type="pct"/>
        <w:tblLook w:val="0000" w:firstRow="0" w:lastRow="0" w:firstColumn="0" w:lastColumn="0" w:noHBand="0" w:noVBand="0"/>
      </w:tblPr>
      <w:tblGrid>
        <w:gridCol w:w="1948"/>
        <w:gridCol w:w="2415"/>
        <w:gridCol w:w="2416"/>
        <w:gridCol w:w="2416"/>
      </w:tblGrid>
      <w:tr w:rsidR="00D30531" w:rsidRPr="00F334B6" w14:paraId="23157329" w14:textId="77777777" w:rsidTr="005853FD">
        <w:trPr>
          <w:trHeight w:val="221"/>
        </w:trPr>
        <w:tc>
          <w:tcPr>
            <w:tcW w:w="1059" w:type="pct"/>
            <w:shd w:val="clear" w:color="auto" w:fill="B2E8FA" w:themeFill="accent1" w:themeFillTint="66"/>
          </w:tcPr>
          <w:p w14:paraId="7FB1FD96" w14:textId="77777777" w:rsidR="00D30531" w:rsidRPr="00291EEC" w:rsidRDefault="00D30531" w:rsidP="00291EEC">
            <w:pPr>
              <w:pStyle w:val="Table1"/>
            </w:pPr>
            <w:r w:rsidRPr="00291EEC">
              <w:t>Outcome</w:t>
            </w:r>
          </w:p>
        </w:tc>
        <w:tc>
          <w:tcPr>
            <w:tcW w:w="1313" w:type="pct"/>
            <w:shd w:val="clear" w:color="auto" w:fill="B2E8FA" w:themeFill="accent1" w:themeFillTint="66"/>
          </w:tcPr>
          <w:p w14:paraId="2853798D" w14:textId="2400003D" w:rsidR="00D30531" w:rsidRPr="00291EEC" w:rsidRDefault="00D30531" w:rsidP="00291EEC">
            <w:pPr>
              <w:pStyle w:val="Table1"/>
              <w:jc w:val="center"/>
            </w:pPr>
            <w:r w:rsidRPr="00291EEC">
              <w:t>Partial outcome</w:t>
            </w:r>
            <w:r w:rsidR="005853FD" w:rsidRPr="00291EEC">
              <w:br/>
            </w:r>
            <w:r w:rsidRPr="00291EEC">
              <w:t>(share of total)</w:t>
            </w:r>
          </w:p>
        </w:tc>
        <w:tc>
          <w:tcPr>
            <w:tcW w:w="1314" w:type="pct"/>
            <w:shd w:val="clear" w:color="auto" w:fill="B2E8FA" w:themeFill="accent1" w:themeFillTint="66"/>
          </w:tcPr>
          <w:p w14:paraId="1046A17B" w14:textId="74D31050" w:rsidR="00D30531" w:rsidRPr="00291EEC" w:rsidRDefault="00D30531" w:rsidP="00291EEC">
            <w:pPr>
              <w:pStyle w:val="Table1"/>
              <w:jc w:val="center"/>
            </w:pPr>
            <w:r w:rsidRPr="00291EEC">
              <w:t>Full outcome</w:t>
            </w:r>
            <w:r w:rsidR="005853FD" w:rsidRPr="00291EEC">
              <w:br/>
            </w:r>
            <w:r w:rsidRPr="00291EEC">
              <w:t>(share of total)</w:t>
            </w:r>
          </w:p>
        </w:tc>
        <w:tc>
          <w:tcPr>
            <w:tcW w:w="1314" w:type="pct"/>
            <w:shd w:val="clear" w:color="auto" w:fill="B2E8FA" w:themeFill="accent1" w:themeFillTint="66"/>
          </w:tcPr>
          <w:p w14:paraId="00ADB56B" w14:textId="28CB9DC0" w:rsidR="00D30531" w:rsidRPr="00291EEC" w:rsidRDefault="00D30531" w:rsidP="00291EEC">
            <w:pPr>
              <w:pStyle w:val="Table1"/>
              <w:jc w:val="center"/>
            </w:pPr>
            <w:r w:rsidRPr="00291EEC">
              <w:t>Total outcomes</w:t>
            </w:r>
          </w:p>
        </w:tc>
      </w:tr>
      <w:tr w:rsidR="00D30531" w:rsidRPr="00F334B6" w14:paraId="5A2A4049" w14:textId="77777777" w:rsidTr="005853FD">
        <w:trPr>
          <w:trHeight w:val="99"/>
        </w:trPr>
        <w:tc>
          <w:tcPr>
            <w:tcW w:w="1059" w:type="pct"/>
          </w:tcPr>
          <w:p w14:paraId="08EFA299" w14:textId="77777777" w:rsidR="00D30531" w:rsidRPr="00644AF0" w:rsidRDefault="00D30531" w:rsidP="005853FD">
            <w:pPr>
              <w:pStyle w:val="tablecontents"/>
            </w:pPr>
            <w:r w:rsidRPr="00644AF0">
              <w:t xml:space="preserve">4 Week </w:t>
            </w:r>
          </w:p>
        </w:tc>
        <w:tc>
          <w:tcPr>
            <w:tcW w:w="1313" w:type="pct"/>
          </w:tcPr>
          <w:p w14:paraId="0D0FD6EA" w14:textId="6159A51C" w:rsidR="00D30531" w:rsidRPr="00644AF0" w:rsidRDefault="00D30531" w:rsidP="005853FD">
            <w:pPr>
              <w:pStyle w:val="tablecontents"/>
              <w:jc w:val="center"/>
            </w:pPr>
            <w:r w:rsidRPr="00644AF0">
              <w:t>121,930</w:t>
            </w:r>
            <w:r w:rsidR="00644AF0">
              <w:br/>
            </w:r>
            <w:r w:rsidRPr="00644AF0">
              <w:t>(22.1%)</w:t>
            </w:r>
          </w:p>
        </w:tc>
        <w:tc>
          <w:tcPr>
            <w:tcW w:w="1314" w:type="pct"/>
          </w:tcPr>
          <w:p w14:paraId="2FBC582F" w14:textId="33DDAF5F" w:rsidR="00D30531" w:rsidRPr="00644AF0" w:rsidRDefault="00D30531" w:rsidP="005853FD">
            <w:pPr>
              <w:pStyle w:val="tablecontents"/>
              <w:jc w:val="center"/>
            </w:pPr>
            <w:r w:rsidRPr="00644AF0">
              <w:t>430,890</w:t>
            </w:r>
            <w:r w:rsidR="00644AF0">
              <w:br/>
            </w:r>
            <w:r w:rsidRPr="00644AF0">
              <w:t>(77.9%)</w:t>
            </w:r>
          </w:p>
        </w:tc>
        <w:tc>
          <w:tcPr>
            <w:tcW w:w="1314" w:type="pct"/>
          </w:tcPr>
          <w:p w14:paraId="14855568" w14:textId="0FC3C6DD" w:rsidR="00D30531" w:rsidRPr="00644AF0" w:rsidRDefault="00D30531" w:rsidP="005853FD">
            <w:pPr>
              <w:pStyle w:val="tablecontents"/>
              <w:jc w:val="center"/>
            </w:pPr>
            <w:r w:rsidRPr="00644AF0">
              <w:t>552,820</w:t>
            </w:r>
          </w:p>
        </w:tc>
      </w:tr>
      <w:tr w:rsidR="00D30531" w:rsidRPr="00F334B6" w14:paraId="5FDBD05D" w14:textId="77777777" w:rsidTr="005853FD">
        <w:trPr>
          <w:trHeight w:val="99"/>
        </w:trPr>
        <w:tc>
          <w:tcPr>
            <w:tcW w:w="1059" w:type="pct"/>
          </w:tcPr>
          <w:p w14:paraId="21F111A1" w14:textId="77777777" w:rsidR="00D30531" w:rsidRPr="00644AF0" w:rsidRDefault="00D30531" w:rsidP="005853FD">
            <w:pPr>
              <w:pStyle w:val="tablecontents"/>
            </w:pPr>
            <w:r w:rsidRPr="00644AF0">
              <w:t xml:space="preserve">12 Week </w:t>
            </w:r>
          </w:p>
        </w:tc>
        <w:tc>
          <w:tcPr>
            <w:tcW w:w="1313" w:type="pct"/>
          </w:tcPr>
          <w:p w14:paraId="400DBA81" w14:textId="6BFE244E" w:rsidR="00D30531" w:rsidRPr="00644AF0" w:rsidRDefault="00D30531" w:rsidP="005853FD">
            <w:pPr>
              <w:pStyle w:val="tablecontents"/>
              <w:jc w:val="center"/>
            </w:pPr>
            <w:r w:rsidRPr="00644AF0">
              <w:t>161,030</w:t>
            </w:r>
            <w:r w:rsidR="00644AF0">
              <w:br/>
            </w:r>
            <w:r w:rsidRPr="00644AF0">
              <w:t>(34.7%)</w:t>
            </w:r>
          </w:p>
        </w:tc>
        <w:tc>
          <w:tcPr>
            <w:tcW w:w="1314" w:type="pct"/>
          </w:tcPr>
          <w:p w14:paraId="6DBA6299" w14:textId="6E265193" w:rsidR="00D30531" w:rsidRPr="00644AF0" w:rsidRDefault="00D30531" w:rsidP="005853FD">
            <w:pPr>
              <w:pStyle w:val="tablecontents"/>
              <w:jc w:val="center"/>
            </w:pPr>
            <w:r w:rsidRPr="00644AF0">
              <w:t>302,920</w:t>
            </w:r>
            <w:r w:rsidR="00644AF0">
              <w:br/>
            </w:r>
            <w:r w:rsidRPr="00644AF0">
              <w:t>(65.3%)</w:t>
            </w:r>
          </w:p>
        </w:tc>
        <w:tc>
          <w:tcPr>
            <w:tcW w:w="1314" w:type="pct"/>
          </w:tcPr>
          <w:p w14:paraId="29709A4A" w14:textId="4F146C5D" w:rsidR="00D30531" w:rsidRPr="00644AF0" w:rsidRDefault="00D30531" w:rsidP="005853FD">
            <w:pPr>
              <w:pStyle w:val="tablecontents"/>
              <w:jc w:val="center"/>
            </w:pPr>
            <w:r w:rsidRPr="00644AF0">
              <w:t>463,950</w:t>
            </w:r>
          </w:p>
        </w:tc>
      </w:tr>
      <w:tr w:rsidR="00D30531" w:rsidRPr="00F334B6" w14:paraId="39705F6C" w14:textId="77777777" w:rsidTr="005853FD">
        <w:trPr>
          <w:trHeight w:val="99"/>
        </w:trPr>
        <w:tc>
          <w:tcPr>
            <w:tcW w:w="1059" w:type="pct"/>
          </w:tcPr>
          <w:p w14:paraId="0ED56491" w14:textId="77777777" w:rsidR="00D30531" w:rsidRPr="00644AF0" w:rsidRDefault="00D30531" w:rsidP="005853FD">
            <w:pPr>
              <w:pStyle w:val="tablecontents"/>
            </w:pPr>
            <w:r w:rsidRPr="00644AF0">
              <w:t xml:space="preserve">26 Week </w:t>
            </w:r>
          </w:p>
        </w:tc>
        <w:tc>
          <w:tcPr>
            <w:tcW w:w="1313" w:type="pct"/>
          </w:tcPr>
          <w:p w14:paraId="2B7FCDEB" w14:textId="77777777" w:rsidR="00D30531" w:rsidRPr="00644AF0" w:rsidRDefault="00D30531" w:rsidP="005853FD">
            <w:pPr>
              <w:pStyle w:val="tablecontents"/>
              <w:jc w:val="center"/>
            </w:pPr>
            <w:r w:rsidRPr="00644AF0">
              <w:t>N/A</w:t>
            </w:r>
          </w:p>
        </w:tc>
        <w:tc>
          <w:tcPr>
            <w:tcW w:w="1314" w:type="pct"/>
          </w:tcPr>
          <w:p w14:paraId="0EC2B955" w14:textId="2B60E979" w:rsidR="00D30531" w:rsidRPr="00644AF0" w:rsidRDefault="00D30531" w:rsidP="005853FD">
            <w:pPr>
              <w:pStyle w:val="tablecontents"/>
              <w:jc w:val="center"/>
            </w:pPr>
            <w:r w:rsidRPr="00644AF0">
              <w:t>289,740</w:t>
            </w:r>
            <w:r w:rsidR="00644AF0">
              <w:br/>
            </w:r>
            <w:r w:rsidRPr="00644AF0">
              <w:t>(100%)</w:t>
            </w:r>
          </w:p>
        </w:tc>
        <w:tc>
          <w:tcPr>
            <w:tcW w:w="1314" w:type="pct"/>
          </w:tcPr>
          <w:p w14:paraId="1BC39679" w14:textId="3FE98E37" w:rsidR="00D30531" w:rsidRPr="00644AF0" w:rsidRDefault="00D30531" w:rsidP="005853FD">
            <w:pPr>
              <w:pStyle w:val="tablecontents"/>
              <w:jc w:val="center"/>
            </w:pPr>
            <w:r w:rsidRPr="00644AF0">
              <w:t>289,740</w:t>
            </w:r>
          </w:p>
        </w:tc>
      </w:tr>
    </w:tbl>
    <w:p w14:paraId="40C6CD34" w14:textId="77777777" w:rsidR="00644AF0" w:rsidRDefault="00644AF0">
      <w:pPr>
        <w:spacing w:before="0" w:after="160" w:line="259" w:lineRule="auto"/>
        <w:rPr>
          <w:rFonts w:eastAsia="Calibri"/>
          <w:b/>
        </w:rPr>
      </w:pPr>
      <w:r>
        <w:br w:type="page"/>
      </w:r>
    </w:p>
    <w:p w14:paraId="33723089" w14:textId="0D278931" w:rsidR="00D30531" w:rsidRPr="00EF1C1A" w:rsidRDefault="00D30531" w:rsidP="006966DA">
      <w:pPr>
        <w:pStyle w:val="Heading2"/>
      </w:pPr>
      <w:r w:rsidRPr="00EF1C1A">
        <w:lastRenderedPageBreak/>
        <w:t>Job Placements and outcomes by stream</w:t>
      </w:r>
    </w:p>
    <w:p w14:paraId="3EBCB536" w14:textId="5047B8AE" w:rsidR="00D30531" w:rsidRDefault="00D30531" w:rsidP="00EF1C1A">
      <w:pPr>
        <w:spacing w:after="120" w:line="240" w:lineRule="auto"/>
        <w:contextualSpacing/>
        <w:rPr>
          <w:rFonts w:cstheme="minorHAnsi"/>
          <w:color w:val="000000" w:themeColor="text1"/>
        </w:rPr>
      </w:pPr>
      <w:r>
        <w:rPr>
          <w:rFonts w:cstheme="minorHAnsi"/>
          <w:color w:val="000000" w:themeColor="text1"/>
        </w:rPr>
        <w:t>Over half of job placements have been for Stream A job seekers, with 45.1 per cent still in employment 26 weeks after their placement.</w:t>
      </w:r>
    </w:p>
    <w:p w14:paraId="6880B05B" w14:textId="59460EBB" w:rsidR="00D30531" w:rsidRPr="00125002" w:rsidRDefault="00D30531" w:rsidP="000419C7">
      <w:pPr>
        <w:pStyle w:val="ChartandTabletitle"/>
      </w:pPr>
      <w:r w:rsidRPr="00125002">
        <w:t>Table</w:t>
      </w:r>
      <w:r>
        <w:t xml:space="preserve"> F.2</w:t>
      </w:r>
      <w:r w:rsidRPr="00125002">
        <w:t>: Placements and outcomes by stream, 1 July 2015 to 31 May 2018</w:t>
      </w:r>
    </w:p>
    <w:tbl>
      <w:tblPr>
        <w:tblStyle w:val="TableGrid1"/>
        <w:tblW w:w="5500" w:type="pct"/>
        <w:tblLayout w:type="fixed"/>
        <w:tblLook w:val="04A0" w:firstRow="1" w:lastRow="0" w:firstColumn="1" w:lastColumn="0" w:noHBand="0" w:noVBand="1"/>
      </w:tblPr>
      <w:tblGrid>
        <w:gridCol w:w="2040"/>
        <w:gridCol w:w="984"/>
        <w:gridCol w:w="988"/>
        <w:gridCol w:w="984"/>
        <w:gridCol w:w="986"/>
        <w:gridCol w:w="984"/>
        <w:gridCol w:w="986"/>
        <w:gridCol w:w="984"/>
        <w:gridCol w:w="982"/>
      </w:tblGrid>
      <w:tr w:rsidR="00D30531" w:rsidRPr="00F334B6" w14:paraId="23111BBA" w14:textId="77777777" w:rsidTr="001C143A">
        <w:trPr>
          <w:trHeight w:val="585"/>
          <w:tblHeader/>
        </w:trPr>
        <w:tc>
          <w:tcPr>
            <w:tcW w:w="1029" w:type="pct"/>
            <w:shd w:val="clear" w:color="auto" w:fill="B2E8FA" w:themeFill="accent1" w:themeFillTint="66"/>
            <w:noWrap/>
            <w:hideMark/>
          </w:tcPr>
          <w:p w14:paraId="2BFA87CC" w14:textId="77777777" w:rsidR="00D30531" w:rsidRPr="00291EEC" w:rsidRDefault="00D30531" w:rsidP="00291EEC">
            <w:pPr>
              <w:pStyle w:val="Table1"/>
            </w:pPr>
            <w:r w:rsidRPr="00291EEC">
              <w:t>Stream</w:t>
            </w:r>
          </w:p>
        </w:tc>
        <w:tc>
          <w:tcPr>
            <w:tcW w:w="994" w:type="pct"/>
            <w:gridSpan w:val="2"/>
            <w:shd w:val="clear" w:color="auto" w:fill="B2E8FA" w:themeFill="accent1" w:themeFillTint="66"/>
            <w:hideMark/>
          </w:tcPr>
          <w:p w14:paraId="22325A36" w14:textId="5D75BDBB" w:rsidR="00D30531" w:rsidRPr="00291EEC" w:rsidRDefault="00D30531" w:rsidP="00291EEC">
            <w:pPr>
              <w:pStyle w:val="Table1"/>
            </w:pPr>
            <w:r w:rsidRPr="00291EEC">
              <w:t>Job placements</w:t>
            </w:r>
            <w:r w:rsidR="00291EEC" w:rsidRPr="00291EEC">
              <w:br/>
            </w:r>
            <w:r w:rsidRPr="00291EEC">
              <w:t>(share of total)</w:t>
            </w:r>
          </w:p>
        </w:tc>
        <w:tc>
          <w:tcPr>
            <w:tcW w:w="993" w:type="pct"/>
            <w:gridSpan w:val="2"/>
            <w:shd w:val="clear" w:color="auto" w:fill="B2E8FA" w:themeFill="accent1" w:themeFillTint="66"/>
            <w:hideMark/>
          </w:tcPr>
          <w:p w14:paraId="34E5C5F1" w14:textId="5A5FF957" w:rsidR="00D30531" w:rsidRPr="00291EEC" w:rsidRDefault="00D30531" w:rsidP="00291EEC">
            <w:pPr>
              <w:pStyle w:val="Table1"/>
            </w:pPr>
            <w:r w:rsidRPr="00291EEC">
              <w:t>4-week outcomes</w:t>
            </w:r>
            <w:r w:rsidR="00291EEC" w:rsidRPr="00291EEC">
              <w:br/>
            </w:r>
            <w:r w:rsidRPr="00291EEC">
              <w:t>(share of total)</w:t>
            </w:r>
          </w:p>
        </w:tc>
        <w:tc>
          <w:tcPr>
            <w:tcW w:w="993" w:type="pct"/>
            <w:gridSpan w:val="2"/>
            <w:shd w:val="clear" w:color="auto" w:fill="B2E8FA" w:themeFill="accent1" w:themeFillTint="66"/>
            <w:hideMark/>
          </w:tcPr>
          <w:p w14:paraId="655A0DA8" w14:textId="5279114A" w:rsidR="00D30531" w:rsidRPr="00291EEC" w:rsidRDefault="00D30531" w:rsidP="00291EEC">
            <w:pPr>
              <w:pStyle w:val="Table1"/>
            </w:pPr>
            <w:r w:rsidRPr="00291EEC">
              <w:t>12-week outcomes</w:t>
            </w:r>
            <w:r w:rsidR="00291EEC" w:rsidRPr="00291EEC">
              <w:br/>
            </w:r>
            <w:r w:rsidRPr="00291EEC">
              <w:t>(share of total)</w:t>
            </w:r>
          </w:p>
        </w:tc>
        <w:tc>
          <w:tcPr>
            <w:tcW w:w="991" w:type="pct"/>
            <w:gridSpan w:val="2"/>
            <w:shd w:val="clear" w:color="auto" w:fill="B2E8FA" w:themeFill="accent1" w:themeFillTint="66"/>
            <w:hideMark/>
          </w:tcPr>
          <w:p w14:paraId="61E180A5" w14:textId="41D82FD5" w:rsidR="00D30531" w:rsidRPr="00291EEC" w:rsidRDefault="00D30531" w:rsidP="00291EEC">
            <w:pPr>
              <w:pStyle w:val="Table1"/>
            </w:pPr>
            <w:r w:rsidRPr="00291EEC">
              <w:t>26-week outcomes</w:t>
            </w:r>
            <w:r w:rsidR="00291EEC" w:rsidRPr="00291EEC">
              <w:br/>
            </w:r>
            <w:r w:rsidRPr="00291EEC">
              <w:t>(share of total)</w:t>
            </w:r>
          </w:p>
        </w:tc>
      </w:tr>
      <w:tr w:rsidR="00D30531" w:rsidRPr="00F334B6" w14:paraId="6670FA63" w14:textId="77777777" w:rsidTr="00291EEC">
        <w:trPr>
          <w:trHeight w:val="300"/>
        </w:trPr>
        <w:tc>
          <w:tcPr>
            <w:tcW w:w="1029" w:type="pct"/>
            <w:noWrap/>
            <w:hideMark/>
          </w:tcPr>
          <w:p w14:paraId="6261639E" w14:textId="77777777" w:rsidR="00D30531" w:rsidRPr="00F334B6" w:rsidRDefault="00D30531" w:rsidP="00291EEC">
            <w:pPr>
              <w:pStyle w:val="tablecontents"/>
            </w:pPr>
            <w:r w:rsidRPr="00F334B6">
              <w:t>Stream A Volunteer</w:t>
            </w:r>
          </w:p>
        </w:tc>
        <w:tc>
          <w:tcPr>
            <w:tcW w:w="496" w:type="pct"/>
            <w:hideMark/>
          </w:tcPr>
          <w:p w14:paraId="4D379551" w14:textId="77777777" w:rsidR="00D30531" w:rsidRPr="00F334B6" w:rsidRDefault="00D30531" w:rsidP="00291EEC">
            <w:pPr>
              <w:pStyle w:val="tablecontents"/>
            </w:pPr>
            <w:r w:rsidRPr="00F334B6">
              <w:rPr>
                <w:rFonts w:ascii="Calibri" w:hAnsi="Calibri"/>
              </w:rPr>
              <w:t>6,510</w:t>
            </w:r>
          </w:p>
        </w:tc>
        <w:tc>
          <w:tcPr>
            <w:tcW w:w="498" w:type="pct"/>
            <w:hideMark/>
          </w:tcPr>
          <w:p w14:paraId="686813FF" w14:textId="77777777" w:rsidR="00D30531" w:rsidRPr="00F334B6" w:rsidRDefault="00D30531" w:rsidP="00291EEC">
            <w:pPr>
              <w:pStyle w:val="tablecontents"/>
            </w:pPr>
            <w:r w:rsidRPr="00F334B6">
              <w:rPr>
                <w:rFonts w:ascii="Calibri" w:hAnsi="Calibri"/>
              </w:rPr>
              <w:t>0.6%</w:t>
            </w:r>
          </w:p>
        </w:tc>
        <w:tc>
          <w:tcPr>
            <w:tcW w:w="496" w:type="pct"/>
            <w:hideMark/>
          </w:tcPr>
          <w:p w14:paraId="7BD41A17" w14:textId="77777777" w:rsidR="00D30531" w:rsidRPr="00F334B6" w:rsidRDefault="00D30531" w:rsidP="00291EEC">
            <w:pPr>
              <w:pStyle w:val="tablecontents"/>
            </w:pPr>
            <w:r w:rsidRPr="00F334B6">
              <w:rPr>
                <w:rFonts w:ascii="Calibri" w:hAnsi="Calibri"/>
              </w:rPr>
              <w:t>1,320</w:t>
            </w:r>
          </w:p>
        </w:tc>
        <w:tc>
          <w:tcPr>
            <w:tcW w:w="497" w:type="pct"/>
            <w:hideMark/>
          </w:tcPr>
          <w:p w14:paraId="12F9D93F" w14:textId="77777777" w:rsidR="00D30531" w:rsidRPr="00F334B6" w:rsidRDefault="00D30531" w:rsidP="00291EEC">
            <w:pPr>
              <w:pStyle w:val="tablecontents"/>
            </w:pPr>
            <w:r w:rsidRPr="00F334B6">
              <w:rPr>
                <w:rFonts w:ascii="Calibri" w:hAnsi="Calibri"/>
              </w:rPr>
              <w:t>0.2%</w:t>
            </w:r>
          </w:p>
        </w:tc>
        <w:tc>
          <w:tcPr>
            <w:tcW w:w="496" w:type="pct"/>
            <w:hideMark/>
          </w:tcPr>
          <w:p w14:paraId="16100727" w14:textId="77777777" w:rsidR="00D30531" w:rsidRPr="00F334B6" w:rsidRDefault="00D30531" w:rsidP="00291EEC">
            <w:pPr>
              <w:pStyle w:val="tablecontents"/>
            </w:pPr>
            <w:r w:rsidRPr="00F334B6">
              <w:rPr>
                <w:rFonts w:ascii="Calibri" w:hAnsi="Calibri"/>
              </w:rPr>
              <w:t>1,140</w:t>
            </w:r>
          </w:p>
        </w:tc>
        <w:tc>
          <w:tcPr>
            <w:tcW w:w="497" w:type="pct"/>
            <w:hideMark/>
          </w:tcPr>
          <w:p w14:paraId="7FEF1EA8" w14:textId="77777777" w:rsidR="00D30531" w:rsidRPr="00F334B6" w:rsidRDefault="00D30531" w:rsidP="00291EEC">
            <w:pPr>
              <w:pStyle w:val="tablecontents"/>
            </w:pPr>
            <w:r w:rsidRPr="00F334B6">
              <w:rPr>
                <w:rFonts w:ascii="Calibri" w:hAnsi="Calibri"/>
              </w:rPr>
              <w:t>0.2%</w:t>
            </w:r>
          </w:p>
        </w:tc>
        <w:tc>
          <w:tcPr>
            <w:tcW w:w="496" w:type="pct"/>
            <w:hideMark/>
          </w:tcPr>
          <w:p w14:paraId="13781BC7" w14:textId="77777777" w:rsidR="00D30531" w:rsidRPr="00F334B6" w:rsidRDefault="00D30531" w:rsidP="00291EEC">
            <w:pPr>
              <w:pStyle w:val="tablecontents"/>
            </w:pPr>
            <w:r w:rsidRPr="00F334B6">
              <w:rPr>
                <w:rFonts w:ascii="Calibri" w:hAnsi="Calibri"/>
              </w:rPr>
              <w:t>620</w:t>
            </w:r>
          </w:p>
        </w:tc>
        <w:tc>
          <w:tcPr>
            <w:tcW w:w="495" w:type="pct"/>
            <w:hideMark/>
          </w:tcPr>
          <w:p w14:paraId="01CE67CE" w14:textId="77777777" w:rsidR="00D30531" w:rsidRPr="00F334B6" w:rsidRDefault="00D30531" w:rsidP="00291EEC">
            <w:pPr>
              <w:pStyle w:val="tablecontents"/>
            </w:pPr>
            <w:r w:rsidRPr="00F334B6">
              <w:rPr>
                <w:rFonts w:ascii="Calibri" w:hAnsi="Calibri"/>
              </w:rPr>
              <w:t>0.2%</w:t>
            </w:r>
          </w:p>
        </w:tc>
      </w:tr>
      <w:tr w:rsidR="00D30531" w:rsidRPr="00F334B6" w14:paraId="77860536" w14:textId="77777777" w:rsidTr="00291EEC">
        <w:trPr>
          <w:trHeight w:val="300"/>
        </w:trPr>
        <w:tc>
          <w:tcPr>
            <w:tcW w:w="1029" w:type="pct"/>
            <w:noWrap/>
            <w:hideMark/>
          </w:tcPr>
          <w:p w14:paraId="17429CC8" w14:textId="77777777" w:rsidR="00D30531" w:rsidRPr="00F334B6" w:rsidRDefault="00D30531" w:rsidP="00291EEC">
            <w:pPr>
              <w:pStyle w:val="tablecontents"/>
            </w:pPr>
            <w:r w:rsidRPr="00F334B6">
              <w:t>Stream A</w:t>
            </w:r>
          </w:p>
        </w:tc>
        <w:tc>
          <w:tcPr>
            <w:tcW w:w="496" w:type="pct"/>
            <w:hideMark/>
          </w:tcPr>
          <w:p w14:paraId="718575F3" w14:textId="77777777" w:rsidR="00D30531" w:rsidRPr="00F334B6" w:rsidRDefault="00D30531" w:rsidP="00291EEC">
            <w:pPr>
              <w:pStyle w:val="tablecontents"/>
            </w:pPr>
            <w:r w:rsidRPr="00F334B6">
              <w:rPr>
                <w:rFonts w:ascii="Calibri" w:hAnsi="Calibri"/>
              </w:rPr>
              <w:t>595,340</w:t>
            </w:r>
          </w:p>
        </w:tc>
        <w:tc>
          <w:tcPr>
            <w:tcW w:w="498" w:type="pct"/>
            <w:hideMark/>
          </w:tcPr>
          <w:p w14:paraId="280AEE8E" w14:textId="77777777" w:rsidR="00D30531" w:rsidRPr="00F334B6" w:rsidRDefault="00D30531" w:rsidP="00291EEC">
            <w:pPr>
              <w:pStyle w:val="tablecontents"/>
            </w:pPr>
            <w:r w:rsidRPr="00F334B6">
              <w:rPr>
                <w:rFonts w:ascii="Calibri" w:hAnsi="Calibri"/>
              </w:rPr>
              <w:t>56.5%</w:t>
            </w:r>
          </w:p>
        </w:tc>
        <w:tc>
          <w:tcPr>
            <w:tcW w:w="496" w:type="pct"/>
            <w:hideMark/>
          </w:tcPr>
          <w:p w14:paraId="466E7A0E" w14:textId="77777777" w:rsidR="00D30531" w:rsidRPr="00F334B6" w:rsidRDefault="00D30531" w:rsidP="00291EEC">
            <w:pPr>
              <w:pStyle w:val="tablecontents"/>
            </w:pPr>
            <w:r w:rsidRPr="00F334B6">
              <w:rPr>
                <w:rFonts w:ascii="Calibri" w:hAnsi="Calibri"/>
              </w:rPr>
              <w:t>307,890</w:t>
            </w:r>
          </w:p>
        </w:tc>
        <w:tc>
          <w:tcPr>
            <w:tcW w:w="497" w:type="pct"/>
            <w:hideMark/>
          </w:tcPr>
          <w:p w14:paraId="174D34F8" w14:textId="77777777" w:rsidR="00D30531" w:rsidRPr="00F334B6" w:rsidRDefault="00D30531" w:rsidP="00291EEC">
            <w:pPr>
              <w:pStyle w:val="tablecontents"/>
            </w:pPr>
            <w:r w:rsidRPr="00F334B6">
              <w:rPr>
                <w:rFonts w:ascii="Calibri" w:hAnsi="Calibri"/>
              </w:rPr>
              <w:t>55.7%</w:t>
            </w:r>
          </w:p>
        </w:tc>
        <w:tc>
          <w:tcPr>
            <w:tcW w:w="496" w:type="pct"/>
            <w:hideMark/>
          </w:tcPr>
          <w:p w14:paraId="07F5C552" w14:textId="77777777" w:rsidR="00D30531" w:rsidRPr="00F334B6" w:rsidRDefault="00D30531" w:rsidP="00291EEC">
            <w:pPr>
              <w:pStyle w:val="tablecontents"/>
            </w:pPr>
            <w:r w:rsidRPr="00F334B6">
              <w:rPr>
                <w:rFonts w:ascii="Calibri" w:hAnsi="Calibri"/>
              </w:rPr>
              <w:t>265,880</w:t>
            </w:r>
          </w:p>
        </w:tc>
        <w:tc>
          <w:tcPr>
            <w:tcW w:w="497" w:type="pct"/>
            <w:hideMark/>
          </w:tcPr>
          <w:p w14:paraId="7A9F893E" w14:textId="77777777" w:rsidR="00D30531" w:rsidRPr="00F334B6" w:rsidRDefault="00D30531" w:rsidP="00291EEC">
            <w:pPr>
              <w:pStyle w:val="tablecontents"/>
            </w:pPr>
            <w:r w:rsidRPr="00F334B6">
              <w:rPr>
                <w:rFonts w:ascii="Calibri" w:hAnsi="Calibri"/>
              </w:rPr>
              <w:t>57.3%</w:t>
            </w:r>
          </w:p>
        </w:tc>
        <w:tc>
          <w:tcPr>
            <w:tcW w:w="496" w:type="pct"/>
            <w:hideMark/>
          </w:tcPr>
          <w:p w14:paraId="5561010A" w14:textId="77777777" w:rsidR="00D30531" w:rsidRPr="00F334B6" w:rsidRDefault="00D30531" w:rsidP="00291EEC">
            <w:pPr>
              <w:pStyle w:val="tablecontents"/>
            </w:pPr>
            <w:r w:rsidRPr="00F334B6">
              <w:rPr>
                <w:rFonts w:ascii="Calibri" w:hAnsi="Calibri"/>
              </w:rPr>
              <w:t>177,270</w:t>
            </w:r>
          </w:p>
        </w:tc>
        <w:tc>
          <w:tcPr>
            <w:tcW w:w="495" w:type="pct"/>
            <w:hideMark/>
          </w:tcPr>
          <w:p w14:paraId="0571BDAB" w14:textId="77777777" w:rsidR="00D30531" w:rsidRPr="00F334B6" w:rsidRDefault="00D30531" w:rsidP="00291EEC">
            <w:pPr>
              <w:pStyle w:val="tablecontents"/>
            </w:pPr>
            <w:r w:rsidRPr="00F334B6">
              <w:rPr>
                <w:rFonts w:ascii="Calibri" w:hAnsi="Calibri"/>
              </w:rPr>
              <w:t>61.2%</w:t>
            </w:r>
          </w:p>
        </w:tc>
      </w:tr>
      <w:tr w:rsidR="00D30531" w:rsidRPr="00F334B6" w14:paraId="6AB2AF04" w14:textId="77777777" w:rsidTr="00291EEC">
        <w:trPr>
          <w:trHeight w:val="300"/>
        </w:trPr>
        <w:tc>
          <w:tcPr>
            <w:tcW w:w="1029" w:type="pct"/>
            <w:noWrap/>
            <w:hideMark/>
          </w:tcPr>
          <w:p w14:paraId="6B82DC61" w14:textId="77777777" w:rsidR="00D30531" w:rsidRPr="00F334B6" w:rsidRDefault="00D30531" w:rsidP="00291EEC">
            <w:pPr>
              <w:pStyle w:val="tablecontents"/>
            </w:pPr>
            <w:r w:rsidRPr="00F334B6">
              <w:t>Stream B</w:t>
            </w:r>
          </w:p>
        </w:tc>
        <w:tc>
          <w:tcPr>
            <w:tcW w:w="496" w:type="pct"/>
            <w:hideMark/>
          </w:tcPr>
          <w:p w14:paraId="164D6782" w14:textId="77777777" w:rsidR="00D30531" w:rsidRPr="00F334B6" w:rsidRDefault="00D30531" w:rsidP="00291EEC">
            <w:pPr>
              <w:pStyle w:val="tablecontents"/>
            </w:pPr>
            <w:r w:rsidRPr="00F334B6">
              <w:rPr>
                <w:rFonts w:ascii="Calibri" w:hAnsi="Calibri"/>
              </w:rPr>
              <w:t>317,110</w:t>
            </w:r>
          </w:p>
        </w:tc>
        <w:tc>
          <w:tcPr>
            <w:tcW w:w="498" w:type="pct"/>
            <w:hideMark/>
          </w:tcPr>
          <w:p w14:paraId="328899DA" w14:textId="77777777" w:rsidR="00D30531" w:rsidRPr="00F334B6" w:rsidRDefault="00D30531" w:rsidP="00291EEC">
            <w:pPr>
              <w:pStyle w:val="tablecontents"/>
            </w:pPr>
            <w:r w:rsidRPr="00F334B6">
              <w:rPr>
                <w:rFonts w:ascii="Calibri" w:hAnsi="Calibri"/>
              </w:rPr>
              <w:t>30.1%</w:t>
            </w:r>
          </w:p>
        </w:tc>
        <w:tc>
          <w:tcPr>
            <w:tcW w:w="496" w:type="pct"/>
            <w:hideMark/>
          </w:tcPr>
          <w:p w14:paraId="3D831FCE" w14:textId="77777777" w:rsidR="00D30531" w:rsidRPr="00F334B6" w:rsidRDefault="00D30531" w:rsidP="00291EEC">
            <w:pPr>
              <w:pStyle w:val="tablecontents"/>
            </w:pPr>
            <w:r w:rsidRPr="00F334B6">
              <w:rPr>
                <w:rFonts w:ascii="Calibri" w:hAnsi="Calibri"/>
              </w:rPr>
              <w:t>176,070</w:t>
            </w:r>
          </w:p>
        </w:tc>
        <w:tc>
          <w:tcPr>
            <w:tcW w:w="497" w:type="pct"/>
            <w:hideMark/>
          </w:tcPr>
          <w:p w14:paraId="6A67F2FB" w14:textId="77777777" w:rsidR="00D30531" w:rsidRPr="00F334B6" w:rsidRDefault="00D30531" w:rsidP="00291EEC">
            <w:pPr>
              <w:pStyle w:val="tablecontents"/>
            </w:pPr>
            <w:r w:rsidRPr="00F334B6">
              <w:rPr>
                <w:rFonts w:ascii="Calibri" w:hAnsi="Calibri"/>
              </w:rPr>
              <w:t>31.8%</w:t>
            </w:r>
          </w:p>
        </w:tc>
        <w:tc>
          <w:tcPr>
            <w:tcW w:w="496" w:type="pct"/>
            <w:hideMark/>
          </w:tcPr>
          <w:p w14:paraId="30E17C86" w14:textId="77777777" w:rsidR="00D30531" w:rsidRPr="00F334B6" w:rsidRDefault="00D30531" w:rsidP="00291EEC">
            <w:pPr>
              <w:pStyle w:val="tablecontents"/>
            </w:pPr>
            <w:r w:rsidRPr="00F334B6">
              <w:rPr>
                <w:rFonts w:ascii="Calibri" w:hAnsi="Calibri"/>
              </w:rPr>
              <w:t>143,580</w:t>
            </w:r>
          </w:p>
        </w:tc>
        <w:tc>
          <w:tcPr>
            <w:tcW w:w="497" w:type="pct"/>
            <w:hideMark/>
          </w:tcPr>
          <w:p w14:paraId="5572E563" w14:textId="77777777" w:rsidR="00D30531" w:rsidRPr="00F334B6" w:rsidRDefault="00D30531" w:rsidP="00291EEC">
            <w:pPr>
              <w:pStyle w:val="tablecontents"/>
            </w:pPr>
            <w:r w:rsidRPr="00F334B6">
              <w:rPr>
                <w:rFonts w:ascii="Calibri" w:hAnsi="Calibri"/>
              </w:rPr>
              <w:t>30.9%</w:t>
            </w:r>
          </w:p>
        </w:tc>
        <w:tc>
          <w:tcPr>
            <w:tcW w:w="496" w:type="pct"/>
            <w:hideMark/>
          </w:tcPr>
          <w:p w14:paraId="33D6F676" w14:textId="77777777" w:rsidR="00D30531" w:rsidRPr="00F334B6" w:rsidRDefault="00D30531" w:rsidP="00291EEC">
            <w:pPr>
              <w:pStyle w:val="tablecontents"/>
            </w:pPr>
            <w:r w:rsidRPr="00F334B6">
              <w:rPr>
                <w:rFonts w:ascii="Calibri" w:hAnsi="Calibri"/>
              </w:rPr>
              <w:t>82,530</w:t>
            </w:r>
          </w:p>
        </w:tc>
        <w:tc>
          <w:tcPr>
            <w:tcW w:w="495" w:type="pct"/>
            <w:hideMark/>
          </w:tcPr>
          <w:p w14:paraId="58B9CB22" w14:textId="77777777" w:rsidR="00D30531" w:rsidRPr="00F334B6" w:rsidRDefault="00D30531" w:rsidP="00291EEC">
            <w:pPr>
              <w:pStyle w:val="tablecontents"/>
            </w:pPr>
            <w:r w:rsidRPr="00F334B6">
              <w:rPr>
                <w:rFonts w:ascii="Calibri" w:hAnsi="Calibri"/>
              </w:rPr>
              <w:t>28.5%</w:t>
            </w:r>
          </w:p>
        </w:tc>
      </w:tr>
      <w:tr w:rsidR="00D30531" w:rsidRPr="00F334B6" w14:paraId="08795577" w14:textId="77777777" w:rsidTr="00291EEC">
        <w:trPr>
          <w:trHeight w:val="315"/>
        </w:trPr>
        <w:tc>
          <w:tcPr>
            <w:tcW w:w="1029" w:type="pct"/>
            <w:noWrap/>
            <w:hideMark/>
          </w:tcPr>
          <w:p w14:paraId="63F11A39" w14:textId="77777777" w:rsidR="00D30531" w:rsidRPr="00F334B6" w:rsidRDefault="00D30531" w:rsidP="00291EEC">
            <w:pPr>
              <w:pStyle w:val="tablecontents"/>
            </w:pPr>
            <w:r w:rsidRPr="00F334B6">
              <w:t>Stream C</w:t>
            </w:r>
          </w:p>
        </w:tc>
        <w:tc>
          <w:tcPr>
            <w:tcW w:w="496" w:type="pct"/>
            <w:noWrap/>
            <w:hideMark/>
          </w:tcPr>
          <w:p w14:paraId="3387DA85" w14:textId="77777777" w:rsidR="00D30531" w:rsidRPr="00F334B6" w:rsidRDefault="00D30531" w:rsidP="00291EEC">
            <w:pPr>
              <w:pStyle w:val="tablecontents"/>
            </w:pPr>
            <w:r w:rsidRPr="00F334B6">
              <w:rPr>
                <w:rFonts w:ascii="Calibri" w:hAnsi="Calibri"/>
              </w:rPr>
              <w:t>135,370</w:t>
            </w:r>
          </w:p>
        </w:tc>
        <w:tc>
          <w:tcPr>
            <w:tcW w:w="498" w:type="pct"/>
            <w:hideMark/>
          </w:tcPr>
          <w:p w14:paraId="7DD6E3AC" w14:textId="77777777" w:rsidR="00D30531" w:rsidRPr="00F334B6" w:rsidRDefault="00D30531" w:rsidP="00291EEC">
            <w:pPr>
              <w:pStyle w:val="tablecontents"/>
            </w:pPr>
            <w:r w:rsidRPr="00F334B6">
              <w:rPr>
                <w:rFonts w:ascii="Calibri" w:hAnsi="Calibri"/>
              </w:rPr>
              <w:t>12.8%</w:t>
            </w:r>
          </w:p>
        </w:tc>
        <w:tc>
          <w:tcPr>
            <w:tcW w:w="496" w:type="pct"/>
            <w:noWrap/>
            <w:hideMark/>
          </w:tcPr>
          <w:p w14:paraId="37E94900" w14:textId="77777777" w:rsidR="00D30531" w:rsidRPr="00F334B6" w:rsidRDefault="00D30531" w:rsidP="00291EEC">
            <w:pPr>
              <w:pStyle w:val="tablecontents"/>
            </w:pPr>
            <w:r w:rsidRPr="00F334B6">
              <w:rPr>
                <w:rFonts w:ascii="Calibri" w:hAnsi="Calibri"/>
              </w:rPr>
              <w:t>67,550</w:t>
            </w:r>
          </w:p>
        </w:tc>
        <w:tc>
          <w:tcPr>
            <w:tcW w:w="497" w:type="pct"/>
            <w:hideMark/>
          </w:tcPr>
          <w:p w14:paraId="0BA2673C" w14:textId="77777777" w:rsidR="00D30531" w:rsidRPr="00F334B6" w:rsidRDefault="00D30531" w:rsidP="00291EEC">
            <w:pPr>
              <w:pStyle w:val="tablecontents"/>
            </w:pPr>
            <w:r w:rsidRPr="00F334B6">
              <w:rPr>
                <w:rFonts w:ascii="Calibri" w:hAnsi="Calibri"/>
              </w:rPr>
              <w:t>12.2%</w:t>
            </w:r>
          </w:p>
        </w:tc>
        <w:tc>
          <w:tcPr>
            <w:tcW w:w="496" w:type="pct"/>
            <w:noWrap/>
            <w:hideMark/>
          </w:tcPr>
          <w:p w14:paraId="705F214A" w14:textId="77777777" w:rsidR="00D30531" w:rsidRPr="00F334B6" w:rsidRDefault="00D30531" w:rsidP="00291EEC">
            <w:pPr>
              <w:pStyle w:val="tablecontents"/>
            </w:pPr>
            <w:r w:rsidRPr="00F334B6">
              <w:rPr>
                <w:rFonts w:ascii="Calibri" w:hAnsi="Calibri"/>
              </w:rPr>
              <w:t>53,360</w:t>
            </w:r>
          </w:p>
        </w:tc>
        <w:tc>
          <w:tcPr>
            <w:tcW w:w="497" w:type="pct"/>
            <w:hideMark/>
          </w:tcPr>
          <w:p w14:paraId="0C8D1271" w14:textId="77777777" w:rsidR="00D30531" w:rsidRPr="00F334B6" w:rsidRDefault="00D30531" w:rsidP="00291EEC">
            <w:pPr>
              <w:pStyle w:val="tablecontents"/>
            </w:pPr>
            <w:r w:rsidRPr="00F334B6">
              <w:rPr>
                <w:rFonts w:ascii="Calibri" w:hAnsi="Calibri"/>
              </w:rPr>
              <w:t>11.5%</w:t>
            </w:r>
          </w:p>
        </w:tc>
        <w:tc>
          <w:tcPr>
            <w:tcW w:w="496" w:type="pct"/>
            <w:noWrap/>
            <w:hideMark/>
          </w:tcPr>
          <w:p w14:paraId="1B092496" w14:textId="77777777" w:rsidR="00D30531" w:rsidRPr="00F334B6" w:rsidRDefault="00D30531" w:rsidP="00291EEC">
            <w:pPr>
              <w:pStyle w:val="tablecontents"/>
            </w:pPr>
            <w:r w:rsidRPr="00F334B6">
              <w:rPr>
                <w:rFonts w:ascii="Calibri" w:hAnsi="Calibri"/>
              </w:rPr>
              <w:t>29,310</w:t>
            </w:r>
          </w:p>
        </w:tc>
        <w:tc>
          <w:tcPr>
            <w:tcW w:w="495" w:type="pct"/>
            <w:hideMark/>
          </w:tcPr>
          <w:p w14:paraId="48CD566C" w14:textId="77777777" w:rsidR="00D30531" w:rsidRPr="00F334B6" w:rsidRDefault="00D30531" w:rsidP="00291EEC">
            <w:pPr>
              <w:pStyle w:val="tablecontents"/>
            </w:pPr>
            <w:r w:rsidRPr="00F334B6">
              <w:rPr>
                <w:rFonts w:ascii="Calibri" w:hAnsi="Calibri"/>
              </w:rPr>
              <w:t>10.1%</w:t>
            </w:r>
          </w:p>
        </w:tc>
      </w:tr>
      <w:tr w:rsidR="00D30531" w:rsidRPr="00F334B6" w14:paraId="69D986C1" w14:textId="77777777" w:rsidTr="00291EEC">
        <w:trPr>
          <w:trHeight w:val="315"/>
        </w:trPr>
        <w:tc>
          <w:tcPr>
            <w:tcW w:w="1029" w:type="pct"/>
            <w:shd w:val="clear" w:color="auto" w:fill="D8F3FC" w:themeFill="accent1" w:themeFillTint="33"/>
            <w:noWrap/>
            <w:hideMark/>
          </w:tcPr>
          <w:p w14:paraId="31D05CBF" w14:textId="77777777" w:rsidR="00D30531" w:rsidRPr="00291EEC" w:rsidRDefault="00D30531" w:rsidP="00291EEC">
            <w:pPr>
              <w:pStyle w:val="tablecontents"/>
              <w:rPr>
                <w:b/>
              </w:rPr>
            </w:pPr>
            <w:r w:rsidRPr="00291EEC">
              <w:rPr>
                <w:b/>
              </w:rPr>
              <w:t>Grand Total</w:t>
            </w:r>
          </w:p>
        </w:tc>
        <w:tc>
          <w:tcPr>
            <w:tcW w:w="994" w:type="pct"/>
            <w:gridSpan w:val="2"/>
            <w:shd w:val="clear" w:color="auto" w:fill="D8F3FC" w:themeFill="accent1" w:themeFillTint="33"/>
            <w:noWrap/>
            <w:hideMark/>
          </w:tcPr>
          <w:p w14:paraId="2182CCCD" w14:textId="77777777" w:rsidR="00D30531" w:rsidRPr="00291EEC" w:rsidRDefault="00D30531" w:rsidP="00291EEC">
            <w:pPr>
              <w:pStyle w:val="tablecontents"/>
              <w:jc w:val="center"/>
              <w:rPr>
                <w:b/>
              </w:rPr>
            </w:pPr>
            <w:r w:rsidRPr="00291EEC">
              <w:rPr>
                <w:b/>
              </w:rPr>
              <w:t>1,054,360</w:t>
            </w:r>
          </w:p>
        </w:tc>
        <w:tc>
          <w:tcPr>
            <w:tcW w:w="993" w:type="pct"/>
            <w:gridSpan w:val="2"/>
            <w:shd w:val="clear" w:color="auto" w:fill="D8F3FC" w:themeFill="accent1" w:themeFillTint="33"/>
            <w:noWrap/>
            <w:hideMark/>
          </w:tcPr>
          <w:p w14:paraId="31F79DE7" w14:textId="77777777" w:rsidR="00D30531" w:rsidRPr="00291EEC" w:rsidRDefault="00D30531" w:rsidP="00291EEC">
            <w:pPr>
              <w:pStyle w:val="tablecontents"/>
              <w:jc w:val="center"/>
              <w:rPr>
                <w:b/>
              </w:rPr>
            </w:pPr>
            <w:r w:rsidRPr="00291EEC">
              <w:rPr>
                <w:b/>
              </w:rPr>
              <w:t>552,820</w:t>
            </w:r>
          </w:p>
        </w:tc>
        <w:tc>
          <w:tcPr>
            <w:tcW w:w="993" w:type="pct"/>
            <w:gridSpan w:val="2"/>
            <w:shd w:val="clear" w:color="auto" w:fill="D8F3FC" w:themeFill="accent1" w:themeFillTint="33"/>
            <w:noWrap/>
            <w:hideMark/>
          </w:tcPr>
          <w:p w14:paraId="03718110" w14:textId="77777777" w:rsidR="00D30531" w:rsidRPr="00291EEC" w:rsidRDefault="00D30531" w:rsidP="00291EEC">
            <w:pPr>
              <w:pStyle w:val="tablecontents"/>
              <w:jc w:val="center"/>
              <w:rPr>
                <w:b/>
              </w:rPr>
            </w:pPr>
            <w:r w:rsidRPr="00291EEC">
              <w:rPr>
                <w:b/>
              </w:rPr>
              <w:t>463,950</w:t>
            </w:r>
          </w:p>
        </w:tc>
        <w:tc>
          <w:tcPr>
            <w:tcW w:w="991" w:type="pct"/>
            <w:gridSpan w:val="2"/>
            <w:shd w:val="clear" w:color="auto" w:fill="D8F3FC" w:themeFill="accent1" w:themeFillTint="33"/>
            <w:noWrap/>
            <w:hideMark/>
          </w:tcPr>
          <w:p w14:paraId="3470E3A2" w14:textId="77777777" w:rsidR="00D30531" w:rsidRPr="00291EEC" w:rsidRDefault="00D30531" w:rsidP="00291EEC">
            <w:pPr>
              <w:pStyle w:val="tablecontents"/>
              <w:jc w:val="center"/>
              <w:rPr>
                <w:b/>
              </w:rPr>
            </w:pPr>
            <w:r w:rsidRPr="00291EEC">
              <w:rPr>
                <w:b/>
              </w:rPr>
              <w:t>289,740</w:t>
            </w:r>
          </w:p>
        </w:tc>
      </w:tr>
    </w:tbl>
    <w:p w14:paraId="59139033" w14:textId="77777777" w:rsidR="00D30531" w:rsidRPr="00EF1C1A" w:rsidRDefault="00D30531" w:rsidP="000419C7">
      <w:pPr>
        <w:pStyle w:val="Heading2"/>
      </w:pPr>
      <w:r w:rsidRPr="00EF1C1A">
        <w:t xml:space="preserve">Job Placements and outcomes by duration of </w:t>
      </w:r>
      <w:r w:rsidRPr="000419C7">
        <w:t>unemployment</w:t>
      </w:r>
    </w:p>
    <w:p w14:paraId="5E8FD88E" w14:textId="65A0BC3A" w:rsidR="00D30531" w:rsidRPr="0079731C" w:rsidRDefault="00D30531" w:rsidP="00EF1C1A">
      <w:r w:rsidRPr="0079731C">
        <w:t xml:space="preserve">Between 1 July 2015 and 31 May 2018, 546,660 of job placements were for </w:t>
      </w:r>
      <w:r w:rsidR="000419C7">
        <w:t>LTU, accounting for 51.8 </w:t>
      </w:r>
      <w:r w:rsidRPr="0079731C">
        <w:t>per cent of all job placements. Of these 93,930 (or 8.9 per cent of all placements) were for those considered to be</w:t>
      </w:r>
      <w:r w:rsidR="000A3ADF">
        <w:t xml:space="preserve"> ELTU</w:t>
      </w:r>
      <w:r w:rsidRPr="0079731C">
        <w:t xml:space="preserve">. </w:t>
      </w:r>
    </w:p>
    <w:p w14:paraId="4F73AC3B" w14:textId="6C06BE8E" w:rsidR="00D30531" w:rsidRPr="002D18A1" w:rsidRDefault="00D30531" w:rsidP="000419C7">
      <w:pPr>
        <w:pStyle w:val="ChartandTabletitle"/>
      </w:pPr>
      <w:r w:rsidRPr="0079731C">
        <w:t xml:space="preserve">Figure </w:t>
      </w:r>
      <w:r>
        <w:t>F.1</w:t>
      </w:r>
      <w:r w:rsidRPr="0079731C">
        <w:t>:  Outcomes by duration of unemployment, 1 July 2015 to 31 May 2018</w:t>
      </w:r>
    </w:p>
    <w:p w14:paraId="23A33BD0" w14:textId="7D9A8506" w:rsidR="00D30531" w:rsidRDefault="007D3303" w:rsidP="007D3303">
      <w:pPr>
        <w:pStyle w:val="Chart"/>
        <w:rPr>
          <w:rFonts w:cstheme="minorHAnsi"/>
        </w:rPr>
      </w:pPr>
      <w:r>
        <w:drawing>
          <wp:inline distT="0" distB="0" distL="0" distR="0" wp14:anchorId="2BEE3B6E" wp14:editId="41A8BF5B">
            <wp:extent cx="5670097" cy="3456000"/>
            <wp:effectExtent l="0" t="0" r="6985" b="0"/>
            <wp:docPr id="35" name="Chart 35" descr="Graph showing the number of job placements and 4, 12 and 26 week outcomes achieved by job seekers by different periods of duration on jobactive, as summarised in the previous paragraph. It shows that the largest number of job placements and outcomes were for job seekers who had been in jobactive for under 12 months, and the smallest number for job seekers who had been in jobactive for 60 months or more. "/>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FF6059F" w14:textId="77777777" w:rsidR="00D30531" w:rsidRPr="00EF1C1A" w:rsidRDefault="00D30531" w:rsidP="006966DA">
      <w:pPr>
        <w:pStyle w:val="Heading2"/>
        <w:rPr>
          <w:rStyle w:val="Strong"/>
          <w:b/>
          <w:sz w:val="24"/>
        </w:rPr>
      </w:pPr>
      <w:r w:rsidRPr="00EF1C1A">
        <w:rPr>
          <w:rStyle w:val="Strong"/>
          <w:b/>
          <w:sz w:val="24"/>
        </w:rPr>
        <w:t>Placements and outcomes by selected cohorts</w:t>
      </w:r>
    </w:p>
    <w:p w14:paraId="1C42954E" w14:textId="752D6BEB" w:rsidR="00D30531" w:rsidRDefault="00D30531" w:rsidP="00EF1C1A">
      <w:r>
        <w:t>jobactive is helping more disadvantaged job seekers move into employment. For example, between 1 July 2015 and 31 May 2018, 180,170 placements were for people with a disability. Of these, 43,300 achieved a 26-week outcome (or 14.9 per cent of all 26-week outcomes).</w:t>
      </w:r>
    </w:p>
    <w:p w14:paraId="4166A495" w14:textId="51F4C16C" w:rsidR="00D30531" w:rsidRPr="00B6226E" w:rsidRDefault="00D30531" w:rsidP="007B5352">
      <w:pPr>
        <w:pStyle w:val="ChartandTabletitle"/>
        <w:ind w:left="-142"/>
      </w:pPr>
      <w:r>
        <w:lastRenderedPageBreak/>
        <w:t>Table F.3: Placements and o</w:t>
      </w:r>
      <w:r w:rsidRPr="00B6226E">
        <w:t>utcomes by</w:t>
      </w:r>
      <w:r>
        <w:t xml:space="preserve"> selected</w:t>
      </w:r>
      <w:r w:rsidRPr="00B6226E">
        <w:t xml:space="preserve"> cohorts</w:t>
      </w:r>
      <w:r>
        <w:t>, 1 July 2015 to 31 May</w:t>
      </w:r>
      <w:r w:rsidRPr="002D18A1">
        <w:t xml:space="preserve"> 2018</w:t>
      </w:r>
    </w:p>
    <w:tbl>
      <w:tblPr>
        <w:tblStyle w:val="TableGrid1"/>
        <w:tblW w:w="5771" w:type="pct"/>
        <w:tblLayout w:type="fixed"/>
        <w:tblLook w:val="04A0" w:firstRow="1" w:lastRow="0" w:firstColumn="1" w:lastColumn="0" w:noHBand="0" w:noVBand="1"/>
      </w:tblPr>
      <w:tblGrid>
        <w:gridCol w:w="2261"/>
        <w:gridCol w:w="1277"/>
        <w:gridCol w:w="1145"/>
        <w:gridCol w:w="1145"/>
        <w:gridCol w:w="1145"/>
        <w:gridCol w:w="1145"/>
        <w:gridCol w:w="1145"/>
        <w:gridCol w:w="1143"/>
      </w:tblGrid>
      <w:tr w:rsidR="003C2F92" w:rsidRPr="00974778" w14:paraId="010357D1" w14:textId="77777777" w:rsidTr="001C143A">
        <w:trPr>
          <w:trHeight w:val="800"/>
          <w:tblHeader/>
        </w:trPr>
        <w:tc>
          <w:tcPr>
            <w:tcW w:w="1087" w:type="pct"/>
            <w:shd w:val="clear" w:color="auto" w:fill="B2E8FA" w:themeFill="accent1" w:themeFillTint="66"/>
            <w:noWrap/>
            <w:hideMark/>
          </w:tcPr>
          <w:p w14:paraId="19C4BA67" w14:textId="77777777" w:rsidR="00D30531" w:rsidRPr="00974778" w:rsidRDefault="00D30531" w:rsidP="00EF1C1A">
            <w:pPr>
              <w:spacing w:after="0" w:line="240" w:lineRule="auto"/>
              <w:jc w:val="center"/>
              <w:rPr>
                <w:rFonts w:ascii="Calibri" w:eastAsia="Times New Roman" w:hAnsi="Calibri" w:cs="Calibri"/>
                <w:b/>
                <w:bCs/>
                <w:sz w:val="20"/>
                <w:szCs w:val="20"/>
                <w:lang w:eastAsia="en-AU"/>
              </w:rPr>
            </w:pPr>
            <w:r w:rsidRPr="00974778">
              <w:rPr>
                <w:rFonts w:ascii="Calibri" w:eastAsia="Times New Roman" w:hAnsi="Calibri" w:cs="Calibri"/>
                <w:b/>
                <w:bCs/>
                <w:sz w:val="20"/>
                <w:szCs w:val="20"/>
                <w:lang w:eastAsia="en-AU"/>
              </w:rPr>
              <w:t>Selected cohort</w:t>
            </w:r>
          </w:p>
        </w:tc>
        <w:tc>
          <w:tcPr>
            <w:tcW w:w="614" w:type="pct"/>
            <w:shd w:val="clear" w:color="auto" w:fill="B2E8FA" w:themeFill="accent1" w:themeFillTint="66"/>
            <w:hideMark/>
          </w:tcPr>
          <w:p w14:paraId="2B2FC5D4" w14:textId="77777777" w:rsidR="00D30531" w:rsidRPr="00974778" w:rsidRDefault="00D30531" w:rsidP="00EF1C1A">
            <w:pPr>
              <w:spacing w:after="0" w:line="240" w:lineRule="auto"/>
              <w:jc w:val="center"/>
              <w:rPr>
                <w:rFonts w:ascii="Calibri" w:eastAsia="Times New Roman" w:hAnsi="Calibri" w:cs="Calibri"/>
                <w:b/>
                <w:bCs/>
                <w:sz w:val="20"/>
                <w:szCs w:val="20"/>
                <w:lang w:eastAsia="en-AU"/>
              </w:rPr>
            </w:pPr>
            <w:r w:rsidRPr="00974778">
              <w:rPr>
                <w:rFonts w:ascii="Calibri" w:eastAsia="Times New Roman" w:hAnsi="Calibri" w:cs="Calibri"/>
                <w:b/>
                <w:bCs/>
                <w:sz w:val="20"/>
                <w:szCs w:val="20"/>
                <w:lang w:eastAsia="en-AU"/>
              </w:rPr>
              <w:t>Job Placements</w:t>
            </w:r>
          </w:p>
        </w:tc>
        <w:tc>
          <w:tcPr>
            <w:tcW w:w="550" w:type="pct"/>
            <w:shd w:val="clear" w:color="auto" w:fill="B2E8FA" w:themeFill="accent1" w:themeFillTint="66"/>
            <w:hideMark/>
          </w:tcPr>
          <w:p w14:paraId="62C529A2" w14:textId="77777777" w:rsidR="00D30531" w:rsidRPr="00974778" w:rsidRDefault="00D30531" w:rsidP="00EF1C1A">
            <w:pPr>
              <w:spacing w:after="0" w:line="240" w:lineRule="auto"/>
              <w:jc w:val="center"/>
              <w:rPr>
                <w:rFonts w:ascii="Calibri" w:eastAsia="Times New Roman" w:hAnsi="Calibri" w:cs="Calibri"/>
                <w:b/>
                <w:bCs/>
                <w:sz w:val="20"/>
                <w:szCs w:val="20"/>
                <w:lang w:eastAsia="en-AU"/>
              </w:rPr>
            </w:pPr>
            <w:r w:rsidRPr="00974778">
              <w:rPr>
                <w:rFonts w:ascii="Calibri" w:eastAsia="Times New Roman" w:hAnsi="Calibri" w:cs="Calibri"/>
                <w:b/>
                <w:bCs/>
                <w:sz w:val="20"/>
                <w:szCs w:val="20"/>
                <w:lang w:eastAsia="en-AU"/>
              </w:rPr>
              <w:t>4-Week Outcomes</w:t>
            </w:r>
          </w:p>
        </w:tc>
        <w:tc>
          <w:tcPr>
            <w:tcW w:w="550" w:type="pct"/>
            <w:shd w:val="clear" w:color="auto" w:fill="B2E8FA" w:themeFill="accent1" w:themeFillTint="66"/>
            <w:hideMark/>
          </w:tcPr>
          <w:p w14:paraId="40DB20F7" w14:textId="77777777" w:rsidR="00D30531" w:rsidRPr="00974778" w:rsidRDefault="00D30531" w:rsidP="00EF1C1A">
            <w:pPr>
              <w:spacing w:after="0" w:line="240"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4-</w:t>
            </w:r>
            <w:r w:rsidRPr="00974778">
              <w:rPr>
                <w:rFonts w:ascii="Calibri" w:eastAsia="Times New Roman" w:hAnsi="Calibri" w:cs="Calibri"/>
                <w:b/>
                <w:bCs/>
                <w:color w:val="000000"/>
                <w:sz w:val="20"/>
                <w:szCs w:val="20"/>
                <w:lang w:eastAsia="en-AU"/>
              </w:rPr>
              <w:t xml:space="preserve">Week Outcome Rate </w:t>
            </w:r>
          </w:p>
        </w:tc>
        <w:tc>
          <w:tcPr>
            <w:tcW w:w="550" w:type="pct"/>
            <w:shd w:val="clear" w:color="auto" w:fill="B2E8FA" w:themeFill="accent1" w:themeFillTint="66"/>
            <w:hideMark/>
          </w:tcPr>
          <w:p w14:paraId="318C79E6" w14:textId="77777777" w:rsidR="00D30531" w:rsidRPr="00974778" w:rsidRDefault="00D30531" w:rsidP="00EF1C1A">
            <w:pPr>
              <w:spacing w:after="0" w:line="240" w:lineRule="auto"/>
              <w:jc w:val="center"/>
              <w:rPr>
                <w:rFonts w:ascii="Calibri" w:eastAsia="Times New Roman" w:hAnsi="Calibri" w:cs="Calibri"/>
                <w:b/>
                <w:bCs/>
                <w:sz w:val="20"/>
                <w:szCs w:val="20"/>
                <w:lang w:eastAsia="en-AU"/>
              </w:rPr>
            </w:pPr>
            <w:r w:rsidRPr="00974778">
              <w:rPr>
                <w:rFonts w:ascii="Calibri" w:eastAsia="Times New Roman" w:hAnsi="Calibri" w:cs="Calibri"/>
                <w:b/>
                <w:bCs/>
                <w:sz w:val="20"/>
                <w:szCs w:val="20"/>
                <w:lang w:eastAsia="en-AU"/>
              </w:rPr>
              <w:t>12-Week Outcomes</w:t>
            </w:r>
          </w:p>
        </w:tc>
        <w:tc>
          <w:tcPr>
            <w:tcW w:w="550" w:type="pct"/>
            <w:shd w:val="clear" w:color="auto" w:fill="B2E8FA" w:themeFill="accent1" w:themeFillTint="66"/>
            <w:hideMark/>
          </w:tcPr>
          <w:p w14:paraId="752D420C" w14:textId="77777777" w:rsidR="00D30531" w:rsidRPr="00974778" w:rsidRDefault="00D30531" w:rsidP="00EF1C1A">
            <w:pPr>
              <w:spacing w:after="0" w:line="240"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12-</w:t>
            </w:r>
            <w:r w:rsidRPr="00974778">
              <w:rPr>
                <w:rFonts w:ascii="Calibri" w:eastAsia="Times New Roman" w:hAnsi="Calibri" w:cs="Calibri"/>
                <w:b/>
                <w:bCs/>
                <w:color w:val="000000"/>
                <w:sz w:val="20"/>
                <w:szCs w:val="20"/>
                <w:lang w:eastAsia="en-AU"/>
              </w:rPr>
              <w:t xml:space="preserve">Week Outcome Rate </w:t>
            </w:r>
          </w:p>
        </w:tc>
        <w:tc>
          <w:tcPr>
            <w:tcW w:w="550" w:type="pct"/>
            <w:shd w:val="clear" w:color="auto" w:fill="B2E8FA" w:themeFill="accent1" w:themeFillTint="66"/>
            <w:hideMark/>
          </w:tcPr>
          <w:p w14:paraId="644BA9DD" w14:textId="77777777" w:rsidR="00D30531" w:rsidRPr="00974778" w:rsidRDefault="00D30531" w:rsidP="00EF1C1A">
            <w:pPr>
              <w:spacing w:after="0" w:line="240" w:lineRule="auto"/>
              <w:jc w:val="center"/>
              <w:rPr>
                <w:rFonts w:ascii="Calibri" w:eastAsia="Times New Roman" w:hAnsi="Calibri" w:cs="Calibri"/>
                <w:b/>
                <w:bCs/>
                <w:sz w:val="20"/>
                <w:szCs w:val="20"/>
                <w:lang w:eastAsia="en-AU"/>
              </w:rPr>
            </w:pPr>
            <w:r w:rsidRPr="00974778">
              <w:rPr>
                <w:rFonts w:ascii="Calibri" w:eastAsia="Times New Roman" w:hAnsi="Calibri" w:cs="Calibri"/>
                <w:b/>
                <w:bCs/>
                <w:sz w:val="20"/>
                <w:szCs w:val="20"/>
                <w:lang w:eastAsia="en-AU"/>
              </w:rPr>
              <w:t>26-Week Outcomes</w:t>
            </w:r>
          </w:p>
        </w:tc>
        <w:tc>
          <w:tcPr>
            <w:tcW w:w="550" w:type="pct"/>
            <w:shd w:val="clear" w:color="auto" w:fill="B2E8FA" w:themeFill="accent1" w:themeFillTint="66"/>
            <w:hideMark/>
          </w:tcPr>
          <w:p w14:paraId="45C06584" w14:textId="77777777" w:rsidR="00D30531" w:rsidRPr="00974778" w:rsidRDefault="00D30531" w:rsidP="00EF1C1A">
            <w:pPr>
              <w:spacing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26</w:t>
            </w:r>
            <w:r>
              <w:rPr>
                <w:rFonts w:ascii="Calibri" w:eastAsia="Times New Roman" w:hAnsi="Calibri" w:cs="Calibri"/>
                <w:b/>
                <w:bCs/>
                <w:color w:val="000000"/>
                <w:sz w:val="20"/>
                <w:szCs w:val="20"/>
                <w:lang w:eastAsia="en-AU"/>
              </w:rPr>
              <w:t>-</w:t>
            </w:r>
            <w:r w:rsidRPr="00974778">
              <w:rPr>
                <w:rFonts w:ascii="Calibri" w:eastAsia="Times New Roman" w:hAnsi="Calibri" w:cs="Calibri"/>
                <w:b/>
                <w:bCs/>
                <w:color w:val="000000"/>
                <w:sz w:val="20"/>
                <w:szCs w:val="20"/>
                <w:lang w:eastAsia="en-AU"/>
              </w:rPr>
              <w:t xml:space="preserve">Week Outcome Rate </w:t>
            </w:r>
          </w:p>
        </w:tc>
      </w:tr>
      <w:tr w:rsidR="00F71503" w:rsidRPr="00974778" w14:paraId="6CE4454E" w14:textId="77777777" w:rsidTr="003C2F92">
        <w:trPr>
          <w:trHeight w:val="310"/>
        </w:trPr>
        <w:tc>
          <w:tcPr>
            <w:tcW w:w="1087" w:type="pct"/>
            <w:noWrap/>
            <w:hideMark/>
          </w:tcPr>
          <w:p w14:paraId="784C9EC0" w14:textId="77777777" w:rsidR="00D30531" w:rsidRPr="00974778" w:rsidRDefault="00D30531" w:rsidP="003C2F92">
            <w:pPr>
              <w:pStyle w:val="tablecontents"/>
            </w:pPr>
            <w:r w:rsidRPr="00974778">
              <w:t>People with Disability</w:t>
            </w:r>
          </w:p>
        </w:tc>
        <w:tc>
          <w:tcPr>
            <w:tcW w:w="614" w:type="pct"/>
            <w:hideMark/>
          </w:tcPr>
          <w:p w14:paraId="2E7323F0" w14:textId="77777777" w:rsidR="00D30531" w:rsidRPr="00974778" w:rsidRDefault="00D30531" w:rsidP="003C2F92">
            <w:pPr>
              <w:pStyle w:val="tablecontents"/>
              <w:jc w:val="center"/>
            </w:pPr>
            <w:r w:rsidRPr="00974778">
              <w:t>180,170</w:t>
            </w:r>
          </w:p>
        </w:tc>
        <w:tc>
          <w:tcPr>
            <w:tcW w:w="550" w:type="pct"/>
            <w:hideMark/>
          </w:tcPr>
          <w:p w14:paraId="12367AB1" w14:textId="77777777" w:rsidR="00D30531" w:rsidRPr="00974778" w:rsidRDefault="00D30531" w:rsidP="003C2F92">
            <w:pPr>
              <w:pStyle w:val="tablecontents"/>
              <w:jc w:val="center"/>
            </w:pPr>
            <w:r w:rsidRPr="00974778">
              <w:t>96,070</w:t>
            </w:r>
          </w:p>
        </w:tc>
        <w:tc>
          <w:tcPr>
            <w:tcW w:w="550" w:type="pct"/>
            <w:hideMark/>
          </w:tcPr>
          <w:p w14:paraId="4F0D9D3C" w14:textId="77777777" w:rsidR="00D30531" w:rsidRPr="00974778" w:rsidRDefault="00D30531" w:rsidP="003C2F92">
            <w:pPr>
              <w:pStyle w:val="tablecontents"/>
              <w:jc w:val="center"/>
            </w:pPr>
            <w:r w:rsidRPr="00974778">
              <w:t>58.5%</w:t>
            </w:r>
          </w:p>
        </w:tc>
        <w:tc>
          <w:tcPr>
            <w:tcW w:w="550" w:type="pct"/>
            <w:hideMark/>
          </w:tcPr>
          <w:p w14:paraId="5855E4D5" w14:textId="77777777" w:rsidR="00D30531" w:rsidRPr="00974778" w:rsidRDefault="00D30531" w:rsidP="003C2F92">
            <w:pPr>
              <w:pStyle w:val="tablecontents"/>
              <w:jc w:val="center"/>
            </w:pPr>
            <w:r w:rsidRPr="00974778">
              <w:t>77,810</w:t>
            </w:r>
          </w:p>
        </w:tc>
        <w:tc>
          <w:tcPr>
            <w:tcW w:w="550" w:type="pct"/>
            <w:hideMark/>
          </w:tcPr>
          <w:p w14:paraId="723897A4" w14:textId="77777777" w:rsidR="00D30531" w:rsidRPr="00974778" w:rsidRDefault="00D30531" w:rsidP="003C2F92">
            <w:pPr>
              <w:pStyle w:val="tablecontents"/>
              <w:jc w:val="center"/>
            </w:pPr>
            <w:r w:rsidRPr="00974778">
              <w:t>49.6%</w:t>
            </w:r>
          </w:p>
        </w:tc>
        <w:tc>
          <w:tcPr>
            <w:tcW w:w="550" w:type="pct"/>
            <w:hideMark/>
          </w:tcPr>
          <w:p w14:paraId="001E6DBC" w14:textId="77777777" w:rsidR="00D30531" w:rsidRPr="00974778" w:rsidRDefault="00D30531" w:rsidP="003C2F92">
            <w:pPr>
              <w:pStyle w:val="tablecontents"/>
              <w:jc w:val="center"/>
            </w:pPr>
            <w:r w:rsidRPr="00974778">
              <w:t>43,300</w:t>
            </w:r>
          </w:p>
        </w:tc>
        <w:tc>
          <w:tcPr>
            <w:tcW w:w="550" w:type="pct"/>
            <w:hideMark/>
          </w:tcPr>
          <w:p w14:paraId="2A648237" w14:textId="77777777" w:rsidR="00D30531" w:rsidRPr="00974778" w:rsidRDefault="00D30531" w:rsidP="003C2F92">
            <w:pPr>
              <w:pStyle w:val="tablecontents"/>
              <w:jc w:val="center"/>
            </w:pPr>
            <w:r w:rsidRPr="00974778">
              <w:t>31.3%</w:t>
            </w:r>
          </w:p>
        </w:tc>
      </w:tr>
      <w:tr w:rsidR="00F71503" w:rsidRPr="00974778" w14:paraId="3A0E9AEE" w14:textId="77777777" w:rsidTr="003C2F92">
        <w:trPr>
          <w:trHeight w:val="290"/>
        </w:trPr>
        <w:tc>
          <w:tcPr>
            <w:tcW w:w="1087" w:type="pct"/>
            <w:noWrap/>
            <w:hideMark/>
          </w:tcPr>
          <w:p w14:paraId="0C43BAF3" w14:textId="77777777" w:rsidR="00D30531" w:rsidRPr="00974778" w:rsidRDefault="00D30531" w:rsidP="003C2F92">
            <w:pPr>
              <w:pStyle w:val="tablecontents"/>
            </w:pPr>
            <w:r w:rsidRPr="00974778">
              <w:t>Culturally and Linguistically Diverse</w:t>
            </w:r>
          </w:p>
        </w:tc>
        <w:tc>
          <w:tcPr>
            <w:tcW w:w="614" w:type="pct"/>
            <w:hideMark/>
          </w:tcPr>
          <w:p w14:paraId="1D67A843" w14:textId="77777777" w:rsidR="00D30531" w:rsidRPr="00974778" w:rsidRDefault="00D30531" w:rsidP="003C2F92">
            <w:pPr>
              <w:pStyle w:val="tablecontents"/>
              <w:jc w:val="center"/>
            </w:pPr>
            <w:r w:rsidRPr="00974778">
              <w:t>170,970</w:t>
            </w:r>
          </w:p>
        </w:tc>
        <w:tc>
          <w:tcPr>
            <w:tcW w:w="550" w:type="pct"/>
            <w:hideMark/>
          </w:tcPr>
          <w:p w14:paraId="2CAEDDB8" w14:textId="77777777" w:rsidR="00D30531" w:rsidRPr="00974778" w:rsidRDefault="00D30531" w:rsidP="003C2F92">
            <w:pPr>
              <w:pStyle w:val="tablecontents"/>
              <w:jc w:val="center"/>
            </w:pPr>
            <w:r w:rsidRPr="00974778">
              <w:t>96,550</w:t>
            </w:r>
          </w:p>
        </w:tc>
        <w:tc>
          <w:tcPr>
            <w:tcW w:w="550" w:type="pct"/>
            <w:hideMark/>
          </w:tcPr>
          <w:p w14:paraId="4B7CAB58" w14:textId="77777777" w:rsidR="00D30531" w:rsidRPr="00974778" w:rsidRDefault="00D30531" w:rsidP="003C2F92">
            <w:pPr>
              <w:pStyle w:val="tablecontents"/>
              <w:jc w:val="center"/>
            </w:pPr>
            <w:r w:rsidRPr="00974778">
              <w:t>65.9%</w:t>
            </w:r>
          </w:p>
        </w:tc>
        <w:tc>
          <w:tcPr>
            <w:tcW w:w="550" w:type="pct"/>
            <w:hideMark/>
          </w:tcPr>
          <w:p w14:paraId="08C61E19" w14:textId="77777777" w:rsidR="00D30531" w:rsidRPr="00974778" w:rsidRDefault="00D30531" w:rsidP="003C2F92">
            <w:pPr>
              <w:pStyle w:val="tablecontents"/>
              <w:jc w:val="center"/>
            </w:pPr>
            <w:r w:rsidRPr="00974778">
              <w:t>81,910</w:t>
            </w:r>
          </w:p>
        </w:tc>
        <w:tc>
          <w:tcPr>
            <w:tcW w:w="550" w:type="pct"/>
            <w:hideMark/>
          </w:tcPr>
          <w:p w14:paraId="337D515E" w14:textId="77777777" w:rsidR="00D30531" w:rsidRPr="00974778" w:rsidRDefault="00D30531" w:rsidP="003C2F92">
            <w:pPr>
              <w:pStyle w:val="tablecontents"/>
              <w:jc w:val="center"/>
            </w:pPr>
            <w:r w:rsidRPr="00974778">
              <w:t>58.7%</w:t>
            </w:r>
          </w:p>
        </w:tc>
        <w:tc>
          <w:tcPr>
            <w:tcW w:w="550" w:type="pct"/>
            <w:hideMark/>
          </w:tcPr>
          <w:p w14:paraId="69A74409" w14:textId="77777777" w:rsidR="00D30531" w:rsidRPr="00974778" w:rsidRDefault="00D30531" w:rsidP="003C2F92">
            <w:pPr>
              <w:pStyle w:val="tablecontents"/>
              <w:jc w:val="center"/>
            </w:pPr>
            <w:r w:rsidRPr="00974778">
              <w:t>52,930</w:t>
            </w:r>
          </w:p>
        </w:tc>
        <w:tc>
          <w:tcPr>
            <w:tcW w:w="550" w:type="pct"/>
            <w:hideMark/>
          </w:tcPr>
          <w:p w14:paraId="50E9F2A6" w14:textId="77777777" w:rsidR="00D30531" w:rsidRPr="00974778" w:rsidRDefault="00D30531" w:rsidP="003C2F92">
            <w:pPr>
              <w:pStyle w:val="tablecontents"/>
              <w:jc w:val="center"/>
            </w:pPr>
            <w:r w:rsidRPr="00974778">
              <w:t>43.2%</w:t>
            </w:r>
          </w:p>
        </w:tc>
      </w:tr>
      <w:tr w:rsidR="00F71503" w:rsidRPr="00974778" w14:paraId="2CDC772D" w14:textId="77777777" w:rsidTr="003C2F92">
        <w:trPr>
          <w:trHeight w:val="300"/>
        </w:trPr>
        <w:tc>
          <w:tcPr>
            <w:tcW w:w="1087" w:type="pct"/>
            <w:noWrap/>
            <w:hideMark/>
          </w:tcPr>
          <w:p w14:paraId="5D5A6105" w14:textId="77777777" w:rsidR="00D30531" w:rsidRPr="00974778" w:rsidRDefault="00D30531" w:rsidP="003C2F92">
            <w:pPr>
              <w:pStyle w:val="tablecontents"/>
            </w:pPr>
            <w:r w:rsidRPr="00974778">
              <w:t>Parents</w:t>
            </w:r>
          </w:p>
        </w:tc>
        <w:tc>
          <w:tcPr>
            <w:tcW w:w="614" w:type="pct"/>
            <w:hideMark/>
          </w:tcPr>
          <w:p w14:paraId="6F48DE5F" w14:textId="77777777" w:rsidR="00D30531" w:rsidRPr="00974778" w:rsidRDefault="00D30531" w:rsidP="003C2F92">
            <w:pPr>
              <w:pStyle w:val="tablecontents"/>
              <w:jc w:val="center"/>
            </w:pPr>
            <w:r w:rsidRPr="00974778">
              <w:t>120,600</w:t>
            </w:r>
          </w:p>
        </w:tc>
        <w:tc>
          <w:tcPr>
            <w:tcW w:w="550" w:type="pct"/>
            <w:hideMark/>
          </w:tcPr>
          <w:p w14:paraId="5987CF62" w14:textId="77777777" w:rsidR="00D30531" w:rsidRPr="00974778" w:rsidRDefault="00D30531" w:rsidP="003C2F92">
            <w:pPr>
              <w:pStyle w:val="tablecontents"/>
              <w:jc w:val="center"/>
            </w:pPr>
            <w:r w:rsidRPr="00974778">
              <w:t>73,540</w:t>
            </w:r>
          </w:p>
        </w:tc>
        <w:tc>
          <w:tcPr>
            <w:tcW w:w="550" w:type="pct"/>
            <w:hideMark/>
          </w:tcPr>
          <w:p w14:paraId="4A2BB998" w14:textId="6AE3FD46" w:rsidR="00D30531" w:rsidRPr="00974778" w:rsidRDefault="00D30531" w:rsidP="003C2F92">
            <w:pPr>
              <w:pStyle w:val="tablecontents"/>
              <w:jc w:val="center"/>
            </w:pPr>
            <w:r w:rsidRPr="002D69E1">
              <w:rPr>
                <w:rFonts w:cstheme="minorHAnsi"/>
                <w:color w:val="000000" w:themeColor="text1"/>
              </w:rPr>
              <w:t>7</w:t>
            </w:r>
            <w:r>
              <w:rPr>
                <w:rFonts w:cstheme="minorHAnsi"/>
                <w:color w:val="000000" w:themeColor="text1"/>
              </w:rPr>
              <w:t>0.0</w:t>
            </w:r>
            <w:r w:rsidRPr="002D69E1">
              <w:rPr>
                <w:rFonts w:cstheme="minorHAnsi"/>
                <w:color w:val="000000" w:themeColor="text1"/>
              </w:rPr>
              <w:t>%</w:t>
            </w:r>
          </w:p>
        </w:tc>
        <w:tc>
          <w:tcPr>
            <w:tcW w:w="550" w:type="pct"/>
            <w:hideMark/>
          </w:tcPr>
          <w:p w14:paraId="0A7BD1A4" w14:textId="390CDEA2" w:rsidR="00D30531" w:rsidRPr="00974778" w:rsidRDefault="00D30531" w:rsidP="003C2F92">
            <w:pPr>
              <w:pStyle w:val="tablecontents"/>
              <w:jc w:val="center"/>
            </w:pPr>
            <w:r w:rsidRPr="00974778">
              <w:rPr>
                <w:rFonts w:cstheme="minorHAnsi"/>
              </w:rPr>
              <w:t>62,540</w:t>
            </w:r>
          </w:p>
        </w:tc>
        <w:tc>
          <w:tcPr>
            <w:tcW w:w="550" w:type="pct"/>
            <w:hideMark/>
          </w:tcPr>
          <w:p w14:paraId="4B2636C0" w14:textId="546F111C" w:rsidR="00D30531" w:rsidRPr="00974778" w:rsidRDefault="00D30531" w:rsidP="003C2F92">
            <w:pPr>
              <w:pStyle w:val="tablecontents"/>
              <w:jc w:val="center"/>
            </w:pPr>
            <w:r w:rsidRPr="002D69E1">
              <w:rPr>
                <w:rFonts w:cstheme="minorHAnsi"/>
              </w:rPr>
              <w:t>62.9%</w:t>
            </w:r>
          </w:p>
        </w:tc>
        <w:tc>
          <w:tcPr>
            <w:tcW w:w="550" w:type="pct"/>
            <w:hideMark/>
          </w:tcPr>
          <w:p w14:paraId="140F4A1B" w14:textId="7BC09A8C" w:rsidR="00D30531" w:rsidRPr="00974778" w:rsidRDefault="00D30531" w:rsidP="003C2F92">
            <w:pPr>
              <w:pStyle w:val="tablecontents"/>
              <w:jc w:val="center"/>
            </w:pPr>
            <w:r w:rsidRPr="00974778">
              <w:rPr>
                <w:rFonts w:cstheme="minorHAnsi"/>
                <w:color w:val="000000" w:themeColor="text1"/>
              </w:rPr>
              <w:t>37,020</w:t>
            </w:r>
          </w:p>
        </w:tc>
        <w:tc>
          <w:tcPr>
            <w:tcW w:w="550" w:type="pct"/>
            <w:hideMark/>
          </w:tcPr>
          <w:p w14:paraId="299AA5EE" w14:textId="43F04227" w:rsidR="00D30531" w:rsidRPr="00974778" w:rsidRDefault="00D30531" w:rsidP="003C2F92">
            <w:pPr>
              <w:pStyle w:val="tablecontents"/>
              <w:jc w:val="center"/>
            </w:pPr>
            <w:r w:rsidRPr="002D69E1">
              <w:rPr>
                <w:rFonts w:cstheme="minorHAnsi"/>
                <w:color w:val="000000" w:themeColor="text1"/>
              </w:rPr>
              <w:t>42.2%</w:t>
            </w:r>
          </w:p>
        </w:tc>
      </w:tr>
      <w:tr w:rsidR="00F71503" w:rsidRPr="00974778" w14:paraId="24F22B08" w14:textId="77777777" w:rsidTr="003C2F92">
        <w:trPr>
          <w:trHeight w:val="300"/>
        </w:trPr>
        <w:tc>
          <w:tcPr>
            <w:tcW w:w="1087" w:type="pct"/>
            <w:noWrap/>
            <w:hideMark/>
          </w:tcPr>
          <w:p w14:paraId="20D4B96A" w14:textId="77777777" w:rsidR="00D30531" w:rsidRPr="00974778" w:rsidRDefault="00D30531" w:rsidP="003C2F92">
            <w:pPr>
              <w:pStyle w:val="tablecontents"/>
            </w:pPr>
            <w:r w:rsidRPr="00974778">
              <w:t>Mental Health</w:t>
            </w:r>
          </w:p>
        </w:tc>
        <w:tc>
          <w:tcPr>
            <w:tcW w:w="614" w:type="pct"/>
            <w:hideMark/>
          </w:tcPr>
          <w:p w14:paraId="1BD9D69A" w14:textId="77777777" w:rsidR="00D30531" w:rsidRPr="00974778" w:rsidRDefault="00D30531" w:rsidP="003C2F92">
            <w:pPr>
              <w:pStyle w:val="tablecontents"/>
              <w:jc w:val="center"/>
            </w:pPr>
            <w:r w:rsidRPr="00974778">
              <w:t>74,810</w:t>
            </w:r>
          </w:p>
        </w:tc>
        <w:tc>
          <w:tcPr>
            <w:tcW w:w="550" w:type="pct"/>
            <w:hideMark/>
          </w:tcPr>
          <w:p w14:paraId="0F0A832D" w14:textId="77777777" w:rsidR="00D30531" w:rsidRPr="00974778" w:rsidRDefault="00D30531" w:rsidP="003C2F92">
            <w:pPr>
              <w:pStyle w:val="tablecontents"/>
              <w:jc w:val="center"/>
            </w:pPr>
            <w:r w:rsidRPr="00974778">
              <w:t>40,570</w:t>
            </w:r>
          </w:p>
        </w:tc>
        <w:tc>
          <w:tcPr>
            <w:tcW w:w="550" w:type="pct"/>
            <w:hideMark/>
          </w:tcPr>
          <w:p w14:paraId="215715CA" w14:textId="477851F4" w:rsidR="00D30531" w:rsidRPr="00974778" w:rsidRDefault="00D30531" w:rsidP="003C2F92">
            <w:pPr>
              <w:pStyle w:val="tablecontents"/>
              <w:jc w:val="center"/>
            </w:pPr>
            <w:r>
              <w:rPr>
                <w:rFonts w:cstheme="minorHAnsi"/>
                <w:color w:val="000000" w:themeColor="text1"/>
              </w:rPr>
              <w:t>60.9</w:t>
            </w:r>
            <w:r w:rsidRPr="002D69E1">
              <w:rPr>
                <w:rFonts w:cstheme="minorHAnsi"/>
                <w:color w:val="000000" w:themeColor="text1"/>
              </w:rPr>
              <w:t>%</w:t>
            </w:r>
          </w:p>
        </w:tc>
        <w:tc>
          <w:tcPr>
            <w:tcW w:w="550" w:type="pct"/>
            <w:hideMark/>
          </w:tcPr>
          <w:p w14:paraId="24EBA1F4" w14:textId="1CA7F2DE" w:rsidR="00D30531" w:rsidRPr="00974778" w:rsidRDefault="00D30531" w:rsidP="003C2F92">
            <w:pPr>
              <w:pStyle w:val="tablecontents"/>
              <w:jc w:val="center"/>
            </w:pPr>
            <w:r w:rsidRPr="00974778">
              <w:rPr>
                <w:rFonts w:cstheme="minorHAnsi"/>
              </w:rPr>
              <w:t>32,720</w:t>
            </w:r>
          </w:p>
        </w:tc>
        <w:tc>
          <w:tcPr>
            <w:tcW w:w="550" w:type="pct"/>
            <w:hideMark/>
          </w:tcPr>
          <w:p w14:paraId="7EB0D09F" w14:textId="7326A9FB" w:rsidR="00D30531" w:rsidRPr="00974778" w:rsidRDefault="00D30531" w:rsidP="003C2F92">
            <w:pPr>
              <w:pStyle w:val="tablecontents"/>
              <w:jc w:val="center"/>
            </w:pPr>
            <w:r w:rsidRPr="002D69E1">
              <w:rPr>
                <w:rFonts w:cstheme="minorHAnsi"/>
              </w:rPr>
              <w:t>51.8%</w:t>
            </w:r>
          </w:p>
        </w:tc>
        <w:tc>
          <w:tcPr>
            <w:tcW w:w="550" w:type="pct"/>
            <w:hideMark/>
          </w:tcPr>
          <w:p w14:paraId="604072CC" w14:textId="5C166B63" w:rsidR="00D30531" w:rsidRPr="00974778" w:rsidRDefault="00D30531" w:rsidP="003C2F92">
            <w:pPr>
              <w:pStyle w:val="tablecontents"/>
              <w:jc w:val="center"/>
            </w:pPr>
            <w:r w:rsidRPr="00974778">
              <w:rPr>
                <w:rFonts w:cstheme="minorHAnsi"/>
                <w:color w:val="000000" w:themeColor="text1"/>
              </w:rPr>
              <w:t>17,270</w:t>
            </w:r>
          </w:p>
        </w:tc>
        <w:tc>
          <w:tcPr>
            <w:tcW w:w="550" w:type="pct"/>
            <w:hideMark/>
          </w:tcPr>
          <w:p w14:paraId="2380F2DF" w14:textId="2D53FDE4" w:rsidR="00D30531" w:rsidRPr="00974778" w:rsidRDefault="00D30531" w:rsidP="003C2F92">
            <w:pPr>
              <w:pStyle w:val="tablecontents"/>
              <w:jc w:val="center"/>
            </w:pPr>
            <w:r w:rsidRPr="002D69E1">
              <w:rPr>
                <w:rFonts w:cstheme="minorHAnsi"/>
                <w:color w:val="000000" w:themeColor="text1"/>
              </w:rPr>
              <w:t>31.6%</w:t>
            </w:r>
          </w:p>
        </w:tc>
      </w:tr>
      <w:tr w:rsidR="00F71503" w:rsidRPr="00974778" w14:paraId="13B017ED" w14:textId="77777777" w:rsidTr="003C2F92">
        <w:trPr>
          <w:trHeight w:val="300"/>
        </w:trPr>
        <w:tc>
          <w:tcPr>
            <w:tcW w:w="1087" w:type="pct"/>
            <w:noWrap/>
            <w:hideMark/>
          </w:tcPr>
          <w:p w14:paraId="79699976" w14:textId="77777777" w:rsidR="00D30531" w:rsidRPr="00974778" w:rsidRDefault="00D30531" w:rsidP="003C2F92">
            <w:pPr>
              <w:pStyle w:val="tablecontents"/>
            </w:pPr>
            <w:r w:rsidRPr="00974778">
              <w:t>Ex-Offenders</w:t>
            </w:r>
          </w:p>
        </w:tc>
        <w:tc>
          <w:tcPr>
            <w:tcW w:w="614" w:type="pct"/>
            <w:hideMark/>
          </w:tcPr>
          <w:p w14:paraId="63312F9D" w14:textId="77777777" w:rsidR="00D30531" w:rsidRPr="00974778" w:rsidRDefault="00D30531" w:rsidP="003C2F92">
            <w:pPr>
              <w:pStyle w:val="tablecontents"/>
              <w:jc w:val="center"/>
            </w:pPr>
            <w:r w:rsidRPr="00974778">
              <w:t>110,110</w:t>
            </w:r>
          </w:p>
        </w:tc>
        <w:tc>
          <w:tcPr>
            <w:tcW w:w="550" w:type="pct"/>
            <w:hideMark/>
          </w:tcPr>
          <w:p w14:paraId="70FC7BAA" w14:textId="77777777" w:rsidR="00D30531" w:rsidRPr="00974778" w:rsidRDefault="00D30531" w:rsidP="003C2F92">
            <w:pPr>
              <w:pStyle w:val="tablecontents"/>
              <w:jc w:val="center"/>
            </w:pPr>
            <w:r w:rsidRPr="00974778">
              <w:t>49,790</w:t>
            </w:r>
          </w:p>
        </w:tc>
        <w:tc>
          <w:tcPr>
            <w:tcW w:w="550" w:type="pct"/>
            <w:hideMark/>
          </w:tcPr>
          <w:p w14:paraId="21211C99" w14:textId="77777777" w:rsidR="00D30531" w:rsidRPr="00974778" w:rsidRDefault="00D30531" w:rsidP="003C2F92">
            <w:pPr>
              <w:pStyle w:val="tablecontents"/>
              <w:jc w:val="center"/>
            </w:pPr>
            <w:r w:rsidRPr="00974778">
              <w:t>51.5%</w:t>
            </w:r>
          </w:p>
        </w:tc>
        <w:tc>
          <w:tcPr>
            <w:tcW w:w="550" w:type="pct"/>
            <w:hideMark/>
          </w:tcPr>
          <w:p w14:paraId="0E52EC88" w14:textId="77777777" w:rsidR="00D30531" w:rsidRPr="00974778" w:rsidRDefault="00D30531" w:rsidP="003C2F92">
            <w:pPr>
              <w:pStyle w:val="tablecontents"/>
              <w:jc w:val="center"/>
            </w:pPr>
            <w:r w:rsidRPr="00974778">
              <w:t>39,150</w:t>
            </w:r>
          </w:p>
        </w:tc>
        <w:tc>
          <w:tcPr>
            <w:tcW w:w="550" w:type="pct"/>
            <w:hideMark/>
          </w:tcPr>
          <w:p w14:paraId="1E48D3CE" w14:textId="77777777" w:rsidR="00D30531" w:rsidRPr="00974778" w:rsidRDefault="00D30531" w:rsidP="003C2F92">
            <w:pPr>
              <w:pStyle w:val="tablecontents"/>
              <w:jc w:val="center"/>
            </w:pPr>
            <w:r w:rsidRPr="00974778">
              <w:t>42.4%</w:t>
            </w:r>
          </w:p>
        </w:tc>
        <w:tc>
          <w:tcPr>
            <w:tcW w:w="550" w:type="pct"/>
            <w:hideMark/>
          </w:tcPr>
          <w:p w14:paraId="6AF25ABA" w14:textId="77777777" w:rsidR="00D30531" w:rsidRPr="00974778" w:rsidRDefault="00D30531" w:rsidP="003C2F92">
            <w:pPr>
              <w:pStyle w:val="tablecontents"/>
              <w:jc w:val="center"/>
            </w:pPr>
            <w:r w:rsidRPr="00974778">
              <w:t>22,230</w:t>
            </w:r>
          </w:p>
        </w:tc>
        <w:tc>
          <w:tcPr>
            <w:tcW w:w="550" w:type="pct"/>
            <w:hideMark/>
          </w:tcPr>
          <w:p w14:paraId="6E8F8A0D" w14:textId="77777777" w:rsidR="00D30531" w:rsidRPr="00974778" w:rsidRDefault="00D30531" w:rsidP="003C2F92">
            <w:pPr>
              <w:pStyle w:val="tablecontents"/>
              <w:jc w:val="center"/>
            </w:pPr>
            <w:r w:rsidRPr="00974778">
              <w:t>27.1%</w:t>
            </w:r>
          </w:p>
        </w:tc>
      </w:tr>
      <w:tr w:rsidR="00F71503" w:rsidRPr="00974778" w14:paraId="67291D36" w14:textId="77777777" w:rsidTr="003C2F92">
        <w:trPr>
          <w:trHeight w:val="300"/>
        </w:trPr>
        <w:tc>
          <w:tcPr>
            <w:tcW w:w="1087" w:type="pct"/>
            <w:noWrap/>
            <w:hideMark/>
          </w:tcPr>
          <w:p w14:paraId="659294AB" w14:textId="77777777" w:rsidR="00D30531" w:rsidRPr="00974778" w:rsidRDefault="00D30531" w:rsidP="003C2F92">
            <w:pPr>
              <w:pStyle w:val="tablecontents"/>
            </w:pPr>
            <w:r w:rsidRPr="00974778">
              <w:t>Indigenous</w:t>
            </w:r>
          </w:p>
        </w:tc>
        <w:tc>
          <w:tcPr>
            <w:tcW w:w="614" w:type="pct"/>
            <w:hideMark/>
          </w:tcPr>
          <w:p w14:paraId="435E5F74" w14:textId="77777777" w:rsidR="00D30531" w:rsidRPr="00974778" w:rsidRDefault="00D30531" w:rsidP="003C2F92">
            <w:pPr>
              <w:pStyle w:val="tablecontents"/>
              <w:jc w:val="center"/>
            </w:pPr>
            <w:r w:rsidRPr="00974778">
              <w:t>96,190</w:t>
            </w:r>
          </w:p>
        </w:tc>
        <w:tc>
          <w:tcPr>
            <w:tcW w:w="550" w:type="pct"/>
            <w:hideMark/>
          </w:tcPr>
          <w:p w14:paraId="1680BE3C" w14:textId="77777777" w:rsidR="00D30531" w:rsidRPr="00974778" w:rsidRDefault="00D30531" w:rsidP="003C2F92">
            <w:pPr>
              <w:pStyle w:val="tablecontents"/>
              <w:jc w:val="center"/>
            </w:pPr>
            <w:r w:rsidRPr="00974778">
              <w:t>47,840</w:t>
            </w:r>
          </w:p>
        </w:tc>
        <w:tc>
          <w:tcPr>
            <w:tcW w:w="550" w:type="pct"/>
            <w:hideMark/>
          </w:tcPr>
          <w:p w14:paraId="640EB626" w14:textId="77777777" w:rsidR="00D30531" w:rsidRPr="00974778" w:rsidRDefault="00D30531" w:rsidP="003C2F92">
            <w:pPr>
              <w:pStyle w:val="tablecontents"/>
              <w:jc w:val="center"/>
            </w:pPr>
            <w:r w:rsidRPr="00974778">
              <w:t>57.3%</w:t>
            </w:r>
          </w:p>
        </w:tc>
        <w:tc>
          <w:tcPr>
            <w:tcW w:w="550" w:type="pct"/>
            <w:hideMark/>
          </w:tcPr>
          <w:p w14:paraId="236EAC0B" w14:textId="77777777" w:rsidR="00D30531" w:rsidRPr="00974778" w:rsidRDefault="00D30531" w:rsidP="003C2F92">
            <w:pPr>
              <w:pStyle w:val="tablecontents"/>
              <w:jc w:val="center"/>
            </w:pPr>
            <w:r w:rsidRPr="00974778">
              <w:t>37,920</w:t>
            </w:r>
          </w:p>
        </w:tc>
        <w:tc>
          <w:tcPr>
            <w:tcW w:w="550" w:type="pct"/>
            <w:hideMark/>
          </w:tcPr>
          <w:p w14:paraId="67CAEC79" w14:textId="77777777" w:rsidR="00D30531" w:rsidRPr="00974778" w:rsidRDefault="00D30531" w:rsidP="003C2F92">
            <w:pPr>
              <w:pStyle w:val="tablecontents"/>
              <w:jc w:val="center"/>
            </w:pPr>
            <w:r w:rsidRPr="00974778">
              <w:t>47.9%</w:t>
            </w:r>
          </w:p>
        </w:tc>
        <w:tc>
          <w:tcPr>
            <w:tcW w:w="550" w:type="pct"/>
            <w:hideMark/>
          </w:tcPr>
          <w:p w14:paraId="6EDECCEC" w14:textId="77777777" w:rsidR="00D30531" w:rsidRPr="00974778" w:rsidRDefault="00D30531" w:rsidP="003C2F92">
            <w:pPr>
              <w:pStyle w:val="tablecontents"/>
              <w:jc w:val="center"/>
            </w:pPr>
            <w:r w:rsidRPr="00974778">
              <w:t>21,670</w:t>
            </w:r>
          </w:p>
        </w:tc>
        <w:tc>
          <w:tcPr>
            <w:tcW w:w="550" w:type="pct"/>
            <w:hideMark/>
          </w:tcPr>
          <w:p w14:paraId="74687A4F" w14:textId="77777777" w:rsidR="00D30531" w:rsidRPr="00974778" w:rsidRDefault="00D30531" w:rsidP="003C2F92">
            <w:pPr>
              <w:pStyle w:val="tablecontents"/>
              <w:jc w:val="center"/>
            </w:pPr>
            <w:r w:rsidRPr="00974778">
              <w:t>31.0%</w:t>
            </w:r>
          </w:p>
        </w:tc>
      </w:tr>
      <w:tr w:rsidR="00F71503" w:rsidRPr="00974778" w14:paraId="76A694E2" w14:textId="77777777" w:rsidTr="003C2F92">
        <w:trPr>
          <w:trHeight w:val="300"/>
        </w:trPr>
        <w:tc>
          <w:tcPr>
            <w:tcW w:w="1087" w:type="pct"/>
            <w:noWrap/>
            <w:hideMark/>
          </w:tcPr>
          <w:p w14:paraId="2F528BD7" w14:textId="77777777" w:rsidR="00D30531" w:rsidRPr="00974778" w:rsidRDefault="00D30531" w:rsidP="003C2F92">
            <w:pPr>
              <w:pStyle w:val="tablecontents"/>
            </w:pPr>
            <w:r w:rsidRPr="00974778">
              <w:t>Homeless</w:t>
            </w:r>
          </w:p>
        </w:tc>
        <w:tc>
          <w:tcPr>
            <w:tcW w:w="614" w:type="pct"/>
            <w:hideMark/>
          </w:tcPr>
          <w:p w14:paraId="0CCB8E2D" w14:textId="77777777" w:rsidR="00D30531" w:rsidRPr="00974778" w:rsidRDefault="00D30531" w:rsidP="003C2F92">
            <w:pPr>
              <w:pStyle w:val="tablecontents"/>
              <w:jc w:val="center"/>
            </w:pPr>
            <w:r w:rsidRPr="00974778">
              <w:t>96,840</w:t>
            </w:r>
          </w:p>
        </w:tc>
        <w:tc>
          <w:tcPr>
            <w:tcW w:w="550" w:type="pct"/>
            <w:hideMark/>
          </w:tcPr>
          <w:p w14:paraId="781A0A5E" w14:textId="77777777" w:rsidR="00D30531" w:rsidRPr="00974778" w:rsidRDefault="00D30531" w:rsidP="003C2F92">
            <w:pPr>
              <w:pStyle w:val="tablecontents"/>
              <w:jc w:val="center"/>
            </w:pPr>
            <w:r w:rsidRPr="00974778">
              <w:t>45,810</w:t>
            </w:r>
          </w:p>
        </w:tc>
        <w:tc>
          <w:tcPr>
            <w:tcW w:w="550" w:type="pct"/>
            <w:hideMark/>
          </w:tcPr>
          <w:p w14:paraId="1A0CB6EE" w14:textId="77777777" w:rsidR="00D30531" w:rsidRPr="00974778" w:rsidRDefault="00D30531" w:rsidP="003C2F92">
            <w:pPr>
              <w:pStyle w:val="tablecontents"/>
              <w:jc w:val="center"/>
            </w:pPr>
            <w:r w:rsidRPr="00974778">
              <w:t>52.6%</w:t>
            </w:r>
          </w:p>
        </w:tc>
        <w:tc>
          <w:tcPr>
            <w:tcW w:w="550" w:type="pct"/>
            <w:hideMark/>
          </w:tcPr>
          <w:p w14:paraId="74D288D2" w14:textId="77777777" w:rsidR="00D30531" w:rsidRPr="00974778" w:rsidRDefault="00D30531" w:rsidP="003C2F92">
            <w:pPr>
              <w:pStyle w:val="tablecontents"/>
              <w:jc w:val="center"/>
            </w:pPr>
            <w:r w:rsidRPr="00974778">
              <w:t>36,150</w:t>
            </w:r>
          </w:p>
        </w:tc>
        <w:tc>
          <w:tcPr>
            <w:tcW w:w="550" w:type="pct"/>
            <w:hideMark/>
          </w:tcPr>
          <w:p w14:paraId="4BD7E19D" w14:textId="77777777" w:rsidR="00D30531" w:rsidRPr="00974778" w:rsidRDefault="00D30531" w:rsidP="003C2F92">
            <w:pPr>
              <w:pStyle w:val="tablecontents"/>
              <w:jc w:val="center"/>
            </w:pPr>
            <w:r w:rsidRPr="00974778">
              <w:t>43.4%</w:t>
            </w:r>
          </w:p>
        </w:tc>
        <w:tc>
          <w:tcPr>
            <w:tcW w:w="550" w:type="pct"/>
            <w:hideMark/>
          </w:tcPr>
          <w:p w14:paraId="33F731A8" w14:textId="77777777" w:rsidR="00D30531" w:rsidRPr="00974778" w:rsidRDefault="00D30531" w:rsidP="003C2F92">
            <w:pPr>
              <w:pStyle w:val="tablecontents"/>
              <w:jc w:val="center"/>
            </w:pPr>
            <w:r w:rsidRPr="00974778">
              <w:t>20,410</w:t>
            </w:r>
          </w:p>
        </w:tc>
        <w:tc>
          <w:tcPr>
            <w:tcW w:w="550" w:type="pct"/>
            <w:hideMark/>
          </w:tcPr>
          <w:p w14:paraId="2D38C9E8" w14:textId="77777777" w:rsidR="00D30531" w:rsidRPr="00974778" w:rsidRDefault="00D30531" w:rsidP="003C2F92">
            <w:pPr>
              <w:pStyle w:val="tablecontents"/>
              <w:jc w:val="center"/>
            </w:pPr>
            <w:r w:rsidRPr="00974778">
              <w:t>27.6%</w:t>
            </w:r>
          </w:p>
        </w:tc>
      </w:tr>
      <w:tr w:rsidR="00F71503" w:rsidRPr="00974778" w14:paraId="7BDD43F3" w14:textId="77777777" w:rsidTr="003C2F92">
        <w:trPr>
          <w:trHeight w:val="300"/>
        </w:trPr>
        <w:tc>
          <w:tcPr>
            <w:tcW w:w="1087" w:type="pct"/>
            <w:noWrap/>
            <w:hideMark/>
          </w:tcPr>
          <w:p w14:paraId="6FAA8681" w14:textId="77777777" w:rsidR="00D30531" w:rsidRPr="00974778" w:rsidRDefault="00D30531" w:rsidP="003C2F92">
            <w:pPr>
              <w:pStyle w:val="tablecontents"/>
            </w:pPr>
            <w:r w:rsidRPr="00974778">
              <w:t>Drug and Alcohol</w:t>
            </w:r>
          </w:p>
        </w:tc>
        <w:tc>
          <w:tcPr>
            <w:tcW w:w="614" w:type="pct"/>
            <w:hideMark/>
          </w:tcPr>
          <w:p w14:paraId="7BF6EBFC" w14:textId="77777777" w:rsidR="00D30531" w:rsidRPr="00974778" w:rsidRDefault="00D30531" w:rsidP="003C2F92">
            <w:pPr>
              <w:pStyle w:val="tablecontents"/>
              <w:jc w:val="center"/>
            </w:pPr>
            <w:r w:rsidRPr="00974778">
              <w:t>68,410</w:t>
            </w:r>
          </w:p>
        </w:tc>
        <w:tc>
          <w:tcPr>
            <w:tcW w:w="550" w:type="pct"/>
            <w:hideMark/>
          </w:tcPr>
          <w:p w14:paraId="4AC81CC1" w14:textId="77777777" w:rsidR="00D30531" w:rsidRPr="00974778" w:rsidRDefault="00D30531" w:rsidP="003C2F92">
            <w:pPr>
              <w:pStyle w:val="tablecontents"/>
              <w:jc w:val="center"/>
            </w:pPr>
            <w:r w:rsidRPr="00974778">
              <w:t>31,130</w:t>
            </w:r>
          </w:p>
        </w:tc>
        <w:tc>
          <w:tcPr>
            <w:tcW w:w="550" w:type="pct"/>
            <w:hideMark/>
          </w:tcPr>
          <w:p w14:paraId="7A03FBD7" w14:textId="77777777" w:rsidR="00D30531" w:rsidRPr="00974778" w:rsidRDefault="00D30531" w:rsidP="003C2F92">
            <w:pPr>
              <w:pStyle w:val="tablecontents"/>
              <w:jc w:val="center"/>
            </w:pPr>
            <w:r w:rsidRPr="00974778">
              <w:t>51.0%</w:t>
            </w:r>
          </w:p>
        </w:tc>
        <w:tc>
          <w:tcPr>
            <w:tcW w:w="550" w:type="pct"/>
            <w:hideMark/>
          </w:tcPr>
          <w:p w14:paraId="05E15E3F" w14:textId="77777777" w:rsidR="00D30531" w:rsidRPr="00974778" w:rsidRDefault="00D30531" w:rsidP="003C2F92">
            <w:pPr>
              <w:pStyle w:val="tablecontents"/>
              <w:jc w:val="center"/>
            </w:pPr>
            <w:r w:rsidRPr="00974778">
              <w:t>24,270</w:t>
            </w:r>
          </w:p>
        </w:tc>
        <w:tc>
          <w:tcPr>
            <w:tcW w:w="550" w:type="pct"/>
            <w:hideMark/>
          </w:tcPr>
          <w:p w14:paraId="31E9432C" w14:textId="77777777" w:rsidR="00D30531" w:rsidRPr="00974778" w:rsidRDefault="00D30531" w:rsidP="003C2F92">
            <w:pPr>
              <w:pStyle w:val="tablecontents"/>
              <w:jc w:val="center"/>
            </w:pPr>
            <w:r w:rsidRPr="00974778">
              <w:t>41.6%</w:t>
            </w:r>
          </w:p>
        </w:tc>
        <w:tc>
          <w:tcPr>
            <w:tcW w:w="550" w:type="pct"/>
            <w:hideMark/>
          </w:tcPr>
          <w:p w14:paraId="5CC2AFDF" w14:textId="77777777" w:rsidR="00D30531" w:rsidRPr="00974778" w:rsidRDefault="00D30531" w:rsidP="003C2F92">
            <w:pPr>
              <w:pStyle w:val="tablecontents"/>
              <w:jc w:val="center"/>
            </w:pPr>
            <w:r w:rsidRPr="00974778">
              <w:t>13,100</w:t>
            </w:r>
          </w:p>
        </w:tc>
        <w:tc>
          <w:tcPr>
            <w:tcW w:w="550" w:type="pct"/>
            <w:hideMark/>
          </w:tcPr>
          <w:p w14:paraId="33E1E364" w14:textId="77777777" w:rsidR="00D30531" w:rsidRPr="00974778" w:rsidRDefault="00D30531" w:rsidP="003C2F92">
            <w:pPr>
              <w:pStyle w:val="tablecontents"/>
              <w:jc w:val="center"/>
            </w:pPr>
            <w:r w:rsidRPr="00974778">
              <w:t>25.3%</w:t>
            </w:r>
          </w:p>
        </w:tc>
      </w:tr>
      <w:tr w:rsidR="00F71503" w:rsidRPr="00974778" w14:paraId="5EA0B946" w14:textId="77777777" w:rsidTr="003C2F92">
        <w:trPr>
          <w:trHeight w:val="300"/>
        </w:trPr>
        <w:tc>
          <w:tcPr>
            <w:tcW w:w="1087" w:type="pct"/>
            <w:noWrap/>
            <w:hideMark/>
          </w:tcPr>
          <w:p w14:paraId="7284AC32" w14:textId="77777777" w:rsidR="00D30531" w:rsidRPr="00974778" w:rsidRDefault="00D30531" w:rsidP="003C2F92">
            <w:pPr>
              <w:pStyle w:val="tablecontents"/>
            </w:pPr>
            <w:r w:rsidRPr="00974778">
              <w:t>Refugees</w:t>
            </w:r>
          </w:p>
        </w:tc>
        <w:tc>
          <w:tcPr>
            <w:tcW w:w="614" w:type="pct"/>
            <w:hideMark/>
          </w:tcPr>
          <w:p w14:paraId="66CF0228" w14:textId="77777777" w:rsidR="00D30531" w:rsidRPr="00974778" w:rsidRDefault="00D30531" w:rsidP="003C2F92">
            <w:pPr>
              <w:pStyle w:val="tablecontents"/>
              <w:jc w:val="center"/>
            </w:pPr>
            <w:r w:rsidRPr="00974778">
              <w:t>44,050</w:t>
            </w:r>
          </w:p>
        </w:tc>
        <w:tc>
          <w:tcPr>
            <w:tcW w:w="550" w:type="pct"/>
            <w:hideMark/>
          </w:tcPr>
          <w:p w14:paraId="2E92AC72" w14:textId="77777777" w:rsidR="00D30531" w:rsidRPr="00974778" w:rsidRDefault="00D30531" w:rsidP="003C2F92">
            <w:pPr>
              <w:pStyle w:val="tablecontents"/>
              <w:jc w:val="center"/>
            </w:pPr>
            <w:r w:rsidRPr="00974778">
              <w:t>24,860</w:t>
            </w:r>
          </w:p>
        </w:tc>
        <w:tc>
          <w:tcPr>
            <w:tcW w:w="550" w:type="pct"/>
            <w:hideMark/>
          </w:tcPr>
          <w:p w14:paraId="4BEE6B2E" w14:textId="77777777" w:rsidR="00D30531" w:rsidRPr="00974778" w:rsidRDefault="00D30531" w:rsidP="003C2F92">
            <w:pPr>
              <w:pStyle w:val="tablecontents"/>
              <w:jc w:val="center"/>
            </w:pPr>
            <w:r w:rsidRPr="00974778">
              <w:t>64.2%</w:t>
            </w:r>
          </w:p>
        </w:tc>
        <w:tc>
          <w:tcPr>
            <w:tcW w:w="550" w:type="pct"/>
            <w:hideMark/>
          </w:tcPr>
          <w:p w14:paraId="14928E6B" w14:textId="77777777" w:rsidR="00D30531" w:rsidRPr="00974778" w:rsidRDefault="00D30531" w:rsidP="003C2F92">
            <w:pPr>
              <w:pStyle w:val="tablecontents"/>
              <w:jc w:val="center"/>
            </w:pPr>
            <w:r w:rsidRPr="00974778">
              <w:t>20,560</w:t>
            </w:r>
          </w:p>
        </w:tc>
        <w:tc>
          <w:tcPr>
            <w:tcW w:w="550" w:type="pct"/>
            <w:hideMark/>
          </w:tcPr>
          <w:p w14:paraId="556E5604" w14:textId="77777777" w:rsidR="00D30531" w:rsidRPr="00974778" w:rsidRDefault="00D30531" w:rsidP="003C2F92">
            <w:pPr>
              <w:pStyle w:val="tablecontents"/>
              <w:jc w:val="center"/>
            </w:pPr>
            <w:r w:rsidRPr="00974778">
              <w:t>56.2%</w:t>
            </w:r>
          </w:p>
        </w:tc>
        <w:tc>
          <w:tcPr>
            <w:tcW w:w="550" w:type="pct"/>
            <w:hideMark/>
          </w:tcPr>
          <w:p w14:paraId="04E6CBAC" w14:textId="77777777" w:rsidR="00D30531" w:rsidRPr="00974778" w:rsidRDefault="00D30531" w:rsidP="003C2F92">
            <w:pPr>
              <w:pStyle w:val="tablecontents"/>
              <w:jc w:val="center"/>
            </w:pPr>
            <w:r w:rsidRPr="00974778">
              <w:t>12,890</w:t>
            </w:r>
          </w:p>
        </w:tc>
        <w:tc>
          <w:tcPr>
            <w:tcW w:w="550" w:type="pct"/>
            <w:hideMark/>
          </w:tcPr>
          <w:p w14:paraId="25202E66" w14:textId="77777777" w:rsidR="00D30531" w:rsidRPr="00974778" w:rsidRDefault="00D30531" w:rsidP="003C2F92">
            <w:pPr>
              <w:pStyle w:val="tablecontents"/>
              <w:jc w:val="center"/>
            </w:pPr>
            <w:r w:rsidRPr="00974778">
              <w:t>40.1%</w:t>
            </w:r>
          </w:p>
        </w:tc>
      </w:tr>
      <w:tr w:rsidR="00F71503" w:rsidRPr="00974778" w14:paraId="41B423DF" w14:textId="77777777" w:rsidTr="003C2F92">
        <w:trPr>
          <w:trHeight w:val="300"/>
        </w:trPr>
        <w:tc>
          <w:tcPr>
            <w:tcW w:w="1087" w:type="pct"/>
            <w:noWrap/>
            <w:hideMark/>
          </w:tcPr>
          <w:p w14:paraId="56F09170" w14:textId="77777777" w:rsidR="00D30531" w:rsidRPr="00974778" w:rsidRDefault="00D30531" w:rsidP="003C2F92">
            <w:pPr>
              <w:pStyle w:val="tablecontents"/>
            </w:pPr>
            <w:r w:rsidRPr="00974778">
              <w:t>Pre Release Prisoners</w:t>
            </w:r>
          </w:p>
        </w:tc>
        <w:tc>
          <w:tcPr>
            <w:tcW w:w="614" w:type="pct"/>
            <w:noWrap/>
            <w:hideMark/>
          </w:tcPr>
          <w:p w14:paraId="66085BD0" w14:textId="77777777" w:rsidR="00D30531" w:rsidRPr="00974778" w:rsidRDefault="00D30531" w:rsidP="003C2F92">
            <w:pPr>
              <w:pStyle w:val="tablecontents"/>
              <w:jc w:val="center"/>
            </w:pPr>
            <w:r w:rsidRPr="00974778">
              <w:t>680</w:t>
            </w:r>
          </w:p>
        </w:tc>
        <w:tc>
          <w:tcPr>
            <w:tcW w:w="550" w:type="pct"/>
            <w:noWrap/>
            <w:hideMark/>
          </w:tcPr>
          <w:p w14:paraId="69B72A81" w14:textId="77777777" w:rsidR="00D30531" w:rsidRPr="00974778" w:rsidRDefault="00D30531" w:rsidP="003C2F92">
            <w:pPr>
              <w:pStyle w:val="tablecontents"/>
              <w:jc w:val="center"/>
            </w:pPr>
            <w:r w:rsidRPr="00974778">
              <w:t>370</w:t>
            </w:r>
          </w:p>
        </w:tc>
        <w:tc>
          <w:tcPr>
            <w:tcW w:w="550" w:type="pct"/>
            <w:hideMark/>
          </w:tcPr>
          <w:p w14:paraId="32E67EF1" w14:textId="0A3FE97A" w:rsidR="00D30531" w:rsidRPr="00974778" w:rsidRDefault="00D30531" w:rsidP="003C2F92">
            <w:pPr>
              <w:pStyle w:val="tablecontents"/>
              <w:jc w:val="center"/>
            </w:pPr>
            <w:r w:rsidRPr="002D69E1">
              <w:rPr>
                <w:rFonts w:cstheme="minorHAnsi"/>
                <w:color w:val="000000" w:themeColor="text1"/>
              </w:rPr>
              <w:t>72.7%</w:t>
            </w:r>
          </w:p>
        </w:tc>
        <w:tc>
          <w:tcPr>
            <w:tcW w:w="550" w:type="pct"/>
            <w:noWrap/>
            <w:hideMark/>
          </w:tcPr>
          <w:p w14:paraId="4FA0A27D" w14:textId="34B27F59" w:rsidR="00D30531" w:rsidRPr="00974778" w:rsidRDefault="00D30531" w:rsidP="003C2F92">
            <w:pPr>
              <w:pStyle w:val="tablecontents"/>
              <w:jc w:val="center"/>
            </w:pPr>
            <w:r w:rsidRPr="00974778">
              <w:rPr>
                <w:rFonts w:cstheme="minorHAnsi"/>
              </w:rPr>
              <w:t>285</w:t>
            </w:r>
          </w:p>
        </w:tc>
        <w:tc>
          <w:tcPr>
            <w:tcW w:w="550" w:type="pct"/>
            <w:hideMark/>
          </w:tcPr>
          <w:p w14:paraId="6086856D" w14:textId="50EC9209" w:rsidR="00D30531" w:rsidRPr="00974778" w:rsidRDefault="00D30531" w:rsidP="003C2F92">
            <w:pPr>
              <w:pStyle w:val="tablecontents"/>
              <w:jc w:val="center"/>
            </w:pPr>
            <w:r w:rsidRPr="002D69E1">
              <w:rPr>
                <w:rFonts w:cstheme="minorHAnsi"/>
              </w:rPr>
              <w:t>58.9%</w:t>
            </w:r>
          </w:p>
        </w:tc>
        <w:tc>
          <w:tcPr>
            <w:tcW w:w="550" w:type="pct"/>
            <w:noWrap/>
            <w:hideMark/>
          </w:tcPr>
          <w:p w14:paraId="23B995A5" w14:textId="76536F37" w:rsidR="00D30531" w:rsidRPr="00974778" w:rsidRDefault="00D30531" w:rsidP="003C2F92">
            <w:pPr>
              <w:pStyle w:val="tablecontents"/>
              <w:jc w:val="center"/>
            </w:pPr>
            <w:r w:rsidRPr="00974778">
              <w:rPr>
                <w:rFonts w:cstheme="minorHAnsi"/>
                <w:color w:val="000000" w:themeColor="text1"/>
              </w:rPr>
              <w:t>140</w:t>
            </w:r>
          </w:p>
        </w:tc>
        <w:tc>
          <w:tcPr>
            <w:tcW w:w="550" w:type="pct"/>
            <w:hideMark/>
          </w:tcPr>
          <w:p w14:paraId="21AE95C3" w14:textId="1EAB3D43" w:rsidR="00D30531" w:rsidRPr="00974778" w:rsidRDefault="00D30531" w:rsidP="003C2F92">
            <w:pPr>
              <w:pStyle w:val="tablecontents"/>
              <w:jc w:val="center"/>
            </w:pPr>
            <w:r w:rsidRPr="002D69E1">
              <w:rPr>
                <w:rFonts w:cstheme="minorHAnsi"/>
                <w:color w:val="000000" w:themeColor="text1"/>
              </w:rPr>
              <w:t>32.9%</w:t>
            </w:r>
          </w:p>
        </w:tc>
      </w:tr>
      <w:tr w:rsidR="003C2F92" w:rsidRPr="00974778" w14:paraId="6FE7A886" w14:textId="77777777" w:rsidTr="003C2F92">
        <w:trPr>
          <w:trHeight w:val="300"/>
        </w:trPr>
        <w:tc>
          <w:tcPr>
            <w:tcW w:w="1087" w:type="pct"/>
            <w:shd w:val="clear" w:color="auto" w:fill="D8F3FC" w:themeFill="accent1" w:themeFillTint="33"/>
            <w:noWrap/>
            <w:hideMark/>
          </w:tcPr>
          <w:p w14:paraId="36D0E72C" w14:textId="77777777" w:rsidR="00D30531" w:rsidRPr="00974778" w:rsidRDefault="00D30531" w:rsidP="003C2F92">
            <w:pPr>
              <w:spacing w:before="0" w:after="0" w:line="240" w:lineRule="auto"/>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Grand Total</w:t>
            </w:r>
          </w:p>
        </w:tc>
        <w:tc>
          <w:tcPr>
            <w:tcW w:w="614" w:type="pct"/>
            <w:shd w:val="clear" w:color="auto" w:fill="D8F3FC" w:themeFill="accent1" w:themeFillTint="33"/>
            <w:noWrap/>
            <w:hideMark/>
          </w:tcPr>
          <w:p w14:paraId="07414F91" w14:textId="35AD9D02"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1,054,3</w:t>
            </w:r>
            <w:r>
              <w:rPr>
                <w:rFonts w:ascii="Calibri" w:eastAsia="Times New Roman" w:hAnsi="Calibri" w:cs="Calibri"/>
                <w:b/>
                <w:bCs/>
                <w:color w:val="000000"/>
                <w:sz w:val="20"/>
                <w:szCs w:val="20"/>
                <w:lang w:eastAsia="en-AU"/>
              </w:rPr>
              <w:t>60</w:t>
            </w:r>
          </w:p>
        </w:tc>
        <w:tc>
          <w:tcPr>
            <w:tcW w:w="550" w:type="pct"/>
            <w:shd w:val="clear" w:color="auto" w:fill="D8F3FC" w:themeFill="accent1" w:themeFillTint="33"/>
            <w:noWrap/>
            <w:hideMark/>
          </w:tcPr>
          <w:p w14:paraId="6F961336" w14:textId="77777777"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552,820</w:t>
            </w:r>
          </w:p>
        </w:tc>
        <w:tc>
          <w:tcPr>
            <w:tcW w:w="550" w:type="pct"/>
            <w:shd w:val="clear" w:color="auto" w:fill="D8F3FC" w:themeFill="accent1" w:themeFillTint="33"/>
            <w:noWrap/>
            <w:hideMark/>
          </w:tcPr>
          <w:p w14:paraId="6B6BFEE4" w14:textId="50BF8D69"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62.4</w:t>
            </w:r>
            <w:r>
              <w:rPr>
                <w:rFonts w:ascii="Calibri" w:eastAsia="Times New Roman" w:hAnsi="Calibri" w:cs="Calibri"/>
                <w:b/>
                <w:bCs/>
                <w:color w:val="000000"/>
                <w:sz w:val="20"/>
                <w:szCs w:val="20"/>
                <w:lang w:eastAsia="en-AU"/>
              </w:rPr>
              <w:t>%</w:t>
            </w:r>
          </w:p>
        </w:tc>
        <w:tc>
          <w:tcPr>
            <w:tcW w:w="550" w:type="pct"/>
            <w:shd w:val="clear" w:color="auto" w:fill="D8F3FC" w:themeFill="accent1" w:themeFillTint="33"/>
            <w:noWrap/>
            <w:hideMark/>
          </w:tcPr>
          <w:p w14:paraId="291E6FD5" w14:textId="54A7834D"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463,95</w:t>
            </w:r>
            <w:r>
              <w:rPr>
                <w:rFonts w:ascii="Calibri" w:eastAsia="Times New Roman" w:hAnsi="Calibri" w:cs="Calibri"/>
                <w:b/>
                <w:bCs/>
                <w:color w:val="000000"/>
                <w:sz w:val="20"/>
                <w:szCs w:val="20"/>
                <w:lang w:eastAsia="en-AU"/>
              </w:rPr>
              <w:t>0</w:t>
            </w:r>
          </w:p>
        </w:tc>
        <w:tc>
          <w:tcPr>
            <w:tcW w:w="550" w:type="pct"/>
            <w:shd w:val="clear" w:color="auto" w:fill="D8F3FC" w:themeFill="accent1" w:themeFillTint="33"/>
            <w:noWrap/>
            <w:hideMark/>
          </w:tcPr>
          <w:p w14:paraId="0FB513BA" w14:textId="5FA0E2C3"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54.8</w:t>
            </w:r>
            <w:r>
              <w:rPr>
                <w:rFonts w:ascii="Calibri" w:eastAsia="Times New Roman" w:hAnsi="Calibri" w:cs="Calibri"/>
                <w:b/>
                <w:bCs/>
                <w:color w:val="000000"/>
                <w:sz w:val="20"/>
                <w:szCs w:val="20"/>
                <w:lang w:eastAsia="en-AU"/>
              </w:rPr>
              <w:t>%</w:t>
            </w:r>
          </w:p>
        </w:tc>
        <w:tc>
          <w:tcPr>
            <w:tcW w:w="550" w:type="pct"/>
            <w:shd w:val="clear" w:color="auto" w:fill="D8F3FC" w:themeFill="accent1" w:themeFillTint="33"/>
            <w:noWrap/>
            <w:hideMark/>
          </w:tcPr>
          <w:p w14:paraId="30C275C7" w14:textId="66F1B256"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289,740</w:t>
            </w:r>
          </w:p>
        </w:tc>
        <w:tc>
          <w:tcPr>
            <w:tcW w:w="550" w:type="pct"/>
            <w:shd w:val="clear" w:color="auto" w:fill="D8F3FC" w:themeFill="accent1" w:themeFillTint="33"/>
            <w:noWrap/>
            <w:hideMark/>
          </w:tcPr>
          <w:p w14:paraId="2F2D1767" w14:textId="3A284914" w:rsidR="00D30531" w:rsidRPr="00974778" w:rsidRDefault="00D30531" w:rsidP="003C2F92">
            <w:pPr>
              <w:spacing w:before="0" w:after="0" w:line="240" w:lineRule="auto"/>
              <w:jc w:val="center"/>
              <w:rPr>
                <w:rFonts w:ascii="Calibri" w:eastAsia="Times New Roman" w:hAnsi="Calibri" w:cs="Calibri"/>
                <w:b/>
                <w:bCs/>
                <w:color w:val="000000"/>
                <w:sz w:val="20"/>
                <w:szCs w:val="20"/>
                <w:lang w:eastAsia="en-AU"/>
              </w:rPr>
            </w:pPr>
            <w:r w:rsidRPr="00974778">
              <w:rPr>
                <w:rFonts w:ascii="Calibri" w:eastAsia="Times New Roman" w:hAnsi="Calibri" w:cs="Calibri"/>
                <w:b/>
                <w:bCs/>
                <w:color w:val="000000"/>
                <w:sz w:val="20"/>
                <w:szCs w:val="20"/>
                <w:lang w:eastAsia="en-AU"/>
              </w:rPr>
              <w:t>38.9</w:t>
            </w:r>
            <w:r>
              <w:rPr>
                <w:rFonts w:ascii="Calibri" w:eastAsia="Times New Roman" w:hAnsi="Calibri" w:cs="Calibri"/>
                <w:b/>
                <w:bCs/>
                <w:color w:val="000000"/>
                <w:sz w:val="20"/>
                <w:szCs w:val="20"/>
                <w:lang w:eastAsia="en-AU"/>
              </w:rPr>
              <w:t>%</w:t>
            </w:r>
          </w:p>
        </w:tc>
      </w:tr>
    </w:tbl>
    <w:p w14:paraId="25392247" w14:textId="00D598DA" w:rsidR="00D30531" w:rsidRPr="008C2951" w:rsidRDefault="00D30531" w:rsidP="00EF1C1A">
      <w:pPr>
        <w:pStyle w:val="Chartreference"/>
        <w:rPr>
          <w:rFonts w:eastAsia="Calibri"/>
        </w:rPr>
      </w:pPr>
      <w:r w:rsidRPr="008C2951">
        <w:t xml:space="preserve">Job seekers can be recorded against multiple cohorts. For example, a job seeker can be both </w:t>
      </w:r>
      <w:r w:rsidR="00026EAE">
        <w:t>I</w:t>
      </w:r>
      <w:r w:rsidR="003C2F92">
        <w:t>ndigenous and a parent.</w:t>
      </w:r>
    </w:p>
    <w:p w14:paraId="1BE4D28A" w14:textId="77777777" w:rsidR="00D30531" w:rsidRPr="00EF1C1A" w:rsidRDefault="00D30531" w:rsidP="006966DA">
      <w:pPr>
        <w:pStyle w:val="Heading2"/>
      </w:pPr>
      <w:r w:rsidRPr="00EF1C1A">
        <w:t>Placements and outcomes by industry</w:t>
      </w:r>
    </w:p>
    <w:p w14:paraId="346DBC52" w14:textId="3CC791C9" w:rsidR="00D30531" w:rsidRPr="00384CA4" w:rsidRDefault="00D30531" w:rsidP="00EF1C1A">
      <w:pPr>
        <w:rPr>
          <w:rFonts w:eastAsia="Calibri" w:cstheme="minorHAnsi"/>
        </w:rPr>
      </w:pPr>
      <w:r w:rsidRPr="002D18A1">
        <w:rPr>
          <w:rFonts w:eastAsia="Calibri" w:cstheme="minorHAnsi"/>
        </w:rPr>
        <w:t xml:space="preserve">The highest number of job placements was in the </w:t>
      </w:r>
      <w:r w:rsidRPr="002D18A1">
        <w:rPr>
          <w:rFonts w:eastAsia="Calibri" w:cstheme="minorHAnsi"/>
          <w:i/>
        </w:rPr>
        <w:t>Other Services</w:t>
      </w:r>
      <w:r w:rsidRPr="002D18A1">
        <w:rPr>
          <w:rFonts w:eastAsia="Calibri" w:cstheme="minorHAnsi"/>
        </w:rPr>
        <w:t xml:space="preserve"> industry, with 2</w:t>
      </w:r>
      <w:r>
        <w:rPr>
          <w:rFonts w:eastAsia="Calibri" w:cstheme="minorHAnsi"/>
        </w:rPr>
        <w:t>77,540</w:t>
      </w:r>
      <w:r w:rsidRPr="002D18A1">
        <w:rPr>
          <w:rFonts w:eastAsia="Calibri" w:cstheme="minorHAnsi"/>
        </w:rPr>
        <w:t xml:space="preserve"> placements between 1 July 2015 and 31 </w:t>
      </w:r>
      <w:r>
        <w:rPr>
          <w:rFonts w:eastAsia="Calibri" w:cstheme="minorHAnsi"/>
        </w:rPr>
        <w:t>May</w:t>
      </w:r>
      <w:r w:rsidRPr="002D18A1">
        <w:rPr>
          <w:rFonts w:eastAsia="Calibri" w:cstheme="minorHAnsi"/>
        </w:rPr>
        <w:t xml:space="preserve"> 2018. </w:t>
      </w:r>
      <w:r w:rsidRPr="002D18A1">
        <w:rPr>
          <w:rFonts w:eastAsia="Calibri" w:cstheme="minorHAnsi"/>
          <w:i/>
        </w:rPr>
        <w:t>Other Services</w:t>
      </w:r>
      <w:r w:rsidRPr="002D18A1">
        <w:rPr>
          <w:rFonts w:eastAsia="Calibri" w:cstheme="minorHAnsi"/>
        </w:rPr>
        <w:t xml:space="preserve"> is a diverse industry which includes firms providing personal care, funeral and religious services, machinery and automotive repair and maintenance activities.</w:t>
      </w:r>
      <w:r>
        <w:rPr>
          <w:rFonts w:eastAsia="Calibri" w:cstheme="minorHAnsi"/>
        </w:rPr>
        <w:t xml:space="preserve"> It should be noted, however, that </w:t>
      </w:r>
      <w:r w:rsidRPr="00B97CE7">
        <w:rPr>
          <w:rFonts w:eastAsia="Calibri" w:cstheme="minorHAnsi"/>
          <w:i/>
        </w:rPr>
        <w:t>Other Services</w:t>
      </w:r>
      <w:r>
        <w:rPr>
          <w:rFonts w:eastAsia="Calibri" w:cstheme="minorHAnsi"/>
        </w:rPr>
        <w:t xml:space="preserve"> is a small industry, </w:t>
      </w:r>
      <w:r w:rsidRPr="002D18A1">
        <w:rPr>
          <w:rFonts w:eastAsia="Calibri" w:cstheme="minorHAnsi"/>
        </w:rPr>
        <w:t>accounting for around 4 per cent of total employment in Australia</w:t>
      </w:r>
      <w:r>
        <w:rPr>
          <w:rFonts w:eastAsia="Calibri" w:cstheme="minorHAnsi"/>
        </w:rPr>
        <w:t>. Accordingly, it is unlikely that this industry would have presented 277,540 placement opportunities and it is more likely</w:t>
      </w:r>
      <w:r w:rsidRPr="002D18A1">
        <w:rPr>
          <w:rFonts w:eastAsia="Calibri" w:cstheme="minorHAnsi"/>
        </w:rPr>
        <w:t xml:space="preserve"> that </w:t>
      </w:r>
      <w:r>
        <w:rPr>
          <w:rFonts w:eastAsia="Calibri" w:cstheme="minorHAnsi"/>
        </w:rPr>
        <w:t xml:space="preserve">this is being used </w:t>
      </w:r>
      <w:r w:rsidRPr="002D18A1">
        <w:rPr>
          <w:rFonts w:eastAsia="Calibri" w:cstheme="minorHAnsi"/>
        </w:rPr>
        <w:t>as a ‘catch all’ category</w:t>
      </w:r>
      <w:r>
        <w:rPr>
          <w:rFonts w:eastAsia="Calibri" w:cstheme="minorHAnsi"/>
        </w:rPr>
        <w:t xml:space="preserve">. The next two industries with a large number of placements were </w:t>
      </w:r>
      <w:r>
        <w:rPr>
          <w:rFonts w:eastAsia="Calibri" w:cstheme="minorHAnsi"/>
          <w:i/>
        </w:rPr>
        <w:t>Accommodation and Food Services</w:t>
      </w:r>
      <w:r>
        <w:rPr>
          <w:rFonts w:eastAsia="Calibri" w:cstheme="minorHAnsi"/>
        </w:rPr>
        <w:t xml:space="preserve"> and </w:t>
      </w:r>
      <w:r>
        <w:rPr>
          <w:rFonts w:eastAsia="Calibri" w:cstheme="minorHAnsi"/>
          <w:i/>
        </w:rPr>
        <w:t>Retail Trade</w:t>
      </w:r>
      <w:r>
        <w:rPr>
          <w:rFonts w:eastAsia="Calibri" w:cstheme="minorHAnsi"/>
        </w:rPr>
        <w:t>, two industries that present good entry</w:t>
      </w:r>
      <w:r>
        <w:rPr>
          <w:rFonts w:eastAsia="Calibri" w:cstheme="minorHAnsi"/>
        </w:rPr>
        <w:noBreakHyphen/>
        <w:t>level opportunities due to the prevalence of lower-skilled jobs.</w:t>
      </w:r>
    </w:p>
    <w:p w14:paraId="70DE5480" w14:textId="77777777" w:rsidR="00D30531" w:rsidRDefault="00D30531" w:rsidP="00EF1C1A">
      <w:pPr>
        <w:rPr>
          <w:rFonts w:eastAsia="Calibri" w:cstheme="minorHAnsi"/>
        </w:rPr>
      </w:pPr>
      <w:r w:rsidRPr="002D18A1">
        <w:rPr>
          <w:rFonts w:eastAsia="Calibri" w:cstheme="minorHAnsi"/>
        </w:rPr>
        <w:t xml:space="preserve">Job seekers who obtained a job placement in the </w:t>
      </w:r>
      <w:r w:rsidRPr="002D18A1">
        <w:rPr>
          <w:rFonts w:eastAsia="Calibri" w:cstheme="minorHAnsi"/>
          <w:i/>
        </w:rPr>
        <w:t>Financial and Insurance Services</w:t>
      </w:r>
      <w:r w:rsidRPr="002D18A1">
        <w:rPr>
          <w:rFonts w:eastAsia="Calibri" w:cstheme="minorHAnsi"/>
        </w:rPr>
        <w:t xml:space="preserve"> industry were more likely to stay in employment, with 56.9 per cent of </w:t>
      </w:r>
      <w:r>
        <w:rPr>
          <w:rFonts w:eastAsia="Calibri" w:cstheme="minorHAnsi"/>
        </w:rPr>
        <w:t xml:space="preserve">job placements converting to </w:t>
      </w:r>
      <w:r w:rsidRPr="002D18A1">
        <w:rPr>
          <w:rFonts w:eastAsia="Calibri" w:cstheme="minorHAnsi"/>
        </w:rPr>
        <w:t xml:space="preserve">a 26-week outcome. Conversely, job seekers who were placed in the </w:t>
      </w:r>
      <w:r w:rsidRPr="002D18A1">
        <w:rPr>
          <w:rFonts w:eastAsia="Calibri" w:cstheme="minorHAnsi"/>
          <w:i/>
        </w:rPr>
        <w:t>Agriculture, Forestry and Fishing</w:t>
      </w:r>
      <w:r w:rsidRPr="002D18A1">
        <w:rPr>
          <w:rFonts w:eastAsia="Calibri" w:cstheme="minorHAnsi"/>
        </w:rPr>
        <w:t xml:space="preserve"> industry were the least likely to remain in employment, with only 2</w:t>
      </w:r>
      <w:r>
        <w:rPr>
          <w:rFonts w:eastAsia="Calibri" w:cstheme="minorHAnsi"/>
        </w:rPr>
        <w:t>7</w:t>
      </w:r>
      <w:r w:rsidRPr="002D18A1">
        <w:rPr>
          <w:rFonts w:eastAsia="Calibri" w:cstheme="minorHAnsi"/>
        </w:rPr>
        <w:t>.</w:t>
      </w:r>
      <w:r>
        <w:rPr>
          <w:rFonts w:eastAsia="Calibri" w:cstheme="minorHAnsi"/>
        </w:rPr>
        <w:t>1</w:t>
      </w:r>
      <w:r w:rsidRPr="002D18A1">
        <w:rPr>
          <w:rFonts w:eastAsia="Calibri" w:cstheme="minorHAnsi"/>
        </w:rPr>
        <w:t xml:space="preserve"> per cent of </w:t>
      </w:r>
      <w:r>
        <w:rPr>
          <w:rFonts w:eastAsia="Calibri" w:cstheme="minorHAnsi"/>
        </w:rPr>
        <w:t>job placements converting to</w:t>
      </w:r>
      <w:r w:rsidRPr="002D18A1">
        <w:rPr>
          <w:rFonts w:eastAsia="Calibri" w:cstheme="minorHAnsi"/>
        </w:rPr>
        <w:t xml:space="preserve"> a 26 week outcome. However, this may reflect the high incidence of seasonal and short-term work in this industry.</w:t>
      </w:r>
    </w:p>
    <w:p w14:paraId="1C5CB3FB" w14:textId="41EDEA3E" w:rsidR="00D30531" w:rsidRPr="001F332A" w:rsidRDefault="00D30531" w:rsidP="00E019B6">
      <w:pPr>
        <w:pStyle w:val="Chartandtableheader"/>
      </w:pPr>
      <w:r w:rsidRPr="001F332A">
        <w:lastRenderedPageBreak/>
        <w:t>Table</w:t>
      </w:r>
      <w:r>
        <w:t>F.4:</w:t>
      </w:r>
      <w:r w:rsidRPr="001F332A">
        <w:t xml:space="preserve"> Job Placements and Conversion Rates by Industry 1 July 2015 to 31 May 2018</w:t>
      </w:r>
    </w:p>
    <w:tbl>
      <w:tblPr>
        <w:tblStyle w:val="TableGrid1"/>
        <w:tblW w:w="5107" w:type="pct"/>
        <w:tblLayout w:type="fixed"/>
        <w:tblLook w:val="04A0" w:firstRow="1" w:lastRow="0" w:firstColumn="1" w:lastColumn="0" w:noHBand="0" w:noVBand="1"/>
      </w:tblPr>
      <w:tblGrid>
        <w:gridCol w:w="3966"/>
        <w:gridCol w:w="1310"/>
        <w:gridCol w:w="1311"/>
        <w:gridCol w:w="1311"/>
        <w:gridCol w:w="1311"/>
      </w:tblGrid>
      <w:tr w:rsidR="00D30531" w:rsidRPr="005723A1" w14:paraId="35F77E73" w14:textId="77777777" w:rsidTr="001C143A">
        <w:trPr>
          <w:cantSplit/>
          <w:tblHeader/>
        </w:trPr>
        <w:tc>
          <w:tcPr>
            <w:tcW w:w="2153" w:type="pct"/>
            <w:shd w:val="clear" w:color="auto" w:fill="B2E8FA" w:themeFill="accent1" w:themeFillTint="66"/>
            <w:noWrap/>
            <w:hideMark/>
          </w:tcPr>
          <w:p w14:paraId="2B7152DE" w14:textId="77777777" w:rsidR="00D30531" w:rsidRPr="005723A1" w:rsidRDefault="00D30531" w:rsidP="00E019B6">
            <w:pPr>
              <w:pStyle w:val="Table1"/>
              <w:keepNext/>
              <w:keepLines/>
            </w:pPr>
            <w:r w:rsidRPr="005723A1">
              <w:t>Employer Industry</w:t>
            </w:r>
          </w:p>
        </w:tc>
        <w:tc>
          <w:tcPr>
            <w:tcW w:w="711" w:type="pct"/>
            <w:shd w:val="clear" w:color="auto" w:fill="B2E8FA" w:themeFill="accent1" w:themeFillTint="66"/>
            <w:hideMark/>
          </w:tcPr>
          <w:p w14:paraId="3584C858" w14:textId="77777777" w:rsidR="00D30531" w:rsidRPr="005723A1" w:rsidRDefault="00D30531" w:rsidP="00E019B6">
            <w:pPr>
              <w:pStyle w:val="Table1"/>
              <w:keepNext/>
              <w:keepLines/>
              <w:jc w:val="center"/>
            </w:pPr>
            <w:r w:rsidRPr="005723A1">
              <w:t>Total Job Placements</w:t>
            </w:r>
          </w:p>
        </w:tc>
        <w:tc>
          <w:tcPr>
            <w:tcW w:w="712" w:type="pct"/>
            <w:shd w:val="clear" w:color="auto" w:fill="B2E8FA" w:themeFill="accent1" w:themeFillTint="66"/>
            <w:hideMark/>
          </w:tcPr>
          <w:p w14:paraId="4206AC90" w14:textId="3291C287" w:rsidR="00D30531" w:rsidRPr="005723A1" w:rsidRDefault="00D30531" w:rsidP="00E019B6">
            <w:pPr>
              <w:pStyle w:val="Table1"/>
              <w:keepNext/>
              <w:keepLines/>
              <w:jc w:val="center"/>
            </w:pPr>
            <w:r>
              <w:t>4-</w:t>
            </w:r>
            <w:r w:rsidRPr="005723A1">
              <w:t>Week Outcome Rate</w:t>
            </w:r>
          </w:p>
        </w:tc>
        <w:tc>
          <w:tcPr>
            <w:tcW w:w="712" w:type="pct"/>
            <w:shd w:val="clear" w:color="auto" w:fill="B2E8FA" w:themeFill="accent1" w:themeFillTint="66"/>
            <w:hideMark/>
          </w:tcPr>
          <w:p w14:paraId="1516ECED" w14:textId="1CE0945B" w:rsidR="00D30531" w:rsidRPr="005723A1" w:rsidRDefault="00D30531" w:rsidP="00E019B6">
            <w:pPr>
              <w:pStyle w:val="Table1"/>
              <w:keepNext/>
              <w:keepLines/>
              <w:jc w:val="center"/>
            </w:pPr>
            <w:r>
              <w:t>12-</w:t>
            </w:r>
            <w:r w:rsidRPr="005723A1">
              <w:t>Week Outcome Rate</w:t>
            </w:r>
          </w:p>
        </w:tc>
        <w:tc>
          <w:tcPr>
            <w:tcW w:w="712" w:type="pct"/>
            <w:shd w:val="clear" w:color="auto" w:fill="B2E8FA" w:themeFill="accent1" w:themeFillTint="66"/>
            <w:hideMark/>
          </w:tcPr>
          <w:p w14:paraId="2B8C070E" w14:textId="6EA81C55" w:rsidR="00D30531" w:rsidRPr="005723A1" w:rsidRDefault="00D30531" w:rsidP="00E019B6">
            <w:pPr>
              <w:pStyle w:val="Table1"/>
              <w:keepNext/>
              <w:keepLines/>
              <w:jc w:val="center"/>
            </w:pPr>
            <w:r>
              <w:t>26-</w:t>
            </w:r>
            <w:r w:rsidRPr="005723A1">
              <w:t>Week Outcome Rate</w:t>
            </w:r>
          </w:p>
        </w:tc>
      </w:tr>
      <w:tr w:rsidR="00D30531" w:rsidRPr="005723A1" w14:paraId="2D012579" w14:textId="77777777" w:rsidTr="00E019B6">
        <w:trPr>
          <w:trHeight w:hRule="exact" w:val="397"/>
        </w:trPr>
        <w:tc>
          <w:tcPr>
            <w:tcW w:w="2153" w:type="pct"/>
            <w:noWrap/>
            <w:hideMark/>
          </w:tcPr>
          <w:p w14:paraId="72BADDDD" w14:textId="77777777" w:rsidR="00D30531" w:rsidRPr="005723A1" w:rsidRDefault="00D30531" w:rsidP="00E019B6">
            <w:pPr>
              <w:pStyle w:val="tablecontents"/>
              <w:keepNext/>
              <w:keepLines/>
            </w:pPr>
            <w:r w:rsidRPr="005723A1">
              <w:t>Other Services*</w:t>
            </w:r>
          </w:p>
        </w:tc>
        <w:tc>
          <w:tcPr>
            <w:tcW w:w="711" w:type="pct"/>
            <w:noWrap/>
            <w:hideMark/>
          </w:tcPr>
          <w:p w14:paraId="05DE4A32" w14:textId="77777777" w:rsidR="00D30531" w:rsidRPr="005723A1" w:rsidRDefault="00D30531" w:rsidP="00E019B6">
            <w:pPr>
              <w:pStyle w:val="tablecontents"/>
              <w:keepNext/>
              <w:keepLines/>
              <w:jc w:val="center"/>
            </w:pPr>
            <w:r w:rsidRPr="005723A1">
              <w:t>277,540</w:t>
            </w:r>
          </w:p>
        </w:tc>
        <w:tc>
          <w:tcPr>
            <w:tcW w:w="712" w:type="pct"/>
            <w:noWrap/>
            <w:hideMark/>
          </w:tcPr>
          <w:p w14:paraId="3BD10AA6" w14:textId="77777777" w:rsidR="00D30531" w:rsidRPr="005723A1" w:rsidRDefault="00D30531" w:rsidP="00E019B6">
            <w:pPr>
              <w:pStyle w:val="tablecontents"/>
              <w:keepNext/>
              <w:keepLines/>
              <w:jc w:val="center"/>
            </w:pPr>
            <w:r w:rsidRPr="005723A1">
              <w:t>59.9%</w:t>
            </w:r>
          </w:p>
        </w:tc>
        <w:tc>
          <w:tcPr>
            <w:tcW w:w="712" w:type="pct"/>
            <w:noWrap/>
            <w:hideMark/>
          </w:tcPr>
          <w:p w14:paraId="5D925BC5" w14:textId="77777777" w:rsidR="00D30531" w:rsidRPr="005723A1" w:rsidRDefault="00D30531" w:rsidP="00E019B6">
            <w:pPr>
              <w:pStyle w:val="tablecontents"/>
              <w:keepNext/>
              <w:keepLines/>
              <w:jc w:val="center"/>
            </w:pPr>
            <w:r w:rsidRPr="005723A1">
              <w:t>52.5%</w:t>
            </w:r>
          </w:p>
        </w:tc>
        <w:tc>
          <w:tcPr>
            <w:tcW w:w="712" w:type="pct"/>
            <w:noWrap/>
            <w:hideMark/>
          </w:tcPr>
          <w:p w14:paraId="52D769C2" w14:textId="77777777" w:rsidR="00D30531" w:rsidRPr="005723A1" w:rsidRDefault="00D30531" w:rsidP="00E019B6">
            <w:pPr>
              <w:pStyle w:val="tablecontents"/>
              <w:keepNext/>
              <w:keepLines/>
              <w:jc w:val="center"/>
            </w:pPr>
            <w:r w:rsidRPr="005723A1">
              <w:t>37.4%</w:t>
            </w:r>
          </w:p>
        </w:tc>
      </w:tr>
      <w:tr w:rsidR="00D30531" w:rsidRPr="005723A1" w14:paraId="4EE272B4" w14:textId="77777777" w:rsidTr="00E019B6">
        <w:trPr>
          <w:trHeight w:hRule="exact" w:val="397"/>
        </w:trPr>
        <w:tc>
          <w:tcPr>
            <w:tcW w:w="2153" w:type="pct"/>
            <w:noWrap/>
            <w:hideMark/>
          </w:tcPr>
          <w:p w14:paraId="20075F50" w14:textId="77777777" w:rsidR="00D30531" w:rsidRPr="005723A1" w:rsidRDefault="00D30531" w:rsidP="00E019B6">
            <w:pPr>
              <w:pStyle w:val="tablecontents"/>
              <w:keepNext/>
              <w:keepLines/>
            </w:pPr>
            <w:r w:rsidRPr="005723A1">
              <w:t>Accommodation and Food Services</w:t>
            </w:r>
          </w:p>
        </w:tc>
        <w:tc>
          <w:tcPr>
            <w:tcW w:w="711" w:type="pct"/>
            <w:noWrap/>
            <w:hideMark/>
          </w:tcPr>
          <w:p w14:paraId="55E0370F" w14:textId="77777777" w:rsidR="00D30531" w:rsidRPr="005723A1" w:rsidRDefault="00D30531" w:rsidP="00E019B6">
            <w:pPr>
              <w:pStyle w:val="tablecontents"/>
              <w:keepNext/>
              <w:keepLines/>
              <w:jc w:val="center"/>
            </w:pPr>
            <w:r w:rsidRPr="005723A1">
              <w:t>129,660</w:t>
            </w:r>
          </w:p>
        </w:tc>
        <w:tc>
          <w:tcPr>
            <w:tcW w:w="712" w:type="pct"/>
            <w:noWrap/>
            <w:hideMark/>
          </w:tcPr>
          <w:p w14:paraId="15AD20BB" w14:textId="77777777" w:rsidR="00D30531" w:rsidRPr="005723A1" w:rsidRDefault="00D30531" w:rsidP="00E019B6">
            <w:pPr>
              <w:pStyle w:val="tablecontents"/>
              <w:keepNext/>
              <w:keepLines/>
              <w:jc w:val="center"/>
            </w:pPr>
            <w:r w:rsidRPr="005723A1">
              <w:t>55.7%</w:t>
            </w:r>
          </w:p>
        </w:tc>
        <w:tc>
          <w:tcPr>
            <w:tcW w:w="712" w:type="pct"/>
            <w:noWrap/>
            <w:hideMark/>
          </w:tcPr>
          <w:p w14:paraId="2DCD5717" w14:textId="77777777" w:rsidR="00D30531" w:rsidRPr="005723A1" w:rsidRDefault="00D30531" w:rsidP="00E019B6">
            <w:pPr>
              <w:pStyle w:val="tablecontents"/>
              <w:keepNext/>
              <w:keepLines/>
              <w:jc w:val="center"/>
            </w:pPr>
            <w:r w:rsidRPr="005723A1">
              <w:t>48.7%</w:t>
            </w:r>
          </w:p>
        </w:tc>
        <w:tc>
          <w:tcPr>
            <w:tcW w:w="712" w:type="pct"/>
            <w:noWrap/>
            <w:hideMark/>
          </w:tcPr>
          <w:p w14:paraId="3992C6D4" w14:textId="77777777" w:rsidR="00D30531" w:rsidRPr="005723A1" w:rsidRDefault="00D30531" w:rsidP="00E019B6">
            <w:pPr>
              <w:pStyle w:val="tablecontents"/>
              <w:keepNext/>
              <w:keepLines/>
              <w:jc w:val="center"/>
            </w:pPr>
            <w:r w:rsidRPr="005723A1">
              <w:t>31.4%</w:t>
            </w:r>
          </w:p>
        </w:tc>
      </w:tr>
      <w:tr w:rsidR="00D30531" w:rsidRPr="005723A1" w14:paraId="58E1C3BA" w14:textId="77777777" w:rsidTr="00E019B6">
        <w:trPr>
          <w:trHeight w:hRule="exact" w:val="397"/>
        </w:trPr>
        <w:tc>
          <w:tcPr>
            <w:tcW w:w="2153" w:type="pct"/>
            <w:noWrap/>
            <w:hideMark/>
          </w:tcPr>
          <w:p w14:paraId="60574C5D" w14:textId="77777777" w:rsidR="00D30531" w:rsidRPr="005723A1" w:rsidRDefault="00D30531" w:rsidP="00E019B6">
            <w:pPr>
              <w:pStyle w:val="tablecontents"/>
              <w:keepNext/>
              <w:keepLines/>
            </w:pPr>
            <w:r w:rsidRPr="005723A1">
              <w:t>Retail Trade</w:t>
            </w:r>
          </w:p>
        </w:tc>
        <w:tc>
          <w:tcPr>
            <w:tcW w:w="711" w:type="pct"/>
            <w:noWrap/>
            <w:hideMark/>
          </w:tcPr>
          <w:p w14:paraId="101977FC" w14:textId="77777777" w:rsidR="00D30531" w:rsidRPr="005723A1" w:rsidRDefault="00D30531" w:rsidP="00E019B6">
            <w:pPr>
              <w:pStyle w:val="tablecontents"/>
              <w:keepNext/>
              <w:keepLines/>
              <w:jc w:val="center"/>
            </w:pPr>
            <w:r w:rsidRPr="005723A1">
              <w:t>102,910</w:t>
            </w:r>
          </w:p>
        </w:tc>
        <w:tc>
          <w:tcPr>
            <w:tcW w:w="712" w:type="pct"/>
            <w:noWrap/>
            <w:hideMark/>
          </w:tcPr>
          <w:p w14:paraId="3C1CBD1D" w14:textId="77777777" w:rsidR="00D30531" w:rsidRPr="005723A1" w:rsidRDefault="00D30531" w:rsidP="00E019B6">
            <w:pPr>
              <w:pStyle w:val="tablecontents"/>
              <w:keepNext/>
              <w:keepLines/>
              <w:jc w:val="center"/>
            </w:pPr>
            <w:r w:rsidRPr="005723A1">
              <w:t>65.0%</w:t>
            </w:r>
          </w:p>
        </w:tc>
        <w:tc>
          <w:tcPr>
            <w:tcW w:w="712" w:type="pct"/>
            <w:noWrap/>
            <w:hideMark/>
          </w:tcPr>
          <w:p w14:paraId="358FCEB6" w14:textId="77777777" w:rsidR="00D30531" w:rsidRPr="005723A1" w:rsidRDefault="00D30531" w:rsidP="00E019B6">
            <w:pPr>
              <w:pStyle w:val="tablecontents"/>
              <w:keepNext/>
              <w:keepLines/>
              <w:jc w:val="center"/>
            </w:pPr>
            <w:r w:rsidRPr="005723A1">
              <w:t>58.9%</w:t>
            </w:r>
          </w:p>
        </w:tc>
        <w:tc>
          <w:tcPr>
            <w:tcW w:w="712" w:type="pct"/>
            <w:noWrap/>
            <w:hideMark/>
          </w:tcPr>
          <w:p w14:paraId="68F9F967" w14:textId="77777777" w:rsidR="00D30531" w:rsidRPr="005723A1" w:rsidRDefault="00D30531" w:rsidP="00E019B6">
            <w:pPr>
              <w:pStyle w:val="tablecontents"/>
              <w:keepNext/>
              <w:keepLines/>
              <w:jc w:val="center"/>
            </w:pPr>
            <w:r w:rsidRPr="005723A1">
              <w:t>41.3%</w:t>
            </w:r>
          </w:p>
        </w:tc>
      </w:tr>
      <w:tr w:rsidR="00D30531" w:rsidRPr="005723A1" w14:paraId="3BEF71DC" w14:textId="77777777" w:rsidTr="00E019B6">
        <w:trPr>
          <w:trHeight w:hRule="exact" w:val="397"/>
        </w:trPr>
        <w:tc>
          <w:tcPr>
            <w:tcW w:w="2153" w:type="pct"/>
            <w:noWrap/>
            <w:hideMark/>
          </w:tcPr>
          <w:p w14:paraId="681E9235" w14:textId="77777777" w:rsidR="00D30531" w:rsidRPr="005723A1" w:rsidRDefault="00D30531" w:rsidP="00E019B6">
            <w:pPr>
              <w:pStyle w:val="tablecontents"/>
              <w:keepNext/>
              <w:keepLines/>
            </w:pPr>
            <w:r w:rsidRPr="005723A1">
              <w:t>Construction</w:t>
            </w:r>
          </w:p>
        </w:tc>
        <w:tc>
          <w:tcPr>
            <w:tcW w:w="711" w:type="pct"/>
            <w:noWrap/>
            <w:hideMark/>
          </w:tcPr>
          <w:p w14:paraId="77DBDAB6" w14:textId="77777777" w:rsidR="00D30531" w:rsidRPr="005723A1" w:rsidRDefault="00D30531" w:rsidP="00E019B6">
            <w:pPr>
              <w:pStyle w:val="tablecontents"/>
              <w:keepNext/>
              <w:keepLines/>
              <w:jc w:val="center"/>
            </w:pPr>
            <w:r w:rsidRPr="005723A1">
              <w:t>96,100</w:t>
            </w:r>
          </w:p>
        </w:tc>
        <w:tc>
          <w:tcPr>
            <w:tcW w:w="712" w:type="pct"/>
            <w:noWrap/>
            <w:hideMark/>
          </w:tcPr>
          <w:p w14:paraId="486261B1" w14:textId="77777777" w:rsidR="00D30531" w:rsidRPr="005723A1" w:rsidRDefault="00D30531" w:rsidP="00E019B6">
            <w:pPr>
              <w:pStyle w:val="tablecontents"/>
              <w:keepNext/>
              <w:keepLines/>
              <w:jc w:val="center"/>
            </w:pPr>
            <w:r w:rsidRPr="005723A1">
              <w:t>55.7%</w:t>
            </w:r>
          </w:p>
        </w:tc>
        <w:tc>
          <w:tcPr>
            <w:tcW w:w="712" w:type="pct"/>
            <w:noWrap/>
            <w:hideMark/>
          </w:tcPr>
          <w:p w14:paraId="014A9A99" w14:textId="77777777" w:rsidR="00D30531" w:rsidRPr="005723A1" w:rsidRDefault="00D30531" w:rsidP="00E019B6">
            <w:pPr>
              <w:pStyle w:val="tablecontents"/>
              <w:keepNext/>
              <w:keepLines/>
              <w:jc w:val="center"/>
            </w:pPr>
            <w:r w:rsidRPr="005723A1">
              <w:t>47.4%</w:t>
            </w:r>
          </w:p>
        </w:tc>
        <w:tc>
          <w:tcPr>
            <w:tcW w:w="712" w:type="pct"/>
            <w:noWrap/>
            <w:hideMark/>
          </w:tcPr>
          <w:p w14:paraId="26198426" w14:textId="77777777" w:rsidR="00D30531" w:rsidRPr="005723A1" w:rsidRDefault="00D30531" w:rsidP="00E019B6">
            <w:pPr>
              <w:pStyle w:val="tablecontents"/>
              <w:keepNext/>
              <w:keepLines/>
              <w:jc w:val="center"/>
            </w:pPr>
            <w:r w:rsidRPr="005723A1">
              <w:t>33.3%</w:t>
            </w:r>
          </w:p>
        </w:tc>
      </w:tr>
      <w:tr w:rsidR="00D30531" w:rsidRPr="005723A1" w14:paraId="59BC2564" w14:textId="77777777" w:rsidTr="00E019B6">
        <w:trPr>
          <w:trHeight w:hRule="exact" w:val="397"/>
        </w:trPr>
        <w:tc>
          <w:tcPr>
            <w:tcW w:w="2153" w:type="pct"/>
            <w:noWrap/>
            <w:hideMark/>
          </w:tcPr>
          <w:p w14:paraId="6BEFD1E9" w14:textId="77777777" w:rsidR="00D30531" w:rsidRPr="005723A1" w:rsidRDefault="00D30531" w:rsidP="00E019B6">
            <w:pPr>
              <w:pStyle w:val="tablecontents"/>
              <w:keepNext/>
              <w:keepLines/>
            </w:pPr>
            <w:r w:rsidRPr="005723A1">
              <w:t>Manufacturing</w:t>
            </w:r>
          </w:p>
        </w:tc>
        <w:tc>
          <w:tcPr>
            <w:tcW w:w="711" w:type="pct"/>
            <w:noWrap/>
            <w:hideMark/>
          </w:tcPr>
          <w:p w14:paraId="6A54B6A7" w14:textId="77777777" w:rsidR="00D30531" w:rsidRPr="005723A1" w:rsidRDefault="00D30531" w:rsidP="00E019B6">
            <w:pPr>
              <w:pStyle w:val="tablecontents"/>
              <w:keepNext/>
              <w:keepLines/>
              <w:jc w:val="center"/>
            </w:pPr>
            <w:r w:rsidRPr="005723A1">
              <w:t>72,160</w:t>
            </w:r>
          </w:p>
        </w:tc>
        <w:tc>
          <w:tcPr>
            <w:tcW w:w="712" w:type="pct"/>
            <w:noWrap/>
            <w:hideMark/>
          </w:tcPr>
          <w:p w14:paraId="4EF00ACB" w14:textId="77777777" w:rsidR="00D30531" w:rsidRPr="005723A1" w:rsidRDefault="00D30531" w:rsidP="00E019B6">
            <w:pPr>
              <w:pStyle w:val="tablecontents"/>
              <w:keepNext/>
              <w:keepLines/>
              <w:jc w:val="center"/>
            </w:pPr>
            <w:r w:rsidRPr="005723A1">
              <w:t>67.4%</w:t>
            </w:r>
          </w:p>
        </w:tc>
        <w:tc>
          <w:tcPr>
            <w:tcW w:w="712" w:type="pct"/>
            <w:noWrap/>
            <w:hideMark/>
          </w:tcPr>
          <w:p w14:paraId="69DAFDB0" w14:textId="77777777" w:rsidR="00D30531" w:rsidRPr="005723A1" w:rsidRDefault="00D30531" w:rsidP="00E019B6">
            <w:pPr>
              <w:pStyle w:val="tablecontents"/>
              <w:keepNext/>
              <w:keepLines/>
              <w:jc w:val="center"/>
            </w:pPr>
            <w:r w:rsidRPr="005723A1">
              <w:t>57.8%</w:t>
            </w:r>
          </w:p>
        </w:tc>
        <w:tc>
          <w:tcPr>
            <w:tcW w:w="712" w:type="pct"/>
            <w:noWrap/>
            <w:hideMark/>
          </w:tcPr>
          <w:p w14:paraId="11433104" w14:textId="77777777" w:rsidR="00D30531" w:rsidRPr="005723A1" w:rsidRDefault="00D30531" w:rsidP="00E019B6">
            <w:pPr>
              <w:pStyle w:val="tablecontents"/>
              <w:keepNext/>
              <w:keepLines/>
              <w:jc w:val="center"/>
            </w:pPr>
            <w:r w:rsidRPr="005723A1">
              <w:t>41.5%</w:t>
            </w:r>
          </w:p>
        </w:tc>
      </w:tr>
      <w:tr w:rsidR="00D30531" w:rsidRPr="005723A1" w14:paraId="744FC81E" w14:textId="77777777" w:rsidTr="00E019B6">
        <w:trPr>
          <w:trHeight w:hRule="exact" w:val="397"/>
        </w:trPr>
        <w:tc>
          <w:tcPr>
            <w:tcW w:w="2153" w:type="pct"/>
            <w:noWrap/>
            <w:hideMark/>
          </w:tcPr>
          <w:p w14:paraId="21F35D59" w14:textId="77777777" w:rsidR="00D30531" w:rsidRPr="005723A1" w:rsidRDefault="00D30531" w:rsidP="00E019B6">
            <w:pPr>
              <w:pStyle w:val="tablecontents"/>
              <w:keepNext/>
              <w:keepLines/>
            </w:pPr>
            <w:r w:rsidRPr="005723A1">
              <w:t>Health Care and Social Assistance</w:t>
            </w:r>
          </w:p>
        </w:tc>
        <w:tc>
          <w:tcPr>
            <w:tcW w:w="711" w:type="pct"/>
            <w:noWrap/>
            <w:hideMark/>
          </w:tcPr>
          <w:p w14:paraId="1050E804" w14:textId="77777777" w:rsidR="00D30531" w:rsidRPr="005723A1" w:rsidRDefault="00D30531" w:rsidP="00E019B6">
            <w:pPr>
              <w:pStyle w:val="tablecontents"/>
              <w:keepNext/>
              <w:keepLines/>
              <w:jc w:val="center"/>
            </w:pPr>
            <w:r w:rsidRPr="005723A1">
              <w:t>66,480</w:t>
            </w:r>
          </w:p>
        </w:tc>
        <w:tc>
          <w:tcPr>
            <w:tcW w:w="712" w:type="pct"/>
            <w:noWrap/>
            <w:hideMark/>
          </w:tcPr>
          <w:p w14:paraId="0AE19C47" w14:textId="77777777" w:rsidR="00D30531" w:rsidRPr="005723A1" w:rsidRDefault="00D30531" w:rsidP="00E019B6">
            <w:pPr>
              <w:pStyle w:val="tablecontents"/>
              <w:keepNext/>
              <w:keepLines/>
              <w:jc w:val="center"/>
            </w:pPr>
            <w:r w:rsidRPr="005723A1">
              <w:t>74.2%</w:t>
            </w:r>
          </w:p>
        </w:tc>
        <w:tc>
          <w:tcPr>
            <w:tcW w:w="712" w:type="pct"/>
            <w:noWrap/>
            <w:hideMark/>
          </w:tcPr>
          <w:p w14:paraId="0C34F376" w14:textId="77777777" w:rsidR="00D30531" w:rsidRPr="005723A1" w:rsidRDefault="00D30531" w:rsidP="00E019B6">
            <w:pPr>
              <w:pStyle w:val="tablecontents"/>
              <w:keepNext/>
              <w:keepLines/>
              <w:jc w:val="center"/>
            </w:pPr>
            <w:r w:rsidRPr="005723A1">
              <w:t>70.7%</w:t>
            </w:r>
          </w:p>
        </w:tc>
        <w:tc>
          <w:tcPr>
            <w:tcW w:w="712" w:type="pct"/>
            <w:noWrap/>
            <w:hideMark/>
          </w:tcPr>
          <w:p w14:paraId="666CBB06" w14:textId="77777777" w:rsidR="00D30531" w:rsidRPr="005723A1" w:rsidRDefault="00D30531" w:rsidP="00E019B6">
            <w:pPr>
              <w:pStyle w:val="tablecontents"/>
              <w:keepNext/>
              <w:keepLines/>
              <w:jc w:val="center"/>
            </w:pPr>
            <w:r w:rsidRPr="005723A1">
              <w:t>54.4%</w:t>
            </w:r>
          </w:p>
        </w:tc>
      </w:tr>
      <w:tr w:rsidR="00D30531" w:rsidRPr="005723A1" w14:paraId="46307AD9" w14:textId="77777777" w:rsidTr="00E019B6">
        <w:trPr>
          <w:trHeight w:hRule="exact" w:val="397"/>
        </w:trPr>
        <w:tc>
          <w:tcPr>
            <w:tcW w:w="2153" w:type="pct"/>
            <w:noWrap/>
            <w:hideMark/>
          </w:tcPr>
          <w:p w14:paraId="33BD192A" w14:textId="77777777" w:rsidR="00D30531" w:rsidRPr="005723A1" w:rsidRDefault="00D30531" w:rsidP="00E019B6">
            <w:pPr>
              <w:pStyle w:val="tablecontents"/>
              <w:keepNext/>
              <w:keepLines/>
            </w:pPr>
            <w:r w:rsidRPr="005723A1">
              <w:t>Transport, Postal and Warehousing</w:t>
            </w:r>
          </w:p>
        </w:tc>
        <w:tc>
          <w:tcPr>
            <w:tcW w:w="711" w:type="pct"/>
            <w:noWrap/>
            <w:hideMark/>
          </w:tcPr>
          <w:p w14:paraId="787B3A3E" w14:textId="77777777" w:rsidR="00D30531" w:rsidRPr="005723A1" w:rsidRDefault="00D30531" w:rsidP="00E019B6">
            <w:pPr>
              <w:pStyle w:val="tablecontents"/>
              <w:keepNext/>
              <w:keepLines/>
              <w:jc w:val="center"/>
            </w:pPr>
            <w:r w:rsidRPr="005723A1">
              <w:t>59,420</w:t>
            </w:r>
          </w:p>
        </w:tc>
        <w:tc>
          <w:tcPr>
            <w:tcW w:w="712" w:type="pct"/>
            <w:noWrap/>
            <w:hideMark/>
          </w:tcPr>
          <w:p w14:paraId="2A76627F" w14:textId="77777777" w:rsidR="00D30531" w:rsidRPr="005723A1" w:rsidRDefault="00D30531" w:rsidP="00E019B6">
            <w:pPr>
              <w:pStyle w:val="tablecontents"/>
              <w:keepNext/>
              <w:keepLines/>
              <w:jc w:val="center"/>
            </w:pPr>
            <w:r w:rsidRPr="005723A1">
              <w:t>62.2%</w:t>
            </w:r>
          </w:p>
        </w:tc>
        <w:tc>
          <w:tcPr>
            <w:tcW w:w="712" w:type="pct"/>
            <w:noWrap/>
            <w:hideMark/>
          </w:tcPr>
          <w:p w14:paraId="1AAD7349" w14:textId="77777777" w:rsidR="00D30531" w:rsidRPr="005723A1" w:rsidRDefault="00D30531" w:rsidP="00E019B6">
            <w:pPr>
              <w:pStyle w:val="tablecontents"/>
              <w:keepNext/>
              <w:keepLines/>
              <w:jc w:val="center"/>
            </w:pPr>
            <w:r w:rsidRPr="005723A1">
              <w:t>54.6%</w:t>
            </w:r>
          </w:p>
        </w:tc>
        <w:tc>
          <w:tcPr>
            <w:tcW w:w="712" w:type="pct"/>
            <w:noWrap/>
            <w:hideMark/>
          </w:tcPr>
          <w:p w14:paraId="0B2C867F" w14:textId="77777777" w:rsidR="00D30531" w:rsidRPr="005723A1" w:rsidRDefault="00D30531" w:rsidP="00E019B6">
            <w:pPr>
              <w:pStyle w:val="tablecontents"/>
              <w:keepNext/>
              <w:keepLines/>
              <w:jc w:val="center"/>
            </w:pPr>
            <w:r w:rsidRPr="005723A1">
              <w:t>39.3%</w:t>
            </w:r>
          </w:p>
        </w:tc>
      </w:tr>
      <w:tr w:rsidR="00D30531" w:rsidRPr="005723A1" w14:paraId="6B928C1A" w14:textId="77777777" w:rsidTr="00E019B6">
        <w:trPr>
          <w:trHeight w:hRule="exact" w:val="397"/>
        </w:trPr>
        <w:tc>
          <w:tcPr>
            <w:tcW w:w="2153" w:type="pct"/>
            <w:noWrap/>
            <w:hideMark/>
          </w:tcPr>
          <w:p w14:paraId="4CE59FF6" w14:textId="40884DDE" w:rsidR="00D30531" w:rsidRPr="005723A1" w:rsidRDefault="00D30531" w:rsidP="00E019B6">
            <w:pPr>
              <w:pStyle w:val="tablecontents"/>
              <w:keepNext/>
              <w:keepLines/>
            </w:pPr>
            <w:r>
              <w:t>Agriculture, Forestry and</w:t>
            </w:r>
            <w:r w:rsidRPr="005723A1">
              <w:t xml:space="preserve"> Fishing</w:t>
            </w:r>
          </w:p>
        </w:tc>
        <w:tc>
          <w:tcPr>
            <w:tcW w:w="711" w:type="pct"/>
            <w:noWrap/>
            <w:hideMark/>
          </w:tcPr>
          <w:p w14:paraId="20368500" w14:textId="77777777" w:rsidR="00D30531" w:rsidRPr="005723A1" w:rsidRDefault="00D30531" w:rsidP="00E019B6">
            <w:pPr>
              <w:pStyle w:val="tablecontents"/>
              <w:keepNext/>
              <w:keepLines/>
              <w:jc w:val="center"/>
            </w:pPr>
            <w:r w:rsidRPr="005723A1">
              <w:t>52,750</w:t>
            </w:r>
          </w:p>
        </w:tc>
        <w:tc>
          <w:tcPr>
            <w:tcW w:w="712" w:type="pct"/>
            <w:noWrap/>
            <w:hideMark/>
          </w:tcPr>
          <w:p w14:paraId="6699024D" w14:textId="77777777" w:rsidR="00D30531" w:rsidRPr="005723A1" w:rsidRDefault="00D30531" w:rsidP="00E019B6">
            <w:pPr>
              <w:pStyle w:val="tablecontents"/>
              <w:keepNext/>
              <w:keepLines/>
              <w:jc w:val="center"/>
            </w:pPr>
            <w:r w:rsidRPr="005723A1">
              <w:t>56.0%</w:t>
            </w:r>
          </w:p>
        </w:tc>
        <w:tc>
          <w:tcPr>
            <w:tcW w:w="712" w:type="pct"/>
            <w:noWrap/>
            <w:hideMark/>
          </w:tcPr>
          <w:p w14:paraId="16FA31BF" w14:textId="77777777" w:rsidR="00D30531" w:rsidRPr="005723A1" w:rsidRDefault="00D30531" w:rsidP="00E019B6">
            <w:pPr>
              <w:pStyle w:val="tablecontents"/>
              <w:keepNext/>
              <w:keepLines/>
              <w:jc w:val="center"/>
            </w:pPr>
            <w:r w:rsidRPr="005723A1">
              <w:t>44.1%</w:t>
            </w:r>
          </w:p>
        </w:tc>
        <w:tc>
          <w:tcPr>
            <w:tcW w:w="712" w:type="pct"/>
            <w:noWrap/>
            <w:hideMark/>
          </w:tcPr>
          <w:p w14:paraId="175323D6" w14:textId="77777777" w:rsidR="00D30531" w:rsidRPr="005723A1" w:rsidRDefault="00D30531" w:rsidP="00E019B6">
            <w:pPr>
              <w:pStyle w:val="tablecontents"/>
              <w:keepNext/>
              <w:keepLines/>
              <w:jc w:val="center"/>
            </w:pPr>
            <w:r w:rsidRPr="005723A1">
              <w:t>27.1%</w:t>
            </w:r>
          </w:p>
        </w:tc>
      </w:tr>
      <w:tr w:rsidR="00D30531" w:rsidRPr="005723A1" w14:paraId="58E3C966" w14:textId="77777777" w:rsidTr="00E019B6">
        <w:trPr>
          <w:trHeight w:hRule="exact" w:val="397"/>
        </w:trPr>
        <w:tc>
          <w:tcPr>
            <w:tcW w:w="2153" w:type="pct"/>
            <w:noWrap/>
            <w:hideMark/>
          </w:tcPr>
          <w:p w14:paraId="7015A699" w14:textId="77777777" w:rsidR="00D30531" w:rsidRPr="005723A1" w:rsidRDefault="00D30531" w:rsidP="00E019B6">
            <w:pPr>
              <w:pStyle w:val="tablecontents"/>
              <w:keepNext/>
              <w:keepLines/>
            </w:pPr>
            <w:r w:rsidRPr="005723A1">
              <w:t>Administrative and Support Services</w:t>
            </w:r>
          </w:p>
        </w:tc>
        <w:tc>
          <w:tcPr>
            <w:tcW w:w="711" w:type="pct"/>
            <w:noWrap/>
            <w:hideMark/>
          </w:tcPr>
          <w:p w14:paraId="09A51DD1" w14:textId="77777777" w:rsidR="00D30531" w:rsidRPr="005723A1" w:rsidRDefault="00D30531" w:rsidP="00E019B6">
            <w:pPr>
              <w:pStyle w:val="tablecontents"/>
              <w:keepNext/>
              <w:keepLines/>
              <w:jc w:val="center"/>
            </w:pPr>
            <w:r w:rsidRPr="005723A1">
              <w:t>44,290</w:t>
            </w:r>
          </w:p>
        </w:tc>
        <w:tc>
          <w:tcPr>
            <w:tcW w:w="712" w:type="pct"/>
            <w:noWrap/>
            <w:hideMark/>
          </w:tcPr>
          <w:p w14:paraId="1E759380" w14:textId="77777777" w:rsidR="00D30531" w:rsidRPr="005723A1" w:rsidRDefault="00D30531" w:rsidP="00E019B6">
            <w:pPr>
              <w:pStyle w:val="tablecontents"/>
              <w:keepNext/>
              <w:keepLines/>
              <w:jc w:val="center"/>
            </w:pPr>
            <w:r w:rsidRPr="005723A1">
              <w:t>71.5%</w:t>
            </w:r>
          </w:p>
        </w:tc>
        <w:tc>
          <w:tcPr>
            <w:tcW w:w="712" w:type="pct"/>
            <w:noWrap/>
            <w:hideMark/>
          </w:tcPr>
          <w:p w14:paraId="1FA84E4C" w14:textId="77777777" w:rsidR="00D30531" w:rsidRPr="005723A1" w:rsidRDefault="00D30531" w:rsidP="00E019B6">
            <w:pPr>
              <w:pStyle w:val="tablecontents"/>
              <w:keepNext/>
              <w:keepLines/>
              <w:jc w:val="center"/>
            </w:pPr>
            <w:r w:rsidRPr="005723A1">
              <w:t>63.4%</w:t>
            </w:r>
          </w:p>
        </w:tc>
        <w:tc>
          <w:tcPr>
            <w:tcW w:w="712" w:type="pct"/>
            <w:noWrap/>
            <w:hideMark/>
          </w:tcPr>
          <w:p w14:paraId="16D08750" w14:textId="77777777" w:rsidR="00D30531" w:rsidRPr="005723A1" w:rsidRDefault="00D30531" w:rsidP="00E019B6">
            <w:pPr>
              <w:pStyle w:val="tablecontents"/>
              <w:keepNext/>
              <w:keepLines/>
              <w:jc w:val="center"/>
            </w:pPr>
            <w:r w:rsidRPr="005723A1">
              <w:t>48.0%</w:t>
            </w:r>
          </w:p>
        </w:tc>
      </w:tr>
      <w:tr w:rsidR="00D30531" w:rsidRPr="005723A1" w14:paraId="3B21554C" w14:textId="77777777" w:rsidTr="00E019B6">
        <w:trPr>
          <w:trHeight w:hRule="exact" w:val="397"/>
        </w:trPr>
        <w:tc>
          <w:tcPr>
            <w:tcW w:w="2153" w:type="pct"/>
            <w:noWrap/>
            <w:hideMark/>
          </w:tcPr>
          <w:p w14:paraId="35B236E1" w14:textId="77777777" w:rsidR="00D30531" w:rsidRPr="005723A1" w:rsidRDefault="00D30531" w:rsidP="00E019B6">
            <w:pPr>
              <w:pStyle w:val="tablecontents"/>
              <w:keepNext/>
              <w:keepLines/>
            </w:pPr>
            <w:r w:rsidRPr="005723A1">
              <w:t>Education and Training</w:t>
            </w:r>
          </w:p>
        </w:tc>
        <w:tc>
          <w:tcPr>
            <w:tcW w:w="711" w:type="pct"/>
            <w:noWrap/>
            <w:hideMark/>
          </w:tcPr>
          <w:p w14:paraId="10F03400" w14:textId="77777777" w:rsidR="00D30531" w:rsidRPr="005723A1" w:rsidRDefault="00D30531" w:rsidP="00E019B6">
            <w:pPr>
              <w:pStyle w:val="tablecontents"/>
              <w:keepNext/>
              <w:keepLines/>
              <w:jc w:val="center"/>
            </w:pPr>
            <w:r w:rsidRPr="005723A1">
              <w:t>36,120</w:t>
            </w:r>
          </w:p>
        </w:tc>
        <w:tc>
          <w:tcPr>
            <w:tcW w:w="712" w:type="pct"/>
            <w:noWrap/>
            <w:hideMark/>
          </w:tcPr>
          <w:p w14:paraId="6A07AACE" w14:textId="77777777" w:rsidR="00D30531" w:rsidRPr="005723A1" w:rsidRDefault="00D30531" w:rsidP="00E019B6">
            <w:pPr>
              <w:pStyle w:val="tablecontents"/>
              <w:keepNext/>
              <w:keepLines/>
              <w:jc w:val="center"/>
            </w:pPr>
            <w:r w:rsidRPr="005723A1">
              <w:t>69.3%</w:t>
            </w:r>
          </w:p>
        </w:tc>
        <w:tc>
          <w:tcPr>
            <w:tcW w:w="712" w:type="pct"/>
            <w:noWrap/>
            <w:hideMark/>
          </w:tcPr>
          <w:p w14:paraId="433093A0" w14:textId="77777777" w:rsidR="00D30531" w:rsidRPr="005723A1" w:rsidRDefault="00D30531" w:rsidP="00E019B6">
            <w:pPr>
              <w:pStyle w:val="tablecontents"/>
              <w:keepNext/>
              <w:keepLines/>
              <w:jc w:val="center"/>
            </w:pPr>
            <w:r w:rsidRPr="005723A1">
              <w:t>62.3%</w:t>
            </w:r>
          </w:p>
        </w:tc>
        <w:tc>
          <w:tcPr>
            <w:tcW w:w="712" w:type="pct"/>
            <w:noWrap/>
            <w:hideMark/>
          </w:tcPr>
          <w:p w14:paraId="399C4574" w14:textId="77777777" w:rsidR="00D30531" w:rsidRPr="005723A1" w:rsidRDefault="00D30531" w:rsidP="00E019B6">
            <w:pPr>
              <w:pStyle w:val="tablecontents"/>
              <w:keepNext/>
              <w:keepLines/>
              <w:jc w:val="center"/>
            </w:pPr>
            <w:r w:rsidRPr="005723A1">
              <w:t>44.9%</w:t>
            </w:r>
          </w:p>
        </w:tc>
      </w:tr>
      <w:tr w:rsidR="00D30531" w:rsidRPr="005723A1" w14:paraId="4F4C37CB" w14:textId="77777777" w:rsidTr="00E019B6">
        <w:trPr>
          <w:trHeight w:hRule="exact" w:val="397"/>
        </w:trPr>
        <w:tc>
          <w:tcPr>
            <w:tcW w:w="2153" w:type="pct"/>
            <w:noWrap/>
            <w:hideMark/>
          </w:tcPr>
          <w:p w14:paraId="08D21C81" w14:textId="0A5A5B09" w:rsidR="00D30531" w:rsidRPr="005723A1" w:rsidRDefault="00D30531" w:rsidP="00E019B6">
            <w:pPr>
              <w:pStyle w:val="tablecontents"/>
              <w:keepNext/>
              <w:keepLines/>
            </w:pPr>
            <w:r>
              <w:t xml:space="preserve">Professional, Scientific and </w:t>
            </w:r>
            <w:r w:rsidRPr="005723A1">
              <w:t>Technical Services</w:t>
            </w:r>
          </w:p>
        </w:tc>
        <w:tc>
          <w:tcPr>
            <w:tcW w:w="711" w:type="pct"/>
            <w:noWrap/>
            <w:hideMark/>
          </w:tcPr>
          <w:p w14:paraId="7F9C36CF" w14:textId="77777777" w:rsidR="00D30531" w:rsidRPr="005723A1" w:rsidRDefault="00D30531" w:rsidP="00E019B6">
            <w:pPr>
              <w:pStyle w:val="tablecontents"/>
              <w:keepNext/>
              <w:keepLines/>
              <w:jc w:val="center"/>
            </w:pPr>
            <w:r w:rsidRPr="005723A1">
              <w:t>32,430</w:t>
            </w:r>
          </w:p>
        </w:tc>
        <w:tc>
          <w:tcPr>
            <w:tcW w:w="712" w:type="pct"/>
            <w:noWrap/>
            <w:hideMark/>
          </w:tcPr>
          <w:p w14:paraId="26EF9B03" w14:textId="77777777" w:rsidR="00D30531" w:rsidRPr="005723A1" w:rsidRDefault="00D30531" w:rsidP="00E019B6">
            <w:pPr>
              <w:pStyle w:val="tablecontents"/>
              <w:keepNext/>
              <w:keepLines/>
              <w:jc w:val="center"/>
            </w:pPr>
            <w:r w:rsidRPr="005723A1">
              <w:t>65.5%</w:t>
            </w:r>
          </w:p>
        </w:tc>
        <w:tc>
          <w:tcPr>
            <w:tcW w:w="712" w:type="pct"/>
            <w:noWrap/>
            <w:hideMark/>
          </w:tcPr>
          <w:p w14:paraId="511A86A6" w14:textId="77777777" w:rsidR="00D30531" w:rsidRPr="005723A1" w:rsidRDefault="00D30531" w:rsidP="00E019B6">
            <w:pPr>
              <w:pStyle w:val="tablecontents"/>
              <w:keepNext/>
              <w:keepLines/>
              <w:jc w:val="center"/>
            </w:pPr>
            <w:r w:rsidRPr="005723A1">
              <w:t>56.4%</w:t>
            </w:r>
          </w:p>
        </w:tc>
        <w:tc>
          <w:tcPr>
            <w:tcW w:w="712" w:type="pct"/>
            <w:noWrap/>
            <w:hideMark/>
          </w:tcPr>
          <w:p w14:paraId="01AC6FDE" w14:textId="77777777" w:rsidR="00D30531" w:rsidRPr="005723A1" w:rsidRDefault="00D30531" w:rsidP="00E019B6">
            <w:pPr>
              <w:pStyle w:val="tablecontents"/>
              <w:keepNext/>
              <w:keepLines/>
              <w:jc w:val="center"/>
            </w:pPr>
            <w:r w:rsidRPr="005723A1">
              <w:t>40.8%</w:t>
            </w:r>
          </w:p>
        </w:tc>
      </w:tr>
      <w:tr w:rsidR="00D30531" w:rsidRPr="005723A1" w14:paraId="452F66B1" w14:textId="77777777" w:rsidTr="00E019B6">
        <w:trPr>
          <w:trHeight w:hRule="exact" w:val="397"/>
        </w:trPr>
        <w:tc>
          <w:tcPr>
            <w:tcW w:w="2153" w:type="pct"/>
            <w:noWrap/>
            <w:hideMark/>
          </w:tcPr>
          <w:p w14:paraId="3A053DAA" w14:textId="77777777" w:rsidR="00D30531" w:rsidRPr="005723A1" w:rsidRDefault="00D30531" w:rsidP="00E019B6">
            <w:pPr>
              <w:pStyle w:val="tablecontents"/>
              <w:keepNext/>
              <w:keepLines/>
            </w:pPr>
            <w:r w:rsidRPr="005723A1">
              <w:t>Wholesale Trade</w:t>
            </w:r>
          </w:p>
        </w:tc>
        <w:tc>
          <w:tcPr>
            <w:tcW w:w="711" w:type="pct"/>
            <w:noWrap/>
            <w:hideMark/>
          </w:tcPr>
          <w:p w14:paraId="761B8835" w14:textId="77777777" w:rsidR="00D30531" w:rsidRPr="005723A1" w:rsidRDefault="00D30531" w:rsidP="00E019B6">
            <w:pPr>
              <w:pStyle w:val="tablecontents"/>
              <w:keepNext/>
              <w:keepLines/>
              <w:jc w:val="center"/>
            </w:pPr>
            <w:r w:rsidRPr="005723A1">
              <w:t>16,080</w:t>
            </w:r>
          </w:p>
        </w:tc>
        <w:tc>
          <w:tcPr>
            <w:tcW w:w="712" w:type="pct"/>
            <w:noWrap/>
            <w:hideMark/>
          </w:tcPr>
          <w:p w14:paraId="19455736" w14:textId="77777777" w:rsidR="00D30531" w:rsidRPr="005723A1" w:rsidRDefault="00D30531" w:rsidP="00E019B6">
            <w:pPr>
              <w:pStyle w:val="tablecontents"/>
              <w:keepNext/>
              <w:keepLines/>
              <w:jc w:val="center"/>
            </w:pPr>
            <w:r w:rsidRPr="005723A1">
              <w:t>65.8%</w:t>
            </w:r>
          </w:p>
        </w:tc>
        <w:tc>
          <w:tcPr>
            <w:tcW w:w="712" w:type="pct"/>
            <w:noWrap/>
            <w:hideMark/>
          </w:tcPr>
          <w:p w14:paraId="142F7322" w14:textId="77777777" w:rsidR="00D30531" w:rsidRPr="005723A1" w:rsidRDefault="00D30531" w:rsidP="00E019B6">
            <w:pPr>
              <w:pStyle w:val="tablecontents"/>
              <w:keepNext/>
              <w:keepLines/>
              <w:jc w:val="center"/>
            </w:pPr>
            <w:r w:rsidRPr="005723A1">
              <w:t>56.8%</w:t>
            </w:r>
          </w:p>
        </w:tc>
        <w:tc>
          <w:tcPr>
            <w:tcW w:w="712" w:type="pct"/>
            <w:noWrap/>
            <w:hideMark/>
          </w:tcPr>
          <w:p w14:paraId="7B60A1E2" w14:textId="77777777" w:rsidR="00D30531" w:rsidRPr="005723A1" w:rsidRDefault="00D30531" w:rsidP="00E019B6">
            <w:pPr>
              <w:pStyle w:val="tablecontents"/>
              <w:keepNext/>
              <w:keepLines/>
              <w:jc w:val="center"/>
            </w:pPr>
            <w:r w:rsidRPr="005723A1">
              <w:t>40.5%</w:t>
            </w:r>
          </w:p>
        </w:tc>
      </w:tr>
      <w:tr w:rsidR="00D30531" w:rsidRPr="005723A1" w14:paraId="5BE0AD52" w14:textId="77777777" w:rsidTr="00E019B6">
        <w:trPr>
          <w:trHeight w:hRule="exact" w:val="397"/>
        </w:trPr>
        <w:tc>
          <w:tcPr>
            <w:tcW w:w="2153" w:type="pct"/>
            <w:noWrap/>
            <w:hideMark/>
          </w:tcPr>
          <w:p w14:paraId="46837D6D" w14:textId="77777777" w:rsidR="00D30531" w:rsidRPr="005723A1" w:rsidRDefault="00D30531" w:rsidP="00E019B6">
            <w:pPr>
              <w:pStyle w:val="tablecontents"/>
              <w:keepNext/>
              <w:keepLines/>
            </w:pPr>
            <w:r w:rsidRPr="005723A1">
              <w:t>Information Media and Telecommunications</w:t>
            </w:r>
          </w:p>
        </w:tc>
        <w:tc>
          <w:tcPr>
            <w:tcW w:w="711" w:type="pct"/>
            <w:noWrap/>
            <w:hideMark/>
          </w:tcPr>
          <w:p w14:paraId="3D6F925E" w14:textId="77777777" w:rsidR="00D30531" w:rsidRPr="005723A1" w:rsidRDefault="00D30531" w:rsidP="00E019B6">
            <w:pPr>
              <w:pStyle w:val="tablecontents"/>
              <w:keepNext/>
              <w:keepLines/>
              <w:jc w:val="center"/>
            </w:pPr>
            <w:r w:rsidRPr="005723A1">
              <w:t>13,680</w:t>
            </w:r>
          </w:p>
        </w:tc>
        <w:tc>
          <w:tcPr>
            <w:tcW w:w="712" w:type="pct"/>
            <w:noWrap/>
            <w:hideMark/>
          </w:tcPr>
          <w:p w14:paraId="7C4EFCD5" w14:textId="77777777" w:rsidR="00D30531" w:rsidRPr="005723A1" w:rsidRDefault="00D30531" w:rsidP="00E019B6">
            <w:pPr>
              <w:pStyle w:val="tablecontents"/>
              <w:keepNext/>
              <w:keepLines/>
              <w:jc w:val="center"/>
            </w:pPr>
            <w:r w:rsidRPr="005723A1">
              <w:t>70.4%</w:t>
            </w:r>
          </w:p>
        </w:tc>
        <w:tc>
          <w:tcPr>
            <w:tcW w:w="712" w:type="pct"/>
            <w:noWrap/>
            <w:hideMark/>
          </w:tcPr>
          <w:p w14:paraId="7D466BAA" w14:textId="77777777" w:rsidR="00D30531" w:rsidRPr="005723A1" w:rsidRDefault="00D30531" w:rsidP="00E019B6">
            <w:pPr>
              <w:pStyle w:val="tablecontents"/>
              <w:keepNext/>
              <w:keepLines/>
              <w:jc w:val="center"/>
            </w:pPr>
            <w:r w:rsidRPr="005723A1">
              <w:t>62.8%</w:t>
            </w:r>
          </w:p>
        </w:tc>
        <w:tc>
          <w:tcPr>
            <w:tcW w:w="712" w:type="pct"/>
            <w:noWrap/>
            <w:hideMark/>
          </w:tcPr>
          <w:p w14:paraId="119D555E" w14:textId="77777777" w:rsidR="00D30531" w:rsidRPr="005723A1" w:rsidRDefault="00D30531" w:rsidP="00E019B6">
            <w:pPr>
              <w:pStyle w:val="tablecontents"/>
              <w:keepNext/>
              <w:keepLines/>
              <w:jc w:val="center"/>
            </w:pPr>
            <w:r w:rsidRPr="005723A1">
              <w:t>48.4%</w:t>
            </w:r>
          </w:p>
        </w:tc>
      </w:tr>
      <w:tr w:rsidR="00D30531" w:rsidRPr="005723A1" w14:paraId="2370B76F" w14:textId="77777777" w:rsidTr="00E019B6">
        <w:trPr>
          <w:trHeight w:hRule="exact" w:val="397"/>
        </w:trPr>
        <w:tc>
          <w:tcPr>
            <w:tcW w:w="2153" w:type="pct"/>
            <w:noWrap/>
            <w:hideMark/>
          </w:tcPr>
          <w:p w14:paraId="55660924" w14:textId="77777777" w:rsidR="00D30531" w:rsidRPr="005723A1" w:rsidRDefault="00D30531" w:rsidP="00E019B6">
            <w:pPr>
              <w:pStyle w:val="tablecontents"/>
              <w:keepNext/>
              <w:keepLines/>
            </w:pPr>
            <w:r w:rsidRPr="005723A1">
              <w:t>Arts and Recreation Services</w:t>
            </w:r>
          </w:p>
        </w:tc>
        <w:tc>
          <w:tcPr>
            <w:tcW w:w="711" w:type="pct"/>
            <w:noWrap/>
            <w:hideMark/>
          </w:tcPr>
          <w:p w14:paraId="46798890" w14:textId="77777777" w:rsidR="00D30531" w:rsidRPr="005723A1" w:rsidRDefault="00D30531" w:rsidP="00E019B6">
            <w:pPr>
              <w:pStyle w:val="tablecontents"/>
              <w:keepNext/>
              <w:keepLines/>
              <w:jc w:val="center"/>
            </w:pPr>
            <w:r w:rsidRPr="005723A1">
              <w:t>11,030</w:t>
            </w:r>
          </w:p>
        </w:tc>
        <w:tc>
          <w:tcPr>
            <w:tcW w:w="712" w:type="pct"/>
            <w:noWrap/>
            <w:hideMark/>
          </w:tcPr>
          <w:p w14:paraId="3F78D806" w14:textId="77777777" w:rsidR="00D30531" w:rsidRPr="005723A1" w:rsidRDefault="00D30531" w:rsidP="00E019B6">
            <w:pPr>
              <w:pStyle w:val="tablecontents"/>
              <w:keepNext/>
              <w:keepLines/>
              <w:jc w:val="center"/>
            </w:pPr>
            <w:r w:rsidRPr="005723A1">
              <w:t>54.6%</w:t>
            </w:r>
          </w:p>
        </w:tc>
        <w:tc>
          <w:tcPr>
            <w:tcW w:w="712" w:type="pct"/>
            <w:noWrap/>
            <w:hideMark/>
          </w:tcPr>
          <w:p w14:paraId="1A04449C" w14:textId="77777777" w:rsidR="00D30531" w:rsidRPr="005723A1" w:rsidRDefault="00D30531" w:rsidP="00E019B6">
            <w:pPr>
              <w:pStyle w:val="tablecontents"/>
              <w:keepNext/>
              <w:keepLines/>
              <w:jc w:val="center"/>
            </w:pPr>
            <w:r w:rsidRPr="005723A1">
              <w:t>46.8%</w:t>
            </w:r>
          </w:p>
        </w:tc>
        <w:tc>
          <w:tcPr>
            <w:tcW w:w="712" w:type="pct"/>
            <w:noWrap/>
            <w:hideMark/>
          </w:tcPr>
          <w:p w14:paraId="30C8D3C3" w14:textId="77777777" w:rsidR="00D30531" w:rsidRPr="005723A1" w:rsidRDefault="00D30531" w:rsidP="00E019B6">
            <w:pPr>
              <w:pStyle w:val="tablecontents"/>
              <w:keepNext/>
              <w:keepLines/>
              <w:jc w:val="center"/>
            </w:pPr>
            <w:r w:rsidRPr="005723A1">
              <w:t>32.1%</w:t>
            </w:r>
          </w:p>
        </w:tc>
      </w:tr>
      <w:tr w:rsidR="00D30531" w:rsidRPr="005723A1" w14:paraId="6BAA059A" w14:textId="77777777" w:rsidTr="00E019B6">
        <w:trPr>
          <w:trHeight w:hRule="exact" w:val="397"/>
        </w:trPr>
        <w:tc>
          <w:tcPr>
            <w:tcW w:w="2153" w:type="pct"/>
            <w:noWrap/>
            <w:hideMark/>
          </w:tcPr>
          <w:p w14:paraId="3639DDC3" w14:textId="77777777" w:rsidR="00D30531" w:rsidRPr="005723A1" w:rsidRDefault="00D30531" w:rsidP="00E019B6">
            <w:pPr>
              <w:pStyle w:val="tablecontents"/>
              <w:keepNext/>
              <w:keepLines/>
            </w:pPr>
            <w:r w:rsidRPr="005723A1">
              <w:t>Mining</w:t>
            </w:r>
          </w:p>
        </w:tc>
        <w:tc>
          <w:tcPr>
            <w:tcW w:w="711" w:type="pct"/>
            <w:noWrap/>
            <w:hideMark/>
          </w:tcPr>
          <w:p w14:paraId="64FD63C5" w14:textId="77777777" w:rsidR="00D30531" w:rsidRPr="005723A1" w:rsidRDefault="00D30531" w:rsidP="00E019B6">
            <w:pPr>
              <w:pStyle w:val="tablecontents"/>
              <w:keepNext/>
              <w:keepLines/>
              <w:jc w:val="center"/>
            </w:pPr>
            <w:r w:rsidRPr="005723A1">
              <w:t>9,070</w:t>
            </w:r>
          </w:p>
        </w:tc>
        <w:tc>
          <w:tcPr>
            <w:tcW w:w="712" w:type="pct"/>
            <w:noWrap/>
            <w:hideMark/>
          </w:tcPr>
          <w:p w14:paraId="67E965EA" w14:textId="77777777" w:rsidR="00D30531" w:rsidRPr="005723A1" w:rsidRDefault="00D30531" w:rsidP="00E019B6">
            <w:pPr>
              <w:pStyle w:val="tablecontents"/>
              <w:keepNext/>
              <w:keepLines/>
              <w:jc w:val="center"/>
            </w:pPr>
            <w:r w:rsidRPr="005723A1">
              <w:t>74.2%</w:t>
            </w:r>
          </w:p>
        </w:tc>
        <w:tc>
          <w:tcPr>
            <w:tcW w:w="712" w:type="pct"/>
            <w:noWrap/>
            <w:hideMark/>
          </w:tcPr>
          <w:p w14:paraId="7FF7AAAE" w14:textId="77777777" w:rsidR="00D30531" w:rsidRPr="005723A1" w:rsidRDefault="00D30531" w:rsidP="00E019B6">
            <w:pPr>
              <w:pStyle w:val="tablecontents"/>
              <w:keepNext/>
              <w:keepLines/>
              <w:jc w:val="center"/>
            </w:pPr>
            <w:r w:rsidRPr="005723A1">
              <w:t>66.2%</w:t>
            </w:r>
          </w:p>
        </w:tc>
        <w:tc>
          <w:tcPr>
            <w:tcW w:w="712" w:type="pct"/>
            <w:noWrap/>
            <w:hideMark/>
          </w:tcPr>
          <w:p w14:paraId="5B5BCBE5" w14:textId="77777777" w:rsidR="00D30531" w:rsidRPr="005723A1" w:rsidRDefault="00D30531" w:rsidP="00E019B6">
            <w:pPr>
              <w:pStyle w:val="tablecontents"/>
              <w:keepNext/>
              <w:keepLines/>
              <w:jc w:val="center"/>
            </w:pPr>
            <w:r w:rsidRPr="005723A1">
              <w:t>50.1%</w:t>
            </w:r>
          </w:p>
        </w:tc>
      </w:tr>
      <w:tr w:rsidR="00D30531" w:rsidRPr="005723A1" w14:paraId="321B9ACF" w14:textId="77777777" w:rsidTr="00E019B6">
        <w:trPr>
          <w:trHeight w:hRule="exact" w:val="397"/>
        </w:trPr>
        <w:tc>
          <w:tcPr>
            <w:tcW w:w="2153" w:type="pct"/>
            <w:noWrap/>
            <w:hideMark/>
          </w:tcPr>
          <w:p w14:paraId="74A5D6FC" w14:textId="69840FAD" w:rsidR="00D30531" w:rsidRPr="005723A1" w:rsidRDefault="00D30531" w:rsidP="00E019B6">
            <w:pPr>
              <w:pStyle w:val="tablecontents"/>
              <w:keepNext/>
              <w:keepLines/>
            </w:pPr>
            <w:r>
              <w:t>Electricity, Gas, Water and</w:t>
            </w:r>
            <w:r w:rsidRPr="005723A1">
              <w:t xml:space="preserve"> Waste Services</w:t>
            </w:r>
          </w:p>
        </w:tc>
        <w:tc>
          <w:tcPr>
            <w:tcW w:w="711" w:type="pct"/>
            <w:noWrap/>
            <w:hideMark/>
          </w:tcPr>
          <w:p w14:paraId="19356D12" w14:textId="77777777" w:rsidR="00D30531" w:rsidRPr="005723A1" w:rsidRDefault="00D30531" w:rsidP="00E019B6">
            <w:pPr>
              <w:pStyle w:val="tablecontents"/>
              <w:keepNext/>
              <w:keepLines/>
              <w:jc w:val="center"/>
            </w:pPr>
            <w:r w:rsidRPr="005723A1">
              <w:t>8,960</w:t>
            </w:r>
          </w:p>
        </w:tc>
        <w:tc>
          <w:tcPr>
            <w:tcW w:w="712" w:type="pct"/>
            <w:noWrap/>
            <w:hideMark/>
          </w:tcPr>
          <w:p w14:paraId="31A61831" w14:textId="77777777" w:rsidR="00D30531" w:rsidRPr="005723A1" w:rsidRDefault="00D30531" w:rsidP="00E019B6">
            <w:pPr>
              <w:pStyle w:val="tablecontents"/>
              <w:keepNext/>
              <w:keepLines/>
              <w:jc w:val="center"/>
            </w:pPr>
            <w:r w:rsidRPr="005723A1">
              <w:t>69.1%</w:t>
            </w:r>
          </w:p>
        </w:tc>
        <w:tc>
          <w:tcPr>
            <w:tcW w:w="712" w:type="pct"/>
            <w:noWrap/>
            <w:hideMark/>
          </w:tcPr>
          <w:p w14:paraId="4BFAE2AC" w14:textId="77777777" w:rsidR="00D30531" w:rsidRPr="005723A1" w:rsidRDefault="00D30531" w:rsidP="00E019B6">
            <w:pPr>
              <w:pStyle w:val="tablecontents"/>
              <w:keepNext/>
              <w:keepLines/>
              <w:jc w:val="center"/>
            </w:pPr>
            <w:r w:rsidRPr="005723A1">
              <w:t>61.1%</w:t>
            </w:r>
          </w:p>
        </w:tc>
        <w:tc>
          <w:tcPr>
            <w:tcW w:w="712" w:type="pct"/>
            <w:noWrap/>
            <w:hideMark/>
          </w:tcPr>
          <w:p w14:paraId="72D6B646" w14:textId="77777777" w:rsidR="00D30531" w:rsidRPr="005723A1" w:rsidRDefault="00D30531" w:rsidP="00E019B6">
            <w:pPr>
              <w:pStyle w:val="tablecontents"/>
              <w:keepNext/>
              <w:keepLines/>
              <w:jc w:val="center"/>
            </w:pPr>
            <w:r w:rsidRPr="005723A1">
              <w:t>45.8%</w:t>
            </w:r>
          </w:p>
        </w:tc>
      </w:tr>
      <w:tr w:rsidR="00D30531" w:rsidRPr="005723A1" w14:paraId="283E995E" w14:textId="77777777" w:rsidTr="00E019B6">
        <w:trPr>
          <w:trHeight w:hRule="exact" w:val="397"/>
        </w:trPr>
        <w:tc>
          <w:tcPr>
            <w:tcW w:w="2153" w:type="pct"/>
            <w:noWrap/>
            <w:hideMark/>
          </w:tcPr>
          <w:p w14:paraId="680EC8F2" w14:textId="77777777" w:rsidR="00D30531" w:rsidRPr="005723A1" w:rsidRDefault="00D30531" w:rsidP="00E019B6">
            <w:pPr>
              <w:pStyle w:val="tablecontents"/>
              <w:keepNext/>
              <w:keepLines/>
              <w:rPr>
                <w:b/>
              </w:rPr>
            </w:pPr>
            <w:r w:rsidRPr="005723A1">
              <w:t>Financial and Insurance Services</w:t>
            </w:r>
          </w:p>
        </w:tc>
        <w:tc>
          <w:tcPr>
            <w:tcW w:w="711" w:type="pct"/>
            <w:noWrap/>
            <w:hideMark/>
          </w:tcPr>
          <w:p w14:paraId="1A3FCC46" w14:textId="77777777" w:rsidR="00D30531" w:rsidRPr="005723A1" w:rsidRDefault="00D30531" w:rsidP="00E019B6">
            <w:pPr>
              <w:pStyle w:val="tablecontents"/>
              <w:keepNext/>
              <w:keepLines/>
              <w:jc w:val="center"/>
              <w:rPr>
                <w:b/>
              </w:rPr>
            </w:pPr>
            <w:r w:rsidRPr="005723A1">
              <w:t>8,680</w:t>
            </w:r>
          </w:p>
        </w:tc>
        <w:tc>
          <w:tcPr>
            <w:tcW w:w="712" w:type="pct"/>
            <w:noWrap/>
            <w:hideMark/>
          </w:tcPr>
          <w:p w14:paraId="1C8C6389" w14:textId="77777777" w:rsidR="00D30531" w:rsidRPr="005723A1" w:rsidRDefault="00D30531" w:rsidP="00E019B6">
            <w:pPr>
              <w:pStyle w:val="tablecontents"/>
              <w:keepNext/>
              <w:keepLines/>
              <w:jc w:val="center"/>
              <w:rPr>
                <w:b/>
              </w:rPr>
            </w:pPr>
            <w:r w:rsidRPr="005723A1">
              <w:t>78.9%</w:t>
            </w:r>
          </w:p>
        </w:tc>
        <w:tc>
          <w:tcPr>
            <w:tcW w:w="712" w:type="pct"/>
            <w:noWrap/>
            <w:hideMark/>
          </w:tcPr>
          <w:p w14:paraId="50D34AE5" w14:textId="77777777" w:rsidR="00D30531" w:rsidRPr="005723A1" w:rsidRDefault="00D30531" w:rsidP="00E019B6">
            <w:pPr>
              <w:pStyle w:val="tablecontents"/>
              <w:keepNext/>
              <w:keepLines/>
              <w:jc w:val="center"/>
              <w:rPr>
                <w:b/>
              </w:rPr>
            </w:pPr>
            <w:r w:rsidRPr="005723A1">
              <w:t>71.8%</w:t>
            </w:r>
          </w:p>
        </w:tc>
        <w:tc>
          <w:tcPr>
            <w:tcW w:w="712" w:type="pct"/>
            <w:noWrap/>
            <w:hideMark/>
          </w:tcPr>
          <w:p w14:paraId="54ED2202" w14:textId="77777777" w:rsidR="00D30531" w:rsidRPr="005723A1" w:rsidRDefault="00D30531" w:rsidP="00E019B6">
            <w:pPr>
              <w:pStyle w:val="tablecontents"/>
              <w:keepNext/>
              <w:keepLines/>
              <w:jc w:val="center"/>
              <w:rPr>
                <w:b/>
                <w:bCs/>
              </w:rPr>
            </w:pPr>
            <w:r w:rsidRPr="005723A1">
              <w:t>56.9%</w:t>
            </w:r>
          </w:p>
        </w:tc>
      </w:tr>
      <w:tr w:rsidR="00D30531" w:rsidRPr="005723A1" w14:paraId="5D929945" w14:textId="77777777" w:rsidTr="00E019B6">
        <w:trPr>
          <w:trHeight w:hRule="exact" w:val="397"/>
        </w:trPr>
        <w:tc>
          <w:tcPr>
            <w:tcW w:w="2153" w:type="pct"/>
            <w:noWrap/>
            <w:hideMark/>
          </w:tcPr>
          <w:p w14:paraId="048E818B" w14:textId="77777777" w:rsidR="00D30531" w:rsidRPr="005723A1" w:rsidRDefault="00D30531" w:rsidP="00E019B6">
            <w:pPr>
              <w:pStyle w:val="tablecontents"/>
              <w:keepNext/>
              <w:keepLines/>
            </w:pPr>
            <w:r w:rsidRPr="005723A1">
              <w:t>Rental, Hiring and Real Estate Services</w:t>
            </w:r>
          </w:p>
        </w:tc>
        <w:tc>
          <w:tcPr>
            <w:tcW w:w="711" w:type="pct"/>
            <w:noWrap/>
            <w:hideMark/>
          </w:tcPr>
          <w:p w14:paraId="6A0C7587" w14:textId="77777777" w:rsidR="00D30531" w:rsidRPr="005723A1" w:rsidRDefault="00D30531" w:rsidP="00E019B6">
            <w:pPr>
              <w:pStyle w:val="tablecontents"/>
              <w:keepNext/>
              <w:keepLines/>
              <w:jc w:val="center"/>
            </w:pPr>
            <w:r w:rsidRPr="005723A1">
              <w:t>8,590</w:t>
            </w:r>
          </w:p>
        </w:tc>
        <w:tc>
          <w:tcPr>
            <w:tcW w:w="712" w:type="pct"/>
            <w:noWrap/>
            <w:hideMark/>
          </w:tcPr>
          <w:p w14:paraId="7B05B98B" w14:textId="77777777" w:rsidR="00D30531" w:rsidRPr="005723A1" w:rsidRDefault="00D30531" w:rsidP="00E019B6">
            <w:pPr>
              <w:pStyle w:val="tablecontents"/>
              <w:keepNext/>
              <w:keepLines/>
              <w:jc w:val="center"/>
            </w:pPr>
            <w:r w:rsidRPr="005723A1">
              <w:t>66.2%</w:t>
            </w:r>
          </w:p>
        </w:tc>
        <w:tc>
          <w:tcPr>
            <w:tcW w:w="712" w:type="pct"/>
            <w:noWrap/>
            <w:hideMark/>
          </w:tcPr>
          <w:p w14:paraId="25AC1337" w14:textId="77777777" w:rsidR="00D30531" w:rsidRPr="005723A1" w:rsidRDefault="00D30531" w:rsidP="00E019B6">
            <w:pPr>
              <w:pStyle w:val="tablecontents"/>
              <w:keepNext/>
              <w:keepLines/>
              <w:jc w:val="center"/>
            </w:pPr>
            <w:r w:rsidRPr="005723A1">
              <w:t>58.0%</w:t>
            </w:r>
          </w:p>
        </w:tc>
        <w:tc>
          <w:tcPr>
            <w:tcW w:w="712" w:type="pct"/>
            <w:noWrap/>
            <w:hideMark/>
          </w:tcPr>
          <w:p w14:paraId="5569F96C" w14:textId="77777777" w:rsidR="00D30531" w:rsidRPr="005723A1" w:rsidRDefault="00D30531" w:rsidP="00E019B6">
            <w:pPr>
              <w:pStyle w:val="tablecontents"/>
              <w:keepNext/>
              <w:keepLines/>
              <w:jc w:val="center"/>
            </w:pPr>
            <w:r w:rsidRPr="005723A1">
              <w:t>42.2%</w:t>
            </w:r>
          </w:p>
        </w:tc>
      </w:tr>
      <w:tr w:rsidR="00D30531" w:rsidRPr="005723A1" w14:paraId="7FDC403E" w14:textId="77777777" w:rsidTr="00E019B6">
        <w:trPr>
          <w:trHeight w:hRule="exact" w:val="397"/>
        </w:trPr>
        <w:tc>
          <w:tcPr>
            <w:tcW w:w="2153" w:type="pct"/>
            <w:noWrap/>
            <w:hideMark/>
          </w:tcPr>
          <w:p w14:paraId="5C0EE1A1" w14:textId="77777777" w:rsidR="00D30531" w:rsidRPr="005723A1" w:rsidRDefault="00D30531" w:rsidP="00E019B6">
            <w:pPr>
              <w:pStyle w:val="tablecontents"/>
              <w:keepNext/>
              <w:keepLines/>
            </w:pPr>
            <w:r w:rsidRPr="005723A1">
              <w:t>Public Administration and Safety</w:t>
            </w:r>
          </w:p>
        </w:tc>
        <w:tc>
          <w:tcPr>
            <w:tcW w:w="711" w:type="pct"/>
            <w:noWrap/>
            <w:hideMark/>
          </w:tcPr>
          <w:p w14:paraId="41F2B71A" w14:textId="77777777" w:rsidR="00D30531" w:rsidRPr="005723A1" w:rsidRDefault="00D30531" w:rsidP="00E019B6">
            <w:pPr>
              <w:pStyle w:val="tablecontents"/>
              <w:keepNext/>
              <w:keepLines/>
              <w:jc w:val="center"/>
            </w:pPr>
            <w:r w:rsidRPr="005723A1">
              <w:t>8,420</w:t>
            </w:r>
          </w:p>
        </w:tc>
        <w:tc>
          <w:tcPr>
            <w:tcW w:w="712" w:type="pct"/>
            <w:noWrap/>
            <w:hideMark/>
          </w:tcPr>
          <w:p w14:paraId="17674394" w14:textId="77777777" w:rsidR="00D30531" w:rsidRPr="005723A1" w:rsidRDefault="00D30531" w:rsidP="00E019B6">
            <w:pPr>
              <w:pStyle w:val="tablecontents"/>
              <w:keepNext/>
              <w:keepLines/>
              <w:jc w:val="center"/>
            </w:pPr>
            <w:r w:rsidRPr="005723A1">
              <w:t>68.2%</w:t>
            </w:r>
          </w:p>
        </w:tc>
        <w:tc>
          <w:tcPr>
            <w:tcW w:w="712" w:type="pct"/>
            <w:noWrap/>
            <w:hideMark/>
          </w:tcPr>
          <w:p w14:paraId="6F984427" w14:textId="77777777" w:rsidR="00D30531" w:rsidRPr="005723A1" w:rsidRDefault="00D30531" w:rsidP="00E019B6">
            <w:pPr>
              <w:pStyle w:val="tablecontents"/>
              <w:keepNext/>
              <w:keepLines/>
              <w:jc w:val="center"/>
            </w:pPr>
            <w:r w:rsidRPr="005723A1">
              <w:t>61.0%</w:t>
            </w:r>
          </w:p>
        </w:tc>
        <w:tc>
          <w:tcPr>
            <w:tcW w:w="712" w:type="pct"/>
            <w:noWrap/>
            <w:hideMark/>
          </w:tcPr>
          <w:p w14:paraId="3F7B7FA2" w14:textId="77777777" w:rsidR="00D30531" w:rsidRPr="005723A1" w:rsidRDefault="00D30531" w:rsidP="00E019B6">
            <w:pPr>
              <w:pStyle w:val="tablecontents"/>
              <w:keepNext/>
              <w:keepLines/>
              <w:jc w:val="center"/>
            </w:pPr>
            <w:r w:rsidRPr="005723A1">
              <w:t>46.7%</w:t>
            </w:r>
          </w:p>
        </w:tc>
      </w:tr>
      <w:tr w:rsidR="00D30531" w:rsidRPr="005723A1" w14:paraId="151CC136" w14:textId="77777777" w:rsidTr="00EC0174">
        <w:trPr>
          <w:trHeight w:hRule="exact" w:val="397"/>
        </w:trPr>
        <w:tc>
          <w:tcPr>
            <w:tcW w:w="2153" w:type="pct"/>
            <w:shd w:val="clear" w:color="auto" w:fill="D8F3FC" w:themeFill="accent1" w:themeFillTint="33"/>
            <w:noWrap/>
            <w:hideMark/>
          </w:tcPr>
          <w:p w14:paraId="3F9974EC" w14:textId="77777777" w:rsidR="00D30531" w:rsidRPr="00EC0174" w:rsidRDefault="00D30531" w:rsidP="00EC0174">
            <w:pPr>
              <w:spacing w:before="0" w:after="0" w:line="240" w:lineRule="auto"/>
              <w:rPr>
                <w:rFonts w:ascii="Calibri" w:eastAsia="Times New Roman" w:hAnsi="Calibri" w:cs="Calibri"/>
                <w:b/>
                <w:bCs/>
                <w:color w:val="000000"/>
                <w:sz w:val="20"/>
                <w:szCs w:val="20"/>
                <w:lang w:eastAsia="en-AU"/>
              </w:rPr>
            </w:pPr>
            <w:r w:rsidRPr="00EC0174">
              <w:rPr>
                <w:rFonts w:ascii="Calibri" w:eastAsia="Times New Roman" w:hAnsi="Calibri" w:cs="Calibri"/>
                <w:b/>
                <w:bCs/>
                <w:color w:val="000000"/>
                <w:sz w:val="20"/>
                <w:szCs w:val="20"/>
                <w:lang w:eastAsia="en-AU"/>
              </w:rPr>
              <w:t>Total</w:t>
            </w:r>
          </w:p>
        </w:tc>
        <w:tc>
          <w:tcPr>
            <w:tcW w:w="711" w:type="pct"/>
            <w:shd w:val="clear" w:color="auto" w:fill="D8F3FC" w:themeFill="accent1" w:themeFillTint="33"/>
            <w:noWrap/>
            <w:hideMark/>
          </w:tcPr>
          <w:p w14:paraId="7D2758DF" w14:textId="77777777" w:rsidR="00D30531" w:rsidRPr="00EC0174" w:rsidRDefault="00D30531" w:rsidP="00EC0174">
            <w:pPr>
              <w:spacing w:before="0" w:after="0" w:line="240" w:lineRule="auto"/>
              <w:jc w:val="center"/>
              <w:rPr>
                <w:rFonts w:ascii="Calibri" w:eastAsia="Times New Roman" w:hAnsi="Calibri" w:cs="Calibri"/>
                <w:b/>
                <w:bCs/>
                <w:color w:val="000000"/>
                <w:sz w:val="20"/>
                <w:szCs w:val="20"/>
                <w:lang w:eastAsia="en-AU"/>
              </w:rPr>
            </w:pPr>
            <w:r w:rsidRPr="00EC0174">
              <w:rPr>
                <w:rFonts w:ascii="Calibri" w:eastAsia="Times New Roman" w:hAnsi="Calibri" w:cs="Calibri"/>
                <w:b/>
                <w:bCs/>
                <w:color w:val="000000"/>
                <w:sz w:val="20"/>
                <w:szCs w:val="20"/>
                <w:lang w:eastAsia="en-AU"/>
              </w:rPr>
              <w:t>1,054,360</w:t>
            </w:r>
          </w:p>
        </w:tc>
        <w:tc>
          <w:tcPr>
            <w:tcW w:w="712" w:type="pct"/>
            <w:shd w:val="clear" w:color="auto" w:fill="D8F3FC" w:themeFill="accent1" w:themeFillTint="33"/>
            <w:noWrap/>
            <w:hideMark/>
          </w:tcPr>
          <w:p w14:paraId="69896CBA" w14:textId="77777777" w:rsidR="00D30531" w:rsidRPr="00EC0174" w:rsidRDefault="00D30531" w:rsidP="00EC0174">
            <w:pPr>
              <w:spacing w:before="0" w:after="0" w:line="240" w:lineRule="auto"/>
              <w:jc w:val="center"/>
              <w:rPr>
                <w:rFonts w:ascii="Calibri" w:eastAsia="Times New Roman" w:hAnsi="Calibri" w:cs="Calibri"/>
                <w:b/>
                <w:bCs/>
                <w:color w:val="000000"/>
                <w:sz w:val="20"/>
                <w:szCs w:val="20"/>
                <w:lang w:eastAsia="en-AU"/>
              </w:rPr>
            </w:pPr>
            <w:r w:rsidRPr="00EC0174">
              <w:rPr>
                <w:rFonts w:ascii="Calibri" w:eastAsia="Times New Roman" w:hAnsi="Calibri" w:cs="Calibri"/>
                <w:b/>
                <w:bCs/>
                <w:color w:val="000000"/>
                <w:sz w:val="20"/>
                <w:szCs w:val="20"/>
                <w:lang w:eastAsia="en-AU"/>
              </w:rPr>
              <w:t>62.4%</w:t>
            </w:r>
          </w:p>
        </w:tc>
        <w:tc>
          <w:tcPr>
            <w:tcW w:w="712" w:type="pct"/>
            <w:shd w:val="clear" w:color="auto" w:fill="D8F3FC" w:themeFill="accent1" w:themeFillTint="33"/>
            <w:noWrap/>
            <w:hideMark/>
          </w:tcPr>
          <w:p w14:paraId="581D1660" w14:textId="77777777" w:rsidR="00D30531" w:rsidRPr="00EC0174" w:rsidRDefault="00D30531" w:rsidP="00EC0174">
            <w:pPr>
              <w:spacing w:before="0" w:after="0" w:line="240" w:lineRule="auto"/>
              <w:jc w:val="center"/>
              <w:rPr>
                <w:rFonts w:ascii="Calibri" w:eastAsia="Times New Roman" w:hAnsi="Calibri" w:cs="Calibri"/>
                <w:b/>
                <w:bCs/>
                <w:color w:val="000000"/>
                <w:sz w:val="20"/>
                <w:szCs w:val="20"/>
                <w:lang w:eastAsia="en-AU"/>
              </w:rPr>
            </w:pPr>
            <w:r w:rsidRPr="00EC0174">
              <w:rPr>
                <w:rFonts w:ascii="Calibri" w:eastAsia="Times New Roman" w:hAnsi="Calibri" w:cs="Calibri"/>
                <w:b/>
                <w:bCs/>
                <w:color w:val="000000"/>
                <w:sz w:val="20"/>
                <w:szCs w:val="20"/>
                <w:lang w:eastAsia="en-AU"/>
              </w:rPr>
              <w:t>54.8%</w:t>
            </w:r>
          </w:p>
        </w:tc>
        <w:tc>
          <w:tcPr>
            <w:tcW w:w="712" w:type="pct"/>
            <w:shd w:val="clear" w:color="auto" w:fill="D8F3FC" w:themeFill="accent1" w:themeFillTint="33"/>
            <w:noWrap/>
            <w:hideMark/>
          </w:tcPr>
          <w:p w14:paraId="6EF055E9" w14:textId="77777777" w:rsidR="00D30531" w:rsidRPr="00EC0174" w:rsidRDefault="00D30531" w:rsidP="00EC0174">
            <w:pPr>
              <w:spacing w:before="0" w:after="0" w:line="240" w:lineRule="auto"/>
              <w:jc w:val="center"/>
              <w:rPr>
                <w:rFonts w:ascii="Calibri" w:eastAsia="Times New Roman" w:hAnsi="Calibri" w:cs="Calibri"/>
                <w:b/>
                <w:bCs/>
                <w:color w:val="000000"/>
                <w:sz w:val="20"/>
                <w:szCs w:val="20"/>
                <w:lang w:eastAsia="en-AU"/>
              </w:rPr>
            </w:pPr>
            <w:r w:rsidRPr="00EC0174">
              <w:rPr>
                <w:rFonts w:ascii="Calibri" w:eastAsia="Times New Roman" w:hAnsi="Calibri" w:cs="Calibri"/>
                <w:b/>
                <w:bCs/>
                <w:color w:val="000000"/>
                <w:sz w:val="20"/>
                <w:szCs w:val="20"/>
                <w:lang w:eastAsia="en-AU"/>
              </w:rPr>
              <w:t>38.9%</w:t>
            </w:r>
          </w:p>
        </w:tc>
      </w:tr>
    </w:tbl>
    <w:p w14:paraId="0B2CE7F2" w14:textId="77777777" w:rsidR="00D30531" w:rsidRPr="00C14F5E" w:rsidRDefault="00D30531" w:rsidP="00EF1C1A">
      <w:pPr>
        <w:pStyle w:val="Chartreference"/>
      </w:pPr>
      <w:r w:rsidRPr="00B113AA">
        <w:t xml:space="preserve">*The high number of placements </w:t>
      </w:r>
      <w:r>
        <w:t xml:space="preserve">in Other Services </w:t>
      </w:r>
      <w:r w:rsidRPr="00B113AA">
        <w:t>is likely due to this industry being used as a ‘</w:t>
      </w:r>
      <w:r>
        <w:t>catch all’</w:t>
      </w:r>
      <w:r w:rsidRPr="00B113AA">
        <w:t xml:space="preserve"> category</w:t>
      </w:r>
    </w:p>
    <w:p w14:paraId="54CAF2A6" w14:textId="77777777" w:rsidR="00D30531" w:rsidRPr="00EF1C1A" w:rsidRDefault="00D30531" w:rsidP="006966DA">
      <w:pPr>
        <w:pStyle w:val="Heading2"/>
      </w:pPr>
      <w:r w:rsidRPr="00EF1C1A">
        <w:t>Placements by employer</w:t>
      </w:r>
    </w:p>
    <w:p w14:paraId="08CBABF1" w14:textId="17AB425B" w:rsidR="00D30531" w:rsidRPr="002D18A1" w:rsidRDefault="00D30531" w:rsidP="00EF1C1A">
      <w:pPr>
        <w:rPr>
          <w:rFonts w:cstheme="minorHAnsi"/>
        </w:rPr>
      </w:pPr>
      <w:r w:rsidRPr="002D18A1">
        <w:rPr>
          <w:rFonts w:cstheme="minorHAnsi"/>
        </w:rPr>
        <w:t xml:space="preserve">Between 1 July 2015 and 31 </w:t>
      </w:r>
      <w:r>
        <w:rPr>
          <w:rFonts w:cstheme="minorHAnsi"/>
        </w:rPr>
        <w:t>May</w:t>
      </w:r>
      <w:r w:rsidRPr="002D18A1">
        <w:rPr>
          <w:rFonts w:cstheme="minorHAnsi"/>
        </w:rPr>
        <w:t xml:space="preserve"> 2018, there have been </w:t>
      </w:r>
      <w:r>
        <w:rPr>
          <w:rFonts w:cstheme="minorHAnsi"/>
        </w:rPr>
        <w:t>1,054,360</w:t>
      </w:r>
      <w:r w:rsidRPr="002D18A1">
        <w:rPr>
          <w:rFonts w:cstheme="minorHAnsi"/>
        </w:rPr>
        <w:t xml:space="preserve"> jobactive job placements</w:t>
      </w:r>
      <w:r>
        <w:rPr>
          <w:rFonts w:cstheme="minorHAnsi"/>
        </w:rPr>
        <w:t>, with</w:t>
      </w:r>
      <w:r w:rsidRPr="002D18A1">
        <w:rPr>
          <w:rFonts w:cstheme="minorHAnsi"/>
        </w:rPr>
        <w:t xml:space="preserve"> </w:t>
      </w:r>
      <w:r>
        <w:rPr>
          <w:rFonts w:cstheme="minorHAnsi"/>
        </w:rPr>
        <w:t>1,028,789</w:t>
      </w:r>
      <w:r w:rsidRPr="002D18A1">
        <w:rPr>
          <w:rFonts w:cstheme="minorHAnsi"/>
        </w:rPr>
        <w:t xml:space="preserve"> of these</w:t>
      </w:r>
      <w:r>
        <w:rPr>
          <w:rFonts w:cstheme="minorHAnsi"/>
        </w:rPr>
        <w:t xml:space="preserve"> </w:t>
      </w:r>
      <w:r w:rsidRPr="002D18A1">
        <w:rPr>
          <w:rFonts w:cstheme="minorHAnsi"/>
        </w:rPr>
        <w:t xml:space="preserve">achieved with </w:t>
      </w:r>
      <w:r>
        <w:rPr>
          <w:rFonts w:cstheme="minorHAnsi"/>
        </w:rPr>
        <w:t>308,855</w:t>
      </w:r>
      <w:r w:rsidRPr="002D18A1">
        <w:rPr>
          <w:rFonts w:cstheme="minorHAnsi"/>
        </w:rPr>
        <w:t xml:space="preserve"> unique employer AB</w:t>
      </w:r>
      <w:r>
        <w:rPr>
          <w:rFonts w:cstheme="minorHAnsi"/>
        </w:rPr>
        <w:t>Ns</w:t>
      </w:r>
      <w:r w:rsidRPr="002D18A1">
        <w:rPr>
          <w:rFonts w:cstheme="minorHAnsi"/>
        </w:rPr>
        <w:t>.</w:t>
      </w:r>
    </w:p>
    <w:p w14:paraId="088FE3AB" w14:textId="31920FCC" w:rsidR="00D30531" w:rsidRPr="002D18A1" w:rsidRDefault="00D30531" w:rsidP="00EF1C1A">
      <w:pPr>
        <w:rPr>
          <w:rFonts w:cstheme="minorHAnsi"/>
        </w:rPr>
      </w:pPr>
      <w:r>
        <w:rPr>
          <w:rFonts w:cstheme="minorHAnsi"/>
        </w:rPr>
        <w:t>A total of 61,771</w:t>
      </w:r>
      <w:r w:rsidRPr="002D18A1">
        <w:rPr>
          <w:rFonts w:cstheme="minorHAnsi"/>
        </w:rPr>
        <w:t xml:space="preserve"> (or </w:t>
      </w:r>
      <w:r>
        <w:rPr>
          <w:rFonts w:cstheme="minorHAnsi"/>
        </w:rPr>
        <w:t>5</w:t>
      </w:r>
      <w:r w:rsidRPr="002D18A1">
        <w:rPr>
          <w:rFonts w:cstheme="minorHAnsi"/>
        </w:rPr>
        <w:t>.</w:t>
      </w:r>
      <w:r>
        <w:rPr>
          <w:rFonts w:cstheme="minorHAnsi"/>
        </w:rPr>
        <w:t>9</w:t>
      </w:r>
      <w:r w:rsidRPr="002D18A1">
        <w:rPr>
          <w:rFonts w:cstheme="minorHAnsi"/>
        </w:rPr>
        <w:t xml:space="preserve"> per cent) </w:t>
      </w:r>
      <w:r>
        <w:rPr>
          <w:rFonts w:cstheme="minorHAnsi"/>
        </w:rPr>
        <w:t xml:space="preserve">job placements </w:t>
      </w:r>
      <w:r w:rsidRPr="002D18A1">
        <w:rPr>
          <w:rFonts w:cstheme="minorHAnsi"/>
        </w:rPr>
        <w:t xml:space="preserve">are associated with the top 20 employer ABNs (table below). </w:t>
      </w:r>
    </w:p>
    <w:p w14:paraId="131DC38F" w14:textId="77777777" w:rsidR="00D30531" w:rsidRPr="002D18A1" w:rsidRDefault="00D30531" w:rsidP="00EF1C1A">
      <w:pPr>
        <w:rPr>
          <w:rFonts w:cstheme="minorHAnsi"/>
        </w:rPr>
      </w:pPr>
      <w:r w:rsidRPr="002D18A1">
        <w:rPr>
          <w:rFonts w:cstheme="minorHAnsi"/>
        </w:rPr>
        <w:t xml:space="preserve">Of these top 20 employers, </w:t>
      </w:r>
      <w:r>
        <w:rPr>
          <w:rFonts w:cstheme="minorHAnsi"/>
        </w:rPr>
        <w:t>14</w:t>
      </w:r>
      <w:r w:rsidRPr="002D18A1">
        <w:rPr>
          <w:rFonts w:cstheme="minorHAnsi"/>
        </w:rPr>
        <w:t xml:space="preserve"> employer ABNs have been identified as labour hire companies. These account for 4</w:t>
      </w:r>
      <w:r>
        <w:rPr>
          <w:rFonts w:cstheme="minorHAnsi"/>
        </w:rPr>
        <w:t>0,604</w:t>
      </w:r>
      <w:r w:rsidRPr="002D18A1">
        <w:rPr>
          <w:rFonts w:cstheme="minorHAnsi"/>
        </w:rPr>
        <w:t xml:space="preserve"> job placements, which equates to </w:t>
      </w:r>
      <w:r>
        <w:rPr>
          <w:rFonts w:cstheme="minorHAnsi"/>
        </w:rPr>
        <w:t>65</w:t>
      </w:r>
      <w:r w:rsidRPr="002D18A1">
        <w:rPr>
          <w:rFonts w:cstheme="minorHAnsi"/>
        </w:rPr>
        <w:t>.</w:t>
      </w:r>
      <w:r>
        <w:rPr>
          <w:rFonts w:cstheme="minorHAnsi"/>
        </w:rPr>
        <w:t>7</w:t>
      </w:r>
      <w:r w:rsidRPr="002D18A1">
        <w:rPr>
          <w:rFonts w:cstheme="minorHAnsi"/>
        </w:rPr>
        <w:t xml:space="preserve"> per cent of the total job placements of the top </w:t>
      </w:r>
      <w:r>
        <w:rPr>
          <w:rFonts w:cstheme="minorHAnsi"/>
        </w:rPr>
        <w:t>2</w:t>
      </w:r>
      <w:r w:rsidRPr="002D18A1">
        <w:rPr>
          <w:rFonts w:cstheme="minorHAnsi"/>
        </w:rPr>
        <w:t xml:space="preserve">0 employers and </w:t>
      </w:r>
      <w:r>
        <w:rPr>
          <w:rFonts w:cstheme="minorHAnsi"/>
        </w:rPr>
        <w:t>3</w:t>
      </w:r>
      <w:r w:rsidRPr="002D18A1">
        <w:rPr>
          <w:rFonts w:cstheme="minorHAnsi"/>
        </w:rPr>
        <w:t>.</w:t>
      </w:r>
      <w:r>
        <w:rPr>
          <w:rFonts w:cstheme="minorHAnsi"/>
        </w:rPr>
        <w:t>9</w:t>
      </w:r>
      <w:r w:rsidRPr="002D18A1">
        <w:rPr>
          <w:rFonts w:cstheme="minorHAnsi"/>
        </w:rPr>
        <w:t xml:space="preserve"> per cent of total jobactive job placements. </w:t>
      </w:r>
    </w:p>
    <w:p w14:paraId="77E3ED68" w14:textId="79DC36EB" w:rsidR="00D30531" w:rsidRDefault="00D30531" w:rsidP="00EC0174">
      <w:pPr>
        <w:pStyle w:val="Chartandtableheader"/>
      </w:pPr>
      <w:r w:rsidRPr="002D18A1">
        <w:lastRenderedPageBreak/>
        <w:t xml:space="preserve">Table </w:t>
      </w:r>
      <w:r>
        <w:t>F.5</w:t>
      </w:r>
      <w:r w:rsidRPr="002D18A1">
        <w:t xml:space="preserve">: </w:t>
      </w:r>
      <w:r>
        <w:t>Top 2</w:t>
      </w:r>
      <w:r w:rsidRPr="002D18A1">
        <w:t>0 Employers</w:t>
      </w:r>
      <w:r>
        <w:t xml:space="preserve"> ABNs</w:t>
      </w:r>
      <w:r w:rsidRPr="002D18A1">
        <w:t xml:space="preserve"> (placements of job seekers)</w:t>
      </w:r>
    </w:p>
    <w:tbl>
      <w:tblPr>
        <w:tblStyle w:val="TableGrid1"/>
        <w:tblW w:w="0" w:type="auto"/>
        <w:tblLook w:val="04A0" w:firstRow="1" w:lastRow="0" w:firstColumn="1" w:lastColumn="0" w:noHBand="0" w:noVBand="1"/>
      </w:tblPr>
      <w:tblGrid>
        <w:gridCol w:w="5240"/>
        <w:gridCol w:w="2830"/>
      </w:tblGrid>
      <w:tr w:rsidR="00D30531" w:rsidRPr="00FC2BBF" w14:paraId="40BE0FDE" w14:textId="77777777" w:rsidTr="001C143A">
        <w:trPr>
          <w:trHeight w:val="227"/>
          <w:tblHeader/>
        </w:trPr>
        <w:tc>
          <w:tcPr>
            <w:tcW w:w="5240" w:type="dxa"/>
            <w:shd w:val="clear" w:color="auto" w:fill="B2E8FA" w:themeFill="accent1" w:themeFillTint="66"/>
          </w:tcPr>
          <w:p w14:paraId="7E17B247" w14:textId="77777777" w:rsidR="00D30531" w:rsidRPr="00FC2BBF" w:rsidRDefault="00D30531" w:rsidP="00EC0174">
            <w:pPr>
              <w:pStyle w:val="Table1"/>
              <w:keepNext/>
            </w:pPr>
            <w:r w:rsidRPr="00FC2BBF">
              <w:t>Company</w:t>
            </w:r>
          </w:p>
        </w:tc>
        <w:tc>
          <w:tcPr>
            <w:tcW w:w="2830" w:type="dxa"/>
            <w:shd w:val="clear" w:color="auto" w:fill="B2E8FA" w:themeFill="accent1" w:themeFillTint="66"/>
          </w:tcPr>
          <w:p w14:paraId="6E1F459A" w14:textId="77777777" w:rsidR="00D30531" w:rsidRPr="00FC2BBF" w:rsidRDefault="00D30531" w:rsidP="00EC0174">
            <w:pPr>
              <w:pStyle w:val="Table1"/>
              <w:keepNext/>
              <w:jc w:val="center"/>
            </w:pPr>
            <w:r w:rsidRPr="00FC2BBF">
              <w:rPr>
                <w:rFonts w:ascii="Calibri" w:hAnsi="Calibri" w:cs="Calibri"/>
              </w:rPr>
              <w:t>Job Placements</w:t>
            </w:r>
          </w:p>
        </w:tc>
      </w:tr>
      <w:tr w:rsidR="00D30531" w14:paraId="52D915A6" w14:textId="77777777" w:rsidTr="00EC0174">
        <w:trPr>
          <w:trHeight w:hRule="exact" w:val="397"/>
        </w:trPr>
        <w:tc>
          <w:tcPr>
            <w:tcW w:w="5240" w:type="dxa"/>
          </w:tcPr>
          <w:p w14:paraId="56739947" w14:textId="77777777" w:rsidR="00D30531" w:rsidRPr="00D02D1E" w:rsidRDefault="00D30531" w:rsidP="00EC0174">
            <w:pPr>
              <w:pStyle w:val="tablecontents"/>
              <w:keepNext/>
            </w:pPr>
            <w:r w:rsidRPr="00D02D1E">
              <w:t>Woolworths</w:t>
            </w:r>
          </w:p>
        </w:tc>
        <w:tc>
          <w:tcPr>
            <w:tcW w:w="2830" w:type="dxa"/>
          </w:tcPr>
          <w:p w14:paraId="2BCC2CA2" w14:textId="77777777" w:rsidR="00D30531" w:rsidRPr="00D02D1E" w:rsidRDefault="00D30531" w:rsidP="00EC0174">
            <w:pPr>
              <w:pStyle w:val="tablecontents"/>
              <w:keepNext/>
              <w:jc w:val="center"/>
            </w:pPr>
            <w:r w:rsidRPr="00D02D1E">
              <w:t>8,797</w:t>
            </w:r>
          </w:p>
        </w:tc>
      </w:tr>
      <w:tr w:rsidR="00D30531" w14:paraId="4EB2A012" w14:textId="77777777" w:rsidTr="00EC0174">
        <w:trPr>
          <w:trHeight w:hRule="exact" w:val="397"/>
        </w:trPr>
        <w:tc>
          <w:tcPr>
            <w:tcW w:w="5240" w:type="dxa"/>
          </w:tcPr>
          <w:p w14:paraId="6D205020" w14:textId="77777777" w:rsidR="00D30531" w:rsidRPr="00D02D1E" w:rsidRDefault="00D30531" w:rsidP="00EC0174">
            <w:pPr>
              <w:pStyle w:val="tablecontents"/>
              <w:keepNext/>
            </w:pPr>
            <w:r w:rsidRPr="00D02D1E">
              <w:t>Coles Supermarkets Australia</w:t>
            </w:r>
          </w:p>
        </w:tc>
        <w:tc>
          <w:tcPr>
            <w:tcW w:w="2830" w:type="dxa"/>
          </w:tcPr>
          <w:p w14:paraId="0BAEDF21" w14:textId="77777777" w:rsidR="00D30531" w:rsidRPr="00D02D1E" w:rsidRDefault="00D30531" w:rsidP="00EC0174">
            <w:pPr>
              <w:pStyle w:val="tablecontents"/>
              <w:keepNext/>
              <w:jc w:val="center"/>
            </w:pPr>
            <w:r w:rsidRPr="00D02D1E">
              <w:t>6,303</w:t>
            </w:r>
          </w:p>
        </w:tc>
      </w:tr>
      <w:tr w:rsidR="00D30531" w14:paraId="6FF96736" w14:textId="77777777" w:rsidTr="00EC0174">
        <w:trPr>
          <w:trHeight w:hRule="exact" w:val="397"/>
        </w:trPr>
        <w:tc>
          <w:tcPr>
            <w:tcW w:w="5240" w:type="dxa"/>
          </w:tcPr>
          <w:p w14:paraId="35B3BD63" w14:textId="77777777" w:rsidR="00D30531" w:rsidRPr="00D02D1E" w:rsidRDefault="00D30531" w:rsidP="00EC0174">
            <w:pPr>
              <w:pStyle w:val="tablecontents"/>
              <w:keepNext/>
            </w:pPr>
            <w:r w:rsidRPr="00D02D1E">
              <w:t xml:space="preserve">Programmed Skilled Workforce* </w:t>
            </w:r>
          </w:p>
        </w:tc>
        <w:tc>
          <w:tcPr>
            <w:tcW w:w="2830" w:type="dxa"/>
          </w:tcPr>
          <w:p w14:paraId="4B75598E" w14:textId="77777777" w:rsidR="00D30531" w:rsidRPr="00D02D1E" w:rsidRDefault="00D30531" w:rsidP="00EC0174">
            <w:pPr>
              <w:pStyle w:val="tablecontents"/>
              <w:keepNext/>
              <w:jc w:val="center"/>
            </w:pPr>
            <w:r w:rsidRPr="00D02D1E">
              <w:t>5,302</w:t>
            </w:r>
          </w:p>
        </w:tc>
      </w:tr>
      <w:tr w:rsidR="00D30531" w14:paraId="04E7FA71" w14:textId="77777777" w:rsidTr="00EC0174">
        <w:trPr>
          <w:trHeight w:hRule="exact" w:val="397"/>
        </w:trPr>
        <w:tc>
          <w:tcPr>
            <w:tcW w:w="5240" w:type="dxa"/>
          </w:tcPr>
          <w:p w14:paraId="4DF97F86" w14:textId="77777777" w:rsidR="00D30531" w:rsidRPr="00D02D1E" w:rsidRDefault="00D30531" w:rsidP="00EC0174">
            <w:pPr>
              <w:pStyle w:val="tablecontents"/>
              <w:keepNext/>
            </w:pPr>
            <w:r w:rsidRPr="00D02D1E">
              <w:t>Hays Specialist Recruitment (Australia)*</w:t>
            </w:r>
          </w:p>
        </w:tc>
        <w:tc>
          <w:tcPr>
            <w:tcW w:w="2830" w:type="dxa"/>
          </w:tcPr>
          <w:p w14:paraId="779E09B9" w14:textId="77777777" w:rsidR="00D30531" w:rsidRPr="00D02D1E" w:rsidRDefault="00D30531" w:rsidP="00EC0174">
            <w:pPr>
              <w:pStyle w:val="tablecontents"/>
              <w:keepNext/>
              <w:jc w:val="center"/>
            </w:pPr>
            <w:r w:rsidRPr="00D02D1E">
              <w:t>4,808</w:t>
            </w:r>
          </w:p>
        </w:tc>
      </w:tr>
      <w:tr w:rsidR="00D30531" w14:paraId="77C274AF" w14:textId="77777777" w:rsidTr="00EC0174">
        <w:trPr>
          <w:trHeight w:hRule="exact" w:val="397"/>
        </w:trPr>
        <w:tc>
          <w:tcPr>
            <w:tcW w:w="5240" w:type="dxa"/>
          </w:tcPr>
          <w:p w14:paraId="527F7AD2" w14:textId="77777777" w:rsidR="00D30531" w:rsidRPr="00D02D1E" w:rsidRDefault="00D30531" w:rsidP="00EC0174">
            <w:pPr>
              <w:pStyle w:val="tablecontents"/>
              <w:keepNext/>
            </w:pPr>
            <w:r w:rsidRPr="00D02D1E">
              <w:t xml:space="preserve">Chandler Macleod Group* </w:t>
            </w:r>
          </w:p>
        </w:tc>
        <w:tc>
          <w:tcPr>
            <w:tcW w:w="2830" w:type="dxa"/>
          </w:tcPr>
          <w:p w14:paraId="7F97A5D9" w14:textId="77777777" w:rsidR="00D30531" w:rsidRPr="00D02D1E" w:rsidRDefault="00D30531" w:rsidP="00EC0174">
            <w:pPr>
              <w:pStyle w:val="tablecontents"/>
              <w:keepNext/>
              <w:jc w:val="center"/>
            </w:pPr>
            <w:r w:rsidRPr="00D02D1E">
              <w:t>4,356</w:t>
            </w:r>
          </w:p>
        </w:tc>
      </w:tr>
      <w:tr w:rsidR="00D30531" w14:paraId="018737F7" w14:textId="77777777" w:rsidTr="00EC0174">
        <w:trPr>
          <w:trHeight w:hRule="exact" w:val="397"/>
        </w:trPr>
        <w:tc>
          <w:tcPr>
            <w:tcW w:w="5240" w:type="dxa"/>
          </w:tcPr>
          <w:p w14:paraId="7A034B57" w14:textId="77777777" w:rsidR="00D30531" w:rsidRPr="00D02D1E" w:rsidRDefault="00D30531" w:rsidP="00EC0174">
            <w:pPr>
              <w:pStyle w:val="tablecontents"/>
              <w:keepNext/>
            </w:pPr>
            <w:r w:rsidRPr="00D02D1E">
              <w:t xml:space="preserve">Randstad* </w:t>
            </w:r>
          </w:p>
        </w:tc>
        <w:tc>
          <w:tcPr>
            <w:tcW w:w="2830" w:type="dxa"/>
          </w:tcPr>
          <w:p w14:paraId="6B6E4CDA" w14:textId="77777777" w:rsidR="00D30531" w:rsidRPr="00D02D1E" w:rsidRDefault="00D30531" w:rsidP="00EC0174">
            <w:pPr>
              <w:pStyle w:val="tablecontents"/>
              <w:keepNext/>
              <w:jc w:val="center"/>
            </w:pPr>
            <w:r w:rsidRPr="00D02D1E">
              <w:t>4,156</w:t>
            </w:r>
          </w:p>
        </w:tc>
      </w:tr>
      <w:tr w:rsidR="00D30531" w14:paraId="75893C2D" w14:textId="77777777" w:rsidTr="00EC0174">
        <w:trPr>
          <w:trHeight w:hRule="exact" w:val="397"/>
        </w:trPr>
        <w:tc>
          <w:tcPr>
            <w:tcW w:w="5240" w:type="dxa"/>
          </w:tcPr>
          <w:p w14:paraId="3B7AC071" w14:textId="77777777" w:rsidR="00D30531" w:rsidRPr="00D02D1E" w:rsidRDefault="00D30531" w:rsidP="00EC0174">
            <w:pPr>
              <w:pStyle w:val="tablecontents"/>
              <w:keepNext/>
            </w:pPr>
            <w:r w:rsidRPr="00D02D1E">
              <w:t xml:space="preserve">Labour Solutions Australia* </w:t>
            </w:r>
          </w:p>
        </w:tc>
        <w:tc>
          <w:tcPr>
            <w:tcW w:w="2830" w:type="dxa"/>
          </w:tcPr>
          <w:p w14:paraId="6F35945A" w14:textId="77777777" w:rsidR="00D30531" w:rsidRPr="00D02D1E" w:rsidRDefault="00D30531" w:rsidP="00EC0174">
            <w:pPr>
              <w:pStyle w:val="tablecontents"/>
              <w:keepNext/>
              <w:jc w:val="center"/>
            </w:pPr>
            <w:r w:rsidRPr="00D02D1E">
              <w:t>3,016</w:t>
            </w:r>
          </w:p>
        </w:tc>
      </w:tr>
      <w:tr w:rsidR="00D30531" w14:paraId="525C5330" w14:textId="77777777" w:rsidTr="00EC0174">
        <w:trPr>
          <w:trHeight w:hRule="exact" w:val="397"/>
        </w:trPr>
        <w:tc>
          <w:tcPr>
            <w:tcW w:w="5240" w:type="dxa"/>
          </w:tcPr>
          <w:p w14:paraId="2CD67160" w14:textId="77777777" w:rsidR="00D30531" w:rsidRPr="00D02D1E" w:rsidRDefault="00D30531" w:rsidP="00EC0174">
            <w:pPr>
              <w:pStyle w:val="tablecontents"/>
              <w:keepNext/>
            </w:pPr>
            <w:r w:rsidRPr="00D02D1E">
              <w:t xml:space="preserve">Manpower Services (Australia)* </w:t>
            </w:r>
          </w:p>
        </w:tc>
        <w:tc>
          <w:tcPr>
            <w:tcW w:w="2830" w:type="dxa"/>
          </w:tcPr>
          <w:p w14:paraId="39C8406C" w14:textId="77777777" w:rsidR="00D30531" w:rsidRPr="00D02D1E" w:rsidRDefault="00D30531" w:rsidP="00EC0174">
            <w:pPr>
              <w:pStyle w:val="tablecontents"/>
              <w:keepNext/>
              <w:jc w:val="center"/>
            </w:pPr>
            <w:r w:rsidRPr="00D02D1E">
              <w:t>2,883</w:t>
            </w:r>
          </w:p>
        </w:tc>
      </w:tr>
      <w:tr w:rsidR="00D30531" w14:paraId="66F8CC58" w14:textId="77777777" w:rsidTr="00EC0174">
        <w:trPr>
          <w:trHeight w:hRule="exact" w:val="397"/>
        </w:trPr>
        <w:tc>
          <w:tcPr>
            <w:tcW w:w="5240" w:type="dxa"/>
          </w:tcPr>
          <w:p w14:paraId="3AF03E1E" w14:textId="77777777" w:rsidR="00D30531" w:rsidRPr="00D02D1E" w:rsidRDefault="00D30531" w:rsidP="00EC0174">
            <w:pPr>
              <w:pStyle w:val="tablecontents"/>
              <w:keepNext/>
            </w:pPr>
            <w:r w:rsidRPr="00D02D1E">
              <w:t>WorkPac*</w:t>
            </w:r>
          </w:p>
        </w:tc>
        <w:tc>
          <w:tcPr>
            <w:tcW w:w="2830" w:type="dxa"/>
          </w:tcPr>
          <w:p w14:paraId="2D8BCB08" w14:textId="77777777" w:rsidR="00D30531" w:rsidRPr="00D02D1E" w:rsidRDefault="00D30531" w:rsidP="00EC0174">
            <w:pPr>
              <w:pStyle w:val="tablecontents"/>
              <w:keepNext/>
              <w:jc w:val="center"/>
            </w:pPr>
            <w:r w:rsidRPr="00D02D1E">
              <w:t>2,383</w:t>
            </w:r>
          </w:p>
        </w:tc>
      </w:tr>
      <w:tr w:rsidR="00D30531" w14:paraId="3505F007" w14:textId="77777777" w:rsidTr="00EC0174">
        <w:trPr>
          <w:trHeight w:hRule="exact" w:val="397"/>
        </w:trPr>
        <w:tc>
          <w:tcPr>
            <w:tcW w:w="5240" w:type="dxa"/>
          </w:tcPr>
          <w:p w14:paraId="71C42F05" w14:textId="77777777" w:rsidR="00D30531" w:rsidRPr="00D02D1E" w:rsidRDefault="00D30531" w:rsidP="00EC0174">
            <w:pPr>
              <w:pStyle w:val="tablecontents"/>
              <w:keepNext/>
            </w:pPr>
            <w:r w:rsidRPr="00D02D1E">
              <w:t>AWX Group*</w:t>
            </w:r>
          </w:p>
        </w:tc>
        <w:tc>
          <w:tcPr>
            <w:tcW w:w="2830" w:type="dxa"/>
          </w:tcPr>
          <w:p w14:paraId="0E4CD7F8" w14:textId="77777777" w:rsidR="00D30531" w:rsidRPr="00D02D1E" w:rsidRDefault="00D30531" w:rsidP="00EC0174">
            <w:pPr>
              <w:pStyle w:val="tablecontents"/>
              <w:keepNext/>
              <w:jc w:val="center"/>
            </w:pPr>
            <w:r w:rsidRPr="00D02D1E">
              <w:t>2,264</w:t>
            </w:r>
          </w:p>
        </w:tc>
      </w:tr>
      <w:tr w:rsidR="00D30531" w14:paraId="49D76F56" w14:textId="77777777" w:rsidTr="00EC0174">
        <w:trPr>
          <w:trHeight w:hRule="exact" w:val="397"/>
        </w:trPr>
        <w:tc>
          <w:tcPr>
            <w:tcW w:w="5240" w:type="dxa"/>
          </w:tcPr>
          <w:p w14:paraId="3FD61974" w14:textId="77777777" w:rsidR="00D30531" w:rsidRPr="00D02D1E" w:rsidRDefault="00D30531" w:rsidP="00EC0174">
            <w:pPr>
              <w:pStyle w:val="tablecontents"/>
              <w:keepNext/>
            </w:pPr>
            <w:r w:rsidRPr="00D02D1E">
              <w:t>Toll Personnel*</w:t>
            </w:r>
          </w:p>
        </w:tc>
        <w:tc>
          <w:tcPr>
            <w:tcW w:w="2830" w:type="dxa"/>
          </w:tcPr>
          <w:p w14:paraId="139B59F9" w14:textId="77777777" w:rsidR="00D30531" w:rsidRPr="00D02D1E" w:rsidRDefault="00D30531" w:rsidP="00EC0174">
            <w:pPr>
              <w:pStyle w:val="tablecontents"/>
              <w:keepNext/>
              <w:jc w:val="center"/>
            </w:pPr>
            <w:r w:rsidRPr="00D02D1E">
              <w:t>2,080</w:t>
            </w:r>
          </w:p>
        </w:tc>
      </w:tr>
      <w:tr w:rsidR="00D30531" w14:paraId="5FFB5CE5" w14:textId="77777777" w:rsidTr="00EC0174">
        <w:trPr>
          <w:trHeight w:hRule="exact" w:val="397"/>
        </w:trPr>
        <w:tc>
          <w:tcPr>
            <w:tcW w:w="5240" w:type="dxa"/>
          </w:tcPr>
          <w:p w14:paraId="68D713D3" w14:textId="77777777" w:rsidR="00D30531" w:rsidRPr="00D02D1E" w:rsidRDefault="00D30531" w:rsidP="00EC0174">
            <w:pPr>
              <w:pStyle w:val="tablecontents"/>
              <w:keepNext/>
            </w:pPr>
            <w:r w:rsidRPr="00D02D1E">
              <w:t>Labourpower Recruitment Services*</w:t>
            </w:r>
          </w:p>
        </w:tc>
        <w:tc>
          <w:tcPr>
            <w:tcW w:w="2830" w:type="dxa"/>
          </w:tcPr>
          <w:p w14:paraId="1E2080D6" w14:textId="77777777" w:rsidR="00D30531" w:rsidRPr="00D02D1E" w:rsidRDefault="00D30531" w:rsidP="00EC0174">
            <w:pPr>
              <w:pStyle w:val="tablecontents"/>
              <w:keepNext/>
              <w:jc w:val="center"/>
            </w:pPr>
            <w:r w:rsidRPr="00D02D1E">
              <w:t>2,045</w:t>
            </w:r>
          </w:p>
        </w:tc>
      </w:tr>
      <w:tr w:rsidR="00D30531" w14:paraId="438455C5" w14:textId="77777777" w:rsidTr="00EC0174">
        <w:trPr>
          <w:trHeight w:hRule="exact" w:val="397"/>
        </w:trPr>
        <w:tc>
          <w:tcPr>
            <w:tcW w:w="5240" w:type="dxa"/>
          </w:tcPr>
          <w:p w14:paraId="49279E26" w14:textId="77777777" w:rsidR="00D30531" w:rsidRPr="00D02D1E" w:rsidRDefault="00D30531" w:rsidP="00EC0174">
            <w:pPr>
              <w:pStyle w:val="tablecontents"/>
              <w:keepNext/>
            </w:pPr>
            <w:r w:rsidRPr="00D02D1E">
              <w:t>Tailored Workforce*</w:t>
            </w:r>
          </w:p>
        </w:tc>
        <w:tc>
          <w:tcPr>
            <w:tcW w:w="2830" w:type="dxa"/>
          </w:tcPr>
          <w:p w14:paraId="0FEAF34C" w14:textId="77777777" w:rsidR="00D30531" w:rsidRPr="00D02D1E" w:rsidRDefault="00D30531" w:rsidP="00EC0174">
            <w:pPr>
              <w:pStyle w:val="tablecontents"/>
              <w:keepNext/>
              <w:jc w:val="center"/>
            </w:pPr>
            <w:r w:rsidRPr="00D02D1E">
              <w:t>1,971</w:t>
            </w:r>
          </w:p>
        </w:tc>
      </w:tr>
      <w:tr w:rsidR="00D30531" w14:paraId="374F7B86" w14:textId="77777777" w:rsidTr="00EC0174">
        <w:trPr>
          <w:trHeight w:hRule="exact" w:val="397"/>
        </w:trPr>
        <w:tc>
          <w:tcPr>
            <w:tcW w:w="5240" w:type="dxa"/>
          </w:tcPr>
          <w:p w14:paraId="46DB3205" w14:textId="77777777" w:rsidR="00D30531" w:rsidRPr="00D02D1E" w:rsidRDefault="00D30531" w:rsidP="00EC0174">
            <w:pPr>
              <w:pStyle w:val="tablecontents"/>
              <w:keepNext/>
            </w:pPr>
            <w:r w:rsidRPr="00D02D1E">
              <w:t>Programmed Integrated Workforce*</w:t>
            </w:r>
          </w:p>
        </w:tc>
        <w:tc>
          <w:tcPr>
            <w:tcW w:w="2830" w:type="dxa"/>
          </w:tcPr>
          <w:p w14:paraId="621AC048" w14:textId="77777777" w:rsidR="00D30531" w:rsidRPr="00D02D1E" w:rsidRDefault="00D30531" w:rsidP="00EC0174">
            <w:pPr>
              <w:pStyle w:val="tablecontents"/>
              <w:keepNext/>
              <w:jc w:val="center"/>
            </w:pPr>
            <w:r w:rsidRPr="00D02D1E">
              <w:t>1,919</w:t>
            </w:r>
          </w:p>
        </w:tc>
      </w:tr>
      <w:tr w:rsidR="00D30531" w14:paraId="5BA0C753" w14:textId="77777777" w:rsidTr="00EC0174">
        <w:trPr>
          <w:trHeight w:hRule="exact" w:val="397"/>
        </w:trPr>
        <w:tc>
          <w:tcPr>
            <w:tcW w:w="5240" w:type="dxa"/>
          </w:tcPr>
          <w:p w14:paraId="7F4296B2" w14:textId="77777777" w:rsidR="00D30531" w:rsidRPr="00D02D1E" w:rsidRDefault="00D30531" w:rsidP="00EC0174">
            <w:pPr>
              <w:pStyle w:val="tablecontents"/>
              <w:keepNext/>
            </w:pPr>
            <w:r w:rsidRPr="00D02D1E">
              <w:t>Australia Personnel Global*</w:t>
            </w:r>
          </w:p>
        </w:tc>
        <w:tc>
          <w:tcPr>
            <w:tcW w:w="2830" w:type="dxa"/>
          </w:tcPr>
          <w:p w14:paraId="389C34C2" w14:textId="77777777" w:rsidR="00D30531" w:rsidRPr="00D02D1E" w:rsidRDefault="00D30531" w:rsidP="00EC0174">
            <w:pPr>
              <w:pStyle w:val="tablecontents"/>
              <w:keepNext/>
              <w:jc w:val="center"/>
            </w:pPr>
            <w:r w:rsidRPr="00D02D1E">
              <w:t>1,845</w:t>
            </w:r>
          </w:p>
        </w:tc>
      </w:tr>
      <w:tr w:rsidR="00D30531" w14:paraId="360DFCDA" w14:textId="77777777" w:rsidTr="00EC0174">
        <w:trPr>
          <w:trHeight w:hRule="exact" w:val="397"/>
        </w:trPr>
        <w:tc>
          <w:tcPr>
            <w:tcW w:w="5240" w:type="dxa"/>
          </w:tcPr>
          <w:p w14:paraId="420B949E" w14:textId="77777777" w:rsidR="00D30531" w:rsidRPr="00D02D1E" w:rsidRDefault="00D30531" w:rsidP="00EC0174">
            <w:pPr>
              <w:pStyle w:val="tablecontents"/>
              <w:keepNext/>
            </w:pPr>
            <w:r w:rsidRPr="00D02D1E">
              <w:t>Department of Education</w:t>
            </w:r>
          </w:p>
        </w:tc>
        <w:tc>
          <w:tcPr>
            <w:tcW w:w="2830" w:type="dxa"/>
          </w:tcPr>
          <w:p w14:paraId="51514697" w14:textId="77777777" w:rsidR="00D30531" w:rsidRPr="00D02D1E" w:rsidRDefault="00D30531" w:rsidP="00EC0174">
            <w:pPr>
              <w:pStyle w:val="tablecontents"/>
              <w:keepNext/>
              <w:jc w:val="center"/>
            </w:pPr>
            <w:r w:rsidRPr="00D02D1E">
              <w:t>1,594</w:t>
            </w:r>
          </w:p>
        </w:tc>
      </w:tr>
      <w:tr w:rsidR="00D30531" w14:paraId="5C241D9F" w14:textId="77777777" w:rsidTr="00EC0174">
        <w:trPr>
          <w:trHeight w:hRule="exact" w:val="397"/>
        </w:trPr>
        <w:tc>
          <w:tcPr>
            <w:tcW w:w="5240" w:type="dxa"/>
          </w:tcPr>
          <w:p w14:paraId="51AA038C" w14:textId="77777777" w:rsidR="00D30531" w:rsidRPr="00D02D1E" w:rsidRDefault="00D30531" w:rsidP="00EC0174">
            <w:pPr>
              <w:pStyle w:val="tablecontents"/>
              <w:keepNext/>
            </w:pPr>
            <w:r w:rsidRPr="00D02D1E">
              <w:t>Workforce Recruitment and Labour Services*</w:t>
            </w:r>
          </w:p>
        </w:tc>
        <w:tc>
          <w:tcPr>
            <w:tcW w:w="2830" w:type="dxa"/>
          </w:tcPr>
          <w:p w14:paraId="0256EF39" w14:textId="77777777" w:rsidR="00D30531" w:rsidRPr="00D02D1E" w:rsidRDefault="00D30531" w:rsidP="00EC0174">
            <w:pPr>
              <w:pStyle w:val="tablecontents"/>
              <w:keepNext/>
              <w:jc w:val="center"/>
            </w:pPr>
            <w:r w:rsidRPr="00D02D1E">
              <w:t>1,576</w:t>
            </w:r>
          </w:p>
        </w:tc>
      </w:tr>
      <w:tr w:rsidR="00D30531" w14:paraId="54F9C3A0" w14:textId="77777777" w:rsidTr="00EC0174">
        <w:trPr>
          <w:trHeight w:hRule="exact" w:val="397"/>
        </w:trPr>
        <w:tc>
          <w:tcPr>
            <w:tcW w:w="5240" w:type="dxa"/>
          </w:tcPr>
          <w:p w14:paraId="70913447" w14:textId="77777777" w:rsidR="00D30531" w:rsidRPr="00D02D1E" w:rsidRDefault="00D30531" w:rsidP="00EC0174">
            <w:pPr>
              <w:pStyle w:val="tablecontents"/>
              <w:keepNext/>
            </w:pPr>
            <w:r w:rsidRPr="00D02D1E">
              <w:t>Australian Bureau of Statistics</w:t>
            </w:r>
          </w:p>
        </w:tc>
        <w:tc>
          <w:tcPr>
            <w:tcW w:w="2830" w:type="dxa"/>
          </w:tcPr>
          <w:p w14:paraId="0D8F7EA2" w14:textId="77777777" w:rsidR="00D30531" w:rsidRPr="00D02D1E" w:rsidRDefault="00D30531" w:rsidP="00EC0174">
            <w:pPr>
              <w:pStyle w:val="tablecontents"/>
              <w:keepNext/>
              <w:jc w:val="center"/>
            </w:pPr>
            <w:r w:rsidRPr="00D02D1E">
              <w:t>1,529</w:t>
            </w:r>
          </w:p>
        </w:tc>
      </w:tr>
      <w:tr w:rsidR="00D30531" w14:paraId="23A9662A" w14:textId="77777777" w:rsidTr="00EC0174">
        <w:trPr>
          <w:trHeight w:hRule="exact" w:val="397"/>
        </w:trPr>
        <w:tc>
          <w:tcPr>
            <w:tcW w:w="5240" w:type="dxa"/>
          </w:tcPr>
          <w:p w14:paraId="0CD2A280" w14:textId="77777777" w:rsidR="00D30531" w:rsidRPr="00D02D1E" w:rsidRDefault="00D30531" w:rsidP="00EC0174">
            <w:pPr>
              <w:pStyle w:val="tablecontents"/>
              <w:keepNext/>
            </w:pPr>
            <w:r w:rsidRPr="00D02D1E">
              <w:t>Bunnings</w:t>
            </w:r>
          </w:p>
        </w:tc>
        <w:tc>
          <w:tcPr>
            <w:tcW w:w="2830" w:type="dxa"/>
          </w:tcPr>
          <w:p w14:paraId="07B0C605" w14:textId="77777777" w:rsidR="00D30531" w:rsidRPr="00D02D1E" w:rsidRDefault="00D30531" w:rsidP="00EC0174">
            <w:pPr>
              <w:pStyle w:val="tablecontents"/>
              <w:keepNext/>
              <w:jc w:val="center"/>
            </w:pPr>
            <w:r w:rsidRPr="00D02D1E">
              <w:t>1,502</w:t>
            </w:r>
          </w:p>
        </w:tc>
      </w:tr>
      <w:tr w:rsidR="00D30531" w14:paraId="67B0173E" w14:textId="77777777" w:rsidTr="00EC0174">
        <w:trPr>
          <w:trHeight w:hRule="exact" w:val="397"/>
        </w:trPr>
        <w:tc>
          <w:tcPr>
            <w:tcW w:w="5240" w:type="dxa"/>
          </w:tcPr>
          <w:p w14:paraId="34C12383" w14:textId="77777777" w:rsidR="00D30531" w:rsidRPr="00D02D1E" w:rsidRDefault="00D30531" w:rsidP="00EC0174">
            <w:pPr>
              <w:pStyle w:val="tablecontents"/>
              <w:keepNext/>
            </w:pPr>
            <w:r w:rsidRPr="00D02D1E">
              <w:t>ISS Facility Services Australia</w:t>
            </w:r>
          </w:p>
        </w:tc>
        <w:tc>
          <w:tcPr>
            <w:tcW w:w="2830" w:type="dxa"/>
          </w:tcPr>
          <w:p w14:paraId="707C32A7" w14:textId="77777777" w:rsidR="00D30531" w:rsidRPr="00D02D1E" w:rsidRDefault="00D30531" w:rsidP="00EC0174">
            <w:pPr>
              <w:pStyle w:val="tablecontents"/>
              <w:keepNext/>
              <w:jc w:val="center"/>
            </w:pPr>
            <w:r w:rsidRPr="00D02D1E">
              <w:t>1,442</w:t>
            </w:r>
          </w:p>
        </w:tc>
      </w:tr>
    </w:tbl>
    <w:p w14:paraId="697898FC" w14:textId="14B5B301" w:rsidR="00D30531" w:rsidRDefault="00D30531" w:rsidP="00EF1C1A">
      <w:pPr>
        <w:pStyle w:val="Chartreference"/>
        <w:rPr>
          <w:rStyle w:val="Heading2Char"/>
        </w:rPr>
      </w:pPr>
      <w:r w:rsidRPr="002D18A1">
        <w:t>*Labour Hire Company</w:t>
      </w:r>
    </w:p>
    <w:p w14:paraId="5291F83A" w14:textId="77777777" w:rsidR="00D30531" w:rsidRPr="00EF1C1A" w:rsidRDefault="00D30531" w:rsidP="006966DA">
      <w:pPr>
        <w:pStyle w:val="Heading2"/>
        <w:rPr>
          <w:rStyle w:val="Strong"/>
          <w:b/>
          <w:sz w:val="24"/>
          <w:szCs w:val="24"/>
        </w:rPr>
      </w:pPr>
      <w:r w:rsidRPr="00EF1C1A">
        <w:rPr>
          <w:rStyle w:val="Strong"/>
          <w:b/>
          <w:sz w:val="24"/>
          <w:szCs w:val="24"/>
        </w:rPr>
        <w:t>Time to Exit</w:t>
      </w:r>
      <w:r w:rsidRPr="00EF1C1A">
        <w:rPr>
          <w:rStyle w:val="EndnoteReference"/>
          <w:b w:val="0"/>
          <w:sz w:val="24"/>
          <w:szCs w:val="24"/>
        </w:rPr>
        <w:endnoteReference w:id="6"/>
      </w:r>
    </w:p>
    <w:p w14:paraId="44ECAC80" w14:textId="1E21FC7D" w:rsidR="00D30531" w:rsidRDefault="00D30531" w:rsidP="00EF1C1A">
      <w:pPr>
        <w:rPr>
          <w:rFonts w:cstheme="minorHAnsi"/>
        </w:rPr>
      </w:pPr>
      <w:r w:rsidRPr="00B53DD6">
        <w:rPr>
          <w:rFonts w:cstheme="minorHAnsi"/>
        </w:rPr>
        <w:t>A measure of the efficiency of jobactive services is the time it takes for job seekers to exit</w:t>
      </w:r>
      <w:r>
        <w:rPr>
          <w:rFonts w:cstheme="minorHAnsi"/>
        </w:rPr>
        <w:t xml:space="preserve"> after commencing. Figure F.2</w:t>
      </w:r>
      <w:r w:rsidRPr="00B53DD6">
        <w:rPr>
          <w:rFonts w:cstheme="minorHAnsi"/>
        </w:rPr>
        <w:t xml:space="preserve"> below shows</w:t>
      </w:r>
      <w:r>
        <w:rPr>
          <w:rFonts w:cstheme="minorHAnsi"/>
        </w:rPr>
        <w:t xml:space="preserve"> the </w:t>
      </w:r>
      <w:r w:rsidRPr="00B53DD6">
        <w:rPr>
          <w:rFonts w:cstheme="minorHAnsi"/>
        </w:rPr>
        <w:t>cumulative rate of exit from jobactive</w:t>
      </w:r>
      <w:r>
        <w:rPr>
          <w:rFonts w:cstheme="minorHAnsi"/>
        </w:rPr>
        <w:t xml:space="preserve"> (up to 30 April 2018) for the</w:t>
      </w:r>
      <w:r w:rsidRPr="00B53DD6">
        <w:rPr>
          <w:rFonts w:cstheme="minorHAnsi"/>
        </w:rPr>
        <w:t xml:space="preserve"> job seekers </w:t>
      </w:r>
      <w:r>
        <w:rPr>
          <w:rFonts w:cstheme="minorHAnsi"/>
        </w:rPr>
        <w:t xml:space="preserve">who </w:t>
      </w:r>
      <w:r w:rsidRPr="00B53DD6">
        <w:rPr>
          <w:rFonts w:cstheme="minorHAnsi"/>
        </w:rPr>
        <w:t>commenced between 1</w:t>
      </w:r>
      <w:r>
        <w:rPr>
          <w:rFonts w:cstheme="minorHAnsi"/>
        </w:rPr>
        <w:t> October </w:t>
      </w:r>
      <w:r w:rsidRPr="00B53DD6">
        <w:rPr>
          <w:rFonts w:cstheme="minorHAnsi"/>
        </w:rPr>
        <w:t xml:space="preserve">2015 and </w:t>
      </w:r>
      <w:r>
        <w:rPr>
          <w:rFonts w:cstheme="minorHAnsi"/>
        </w:rPr>
        <w:t>30 </w:t>
      </w:r>
      <w:r w:rsidRPr="00B53DD6">
        <w:rPr>
          <w:rFonts w:cstheme="minorHAnsi"/>
        </w:rPr>
        <w:t>October</w:t>
      </w:r>
      <w:r>
        <w:rPr>
          <w:rFonts w:cstheme="minorHAnsi"/>
        </w:rPr>
        <w:t> </w:t>
      </w:r>
      <w:r w:rsidRPr="00B53DD6">
        <w:rPr>
          <w:rFonts w:cstheme="minorHAnsi"/>
        </w:rPr>
        <w:t>2017.</w:t>
      </w:r>
      <w:r>
        <w:rPr>
          <w:rStyle w:val="EndnoteReference"/>
          <w:rFonts w:cstheme="minorHAnsi"/>
        </w:rPr>
        <w:endnoteReference w:id="7"/>
      </w:r>
      <w:r w:rsidRPr="00B53DD6">
        <w:rPr>
          <w:rFonts w:cstheme="minorHAnsi"/>
        </w:rPr>
        <w:t xml:space="preserve"> Around </w:t>
      </w:r>
      <w:r>
        <w:rPr>
          <w:rFonts w:cstheme="minorHAnsi"/>
        </w:rPr>
        <w:t>60 per cent</w:t>
      </w:r>
      <w:r w:rsidRPr="00B53DD6">
        <w:rPr>
          <w:rFonts w:cstheme="minorHAnsi"/>
        </w:rPr>
        <w:t xml:space="preserve"> of job seekers </w:t>
      </w:r>
      <w:r>
        <w:rPr>
          <w:rFonts w:cstheme="minorHAnsi"/>
        </w:rPr>
        <w:t>exit</w:t>
      </w:r>
      <w:r w:rsidRPr="00B53DD6">
        <w:rPr>
          <w:rFonts w:cstheme="minorHAnsi"/>
        </w:rPr>
        <w:t xml:space="preserve"> jobactive within 12 months</w:t>
      </w:r>
      <w:r>
        <w:rPr>
          <w:rFonts w:cstheme="minorHAnsi"/>
        </w:rPr>
        <w:t xml:space="preserve"> of commencement</w:t>
      </w:r>
      <w:r w:rsidRPr="00B53DD6">
        <w:rPr>
          <w:rFonts w:cstheme="minorHAnsi"/>
        </w:rPr>
        <w:t>. As expected, the less disadvantaged job seekers in Stream A achieve</w:t>
      </w:r>
      <w:r>
        <w:rPr>
          <w:rFonts w:cstheme="minorHAnsi"/>
        </w:rPr>
        <w:t xml:space="preserve"> the</w:t>
      </w:r>
      <w:r w:rsidRPr="00B53DD6">
        <w:rPr>
          <w:rFonts w:cstheme="minorHAnsi"/>
        </w:rPr>
        <w:t xml:space="preserve"> highest exit rate</w:t>
      </w:r>
      <w:r>
        <w:rPr>
          <w:rFonts w:cstheme="minorHAnsi"/>
        </w:rPr>
        <w:t>s</w:t>
      </w:r>
      <w:r w:rsidRPr="00B53DD6">
        <w:rPr>
          <w:rFonts w:cstheme="minorHAnsi"/>
        </w:rPr>
        <w:t xml:space="preserve"> relative to the other </w:t>
      </w:r>
      <w:r>
        <w:rPr>
          <w:rFonts w:cstheme="minorHAnsi"/>
        </w:rPr>
        <w:t>s</w:t>
      </w:r>
      <w:r w:rsidRPr="00B53DD6">
        <w:rPr>
          <w:rFonts w:cstheme="minorHAnsi"/>
        </w:rPr>
        <w:t>treams.</w:t>
      </w:r>
    </w:p>
    <w:p w14:paraId="46A285C3" w14:textId="3D140919" w:rsidR="00D30531" w:rsidRDefault="00D30531" w:rsidP="00EF1C1A">
      <w:pPr>
        <w:rPr>
          <w:rFonts w:cstheme="minorHAnsi"/>
        </w:rPr>
      </w:pPr>
      <w:r>
        <w:rPr>
          <w:rFonts w:cstheme="minorHAnsi"/>
        </w:rPr>
        <w:t>There are distinct patterns evident for the different streams. For Stream A, around 25 per cent exit within the first three months and a further 25 per cent exit following three months, with the exit rate diminishing from that point onwards. This differs somewhat to Streams B and C where the lower exit rates achieved early on are generally maintained for a longer period. These distinct patterns may suggest differing servicing models are required for job seekers with varying times in assistance and different levels of labour market disadvantage.</w:t>
      </w:r>
    </w:p>
    <w:p w14:paraId="63F26CD1" w14:textId="3D167BEB" w:rsidR="00D30531" w:rsidRPr="002D18A1" w:rsidRDefault="00D30531" w:rsidP="000419C7">
      <w:pPr>
        <w:pStyle w:val="ChartandTabletitle"/>
      </w:pPr>
      <w:r w:rsidRPr="002D18A1">
        <w:lastRenderedPageBreak/>
        <w:t xml:space="preserve">Figure </w:t>
      </w:r>
      <w:r>
        <w:t>F.2</w:t>
      </w:r>
      <w:r w:rsidRPr="002D18A1">
        <w:t xml:space="preserve">: </w:t>
      </w:r>
      <w:r>
        <w:t>Exit rates from jobactive by fortnight, April 2018</w:t>
      </w:r>
    </w:p>
    <w:p w14:paraId="66458C1A" w14:textId="77777777" w:rsidR="00D30531" w:rsidRPr="00EF1C1A" w:rsidRDefault="00D30531" w:rsidP="009F5760">
      <w:pPr>
        <w:rPr>
          <w:color w:val="1F497D"/>
          <w:lang w:eastAsia="zh-CN"/>
        </w:rPr>
      </w:pPr>
      <w:r>
        <w:rPr>
          <w:noProof/>
          <w:lang w:eastAsia="en-AU"/>
        </w:rPr>
        <w:drawing>
          <wp:inline distT="0" distB="0" distL="0" distR="0" wp14:anchorId="6AEB64F6" wp14:editId="50021246">
            <wp:extent cx="5267325" cy="2790825"/>
            <wp:effectExtent l="0" t="0" r="0" b="0"/>
            <wp:docPr id="44" name="Chart 44" descr="Graph showing the exit rates for different streams of job seekers in jobactive and the total exit rate. The key trends shown in the graph were described in the two previous paragraphs."/>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51CBD28" w14:textId="77777777" w:rsidR="00D30531" w:rsidRPr="00EF1C1A" w:rsidRDefault="00D30531" w:rsidP="006966DA">
      <w:pPr>
        <w:pStyle w:val="Heading2"/>
      </w:pPr>
      <w:r w:rsidRPr="00EF1C1A">
        <w:t xml:space="preserve">Post-Program Monitoring Survey data </w:t>
      </w:r>
    </w:p>
    <w:p w14:paraId="0A9156BD" w14:textId="7D8EC5EA" w:rsidR="00D30531" w:rsidRPr="00833B6C" w:rsidRDefault="00D30531" w:rsidP="00EF1C1A">
      <w:r w:rsidRPr="00833B6C">
        <w:t>T</w:t>
      </w:r>
      <w:r w:rsidR="00C77A88">
        <w:t>he d</w:t>
      </w:r>
      <w:r w:rsidRPr="00833B6C">
        <w:t>epartment measures whether job seekers have moved into employment following assistance in jobactive through the Post-Program Monito</w:t>
      </w:r>
      <w:r w:rsidR="00C77A88">
        <w:t>ring (PPM) Streams Survey. The d</w:t>
      </w:r>
      <w:r w:rsidRPr="00833B6C">
        <w:t xml:space="preserve">epartment surveys a sample of job seekers three months after they have taken part in jobactive. </w:t>
      </w:r>
    </w:p>
    <w:p w14:paraId="04B954C6" w14:textId="6D987E8E" w:rsidR="00D30531" w:rsidRPr="00833B6C" w:rsidRDefault="00D30531" w:rsidP="00896914">
      <w:pPr>
        <w:spacing w:after="0"/>
      </w:pPr>
      <w:r w:rsidRPr="00833B6C">
        <w:t xml:space="preserve">The data captured through the PPM surveys provides an additional source of information that is not available from the </w:t>
      </w:r>
      <w:r w:rsidR="00C77A88">
        <w:t>department</w:t>
      </w:r>
      <w:r w:rsidRPr="00833B6C">
        <w:t>’s administrative data, such as:</w:t>
      </w:r>
    </w:p>
    <w:p w14:paraId="54F5E7AD" w14:textId="77777777" w:rsidR="00D30531" w:rsidRPr="00C77A88" w:rsidRDefault="00D30531" w:rsidP="00C77A88">
      <w:pPr>
        <w:pStyle w:val="ListParagraph"/>
      </w:pPr>
      <w:r w:rsidRPr="00C77A88">
        <w:t>the employment and education status of job seekers who have exited or are still in employment services;</w:t>
      </w:r>
    </w:p>
    <w:p w14:paraId="78C5B714" w14:textId="77777777" w:rsidR="00D30531" w:rsidRPr="00C77A88" w:rsidRDefault="00D30531" w:rsidP="00C77A88">
      <w:pPr>
        <w:pStyle w:val="ListParagraph"/>
      </w:pPr>
      <w:r w:rsidRPr="00C77A88">
        <w:t>the employment status of job seekers who did not achieve a paid employment outcome but who were otherwise employed (such as part-time employment);</w:t>
      </w:r>
    </w:p>
    <w:p w14:paraId="540D754C" w14:textId="77777777" w:rsidR="00D30531" w:rsidRPr="00C77A88" w:rsidRDefault="00D30531" w:rsidP="00C77A88">
      <w:pPr>
        <w:pStyle w:val="ListParagraph"/>
      </w:pPr>
      <w:r w:rsidRPr="00C77A88">
        <w:t xml:space="preserve">whether the job seeker is actively searching for work; and </w:t>
      </w:r>
    </w:p>
    <w:p w14:paraId="2359C857" w14:textId="77777777" w:rsidR="00D30531" w:rsidRPr="00C77A88" w:rsidRDefault="00D30531" w:rsidP="00C77A88">
      <w:pPr>
        <w:pStyle w:val="ListParagraph"/>
      </w:pPr>
      <w:r w:rsidRPr="00C77A88">
        <w:t>whether they were satisfied with the services they received.</w:t>
      </w:r>
    </w:p>
    <w:p w14:paraId="46678261" w14:textId="77777777" w:rsidR="00D30531" w:rsidRPr="00320B5E" w:rsidRDefault="00D30531" w:rsidP="00E8748B">
      <w:pPr>
        <w:pStyle w:val="Heading3"/>
      </w:pPr>
      <w:r w:rsidRPr="00320B5E">
        <w:t>Employment outcomes</w:t>
      </w:r>
    </w:p>
    <w:p w14:paraId="0C0195BD" w14:textId="77777777" w:rsidR="00D30531" w:rsidRPr="00833B6C" w:rsidRDefault="00D30531" w:rsidP="00EF1C1A">
      <w:r w:rsidRPr="00833B6C">
        <w:t>The data presented here relates to job seekers who participated in jobactive between January 201</w:t>
      </w:r>
      <w:r>
        <w:t>7</w:t>
      </w:r>
      <w:r w:rsidRPr="00833B6C">
        <w:t xml:space="preserve"> and December 201</w:t>
      </w:r>
      <w:r>
        <w:t>7,</w:t>
      </w:r>
      <w:r w:rsidRPr="00833B6C">
        <w:t xml:space="preserve"> with their employment status measured around three months later. </w:t>
      </w:r>
    </w:p>
    <w:p w14:paraId="14DBCB32" w14:textId="2CD65F00" w:rsidR="00D30531" w:rsidRPr="00833B6C" w:rsidRDefault="00D30531" w:rsidP="00DF630C">
      <w:r w:rsidRPr="0032613F">
        <w:t>Figure F.3 shows that 49.5 per cent of all job seekers who participated in jobactive between January 2017 and December 2017 were employed three months later. Since the commencement of jobactive in July 2015, employment outcomes have steadily increased.</w:t>
      </w:r>
    </w:p>
    <w:p w14:paraId="53081C4B" w14:textId="0348DC84" w:rsidR="00D30531" w:rsidRPr="00CD5181" w:rsidRDefault="00D30531" w:rsidP="0025450E">
      <w:pPr>
        <w:pStyle w:val="ChartandTabletitle"/>
      </w:pPr>
      <w:r w:rsidRPr="00833B6C">
        <w:lastRenderedPageBreak/>
        <w:t xml:space="preserve">Figure </w:t>
      </w:r>
      <w:r>
        <w:t>F.3</w:t>
      </w:r>
      <w:r w:rsidRPr="00833B6C">
        <w:t xml:space="preserve">: </w:t>
      </w:r>
      <w:r>
        <w:t xml:space="preserve">Job seekers employed 3 months after participating in jobactive, June 2016 to </w:t>
      </w:r>
      <w:r w:rsidRPr="00833B6C">
        <w:t>December 2017</w:t>
      </w:r>
    </w:p>
    <w:p w14:paraId="7932391E" w14:textId="77777777" w:rsidR="00D30531" w:rsidRPr="009F5760" w:rsidRDefault="00D30531" w:rsidP="009F5760">
      <w:pPr>
        <w:pStyle w:val="Chart"/>
      </w:pPr>
      <w:r w:rsidRPr="009F5760">
        <w:drawing>
          <wp:inline distT="0" distB="0" distL="0" distR="0" wp14:anchorId="373B47D3" wp14:editId="78760661">
            <wp:extent cx="5876925" cy="2800350"/>
            <wp:effectExtent l="0" t="0" r="0" b="0"/>
            <wp:docPr id="45" name="Chart 45" descr="Graph showing the proportion of job seekers employed three months after participating in jobactive at quarterly intervals between June 2016 and December 2017 as described in the previous paragraph. The proportion of job seekers employed three months after participating in jobactive is shown to have increased from 48.0 per cent in June 2016 to 49.5 per cent in December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AA773C3" w14:textId="36634EC7" w:rsidR="00D30531" w:rsidRPr="00833B6C" w:rsidRDefault="00D30531" w:rsidP="00EF1C1A">
      <w:r>
        <w:t xml:space="preserve">Job seekers who have barriers to employment are less likely to be employed three months after participating in jobactive. Figure F.4 shows that job seekers with low educational attainment, people with disability, refugees, homeless job seekers, Indigenous job seekers and ex-offenders have low employment rates.  </w:t>
      </w:r>
    </w:p>
    <w:p w14:paraId="1510EFEF" w14:textId="13768801" w:rsidR="00D30531" w:rsidRPr="00833B6C" w:rsidRDefault="00D30531" w:rsidP="000419C7">
      <w:pPr>
        <w:pStyle w:val="ChartandTabletitle"/>
      </w:pPr>
      <w:r w:rsidRPr="00833B6C">
        <w:t xml:space="preserve">Figure </w:t>
      </w:r>
      <w:r>
        <w:t>F.4: E</w:t>
      </w:r>
      <w:r w:rsidRPr="00833B6C">
        <w:t>mployment rates by cohort for job seekers who participated in jobactive between</w:t>
      </w:r>
      <w:r w:rsidR="000E3225">
        <w:t xml:space="preserve"> January 2017 and December 2017</w:t>
      </w:r>
    </w:p>
    <w:p w14:paraId="45D17379" w14:textId="312E5575" w:rsidR="00D30531" w:rsidRDefault="00D30531" w:rsidP="0072397C">
      <w:pPr>
        <w:pStyle w:val="Chart"/>
        <w:rPr>
          <w:sz w:val="24"/>
          <w:szCs w:val="24"/>
        </w:rPr>
      </w:pPr>
      <w:r>
        <w:drawing>
          <wp:inline distT="0" distB="0" distL="0" distR="0" wp14:anchorId="59912419" wp14:editId="409585D9">
            <wp:extent cx="5731510" cy="2694305"/>
            <wp:effectExtent l="0" t="0" r="2540" b="0"/>
            <wp:docPr id="31" name="Chart 31" descr="Graph showing the proportions of job seekers from selected cohorts who were employed three months after participating in jobactive between January 2017 and December 2017. Its results were summarised in the previous paragraph. The graph shows that employment rates for the selected cohorts vary from 30.1 per cent for people with year 1 to year 9 education to 48.8 per cent for pare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1AE58D8" w14:textId="77777777" w:rsidR="00D30531" w:rsidRPr="00D20D46" w:rsidRDefault="00D30531" w:rsidP="00E8748B">
      <w:pPr>
        <w:pStyle w:val="Heading3"/>
      </w:pPr>
      <w:r w:rsidRPr="00D20D46">
        <w:t>Job seeker satisfaction with services</w:t>
      </w:r>
    </w:p>
    <w:p w14:paraId="6D9507B4" w14:textId="6E091653" w:rsidR="00D30531" w:rsidRDefault="00D30531" w:rsidP="000E3225">
      <w:pPr>
        <w:keepNext/>
        <w:spacing w:after="200"/>
      </w:pPr>
      <w:r>
        <w:t>The department measures job seeker satisfaction with their experiences within jobactive and the services delivered by their provid</w:t>
      </w:r>
      <w:r w:rsidR="000E3225">
        <w:t>er. As can be seen in fi</w:t>
      </w:r>
      <w:r w:rsidR="000E3225" w:rsidRPr="00323DC1">
        <w:t>gure F.5</w:t>
      </w:r>
      <w:r w:rsidRPr="00323DC1">
        <w:t>,</w:t>
      </w:r>
      <w:r>
        <w:t xml:space="preserve"> around 57 per cent of job seekers report being satisfied or very satisfied with the overall quality of services received from their </w:t>
      </w:r>
      <w:r>
        <w:lastRenderedPageBreak/>
        <w:t xml:space="preserve">jobactive provider. </w:t>
      </w:r>
      <w:r w:rsidRPr="00FD34E0">
        <w:t>Since the start of jobactive</w:t>
      </w:r>
      <w:r>
        <w:t xml:space="preserve">, </w:t>
      </w:r>
      <w:r w:rsidRPr="00FD34E0">
        <w:t>this has tended to fluctuate around the 55 to 57 per cent level</w:t>
      </w:r>
      <w:r>
        <w:t xml:space="preserve">. </w:t>
      </w:r>
      <w:r w:rsidRPr="00FD34E0">
        <w:t>Th</w:t>
      </w:r>
      <w:r>
        <w:t xml:space="preserve">e job seeker satisfaction results </w:t>
      </w:r>
      <w:r w:rsidRPr="00FD34E0">
        <w:t>may be due t</w:t>
      </w:r>
      <w:r>
        <w:t>o a number of factors including:</w:t>
      </w:r>
    </w:p>
    <w:p w14:paraId="095569EC" w14:textId="77777777" w:rsidR="00D30531" w:rsidRPr="000E3225" w:rsidRDefault="00D30531" w:rsidP="000E3225">
      <w:pPr>
        <w:pStyle w:val="ListParagraph"/>
      </w:pPr>
      <w:r w:rsidRPr="000E3225">
        <w:t>Increased mutual obligation requirements and a stronger job seeker compliance system</w:t>
      </w:r>
    </w:p>
    <w:p w14:paraId="2CCD3B02" w14:textId="77777777" w:rsidR="00D30531" w:rsidRPr="000E3225" w:rsidRDefault="00D30531" w:rsidP="000E3225">
      <w:pPr>
        <w:pStyle w:val="ListParagraph"/>
      </w:pPr>
      <w:r w:rsidRPr="000E3225">
        <w:t>The perception from some job seekers that providers may not be delivering services that they want or need</w:t>
      </w:r>
    </w:p>
    <w:p w14:paraId="585D7F03" w14:textId="77777777" w:rsidR="00D30531" w:rsidRPr="000E3225" w:rsidRDefault="00D30531" w:rsidP="000E3225">
      <w:pPr>
        <w:pStyle w:val="ListParagraph"/>
      </w:pPr>
      <w:r w:rsidRPr="000E3225">
        <w:t xml:space="preserve">Unrealistic expectations of job seekers (particularly more job ready job seekers). </w:t>
      </w:r>
    </w:p>
    <w:p w14:paraId="15DE7447" w14:textId="70403944" w:rsidR="00D30531" w:rsidRPr="00510C2F" w:rsidRDefault="00D30531" w:rsidP="000419C7">
      <w:pPr>
        <w:pStyle w:val="ChartandTabletitle"/>
      </w:pPr>
      <w:r w:rsidRPr="00510C2F">
        <w:t xml:space="preserve">Figure </w:t>
      </w:r>
      <w:r>
        <w:t>F.5</w:t>
      </w:r>
      <w:r w:rsidRPr="00510C2F">
        <w:t xml:space="preserve">: </w:t>
      </w:r>
      <w:r>
        <w:t>S</w:t>
      </w:r>
      <w:r w:rsidRPr="00510C2F">
        <w:t xml:space="preserve">atisfaction with the overall quality of services </w:t>
      </w:r>
    </w:p>
    <w:p w14:paraId="121F87A3" w14:textId="77777777" w:rsidR="00D30531" w:rsidRDefault="00D30531" w:rsidP="0072397C">
      <w:pPr>
        <w:pStyle w:val="Chart"/>
        <w:rPr>
          <w:sz w:val="24"/>
          <w:szCs w:val="24"/>
        </w:rPr>
      </w:pPr>
      <w:r>
        <w:drawing>
          <wp:inline distT="0" distB="0" distL="0" distR="0" wp14:anchorId="215B63A8" wp14:editId="3CCF2D50">
            <wp:extent cx="5688000" cy="2340000"/>
            <wp:effectExtent l="0" t="0" r="8255" b="3175"/>
            <wp:docPr id="48" name="Chart 48" descr="Graph showing the proportions of all job seekers in jobactive and those in Stream A, Stream B and Stream C of jobactive who report being satisfied or very satisfied with the overall quality of services they received from their jobactive provider. The graph is summarised in the previous paragraph. It shows that 52.4 per cent of job seekers in Stream A, 63.0 per cent of job seekers in Stream B and 61.5 per cent of job seekers in Stream C report being satisfied or very satisfied."/>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FB86FE7" w14:textId="1E8DB5FC" w:rsidR="00D30531" w:rsidRDefault="000E3225" w:rsidP="00DF630C">
      <w:r>
        <w:t>On</w:t>
      </w:r>
      <w:r w:rsidR="00D30531">
        <w:t>ly 40.6 per cent of job seekers report that they were satisfied or very satisfied with the help they received to find a job. Again, satisfaction was lowest with Stream A job seekers – only 35 per cent of these were satisfied with the help their provider gave them to find a job. These results should be interpreted with caution as job seekers may not associate more general help (for example, help with a resume) that may have indirectly helped them get a job or increased their chance of securing a job, as help finding a job.</w:t>
      </w:r>
    </w:p>
    <w:p w14:paraId="3F273D68" w14:textId="10ED4EC2" w:rsidR="00D30531" w:rsidRDefault="00D30531" w:rsidP="000419C7">
      <w:pPr>
        <w:pStyle w:val="ChartandTabletitle"/>
      </w:pPr>
      <w:r>
        <w:t>Figure F.6</w:t>
      </w:r>
      <w:r w:rsidRPr="00510C2F">
        <w:t>: Satisfaction with the</w:t>
      </w:r>
      <w:r>
        <w:t xml:space="preserve"> help received to find a job</w:t>
      </w:r>
    </w:p>
    <w:p w14:paraId="5F6B84EA" w14:textId="77777777" w:rsidR="00D30531" w:rsidRDefault="00D30531" w:rsidP="0072397C">
      <w:pPr>
        <w:pStyle w:val="Chart"/>
      </w:pPr>
      <w:r w:rsidRPr="000F78A5">
        <w:drawing>
          <wp:inline distT="0" distB="0" distL="0" distR="0" wp14:anchorId="21167891" wp14:editId="730A3538">
            <wp:extent cx="5688000" cy="2340000"/>
            <wp:effectExtent l="0" t="0" r="8255" b="3175"/>
            <wp:docPr id="49" name="Chart 49" descr="Graph showing the proportions of all job seekers in jobactive and those in Stream A, Stream B and Stream C of jobactive who report that they were satisfied or very satisfied with the help they received to find a job. The graph is summarised in the previous paragraph. It shows that 35.3 per cent of job seekers in Stream A, 48.4 per cent of job seekers in Stream B and 43.4 per cent of job seekers in Stream C report being satisfied or very satisfied with the help they received to find a job. "/>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59FB726" w14:textId="77777777" w:rsidR="00D30531" w:rsidRDefault="00D30531">
      <w:pPr>
        <w:spacing w:after="160" w:line="259" w:lineRule="auto"/>
      </w:pPr>
      <w:r>
        <w:br w:type="page"/>
      </w:r>
    </w:p>
    <w:p w14:paraId="0B421CD3" w14:textId="77777777" w:rsidR="00D30531" w:rsidRDefault="00D30531" w:rsidP="00D00151">
      <w:pPr>
        <w:pStyle w:val="Heading1"/>
      </w:pPr>
      <w:bookmarkStart w:id="22" w:name="_Toc518050084"/>
      <w:r>
        <w:lastRenderedPageBreak/>
        <w:t>Appendix G – Labour Market data and information</w:t>
      </w:r>
      <w:bookmarkEnd w:id="22"/>
      <w:r>
        <w:t xml:space="preserve"> </w:t>
      </w:r>
    </w:p>
    <w:p w14:paraId="57ACCE87" w14:textId="77777777" w:rsidR="00D30531" w:rsidRDefault="00D30531" w:rsidP="006966DA">
      <w:pPr>
        <w:pStyle w:val="Heading2"/>
      </w:pPr>
      <w:bookmarkStart w:id="23" w:name="_Toc513814275"/>
      <w:r w:rsidRPr="005B5DEE">
        <w:t>Key features and challenges in the labour market</w:t>
      </w:r>
      <w:bookmarkEnd w:id="23"/>
    </w:p>
    <w:p w14:paraId="1B7C04E2" w14:textId="77777777" w:rsidR="00D30531" w:rsidRPr="00B30797" w:rsidRDefault="00D30531" w:rsidP="000E3225">
      <w:pPr>
        <w:rPr>
          <w:rStyle w:val="IntenseEmphasis"/>
          <w:b w:val="0"/>
          <w:bCs w:val="0"/>
          <w:i w:val="0"/>
        </w:rPr>
      </w:pPr>
      <w:bookmarkStart w:id="24" w:name="_Toc513814276"/>
      <w:r w:rsidRPr="00B30797">
        <w:t xml:space="preserve">The Australian economy is growing, but also changing. This is leading to changes in the jobs Australians work in, with many occupations and industries expanding while some others become smaller. </w:t>
      </w:r>
      <w:r w:rsidRPr="00B30797">
        <w:rPr>
          <w:rFonts w:eastAsia="Calibri" w:cs="Times New Roman"/>
        </w:rPr>
        <w:t xml:space="preserve">The </w:t>
      </w:r>
      <w:r>
        <w:rPr>
          <w:rFonts w:eastAsia="Calibri" w:cs="Times New Roman"/>
        </w:rPr>
        <w:t>future</w:t>
      </w:r>
      <w:r w:rsidRPr="00B30797">
        <w:rPr>
          <w:rFonts w:eastAsia="Calibri" w:cs="Times New Roman"/>
        </w:rPr>
        <w:t xml:space="preserve"> employment services model </w:t>
      </w:r>
      <w:r>
        <w:rPr>
          <w:rFonts w:eastAsia="Calibri" w:cs="Times New Roman"/>
        </w:rPr>
        <w:t>could</w:t>
      </w:r>
      <w:r w:rsidRPr="00B30797">
        <w:rPr>
          <w:rFonts w:eastAsia="Calibri" w:cs="Times New Roman"/>
        </w:rPr>
        <w:t xml:space="preserve"> </w:t>
      </w:r>
      <w:r>
        <w:rPr>
          <w:rFonts w:eastAsia="Calibri" w:cs="Times New Roman"/>
        </w:rPr>
        <w:t>help</w:t>
      </w:r>
      <w:r w:rsidRPr="00B30797">
        <w:rPr>
          <w:rFonts w:eastAsia="Calibri" w:cs="Times New Roman"/>
        </w:rPr>
        <w:t xml:space="preserve"> Australians to adapt to change.</w:t>
      </w:r>
    </w:p>
    <w:p w14:paraId="7FD424E5" w14:textId="77777777" w:rsidR="00D30531" w:rsidRPr="00EF1C1A" w:rsidRDefault="00D30531" w:rsidP="000E3225">
      <w:pPr>
        <w:pStyle w:val="Heading2"/>
        <w:rPr>
          <w:rStyle w:val="IntenseEmphasis"/>
          <w:b/>
          <w:bCs w:val="0"/>
          <w:i w:val="0"/>
        </w:rPr>
      </w:pPr>
      <w:r w:rsidRPr="00EF1C1A">
        <w:rPr>
          <w:rStyle w:val="IntenseEmphasis"/>
          <w:b/>
          <w:i w:val="0"/>
        </w:rPr>
        <w:t>Australia’s employment landscape has changed</w:t>
      </w:r>
    </w:p>
    <w:p w14:paraId="08985A62" w14:textId="53762DC7" w:rsidR="00D30531" w:rsidRDefault="00D30531" w:rsidP="003A5332">
      <w:r>
        <w:t xml:space="preserve">The Australian economy has experienced almost three decades of uninterrupted growth. During this time it has undergone a range of significant changes, away from the Agriculture, Manufacturing and Mining and related industries towards more broadly-based growth, particularly in the more labour intensive services sectors. </w:t>
      </w:r>
    </w:p>
    <w:p w14:paraId="57D0185F" w14:textId="5C58D88A" w:rsidR="00D30531" w:rsidRDefault="00D30531" w:rsidP="003A5332">
      <w:r>
        <w:t>This structural shift has led to many broad benefits for the Australian economy, although the positive effects of change have not been uniform. Some groups (such as youth, the long-term unemployed, mature-aged people, lone parent families and jobless families) are being left behind (</w:t>
      </w:r>
      <w:r w:rsidRPr="00642E34">
        <w:t xml:space="preserve">see </w:t>
      </w:r>
      <w:r>
        <w:t>the box on vulnerable groups below). While some cities and regions have experienced growth in investment and employment, others have been affected by job losses in local major employers.</w:t>
      </w:r>
      <w:r w:rsidRPr="00B30797">
        <w:rPr>
          <w:rStyle w:val="EndnoteReference"/>
          <w:b/>
        </w:rPr>
        <w:endnoteReference w:id="8"/>
      </w:r>
    </w:p>
    <w:p w14:paraId="6543EC3F" w14:textId="77777777" w:rsidR="00D30531" w:rsidRDefault="00D30531" w:rsidP="003A5332">
      <w:r>
        <w:t xml:space="preserve">While change has always been a feature of the Australian economy, there are emerging trends that are likely to have greater impact over time. For example, an ageing population will continue to increase demand for aged care and health services, further altering the structure of the economy and labour market. Technological advancement will continue to drive innovation and disruption across a range of industries, while changes to consumer preferences will also influence the types of jobs that are available in the future. </w:t>
      </w:r>
    </w:p>
    <w:p w14:paraId="79CB10C3" w14:textId="77777777" w:rsidR="00D30531" w:rsidRDefault="00D30531" w:rsidP="003A5332">
      <w:r>
        <w:t xml:space="preserve">These changes will affect Australian workers in a range of ways, including; the nature of work, where people are likely to find employment and the skills that are in demand from employers. </w:t>
      </w:r>
    </w:p>
    <w:p w14:paraId="7E4F0DE9" w14:textId="77777777" w:rsidR="00D30531" w:rsidRPr="00EF1C1A" w:rsidRDefault="00D30531" w:rsidP="000E3225">
      <w:pPr>
        <w:pStyle w:val="Heading2"/>
        <w:rPr>
          <w:rStyle w:val="IntenseEmphasis"/>
          <w:rFonts w:cs="Calibri"/>
          <w:b/>
          <w:i w:val="0"/>
        </w:rPr>
      </w:pPr>
      <w:r w:rsidRPr="00EF1C1A">
        <w:rPr>
          <w:rStyle w:val="IntenseEmphasis"/>
          <w:rFonts w:cs="Calibri"/>
          <w:b/>
          <w:i w:val="0"/>
        </w:rPr>
        <w:t>Shift to part-time employment</w:t>
      </w:r>
    </w:p>
    <w:p w14:paraId="39D59443" w14:textId="77777777" w:rsidR="00D30531" w:rsidRDefault="00D30531" w:rsidP="003A5332">
      <w:r>
        <w:t xml:space="preserve">The demand for a more flexible workforce has also altered the composition of employment in Australia. In May 1978, just </w:t>
      </w:r>
      <w:r w:rsidRPr="00AD4CE1">
        <w:t>15.</w:t>
      </w:r>
      <w:r>
        <w:t>2</w:t>
      </w:r>
      <w:r w:rsidRPr="00AD4CE1">
        <w:t xml:space="preserve"> per cent of </w:t>
      </w:r>
      <w:r>
        <w:t>the workforce</w:t>
      </w:r>
      <w:r w:rsidRPr="00AD4CE1">
        <w:t xml:space="preserve"> was </w:t>
      </w:r>
      <w:r>
        <w:t xml:space="preserve">in </w:t>
      </w:r>
      <w:r w:rsidRPr="00AD4CE1">
        <w:t>part-time</w:t>
      </w:r>
      <w:r>
        <w:t xml:space="preserve"> employment. This has doubled over the last 40 years, with almost one-third (</w:t>
      </w:r>
      <w:r w:rsidRPr="00AD4CE1">
        <w:t>31.</w:t>
      </w:r>
      <w:r>
        <w:t>9</w:t>
      </w:r>
      <w:r w:rsidRPr="00AD4CE1">
        <w:t xml:space="preserve"> per cent</w:t>
      </w:r>
      <w:r>
        <w:t>) of workers employed on a part-time basis</w:t>
      </w:r>
      <w:r w:rsidRPr="00AD4CE1">
        <w:t xml:space="preserve"> in </w:t>
      </w:r>
      <w:r>
        <w:t>May 2018</w:t>
      </w:r>
      <w:r w:rsidRPr="00AD4CE1">
        <w:t>.</w:t>
      </w:r>
      <w:r>
        <w:rPr>
          <w:rStyle w:val="EndnoteReference"/>
        </w:rPr>
        <w:endnoteReference w:id="9"/>
      </w:r>
    </w:p>
    <w:p w14:paraId="51A5A87A" w14:textId="77777777" w:rsidR="00D30531" w:rsidRDefault="00D30531" w:rsidP="003A5332">
      <w:r>
        <w:t>T</w:t>
      </w:r>
      <w:r w:rsidRPr="00AD4CE1">
        <w:t>his shift</w:t>
      </w:r>
      <w:r>
        <w:t xml:space="preserve"> has been driven by </w:t>
      </w:r>
      <w:r w:rsidRPr="00AD4CE1">
        <w:t xml:space="preserve">an increase in female participation, young people choosing to remain in education </w:t>
      </w:r>
      <w:r>
        <w:t xml:space="preserve">for </w:t>
      </w:r>
      <w:r w:rsidRPr="00AD4CE1">
        <w:t>longer (and supplementing th</w:t>
      </w:r>
      <w:r>
        <w:t xml:space="preserve">eir study with part-time </w:t>
      </w:r>
      <w:r w:rsidRPr="00AD4CE1">
        <w:t>work), the desire</w:t>
      </w:r>
      <w:r>
        <w:t xml:space="preserve"> (in some cases) from employees</w:t>
      </w:r>
      <w:r w:rsidRPr="00AD4CE1">
        <w:t xml:space="preserve"> for increased flexibility, as well as the ongoing shift that has been occurring towards the services sector where there are considerably more part-time </w:t>
      </w:r>
      <w:r>
        <w:t>job opportunities.</w:t>
      </w:r>
    </w:p>
    <w:p w14:paraId="76807BBA" w14:textId="77777777" w:rsidR="00D30531" w:rsidRPr="0011519B" w:rsidRDefault="00D30531" w:rsidP="000E3225">
      <w:pPr>
        <w:pStyle w:val="Heading2"/>
        <w:rPr>
          <w:rStyle w:val="IntenseEmphasis"/>
          <w:rFonts w:cs="Calibri"/>
          <w:b/>
          <w:i w:val="0"/>
        </w:rPr>
      </w:pPr>
      <w:r w:rsidRPr="0011519B">
        <w:rPr>
          <w:rStyle w:val="IntenseEmphasis"/>
          <w:rFonts w:cs="Calibri"/>
          <w:b/>
          <w:i w:val="0"/>
        </w:rPr>
        <w:t>Changes in industry composition</w:t>
      </w:r>
      <w:r>
        <w:rPr>
          <w:rStyle w:val="EndnoteReference"/>
          <w:rFonts w:cs="Calibri"/>
          <w:bCs/>
        </w:rPr>
        <w:endnoteReference w:id="10"/>
      </w:r>
    </w:p>
    <w:p w14:paraId="3A177B38" w14:textId="77777777" w:rsidR="00D30531" w:rsidRPr="0011519B" w:rsidRDefault="00D30531" w:rsidP="003A5332">
      <w:pPr>
        <w:rPr>
          <w:rFonts w:cstheme="minorHAnsi"/>
          <w:lang w:eastAsia="en-AU"/>
        </w:rPr>
      </w:pPr>
      <w:r w:rsidRPr="0011519B">
        <w:rPr>
          <w:rFonts w:cstheme="minorHAnsi"/>
          <w:lang w:eastAsia="en-AU"/>
        </w:rPr>
        <w:t>Reflecting the aforementioned structural shift away from primary industries towards a more service-based economy, service related industries recorded the largest increases in employment. The largest increases were in Health Care and Social Assistance (up by 883,100 or 110.7 per cent), followed by Construction (571,300 or 93.5 per cent), Professional, Scientific and Technical Services (493,600 or 88.7 per cent) and Education and Training (409,000 or 67.7 per cent) over the 20 years to May 2018.</w:t>
      </w:r>
    </w:p>
    <w:p w14:paraId="31DED582" w14:textId="22F15BD1" w:rsidR="00D30531" w:rsidRPr="0011519B" w:rsidRDefault="00D30531" w:rsidP="003A5332">
      <w:pPr>
        <w:rPr>
          <w:rFonts w:cstheme="minorHAnsi"/>
        </w:rPr>
      </w:pPr>
      <w:r w:rsidRPr="0011519B">
        <w:rPr>
          <w:rFonts w:cstheme="minorHAnsi"/>
          <w:lang w:eastAsia="en-AU"/>
        </w:rPr>
        <w:lastRenderedPageBreak/>
        <w:t xml:space="preserve">Employment growth in growing industries more than offset the declines in employment recorded in </w:t>
      </w:r>
      <w:r w:rsidRPr="0011519B">
        <w:rPr>
          <w:rFonts w:cstheme="minorHAnsi"/>
        </w:rPr>
        <w:t>Manufacturing (down by 111,800 or 10.6 per cent), Agriculture, Fores</w:t>
      </w:r>
      <w:r w:rsidR="000E3225">
        <w:rPr>
          <w:rFonts w:cstheme="minorHAnsi"/>
        </w:rPr>
        <w:t>try and Fishing (86,400 or 21.0 </w:t>
      </w:r>
      <w:r w:rsidRPr="0011519B">
        <w:rPr>
          <w:rFonts w:cstheme="minorHAnsi"/>
        </w:rPr>
        <w:t>per cent) and Wholesale Trade (58,100 or 13.7 per cent) over the 20 years to May 2018.</w:t>
      </w:r>
    </w:p>
    <w:p w14:paraId="4CB19E9D" w14:textId="77777777" w:rsidR="00D30531" w:rsidRPr="0011519B" w:rsidRDefault="00D30531" w:rsidP="00154648">
      <w:pPr>
        <w:pStyle w:val="ChartandTabletitle"/>
      </w:pPr>
      <w:r w:rsidRPr="0011519B">
        <w:t xml:space="preserve">Figure G.1: Employment change by industry, 20 years to May 2018 </w:t>
      </w:r>
    </w:p>
    <w:p w14:paraId="551EC453" w14:textId="73892EB5" w:rsidR="00D30531" w:rsidRDefault="0085420A" w:rsidP="0085420A">
      <w:pPr>
        <w:pStyle w:val="Chart"/>
      </w:pPr>
      <w:r>
        <w:drawing>
          <wp:inline distT="0" distB="0" distL="0" distR="0" wp14:anchorId="70D1D9DA" wp14:editId="48F7B387">
            <wp:extent cx="5731510" cy="4232275"/>
            <wp:effectExtent l="0" t="0" r="2540" b="0"/>
            <wp:docPr id="36" name="Chart 36" descr="Graph showing changes in the employment across the 19 broad industries over the 20 years to May 2018. The graph is summarised in the previous two paragraphs."/>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00D30531" w:rsidRPr="00191918">
        <w:t xml:space="preserve"> </w:t>
      </w:r>
    </w:p>
    <w:p w14:paraId="185E9572" w14:textId="77777777" w:rsidR="00D30531" w:rsidRDefault="00D30531" w:rsidP="000E3225">
      <w:pPr>
        <w:pStyle w:val="Chartreference"/>
      </w:pPr>
      <w:r w:rsidRPr="00442AB3">
        <w:rPr>
          <w:rFonts w:cstheme="minorHAnsi"/>
        </w:rPr>
        <w:t xml:space="preserve"> </w:t>
      </w:r>
      <w:r>
        <w:t>ABS,</w:t>
      </w:r>
      <w:r w:rsidRPr="00AF5325">
        <w:t xml:space="preserve"> Labour Force, Australia,</w:t>
      </w:r>
      <w:r>
        <w:t xml:space="preserve"> Detailed, Quarterly,</w:t>
      </w:r>
      <w:r w:rsidRPr="00AF5325">
        <w:t xml:space="preserve"> </w:t>
      </w:r>
      <w:r>
        <w:t>May</w:t>
      </w:r>
      <w:r w:rsidRPr="00AF5325">
        <w:t xml:space="preserve"> 2018</w:t>
      </w:r>
      <w:r>
        <w:t>, trend data</w:t>
      </w:r>
    </w:p>
    <w:p w14:paraId="05A37716" w14:textId="77777777" w:rsidR="00D30531" w:rsidRPr="000E3225" w:rsidRDefault="00D30531" w:rsidP="000E3225">
      <w:pPr>
        <w:pStyle w:val="Heading2"/>
        <w:rPr>
          <w:rStyle w:val="IntenseEmphasis"/>
          <w:b/>
          <w:bCs w:val="0"/>
          <w:i w:val="0"/>
        </w:rPr>
      </w:pPr>
      <w:r w:rsidRPr="000E3225">
        <w:rPr>
          <w:rStyle w:val="IntenseEmphasis"/>
          <w:b/>
          <w:bCs w:val="0"/>
          <w:i w:val="0"/>
        </w:rPr>
        <w:t>Shift towards higher skilled jobs</w:t>
      </w:r>
    </w:p>
    <w:p w14:paraId="6B1C312D" w14:textId="1E74A7D3" w:rsidR="00D30531" w:rsidRDefault="00D30531" w:rsidP="003A5332">
      <w:pPr>
        <w:rPr>
          <w:rFonts w:ascii="Calibri" w:hAnsi="Calibri" w:cstheme="minorHAnsi"/>
        </w:rPr>
      </w:pPr>
      <w:r w:rsidRPr="0011519B">
        <w:rPr>
          <w:rFonts w:cstheme="minorHAnsi"/>
        </w:rPr>
        <w:t xml:space="preserve">Alongside a shift towards a more service-based economy, there has also been a shift towards higher skilled occupations. </w:t>
      </w:r>
      <w:r w:rsidRPr="0011519B">
        <w:rPr>
          <w:rFonts w:ascii="Calibri" w:hAnsi="Calibri" w:cstheme="minorHAnsi"/>
        </w:rPr>
        <w:t>Over the 20 years to May 2018, jobs at the highest skill level</w:t>
      </w:r>
      <w:r w:rsidRPr="0011519B">
        <w:rPr>
          <w:rStyle w:val="EndnoteReference"/>
          <w:rFonts w:ascii="Calibri" w:hAnsi="Calibri" w:cstheme="minorHAnsi"/>
        </w:rPr>
        <w:endnoteReference w:id="11"/>
      </w:r>
      <w:r w:rsidRPr="0011519B">
        <w:rPr>
          <w:rFonts w:ascii="Calibri" w:hAnsi="Calibri" w:cstheme="minorHAnsi"/>
        </w:rPr>
        <w:t xml:space="preserve"> have comprised 45.3 per cent of total employment growth. By contrast, jobs at the lowest skill level</w:t>
      </w:r>
      <w:r w:rsidRPr="0011519B">
        <w:rPr>
          <w:rStyle w:val="EndnoteReference"/>
          <w:rFonts w:ascii="Calibri" w:hAnsi="Calibri" w:cstheme="minorHAnsi"/>
        </w:rPr>
        <w:endnoteReference w:id="12"/>
      </w:r>
      <w:r w:rsidRPr="0011519B">
        <w:rPr>
          <w:rFonts w:ascii="Calibri" w:hAnsi="Calibri" w:cstheme="minorHAnsi"/>
        </w:rPr>
        <w:t xml:space="preserve"> comprised only 8.6 per cent of total employment growth.</w:t>
      </w:r>
      <w:r>
        <w:rPr>
          <w:rStyle w:val="EndnoteReference"/>
          <w:rFonts w:cs="Calibri"/>
          <w:b/>
          <w:bCs/>
        </w:rPr>
        <w:endnoteReference w:id="13"/>
      </w:r>
      <w:r w:rsidRPr="0011519B">
        <w:rPr>
          <w:rFonts w:ascii="Calibri" w:hAnsi="Calibri" w:cstheme="minorHAnsi"/>
        </w:rPr>
        <w:t xml:space="preserve"> This trend </w:t>
      </w:r>
      <w:r>
        <w:rPr>
          <w:rFonts w:ascii="Calibri" w:hAnsi="Calibri" w:cstheme="minorHAnsi"/>
        </w:rPr>
        <w:t>is expected to</w:t>
      </w:r>
      <w:r w:rsidRPr="0011519B">
        <w:rPr>
          <w:rFonts w:ascii="Calibri" w:hAnsi="Calibri" w:cstheme="minorHAnsi"/>
        </w:rPr>
        <w:t xml:space="preserve"> continue, with 43.5 per cent of projected employment growth in higher skilled jobs.</w:t>
      </w:r>
      <w:r>
        <w:rPr>
          <w:rStyle w:val="EndnoteReference"/>
          <w:rFonts w:ascii="Calibri" w:hAnsi="Calibri" w:cstheme="minorHAnsi"/>
        </w:rPr>
        <w:endnoteReference w:id="14"/>
      </w:r>
      <w:r>
        <w:rPr>
          <w:rFonts w:ascii="Calibri" w:hAnsi="Calibri" w:cstheme="minorHAnsi"/>
        </w:rPr>
        <w:t xml:space="preserve"> </w:t>
      </w:r>
    </w:p>
    <w:p w14:paraId="5F8AD4B1" w14:textId="7A62EA01" w:rsidR="00D30531" w:rsidRDefault="00D30531" w:rsidP="003A5332">
      <w:pPr>
        <w:rPr>
          <w:rFonts w:cstheme="minorHAnsi"/>
        </w:rPr>
      </w:pPr>
      <w:r w:rsidRPr="00EC77DD">
        <w:rPr>
          <w:rFonts w:cstheme="minorHAnsi"/>
        </w:rPr>
        <w:t xml:space="preserve">In 2017, the unemployment rate was </w:t>
      </w:r>
      <w:r>
        <w:rPr>
          <w:rFonts w:cstheme="minorHAnsi"/>
        </w:rPr>
        <w:t xml:space="preserve">just </w:t>
      </w:r>
      <w:r w:rsidRPr="00EC77DD">
        <w:rPr>
          <w:rFonts w:cstheme="minorHAnsi"/>
        </w:rPr>
        <w:t xml:space="preserve">3.2 per cent for those with a </w:t>
      </w:r>
      <w:r>
        <w:rPr>
          <w:rFonts w:cstheme="minorHAnsi"/>
        </w:rPr>
        <w:t>b</w:t>
      </w:r>
      <w:r w:rsidRPr="00EC77DD">
        <w:rPr>
          <w:rFonts w:cstheme="minorHAnsi"/>
        </w:rPr>
        <w:t xml:space="preserve">achelor degree or higher </w:t>
      </w:r>
      <w:r>
        <w:rPr>
          <w:rFonts w:cstheme="minorHAnsi"/>
        </w:rPr>
        <w:t xml:space="preserve">level of </w:t>
      </w:r>
      <w:r w:rsidRPr="00EC77DD">
        <w:rPr>
          <w:rFonts w:cstheme="minorHAnsi"/>
        </w:rPr>
        <w:t>educational attainment. This compares with 10</w:t>
      </w:r>
      <w:r>
        <w:rPr>
          <w:rFonts w:cstheme="minorHAnsi"/>
        </w:rPr>
        <w:t>.</w:t>
      </w:r>
      <w:r w:rsidRPr="00EC77DD">
        <w:rPr>
          <w:rFonts w:cstheme="minorHAnsi"/>
        </w:rPr>
        <w:t xml:space="preserve">8 per cent for those with </w:t>
      </w:r>
      <w:r>
        <w:rPr>
          <w:rFonts w:cstheme="minorHAnsi"/>
        </w:rPr>
        <w:t>Year 10 or below. Similarly, t</w:t>
      </w:r>
      <w:r w:rsidRPr="00EC77DD">
        <w:rPr>
          <w:rFonts w:cstheme="minorHAnsi"/>
        </w:rPr>
        <w:t xml:space="preserve">he participation rate for those with a </w:t>
      </w:r>
      <w:r>
        <w:rPr>
          <w:rFonts w:cstheme="minorHAnsi"/>
        </w:rPr>
        <w:t>b</w:t>
      </w:r>
      <w:r w:rsidRPr="00EC77DD">
        <w:rPr>
          <w:rFonts w:cstheme="minorHAnsi"/>
        </w:rPr>
        <w:t xml:space="preserve">achelor degree or higher </w:t>
      </w:r>
      <w:r>
        <w:rPr>
          <w:rFonts w:cstheme="minorHAnsi"/>
        </w:rPr>
        <w:t>stood at</w:t>
      </w:r>
      <w:r w:rsidRPr="00EC77DD">
        <w:rPr>
          <w:rFonts w:cstheme="minorHAnsi"/>
        </w:rPr>
        <w:t xml:space="preserve"> 87.2 per cent</w:t>
      </w:r>
      <w:r>
        <w:rPr>
          <w:rFonts w:cstheme="minorHAnsi"/>
        </w:rPr>
        <w:t xml:space="preserve"> in 2017</w:t>
      </w:r>
      <w:r w:rsidRPr="00EC77DD">
        <w:rPr>
          <w:rFonts w:cstheme="minorHAnsi"/>
        </w:rPr>
        <w:t xml:space="preserve"> but only </w:t>
      </w:r>
      <w:r>
        <w:rPr>
          <w:rFonts w:cstheme="minorHAnsi"/>
        </w:rPr>
        <w:t>55.9</w:t>
      </w:r>
      <w:r w:rsidRPr="00EC77DD">
        <w:rPr>
          <w:rFonts w:cstheme="minorHAnsi"/>
        </w:rPr>
        <w:t xml:space="preserve"> per cent for those with </w:t>
      </w:r>
      <w:r>
        <w:rPr>
          <w:rFonts w:cstheme="minorHAnsi"/>
        </w:rPr>
        <w:t xml:space="preserve">a level of </w:t>
      </w:r>
      <w:r w:rsidRPr="00EC77DD">
        <w:rPr>
          <w:rFonts w:cstheme="minorHAnsi"/>
        </w:rPr>
        <w:t>educational attainment</w:t>
      </w:r>
      <w:r>
        <w:rPr>
          <w:rFonts w:cstheme="minorHAnsi"/>
        </w:rPr>
        <w:t xml:space="preserve"> of Year 10 or below</w:t>
      </w:r>
      <w:r w:rsidRPr="00EC77DD">
        <w:rPr>
          <w:rFonts w:cstheme="minorHAnsi"/>
        </w:rPr>
        <w:t>.</w:t>
      </w:r>
      <w:r>
        <w:rPr>
          <w:rStyle w:val="EndnoteReference"/>
          <w:rFonts w:cstheme="minorHAnsi"/>
        </w:rPr>
        <w:endnoteReference w:id="15"/>
      </w:r>
    </w:p>
    <w:p w14:paraId="6C0E6E1A" w14:textId="77777777" w:rsidR="00D30531" w:rsidRPr="00B4343F" w:rsidRDefault="00D30531" w:rsidP="00154648">
      <w:pPr>
        <w:pStyle w:val="ChartandTabletitle"/>
        <w:rPr>
          <w:sz w:val="24"/>
        </w:rPr>
      </w:pPr>
      <w:r w:rsidRPr="0011519B">
        <w:rPr>
          <w:sz w:val="24"/>
        </w:rPr>
        <w:lastRenderedPageBreak/>
        <w:t>Figure G.2</w:t>
      </w:r>
      <w:r w:rsidRPr="0011519B">
        <w:t>: labour market outcomes by highest level of educational attainment 2017</w:t>
      </w:r>
      <w:r w:rsidRPr="0011519B">
        <w:rPr>
          <w:sz w:val="24"/>
        </w:rPr>
        <w:t xml:space="preserve"> (%)</w:t>
      </w:r>
    </w:p>
    <w:p w14:paraId="025427B3" w14:textId="77777777" w:rsidR="00154648" w:rsidRDefault="00D30531" w:rsidP="0072397C">
      <w:pPr>
        <w:pStyle w:val="Chart"/>
      </w:pPr>
      <w:r>
        <w:drawing>
          <wp:inline distT="0" distB="0" distL="0" distR="0" wp14:anchorId="71823F94" wp14:editId="211C5607">
            <wp:extent cx="5475767" cy="2721935"/>
            <wp:effectExtent l="0" t="0" r="0" b="2540"/>
            <wp:docPr id="6" name="Chart 6" descr="Graph showing the unemployment rate and participation rate for people with different levels of educational qualifications. Its main messages are summarised in the previous para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0A2D98E" w14:textId="106809FF" w:rsidR="00D30531" w:rsidRPr="002652E9" w:rsidRDefault="00D30531" w:rsidP="002652E9">
      <w:pPr>
        <w:pStyle w:val="Chartreference"/>
      </w:pPr>
      <w:r w:rsidRPr="002652E9">
        <w:t>Source: ABS, Survey of Education and Work, 2017 (limited to 15 to 64 years)</w:t>
      </w:r>
    </w:p>
    <w:p w14:paraId="0280C4AD" w14:textId="7183AA02" w:rsidR="00D30531" w:rsidRDefault="00D30531" w:rsidP="003A5332">
      <w:pPr>
        <w:rPr>
          <w:rFonts w:cstheme="minorHAnsi"/>
        </w:rPr>
      </w:pPr>
      <w:r>
        <w:rPr>
          <w:rFonts w:cstheme="minorHAnsi"/>
        </w:rPr>
        <w:t>The</w:t>
      </w:r>
      <w:r w:rsidRPr="000444CB">
        <w:rPr>
          <w:rFonts w:cstheme="minorHAnsi"/>
        </w:rPr>
        <w:t xml:space="preserve"> number of Australians undertaking tertiary </w:t>
      </w:r>
      <w:r>
        <w:rPr>
          <w:rFonts w:cstheme="minorHAnsi"/>
        </w:rPr>
        <w:t>education</w:t>
      </w:r>
      <w:r w:rsidRPr="000444CB">
        <w:rPr>
          <w:rFonts w:cstheme="minorHAnsi"/>
        </w:rPr>
        <w:t xml:space="preserve"> has increased and more workers now hold post-sch</w:t>
      </w:r>
      <w:r>
        <w:rPr>
          <w:rFonts w:cstheme="minorHAnsi"/>
        </w:rPr>
        <w:t>ool qualifications. In 2017, 67 per cent</w:t>
      </w:r>
      <w:r w:rsidRPr="000444CB">
        <w:rPr>
          <w:rFonts w:cstheme="minorHAnsi"/>
        </w:rPr>
        <w:t xml:space="preserve"> of workers held post-sc</w:t>
      </w:r>
      <w:r>
        <w:rPr>
          <w:rFonts w:cstheme="minorHAnsi"/>
        </w:rPr>
        <w:t xml:space="preserve">hool qualifications (up from </w:t>
      </w:r>
      <w:r w:rsidRPr="006130DC">
        <w:rPr>
          <w:rFonts w:cstheme="minorHAnsi"/>
        </w:rPr>
        <w:t>47 per cent in 1997). The growth has been for both vocational education and training (VET) and</w:t>
      </w:r>
      <w:r w:rsidRPr="000444CB">
        <w:rPr>
          <w:rFonts w:cstheme="minorHAnsi"/>
        </w:rPr>
        <w:t xml:space="preserve"> higher education qualifications. </w:t>
      </w:r>
    </w:p>
    <w:p w14:paraId="2105DB25" w14:textId="79A4DE60" w:rsidR="00D30531" w:rsidRDefault="00D30531" w:rsidP="003A5332">
      <w:pPr>
        <w:rPr>
          <w:rFonts w:cstheme="minorHAnsi"/>
        </w:rPr>
      </w:pPr>
      <w:r>
        <w:rPr>
          <w:rFonts w:cstheme="minorHAnsi"/>
        </w:rPr>
        <w:t>While higher-level qualifications generally improve job prospects, employment outcomes for university graduates have fallen over the last decade. In 2017, 71.8 per cent of bachelor degree graduates found full-time work four months after graduating, down from 84.5 per cent in 2007 (although this is above the low point of 68.1 per cent in 2014).</w:t>
      </w:r>
      <w:r>
        <w:rPr>
          <w:rStyle w:val="EndnoteReference"/>
          <w:rFonts w:cstheme="minorHAnsi"/>
        </w:rPr>
        <w:endnoteReference w:id="16"/>
      </w:r>
    </w:p>
    <w:p w14:paraId="78B4E58D" w14:textId="77777777" w:rsidR="00D30531" w:rsidRPr="00FC0455" w:rsidRDefault="00D30531" w:rsidP="00FC0455">
      <w:pPr>
        <w:pStyle w:val="Heading2"/>
        <w:rPr>
          <w:rStyle w:val="IntenseEmphasis"/>
          <w:b/>
          <w:bCs w:val="0"/>
          <w:i w:val="0"/>
        </w:rPr>
      </w:pPr>
      <w:r w:rsidRPr="00FC0455">
        <w:rPr>
          <w:rStyle w:val="IntenseEmphasis"/>
          <w:b/>
          <w:bCs w:val="0"/>
          <w:i w:val="0"/>
        </w:rPr>
        <w:t>There is strong competition for low skilled jobs</w:t>
      </w:r>
    </w:p>
    <w:p w14:paraId="4ED7523D" w14:textId="77777777" w:rsidR="00D30531" w:rsidRDefault="00D30531" w:rsidP="003A5332">
      <w:pPr>
        <w:rPr>
          <w:rFonts w:ascii="Calibri" w:hAnsi="Calibri" w:cs="Calibri"/>
        </w:rPr>
      </w:pPr>
      <w:r>
        <w:rPr>
          <w:rFonts w:ascii="Calibri" w:hAnsi="Calibri" w:cs="Calibri"/>
        </w:rPr>
        <w:t>Entry-level jobs are characterised as those that require little experience or qualifications. New jobs are demanding higher qualifications, making it increasingly difficult for job seekers without qualifications to find work. Competition for lower skilled jobs is strong, with employers receiving an average of 19 applicants per lower skilled job, but only three making it to interview.</w:t>
      </w:r>
      <w:r>
        <w:rPr>
          <w:rStyle w:val="EndnoteReference"/>
          <w:rFonts w:ascii="Calibri" w:hAnsi="Calibri" w:cs="Calibri"/>
        </w:rPr>
        <w:endnoteReference w:id="17"/>
      </w:r>
      <w:r>
        <w:rPr>
          <w:rFonts w:ascii="Calibri" w:hAnsi="Calibri" w:cs="Calibri"/>
        </w:rPr>
        <w:t xml:space="preserve"> </w:t>
      </w:r>
      <w:r>
        <w:t xml:space="preserve">Around half of employers (51 per cent) considered relevant experience to be essential for lower skilled vacancies, yet many unemployed job seekers lack recent work experience, particularly young or long-term unemployed job seekers. </w:t>
      </w:r>
    </w:p>
    <w:p w14:paraId="357AC1B5" w14:textId="77777777" w:rsidR="00D30531" w:rsidRDefault="00D30531" w:rsidP="003A5332">
      <w:pPr>
        <w:rPr>
          <w:rFonts w:ascii="Calibri" w:hAnsi="Calibri" w:cs="Calibri"/>
        </w:rPr>
      </w:pPr>
      <w:r>
        <w:rPr>
          <w:rFonts w:ascii="Calibri" w:hAnsi="Calibri" w:cs="Calibri"/>
        </w:rPr>
        <w:t>Evidence also shows that people with higher qualifications are working in lower skilled jobs, placing further pressure on lower skilled workers’ ability to be competitive.</w:t>
      </w:r>
      <w:r>
        <w:rPr>
          <w:rStyle w:val="EndnoteReference"/>
          <w:rFonts w:ascii="Calibri" w:hAnsi="Calibri" w:cs="Calibri"/>
        </w:rPr>
        <w:endnoteReference w:id="18"/>
      </w:r>
    </w:p>
    <w:p w14:paraId="41660489" w14:textId="77777777" w:rsidR="00D30531" w:rsidRPr="002652E9" w:rsidRDefault="00D30531" w:rsidP="002652E9">
      <w:pPr>
        <w:pStyle w:val="Heading2"/>
        <w:rPr>
          <w:rStyle w:val="IntenseEmphasis"/>
          <w:b/>
          <w:bCs w:val="0"/>
          <w:i w:val="0"/>
        </w:rPr>
      </w:pPr>
      <w:r w:rsidRPr="002652E9">
        <w:rPr>
          <w:rStyle w:val="IntenseEmphasis"/>
          <w:b/>
          <w:bCs w:val="0"/>
          <w:i w:val="0"/>
        </w:rPr>
        <w:t>There is considerable variability across Australia</w:t>
      </w:r>
    </w:p>
    <w:p w14:paraId="01C8D610" w14:textId="77777777" w:rsidR="00D30531" w:rsidRDefault="00D30531" w:rsidP="003A5332">
      <w:pPr>
        <w:spacing w:after="120"/>
        <w:rPr>
          <w:rFonts w:ascii="Calibri" w:hAnsi="Calibri" w:cstheme="minorHAnsi"/>
        </w:rPr>
      </w:pPr>
      <w:r>
        <w:rPr>
          <w:rFonts w:ascii="Calibri" w:hAnsi="Calibri" w:cstheme="minorHAnsi"/>
        </w:rPr>
        <w:t xml:space="preserve">Despite a consistently strong economy, significant disparity continues across Australia. Regional areas continue to perform more poorly compared with cities, having lower employment growth and higher unemployment rates. These differences are generally due to regional areas having a reliance on a small number of industries and limited transport infrastructure to access broader labour supply. </w:t>
      </w:r>
    </w:p>
    <w:p w14:paraId="10C8D292" w14:textId="77777777" w:rsidR="00D30531" w:rsidRPr="00EF1C1A" w:rsidRDefault="00D30531" w:rsidP="00154648">
      <w:pPr>
        <w:pStyle w:val="Heading2"/>
        <w:rPr>
          <w:rStyle w:val="IntenseEmphasis"/>
          <w:rFonts w:cs="Calibri"/>
          <w:b/>
          <w:bCs w:val="0"/>
          <w:i w:val="0"/>
        </w:rPr>
      </w:pPr>
      <w:r w:rsidRPr="00EF1C1A">
        <w:rPr>
          <w:rStyle w:val="IntenseEmphasis"/>
          <w:rFonts w:cs="Calibri"/>
          <w:b/>
          <w:i w:val="0"/>
        </w:rPr>
        <w:lastRenderedPageBreak/>
        <w:t>Employability skills</w:t>
      </w:r>
    </w:p>
    <w:p w14:paraId="0342EBB5" w14:textId="77777777" w:rsidR="00D30531" w:rsidRDefault="00D30531" w:rsidP="003A5332">
      <w:pPr>
        <w:rPr>
          <w:rFonts w:ascii="Calibri" w:hAnsi="Calibri" w:cs="Calibri"/>
        </w:rPr>
      </w:pPr>
      <w:r>
        <w:rPr>
          <w:rFonts w:ascii="Calibri" w:hAnsi="Calibri" w:cs="Calibri"/>
        </w:rPr>
        <w:t>Employability skills, or soft skills, cover a range of people, social and communication skills that contribute to a person’s chance of getting and maintaining a job. Employability skills are increasingly important as the labour market is undergoing change and jobs in the services industries are becoming more common. Almost three-quarters of employers place at least as much emphasis, if not more, on employability skills when recruiting than they do on technical skills.</w:t>
      </w:r>
      <w:r>
        <w:rPr>
          <w:rStyle w:val="EndnoteReference"/>
          <w:rFonts w:ascii="Calibri" w:hAnsi="Calibri" w:cs="Calibri"/>
        </w:rPr>
        <w:endnoteReference w:id="19"/>
      </w:r>
      <w:r>
        <w:rPr>
          <w:rFonts w:ascii="Calibri" w:hAnsi="Calibri" w:cs="Calibri"/>
        </w:rPr>
        <w:t xml:space="preserve"> </w:t>
      </w:r>
    </w:p>
    <w:p w14:paraId="39593FDE" w14:textId="77777777" w:rsidR="00D30531" w:rsidRPr="00EF1C1A" w:rsidRDefault="00D30531" w:rsidP="00154648">
      <w:pPr>
        <w:pStyle w:val="Heading2"/>
        <w:rPr>
          <w:rStyle w:val="IntenseEmphasis"/>
          <w:rFonts w:cs="Calibri"/>
          <w:b/>
          <w:i w:val="0"/>
        </w:rPr>
      </w:pPr>
      <w:r w:rsidRPr="00EF1C1A">
        <w:rPr>
          <w:rStyle w:val="IntenseEmphasis"/>
          <w:rFonts w:cs="Calibri"/>
          <w:b/>
          <w:i w:val="0"/>
        </w:rPr>
        <w:t>Employers’ recruitment methods</w:t>
      </w:r>
    </w:p>
    <w:p w14:paraId="2FF3FB92" w14:textId="77777777" w:rsidR="00D30531" w:rsidRDefault="00D30531" w:rsidP="003A5332">
      <w:pPr>
        <w:rPr>
          <w:lang w:val="en"/>
        </w:rPr>
      </w:pPr>
      <w:r>
        <w:rPr>
          <w:rFonts w:ascii="Calibri" w:hAnsi="Calibri" w:cs="Calibri"/>
        </w:rPr>
        <w:t xml:space="preserve">Employers are increasingly using the internet as the main method to advertise job vacancies, with 60 per cent of jobs advertised online in 2016–17, up from 45 per cent in 2012–13. </w:t>
      </w:r>
      <w:r w:rsidRPr="008069B7">
        <w:rPr>
          <w:rFonts w:ascii="Calibri" w:hAnsi="Calibri" w:cs="Calibri"/>
          <w:lang w:val="en"/>
        </w:rPr>
        <w:t xml:space="preserve">As shown in </w:t>
      </w:r>
      <w:r>
        <w:rPr>
          <w:rFonts w:ascii="Calibri" w:hAnsi="Calibri" w:cs="Calibri"/>
          <w:lang w:val="en"/>
        </w:rPr>
        <w:t>f</w:t>
      </w:r>
      <w:r w:rsidRPr="008069B7">
        <w:rPr>
          <w:rFonts w:ascii="Calibri" w:hAnsi="Calibri" w:cs="Calibri"/>
          <w:lang w:val="en"/>
        </w:rPr>
        <w:t>igure </w:t>
      </w:r>
      <w:r>
        <w:rPr>
          <w:rFonts w:ascii="Calibri" w:hAnsi="Calibri" w:cs="Calibri"/>
          <w:lang w:val="en"/>
        </w:rPr>
        <w:t>G.3</w:t>
      </w:r>
      <w:r w:rsidRPr="001470E1">
        <w:rPr>
          <w:lang w:val="en"/>
        </w:rPr>
        <w:t>,</w:t>
      </w:r>
      <w:r>
        <w:rPr>
          <w:lang w:val="en"/>
        </w:rPr>
        <w:t xml:space="preserve"> job boards and recruitment sites are the main method employers use to advertise (49 per cent of all vacancies). </w:t>
      </w:r>
      <w:r>
        <w:t>Government employment services are used for 4 per cent of vacancies. Social media is a rapidly emerging method for advertising positions, rising from 2 per cent of vacancies in 2013–14 to 9 per cent in 2016–17.</w:t>
      </w:r>
      <w:r>
        <w:rPr>
          <w:rStyle w:val="EndnoteReference"/>
        </w:rPr>
        <w:endnoteReference w:id="20"/>
      </w:r>
    </w:p>
    <w:p w14:paraId="3E06EB4D" w14:textId="77777777" w:rsidR="00D30531" w:rsidRDefault="00D30531" w:rsidP="003A5332">
      <w:pPr>
        <w:keepNext/>
        <w:keepLines/>
        <w:spacing w:after="0"/>
        <w:rPr>
          <w:rFonts w:ascii="Calibri" w:eastAsiaTheme="majorEastAsia" w:hAnsi="Calibri" w:cstheme="majorBidi"/>
          <w:b/>
          <w:bCs/>
          <w:iCs/>
        </w:rPr>
      </w:pPr>
      <w:r w:rsidRPr="00B74CDE">
        <w:rPr>
          <w:rFonts w:ascii="Calibri" w:eastAsiaTheme="majorEastAsia" w:hAnsi="Calibri" w:cstheme="majorBidi"/>
          <w:b/>
          <w:bCs/>
          <w:iCs/>
        </w:rPr>
        <w:t>Figure G.3: Recruitme</w:t>
      </w:r>
      <w:r>
        <w:rPr>
          <w:rFonts w:ascii="Calibri" w:eastAsiaTheme="majorEastAsia" w:hAnsi="Calibri" w:cstheme="majorBidi"/>
          <w:b/>
          <w:bCs/>
          <w:iCs/>
        </w:rPr>
        <w:t>nt methods used by employers</w:t>
      </w:r>
    </w:p>
    <w:p w14:paraId="2A7DCBF4" w14:textId="7FED7EDC" w:rsidR="00D30531" w:rsidRDefault="00D30531" w:rsidP="003A5332">
      <w:pPr>
        <w:rPr>
          <w:bCs/>
          <w:sz w:val="18"/>
          <w:szCs w:val="18"/>
        </w:rPr>
      </w:pPr>
      <w:r>
        <w:rPr>
          <w:noProof/>
          <w:lang w:eastAsia="en-AU"/>
        </w:rPr>
        <w:drawing>
          <wp:inline distT="0" distB="0" distL="0" distR="0" wp14:anchorId="767C8249" wp14:editId="3EAC2F97">
            <wp:extent cx="6071235" cy="3420000"/>
            <wp:effectExtent l="0" t="0" r="0" b="0"/>
            <wp:docPr id="7" name="Chart 7" descr="Graph showing the proportion of employers who reported using different methods to recruit employees. Its main messages are summarised in the previous paragraph. The graph notes that recruitment methods vary by business size, with small businesses having a greater reliance on word of mouth while large companies are more likely to advertise on their own website."/>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045578">
        <w:rPr>
          <w:bCs/>
          <w:i/>
          <w:sz w:val="18"/>
          <w:szCs w:val="18"/>
        </w:rPr>
        <w:t xml:space="preserve"> </w:t>
      </w:r>
    </w:p>
    <w:p w14:paraId="37062775" w14:textId="77777777" w:rsidR="00D30531" w:rsidRPr="00EF1C1A" w:rsidRDefault="00D30531" w:rsidP="00154648">
      <w:pPr>
        <w:pStyle w:val="Heading2"/>
        <w:rPr>
          <w:rStyle w:val="IntenseEmphasis"/>
          <w:b/>
          <w:bCs w:val="0"/>
          <w:i w:val="0"/>
        </w:rPr>
      </w:pPr>
      <w:r w:rsidRPr="00EF1C1A">
        <w:rPr>
          <w:rStyle w:val="IntenseEmphasis"/>
          <w:b/>
          <w:i w:val="0"/>
        </w:rPr>
        <w:t>The impact of technology on jobs</w:t>
      </w:r>
    </w:p>
    <w:p w14:paraId="022488DA" w14:textId="77777777" w:rsidR="00D30531" w:rsidRDefault="00D30531" w:rsidP="003A5332">
      <w:pPr>
        <w:spacing w:after="0"/>
      </w:pPr>
      <w:r>
        <w:t>Technological improvements often mean that tasks that were previously done by a human can now be done by a machine. One approach to thinking about the potential impact of automation on jobs focuses on two separate aspects:</w:t>
      </w:r>
    </w:p>
    <w:p w14:paraId="4EA2C266" w14:textId="77777777" w:rsidR="00D30531" w:rsidRPr="00154648" w:rsidRDefault="00D30531" w:rsidP="00154648">
      <w:pPr>
        <w:pStyle w:val="ListParagraph"/>
      </w:pPr>
      <w:r w:rsidRPr="00154648">
        <w:t>Whether jobs are routine or non-routine, that is, whether the job follows explicit rules that could be easily specified in computer code to be accomplished by machines.</w:t>
      </w:r>
    </w:p>
    <w:p w14:paraId="5508AD87" w14:textId="77777777" w:rsidR="00D30531" w:rsidRPr="00154648" w:rsidRDefault="00D30531" w:rsidP="00154648">
      <w:pPr>
        <w:pStyle w:val="ListParagraph"/>
      </w:pPr>
      <w:r w:rsidRPr="00154648">
        <w:t>Whether jobs are manual or cognitive, that is, whether the job relates to physical labour (manual) or knowledge work (cognitive).</w:t>
      </w:r>
    </w:p>
    <w:p w14:paraId="48F60928" w14:textId="77777777" w:rsidR="00D30531" w:rsidRPr="00E8748B" w:rsidRDefault="00D30531" w:rsidP="00E8748B">
      <w:pPr>
        <w:pStyle w:val="Heading3"/>
      </w:pPr>
      <w:r w:rsidRPr="00E8748B">
        <w:lastRenderedPageBreak/>
        <w:t>Which jobs are most susceptible to automation?</w:t>
      </w:r>
    </w:p>
    <w:p w14:paraId="21CA19B3" w14:textId="77777777" w:rsidR="00D30531" w:rsidRDefault="00D30531" w:rsidP="00154648">
      <w:r w:rsidRPr="00026715">
        <w:t>The jobs that are the most susceptible to automation</w:t>
      </w:r>
      <w:r>
        <w:t xml:space="preserve"> are those that are ‘routine’. As shown by </w:t>
      </w:r>
      <w:r>
        <w:rPr>
          <w:highlight w:val="yellow"/>
        </w:rPr>
        <w:t>f</w:t>
      </w:r>
      <w:r w:rsidRPr="006D1692">
        <w:t xml:space="preserve">igure </w:t>
      </w:r>
      <w:r>
        <w:t>G.4,</w:t>
      </w:r>
      <w:r w:rsidRPr="00026715">
        <w:t xml:space="preserve"> the proportion of people employed in such jobs is decreasing</w:t>
      </w:r>
      <w:r>
        <w:t>.</w:t>
      </w:r>
    </w:p>
    <w:p w14:paraId="6148BD85" w14:textId="6540D635" w:rsidR="00D30531" w:rsidRPr="008C5D62" w:rsidRDefault="00D30531" w:rsidP="00E8748B">
      <w:pPr>
        <w:pStyle w:val="Chartandtableheader"/>
      </w:pPr>
      <w:r w:rsidRPr="006D1692">
        <w:t>Figure G.4</w:t>
      </w:r>
      <w:r>
        <w:t>: Changes in employment by skills type, 1986–2016</w:t>
      </w:r>
      <w:r w:rsidR="00C355B5">
        <w:t xml:space="preserve"> (%)</w:t>
      </w:r>
    </w:p>
    <w:p w14:paraId="3E9B7AD2" w14:textId="6565806F" w:rsidR="00D30531" w:rsidRDefault="0032155F" w:rsidP="0072397C">
      <w:pPr>
        <w:pStyle w:val="Chart"/>
      </w:pPr>
      <w:r>
        <w:drawing>
          <wp:inline distT="0" distB="0" distL="0" distR="0" wp14:anchorId="01FD17F7" wp14:editId="1D6432B8">
            <wp:extent cx="5688000" cy="2592000"/>
            <wp:effectExtent l="0" t="0" r="8255" b="0"/>
            <wp:docPr id="39" name="Chart 39" descr="Graph showing trends in the proportion of people in Australia employed in jobs requiring different types of skills between 1986 and 2016. Its main message is summarised in the previous paragraph. The graph shows that the proportions of people working in routine manual and routine cognitive jobs has decreased since 1986. The proportions of people working in non-routine cognitive and non-routine manual jobs has increased since 1986. In 1986 routine manual jobs represented the largest proportion of employment. In 2016 non-routine cognitive jobs represented the largest proportion of employ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DC3AC85" w14:textId="77777777" w:rsidR="00D30531" w:rsidRPr="006D1692" w:rsidRDefault="00D30531" w:rsidP="0093297A">
      <w:pPr>
        <w:pStyle w:val="Chartreference"/>
      </w:pPr>
      <w:r w:rsidRPr="008C5D62">
        <w:t xml:space="preserve">Sources: </w:t>
      </w:r>
      <w:r>
        <w:t>Australian Bureau of Statistics</w:t>
      </w:r>
      <w:r w:rsidRPr="008C5D62">
        <w:t xml:space="preserve"> and Reserve Bank of Australia</w:t>
      </w:r>
      <w:r>
        <w:t>.</w:t>
      </w:r>
    </w:p>
    <w:p w14:paraId="4D0A1BB0" w14:textId="77777777" w:rsidR="00D30531" w:rsidRDefault="00D30531" w:rsidP="00A03A49">
      <w:r>
        <w:t>Routine manual jobs in controlled environments are the easiest to automate. For example, factories and assembly lines have become increasingly automated, reducing the need for Factory Process Workers in the Manufacturing industry. Since the early 2000s, there has also been a steady decline in the proportion of people working in routine cognitive jobs (such as Bookkeepers and Accounting Clerks), with advances in computing technology exposing a new category of jobs to the possibility of automation.</w:t>
      </w:r>
    </w:p>
    <w:p w14:paraId="17D50EB3" w14:textId="720F1F01" w:rsidR="00D30531" w:rsidRDefault="00D30531" w:rsidP="00A03A49">
      <w:r>
        <w:t>By contrast to the decline of routine work, non-routine employment in Australia has steadily grown. These occupations (such as chefs, teachers, and software and application programmers) are less susceptible to automation because they often require creativity, complex thinking, managerial experience or a human presence. The fastest growing non-routine jobs are in the services industries, particularly health care and social assistance, professional, scientific and technical services and education and training.</w:t>
      </w:r>
    </w:p>
    <w:p w14:paraId="63A1A1BF" w14:textId="5CCED1DC" w:rsidR="00D30531" w:rsidRDefault="00D30531" w:rsidP="00A03A49">
      <w:pPr>
        <w:rPr>
          <w:rFonts w:ascii="Calibri" w:eastAsiaTheme="majorEastAsia" w:hAnsi="Calibri" w:cstheme="majorBidi"/>
          <w:b/>
          <w:bCs/>
          <w:noProof/>
        </w:rPr>
      </w:pPr>
      <w:r>
        <w:t>It is also important to note that while it may be feasible to automate a job or task; this does not mean it will actually be automated. Sometimes the cost of doing so, relative to wages, may be prohibitive. Jobs that remain difficult and costly to automate include those involving social interaction (such as Aged and Disabled Carers) or creative intelligence (such as Architect), and occupations that are highly unpredictable (such as Plumbers and Gardeners).</w:t>
      </w:r>
      <w:r>
        <w:rPr>
          <w:noProof/>
        </w:rPr>
        <w:br w:type="page"/>
      </w:r>
    </w:p>
    <w:p w14:paraId="4AC7097B" w14:textId="77777777" w:rsidR="00D30531" w:rsidRPr="00EF1C1A" w:rsidRDefault="00D30531" w:rsidP="00E8748B">
      <w:pPr>
        <w:pStyle w:val="Heading3"/>
        <w:rPr>
          <w:noProof/>
        </w:rPr>
      </w:pPr>
      <w:r w:rsidRPr="00B30797">
        <w:rPr>
          <w:noProof/>
        </w:rPr>
        <w:lastRenderedPageBreak/>
        <w:t xml:space="preserve">The </w:t>
      </w:r>
      <w:r>
        <w:rPr>
          <w:noProof/>
        </w:rPr>
        <w:t>f</w:t>
      </w:r>
      <w:r w:rsidRPr="00B30797">
        <w:rPr>
          <w:noProof/>
        </w:rPr>
        <w:t>uture of work</w:t>
      </w:r>
      <w:r>
        <w:rPr>
          <w:noProof/>
        </w:rPr>
        <w:t xml:space="preserve"> – </w:t>
      </w:r>
      <w:r>
        <w:t>w</w:t>
      </w:r>
      <w:r w:rsidRPr="00EF1C1A">
        <w:t>hat will happen to future jobs and skills requirements?</w:t>
      </w:r>
    </w:p>
    <w:p w14:paraId="50C39F81" w14:textId="77777777" w:rsidR="00D30531" w:rsidRDefault="00D30531" w:rsidP="00A03A49">
      <w:r>
        <w:t xml:space="preserve">It is likely that </w:t>
      </w:r>
      <w:r w:rsidRPr="00CF6151">
        <w:t>technology, shifting demographics and changing consumer preferences</w:t>
      </w:r>
      <w:r>
        <w:t xml:space="preserve"> will continue to change the nature of work. Researchers expect the proportion of jobs in Australia which are </w:t>
      </w:r>
      <w:r>
        <w:br/>
        <w:t>‘non-routine’ will continue to increase.</w:t>
      </w:r>
    </w:p>
    <w:p w14:paraId="7BCB004F" w14:textId="77777777" w:rsidR="00D30531" w:rsidRDefault="00D30531" w:rsidP="00A03A49">
      <w:r>
        <w:t>Existing jobs will change too, with less time spent on tasks that can be automated and a greater focus on using cognitive skills.</w:t>
      </w:r>
      <w:r w:rsidRPr="005A07A4">
        <w:t xml:space="preserve"> </w:t>
      </w:r>
      <w:r>
        <w:t>Future improvements to technology are likely to expand automation to jobs in less structured environments. Some effects could be seen in the near future, such as changes to the nature of call or contact centre work through the use of automated customer service assistants. Other effects are a little further away, such as the likely impact of automated vehicle technology on automobile drivers and delivery drivers.</w:t>
      </w:r>
    </w:p>
    <w:p w14:paraId="35D7DED8" w14:textId="77777777" w:rsidR="00D30531" w:rsidRPr="00EF1C1A" w:rsidRDefault="00D30531" w:rsidP="0093297A">
      <w:pPr>
        <w:pStyle w:val="Heading2"/>
      </w:pPr>
      <w:r w:rsidRPr="00EF1C1A">
        <w:t>Which industries and occupations will have the most new jobs over the next five years?</w:t>
      </w:r>
    </w:p>
    <w:p w14:paraId="358CDFF5" w14:textId="77777777" w:rsidR="00D30531" w:rsidRPr="006D1692" w:rsidRDefault="00D30531" w:rsidP="003A5332">
      <w:r>
        <w:t>The Department of Jobs and Small Business publishes projections of future changes in the Australian labour market.</w:t>
      </w:r>
      <w:r>
        <w:rPr>
          <w:rStyle w:val="EndnoteReference"/>
        </w:rPr>
        <w:endnoteReference w:id="21"/>
      </w:r>
      <w:r>
        <w:t xml:space="preserve"> These show that the total number of people who are employed in Australia will increase by 9</w:t>
      </w:r>
      <w:r>
        <w:rPr>
          <w:rFonts w:ascii="Calibri" w:hAnsi="Calibri" w:cs="Calibri"/>
        </w:rPr>
        <w:t>48,400</w:t>
      </w:r>
      <w:r>
        <w:t xml:space="preserve"> (or 7.8 per cent) over the five years to May 2022. Employment is projected to increase in 16 of the 19 industry groupings</w:t>
      </w:r>
      <w:r>
        <w:rPr>
          <w:rStyle w:val="EndnoteReference"/>
        </w:rPr>
        <w:endnoteReference w:id="22"/>
      </w:r>
      <w:r>
        <w:t xml:space="preserve"> and all eight occupation groups over the five years to </w:t>
      </w:r>
      <w:r w:rsidRPr="006D1692">
        <w:t>May 2022 (figure G.5).</w:t>
      </w:r>
    </w:p>
    <w:p w14:paraId="78788B86" w14:textId="77777777" w:rsidR="00D30531" w:rsidRDefault="00D30531" w:rsidP="0093297A">
      <w:pPr>
        <w:pStyle w:val="ChartandTabletitle"/>
      </w:pPr>
      <w:r w:rsidRPr="006D1692">
        <w:t>Figure G.5: Projected</w:t>
      </w:r>
      <w:r>
        <w:t xml:space="preserve"> employment growth by industry and occupation, five years to May 2022</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7"/>
      </w:tblGrid>
      <w:tr w:rsidR="00D30531" w14:paraId="2054A876" w14:textId="77777777" w:rsidTr="00D46B76">
        <w:trPr>
          <w:trHeight w:val="5299"/>
        </w:trPr>
        <w:tc>
          <w:tcPr>
            <w:tcW w:w="5387" w:type="dxa"/>
          </w:tcPr>
          <w:p w14:paraId="27472FAE" w14:textId="33296A6A" w:rsidR="00D30531" w:rsidRPr="003A77DC" w:rsidRDefault="00D30531" w:rsidP="0093297A">
            <w:pPr>
              <w:pStyle w:val="chartsubheading"/>
              <w:rPr>
                <w:i/>
              </w:rPr>
            </w:pPr>
            <w:r w:rsidRPr="0093297A">
              <w:t>Projected employment growth, industry share</w:t>
            </w:r>
            <w:r w:rsidR="0093297A" w:rsidRPr="0093297A">
              <w:br/>
            </w:r>
            <w:r w:rsidRPr="0093297A">
              <w:t>(% of new jobs</w:t>
            </w:r>
            <w:r>
              <w:rPr>
                <w:i/>
              </w:rPr>
              <w:t>)</w:t>
            </w:r>
          </w:p>
          <w:p w14:paraId="70FCF82E" w14:textId="77777777" w:rsidR="00D30531" w:rsidRDefault="00D30531" w:rsidP="00D46B76">
            <w:r>
              <w:rPr>
                <w:noProof/>
                <w:lang w:eastAsia="en-AU"/>
              </w:rPr>
              <w:drawing>
                <wp:inline distT="0" distB="0" distL="0" distR="0" wp14:anchorId="29DB1674" wp14:editId="5DD84ABF">
                  <wp:extent cx="3543300" cy="2933700"/>
                  <wp:effectExtent l="0" t="0" r="0" b="0"/>
                  <wp:docPr id="12" name="Chart 12" descr="Graph showing the projected industry ares of the projected growth in employment over the five years to May 2022. Shows that 25 per cent of this growth is expected to be in the Health Care and Social Assistance industry, with the remainder of the growth being spread across a large number of other indust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5387" w:type="dxa"/>
          </w:tcPr>
          <w:p w14:paraId="6554C1A2" w14:textId="2D227299" w:rsidR="00D30531" w:rsidRPr="0093297A" w:rsidRDefault="00D30531" w:rsidP="00D46B76">
            <w:pPr>
              <w:jc w:val="center"/>
              <w:rPr>
                <w:b/>
                <w:noProof/>
                <w:sz w:val="20"/>
                <w:lang w:eastAsia="en-AU"/>
              </w:rPr>
            </w:pPr>
            <w:r w:rsidRPr="0093297A">
              <w:rPr>
                <w:b/>
                <w:noProof/>
                <w:sz w:val="20"/>
                <w:lang w:eastAsia="en-AU"/>
              </w:rPr>
              <w:t xml:space="preserve">Projected employment growth, occupation share </w:t>
            </w:r>
            <w:r w:rsidR="0093297A">
              <w:rPr>
                <w:b/>
                <w:noProof/>
                <w:sz w:val="20"/>
                <w:lang w:eastAsia="en-AU"/>
              </w:rPr>
              <w:br/>
            </w:r>
            <w:r w:rsidRPr="0093297A">
              <w:rPr>
                <w:b/>
                <w:noProof/>
                <w:sz w:val="20"/>
                <w:lang w:eastAsia="en-AU"/>
              </w:rPr>
              <w:t>(% of new jobs)</w:t>
            </w:r>
          </w:p>
          <w:p w14:paraId="7F955E6E" w14:textId="77777777" w:rsidR="00D30531" w:rsidRPr="0093297A" w:rsidRDefault="00D30531" w:rsidP="00D46B76">
            <w:pPr>
              <w:rPr>
                <w:b/>
                <w:noProof/>
                <w:sz w:val="20"/>
                <w:lang w:eastAsia="en-AU"/>
              </w:rPr>
            </w:pPr>
            <w:r w:rsidRPr="0093297A">
              <w:rPr>
                <w:b/>
                <w:noProof/>
                <w:sz w:val="20"/>
                <w:lang w:eastAsia="en-AU"/>
              </w:rPr>
              <w:drawing>
                <wp:inline distT="0" distB="0" distL="0" distR="0" wp14:anchorId="787440E1" wp14:editId="5BBB9D45">
                  <wp:extent cx="3400425" cy="3103685"/>
                  <wp:effectExtent l="0" t="0" r="0" b="0"/>
                  <wp:docPr id="11" name="Chart 11" descr="projected occupation shares of the projected growth in employment over the five years to May 2022. Shows that 36 per cent of this growth will be for Professionals and 26 per cent for Community and Personal Service Workers. The remainder of the growth will be spread across a large number of occup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bl>
    <w:p w14:paraId="6ACF6C24" w14:textId="77777777" w:rsidR="00D30531" w:rsidRPr="006D1692" w:rsidRDefault="00D30531" w:rsidP="0093297A">
      <w:pPr>
        <w:pStyle w:val="Chartreference"/>
      </w:pPr>
      <w:r w:rsidRPr="00633866">
        <w:t>Source: Department of</w:t>
      </w:r>
      <w:r>
        <w:t xml:space="preserve"> Jobs and Small Business (2018)</w:t>
      </w:r>
      <w:r w:rsidRPr="00633866">
        <w:t xml:space="preserve"> </w:t>
      </w:r>
      <w:r>
        <w:t>Employment Projections to May 2022</w:t>
      </w:r>
    </w:p>
    <w:p w14:paraId="3274808A" w14:textId="77777777" w:rsidR="00D30531" w:rsidRPr="00EF1C1A" w:rsidRDefault="00D30531" w:rsidP="00E8748B">
      <w:pPr>
        <w:pStyle w:val="Heading3"/>
      </w:pPr>
      <w:r w:rsidRPr="00EF1C1A">
        <w:t>There will be jobs growth across all skill levels in Australia</w:t>
      </w:r>
    </w:p>
    <w:p w14:paraId="3A73F17E" w14:textId="77777777" w:rsidR="00D30531" w:rsidRPr="001979EA" w:rsidRDefault="00D30531" w:rsidP="00A03A49">
      <w:r w:rsidRPr="00B30797">
        <w:t>While occupations that are classified in the two highest skill levels are projected to make up well over half of projected employment growth over the five years to May 2022, there is projected growth for occupations across all skill levels.</w:t>
      </w:r>
    </w:p>
    <w:p w14:paraId="0D0453EE" w14:textId="77777777" w:rsidR="00D30531" w:rsidRPr="00590394" w:rsidRDefault="00D30531" w:rsidP="0093297A">
      <w:pPr>
        <w:pStyle w:val="Heading2"/>
      </w:pPr>
      <w:r w:rsidRPr="00590394">
        <w:lastRenderedPageBreak/>
        <w:t>What does this mean for job seekers?</w:t>
      </w:r>
    </w:p>
    <w:p w14:paraId="7A148D2D" w14:textId="77777777" w:rsidR="00D30531" w:rsidRDefault="00D30531" w:rsidP="00A03A49">
      <w:r w:rsidRPr="007B5352">
        <w:t>As noted in chapter 2 of this discussion paper, the design of the future employment services needs to take into account the likely changes in the labour market, including the possibility that an increased range of people will start looking for new opportunities.</w:t>
      </w:r>
    </w:p>
    <w:p w14:paraId="0178EEA3" w14:textId="77777777" w:rsidR="00D30531" w:rsidRPr="007A676C" w:rsidRDefault="00D30531" w:rsidP="00A03A49">
      <w:r w:rsidRPr="007A676C">
        <w:t xml:space="preserve">Employment services will need to </w:t>
      </w:r>
      <w:r w:rsidRPr="009E7E6C">
        <w:t xml:space="preserve">increase their </w:t>
      </w:r>
      <w:r w:rsidRPr="007A676C">
        <w:t xml:space="preserve">focus on </w:t>
      </w:r>
      <w:r w:rsidRPr="009E7E6C">
        <w:t>skills</w:t>
      </w:r>
      <w:r w:rsidRPr="007A676C">
        <w:t xml:space="preserve"> to help people understand how their current skills apply in different jobs, and how they can build on their skill</w:t>
      </w:r>
      <w:r>
        <w:t>s</w:t>
      </w:r>
      <w:r w:rsidRPr="007A676C">
        <w:t xml:space="preserve"> set to move into new jobs. Employers often value transferable skills including digital literacy, critical thinking, creati</w:t>
      </w:r>
      <w:r>
        <w:t>v</w:t>
      </w:r>
      <w:r w:rsidRPr="007A676C">
        <w:t xml:space="preserve">ity, problem solving and presentation skills. Aptitudes such as adaptability, resilience and entrepreneurial skills are also important. </w:t>
      </w:r>
    </w:p>
    <w:p w14:paraId="17679D49" w14:textId="77777777" w:rsidR="00D30531" w:rsidRPr="007A676C" w:rsidRDefault="00D30531" w:rsidP="00A03A49">
      <w:r w:rsidRPr="007A676C">
        <w:t>It may take time for individuals to gain the skills required for new jobs, and there are likely to be fewer jobs that do not require at least some training qualifications in the future. Rapid changes can also mean people will need to keep learning new</w:t>
      </w:r>
      <w:r w:rsidRPr="009E7E6C">
        <w:t xml:space="preserve"> skills throughout their lifetime</w:t>
      </w:r>
      <w:r w:rsidRPr="007A676C">
        <w:t>.</w:t>
      </w:r>
    </w:p>
    <w:p w14:paraId="7D09CA97" w14:textId="77777777" w:rsidR="00D30531" w:rsidRDefault="00D30531" w:rsidP="00A03A49">
      <w:r w:rsidRPr="007A676C">
        <w:t>These trends indicate that job seekers, including both current workers and those not in employment, will need up</w:t>
      </w:r>
      <w:r>
        <w:t>-</w:t>
      </w:r>
      <w:r w:rsidRPr="007A676C">
        <w:t>to</w:t>
      </w:r>
      <w:r>
        <w:t>-</w:t>
      </w:r>
      <w:r w:rsidRPr="007A676C">
        <w:t>date information on what is happening in their local labour market, and assistance</w:t>
      </w:r>
      <w:r>
        <w:t xml:space="preserve"> which is tailored to their needs</w:t>
      </w:r>
      <w:r w:rsidRPr="007A676C">
        <w:t xml:space="preserve">. </w:t>
      </w:r>
      <w:r w:rsidRPr="007A676C">
        <w:rPr>
          <w:rFonts w:ascii="Calibri" w:eastAsia="Calibri" w:hAnsi="Calibri" w:cs="Times New Roman"/>
        </w:rPr>
        <w:t xml:space="preserve">Job seekers who face barriers to employment or live in disadvantaged regions are particularly likely to </w:t>
      </w:r>
      <w:r>
        <w:rPr>
          <w:rFonts w:ascii="Calibri" w:eastAsia="Calibri" w:hAnsi="Calibri" w:cs="Times New Roman"/>
        </w:rPr>
        <w:t>need</w:t>
      </w:r>
      <w:r w:rsidRPr="007A676C">
        <w:rPr>
          <w:rFonts w:ascii="Calibri" w:eastAsia="Calibri" w:hAnsi="Calibri" w:cs="Times New Roman"/>
        </w:rPr>
        <w:t xml:space="preserve"> support to successfully transition to new jobs.</w:t>
      </w:r>
      <w:r>
        <w:rPr>
          <w:rFonts w:ascii="Calibri" w:eastAsia="Calibri" w:hAnsi="Calibri" w:cs="Times New Roman"/>
        </w:rPr>
        <w:t xml:space="preserve"> </w:t>
      </w:r>
    </w:p>
    <w:tbl>
      <w:tblPr>
        <w:tblStyle w:val="TableGrid"/>
        <w:tblW w:w="0" w:type="auto"/>
        <w:tblLook w:val="04A0" w:firstRow="1" w:lastRow="0" w:firstColumn="1" w:lastColumn="0" w:noHBand="0" w:noVBand="1"/>
      </w:tblPr>
      <w:tblGrid>
        <w:gridCol w:w="9016"/>
      </w:tblGrid>
      <w:tr w:rsidR="00D30531" w14:paraId="5DAEB129" w14:textId="77777777" w:rsidTr="00D46B76">
        <w:tc>
          <w:tcPr>
            <w:tcW w:w="9016" w:type="dxa"/>
          </w:tcPr>
          <w:p w14:paraId="7BADFCB9" w14:textId="77777777" w:rsidR="00D30531" w:rsidRPr="0093297A" w:rsidRDefault="00D30531" w:rsidP="0093297A">
            <w:pPr>
              <w:pStyle w:val="Heading2"/>
              <w:outlineLvl w:val="1"/>
            </w:pPr>
            <w:bookmarkStart w:id="25" w:name="_Toc513814283"/>
            <w:bookmarkEnd w:id="24"/>
            <w:r w:rsidRPr="0093297A">
              <w:lastRenderedPageBreak/>
              <w:t>Vulnerable groups</w:t>
            </w:r>
            <w:bookmarkEnd w:id="25"/>
          </w:p>
          <w:p w14:paraId="5CC54329" w14:textId="77777777" w:rsidR="00D30531" w:rsidRPr="0093297A" w:rsidRDefault="00D30531" w:rsidP="00E8748B">
            <w:pPr>
              <w:pStyle w:val="Heading3"/>
              <w:outlineLvl w:val="2"/>
              <w:rPr>
                <w:rStyle w:val="IntenseEmphasis"/>
                <w:b/>
                <w:bCs/>
                <w:i w:val="0"/>
              </w:rPr>
            </w:pPr>
            <w:r w:rsidRPr="0093297A">
              <w:rPr>
                <w:rStyle w:val="IntenseEmphasis"/>
                <w:b/>
                <w:bCs/>
                <w:i w:val="0"/>
              </w:rPr>
              <w:t>Long-term unemployment (people who have been unemployed for 52 weeks or more)</w:t>
            </w:r>
          </w:p>
          <w:p w14:paraId="16AE62C6" w14:textId="77777777" w:rsidR="00D30531" w:rsidRDefault="00D30531" w:rsidP="00A03A49">
            <w:r>
              <w:t xml:space="preserve">While the labour market tends to recover during periods of strong economic (and employment growth), long-term unemployment tends to fall at a much slower rate than overall unemployment. These unemployed people are often the most disadvantaged due to skill depreciation, loss of motivation and marginalisation from finding work. </w:t>
            </w:r>
          </w:p>
          <w:p w14:paraId="3B100877" w14:textId="77777777" w:rsidR="00D30531" w:rsidRDefault="00D30531" w:rsidP="00A03A49">
            <w:r>
              <w:t>This means that the chances of long-term unemployed job seekers finding work are impacted long after the end of an economic slowdown (and an upswing in jobs). For example, despite a recent strong period of employment growth over the last 16 months, the level of long-term unemployment remains double that recorded at start of the Global Financial Crisis in late 2008.</w:t>
            </w:r>
          </w:p>
          <w:p w14:paraId="7121A275" w14:textId="77777777" w:rsidR="00D30531" w:rsidRPr="0093297A" w:rsidRDefault="00D30531" w:rsidP="00E8748B">
            <w:pPr>
              <w:pStyle w:val="Heading3"/>
              <w:outlineLvl w:val="2"/>
              <w:rPr>
                <w:rStyle w:val="IntenseEmphasis"/>
                <w:b/>
                <w:bCs/>
                <w:i w:val="0"/>
              </w:rPr>
            </w:pPr>
            <w:r w:rsidRPr="0093297A">
              <w:rPr>
                <w:rStyle w:val="IntenseEmphasis"/>
                <w:b/>
                <w:bCs/>
                <w:i w:val="0"/>
              </w:rPr>
              <w:t>Youth (15–24 year olds)</w:t>
            </w:r>
            <w:r w:rsidRPr="0093297A">
              <w:rPr>
                <w:rStyle w:val="EndnoteReference"/>
              </w:rPr>
              <w:endnoteReference w:id="23"/>
            </w:r>
          </w:p>
          <w:p w14:paraId="32624B8E" w14:textId="77777777" w:rsidR="00D30531" w:rsidRDefault="00D30531" w:rsidP="00A03A49">
            <w:pPr>
              <w:rPr>
                <w:rFonts w:cs="Calibri"/>
              </w:rPr>
            </w:pPr>
            <w:r w:rsidRPr="00347782">
              <w:rPr>
                <w:rFonts w:eastAsia="Calibri"/>
              </w:rPr>
              <w:t>You</w:t>
            </w:r>
            <w:r>
              <w:rPr>
                <w:rFonts w:eastAsia="Calibri"/>
              </w:rPr>
              <w:t>ng people can</w:t>
            </w:r>
            <w:r w:rsidRPr="00347782">
              <w:rPr>
                <w:rFonts w:eastAsia="Calibri"/>
              </w:rPr>
              <w:t xml:space="preserve"> face considerable disadvantage</w:t>
            </w:r>
            <w:r>
              <w:rPr>
                <w:rFonts w:eastAsia="Calibri"/>
              </w:rPr>
              <w:t xml:space="preserve"> in the labour market</w:t>
            </w:r>
            <w:r w:rsidRPr="00347782">
              <w:rPr>
                <w:rFonts w:eastAsia="Calibri"/>
              </w:rPr>
              <w:t>, rec</w:t>
            </w:r>
            <w:r>
              <w:rPr>
                <w:rFonts w:eastAsia="Calibri"/>
              </w:rPr>
              <w:t>ording an unemployment rate of 11</w:t>
            </w:r>
            <w:r w:rsidRPr="00347782">
              <w:rPr>
                <w:rFonts w:eastAsia="Calibri"/>
              </w:rPr>
              <w:t>.</w:t>
            </w:r>
            <w:r>
              <w:rPr>
                <w:rFonts w:eastAsia="Calibri"/>
              </w:rPr>
              <w:t>6</w:t>
            </w:r>
            <w:r w:rsidRPr="00347782">
              <w:rPr>
                <w:rFonts w:eastAsia="Calibri"/>
              </w:rPr>
              <w:t xml:space="preserve"> per cent in </w:t>
            </w:r>
            <w:r>
              <w:rPr>
                <w:rFonts w:eastAsia="Calibri"/>
              </w:rPr>
              <w:t>May</w:t>
            </w:r>
            <w:r w:rsidRPr="00347782">
              <w:rPr>
                <w:rFonts w:eastAsia="Calibri"/>
              </w:rPr>
              <w:t xml:space="preserve"> 2018, more than double the rate recorded for all persons (of 5.</w:t>
            </w:r>
            <w:r>
              <w:rPr>
                <w:rFonts w:eastAsia="Calibri"/>
              </w:rPr>
              <w:t>4</w:t>
            </w:r>
            <w:r w:rsidRPr="00347782">
              <w:rPr>
                <w:rFonts w:eastAsia="Calibri"/>
              </w:rPr>
              <w:t xml:space="preserve"> per cent). The burden of </w:t>
            </w:r>
            <w:r w:rsidRPr="00347782">
              <w:rPr>
                <w:rFonts w:cs="Calibri"/>
              </w:rPr>
              <w:t>long-term unemployment is also being felt disproportionately by young people, with youth comprising 26.</w:t>
            </w:r>
            <w:r>
              <w:rPr>
                <w:rFonts w:cs="Calibri"/>
              </w:rPr>
              <w:t>1</w:t>
            </w:r>
            <w:r w:rsidRPr="00347782">
              <w:rPr>
                <w:rFonts w:cs="Calibri"/>
              </w:rPr>
              <w:t xml:space="preserve"> per cent of long-term unemployment in </w:t>
            </w:r>
            <w:r>
              <w:rPr>
                <w:rFonts w:cs="Calibri"/>
              </w:rPr>
              <w:t>May</w:t>
            </w:r>
            <w:r w:rsidRPr="00347782">
              <w:rPr>
                <w:rFonts w:cs="Calibri"/>
              </w:rPr>
              <w:t xml:space="preserve"> 2018</w:t>
            </w:r>
            <w:r>
              <w:rPr>
                <w:rFonts w:cs="Calibri"/>
              </w:rPr>
              <w:t xml:space="preserve">, despite </w:t>
            </w:r>
            <w:r w:rsidRPr="00137B46">
              <w:rPr>
                <w:rFonts w:cs="Calibri"/>
              </w:rPr>
              <w:t>accounting for just 16 per cent of the total population</w:t>
            </w:r>
            <w:r w:rsidRPr="00347782">
              <w:rPr>
                <w:rFonts w:cs="Calibri"/>
              </w:rPr>
              <w:t xml:space="preserve">. </w:t>
            </w:r>
            <w:r w:rsidRPr="00347782">
              <w:t>While most youth are either engaged in some form of work or study, a</w:t>
            </w:r>
            <w:r>
              <w:t>nother</w:t>
            </w:r>
            <w:r w:rsidRPr="00347782">
              <w:t xml:space="preserve"> key concern is the number of young people who are ‘disengaged’, with 34</w:t>
            </w:r>
            <w:r>
              <w:t>3</w:t>
            </w:r>
            <w:r w:rsidRPr="00347782">
              <w:t>,</w:t>
            </w:r>
            <w:r>
              <w:t>4</w:t>
            </w:r>
            <w:r w:rsidRPr="00347782">
              <w:t>00 (or 10.</w:t>
            </w:r>
            <w:r>
              <w:t>7</w:t>
            </w:r>
            <w:r w:rsidRPr="00347782">
              <w:t xml:space="preserve"> per cent of the youth population) not in work and not attending full-time education in </w:t>
            </w:r>
            <w:r>
              <w:t>May</w:t>
            </w:r>
            <w:r w:rsidRPr="00347782">
              <w:t xml:space="preserve"> 201</w:t>
            </w:r>
            <w:r>
              <w:t>8.</w:t>
            </w:r>
          </w:p>
          <w:p w14:paraId="7FF95389" w14:textId="5D85B6EE" w:rsidR="00D30531" w:rsidRDefault="00D30531" w:rsidP="00A03A49">
            <w:r>
              <w:t xml:space="preserve">Moreover, </w:t>
            </w:r>
            <w:r>
              <w:rPr>
                <w:rFonts w:eastAsia="Calibri"/>
              </w:rPr>
              <w:t>the prevalence of more highly skilled jobs in today’s labour market has made it more difficult for young people to leave school at a young age and find employment without gaining further qualifications first. W</w:t>
            </w:r>
            <w:r>
              <w:t xml:space="preserve">hile it is encouraging that more young people are participating in full-time education (52.9 per cent in May 2018, a near record high), there has been a concurrent weakening in employment outcomes for higher education graduates in recent years. </w:t>
            </w:r>
          </w:p>
          <w:p w14:paraId="1B069D84" w14:textId="37A83F7D" w:rsidR="00D30531" w:rsidRPr="00D54D53" w:rsidRDefault="00D30531" w:rsidP="00A03A49">
            <w:pPr>
              <w:rPr>
                <w:rFonts w:eastAsia="Calibri"/>
              </w:rPr>
            </w:pPr>
            <w:r>
              <w:t xml:space="preserve">There has also been an increase in the proportion of graduates who are employed in an occupation that is not commensurate with their level of educational attainment. This suggests that graduates are ‘pushing down’ into lower skill level occupations (where they are competing with people with far fewer or no qualifications, such as long-term unemployed and unskilled young people). To illustrate, the proportion of those aged 15–64 years employed in clerical, sales and labourer occupations with a Bachelor degree or above has risen from 11.3 per cent in 2008 to 18.1 </w:t>
            </w:r>
            <w:r w:rsidRPr="00D54D53">
              <w:t xml:space="preserve">per cent in 2017 </w:t>
            </w:r>
            <w:r w:rsidR="006428DE">
              <w:t>(latest available data).</w:t>
            </w:r>
          </w:p>
          <w:p w14:paraId="67D59669" w14:textId="77777777" w:rsidR="00D30531" w:rsidRPr="006428DE" w:rsidRDefault="00D30531" w:rsidP="00E8748B">
            <w:pPr>
              <w:pStyle w:val="Heading3"/>
              <w:outlineLvl w:val="2"/>
              <w:rPr>
                <w:rStyle w:val="IntenseEmphasis"/>
                <w:b/>
                <w:bCs/>
                <w:i w:val="0"/>
              </w:rPr>
            </w:pPr>
            <w:r w:rsidRPr="006428DE">
              <w:t>Mature-aged (people aged 55 years</w:t>
            </w:r>
            <w:r w:rsidRPr="006428DE">
              <w:rPr>
                <w:rStyle w:val="IntenseEmphasis"/>
                <w:b/>
                <w:bCs/>
                <w:i w:val="0"/>
              </w:rPr>
              <w:t xml:space="preserve"> and over)</w:t>
            </w:r>
            <w:r w:rsidRPr="006428DE">
              <w:rPr>
                <w:rStyle w:val="EndnoteReference"/>
              </w:rPr>
              <w:endnoteReference w:id="24"/>
            </w:r>
          </w:p>
          <w:p w14:paraId="07F82299" w14:textId="3FB81BAE" w:rsidR="00D30531" w:rsidRPr="00D54D53" w:rsidRDefault="00D30531" w:rsidP="00D46B76">
            <w:pPr>
              <w:spacing w:after="120"/>
              <w:rPr>
                <w:rFonts w:ascii="Calibri" w:eastAsia="Calibri" w:hAnsi="Calibri"/>
              </w:rPr>
            </w:pPr>
            <w:r w:rsidRPr="00D54D53">
              <w:rPr>
                <w:rFonts w:ascii="Calibri" w:eastAsia="Calibri" w:hAnsi="Calibri"/>
              </w:rPr>
              <w:t xml:space="preserve">In </w:t>
            </w:r>
            <w:r w:rsidRPr="00A03A49">
              <w:t xml:space="preserve">the context of an ageing population, older Australians now comprise a large and growing proportion of the labour force (as they take their jobs with them as they move into the older age cohorts) as well as the overall unemployment pool. Mature-age persons tend to have a lower unemployment rate than their younger counterparts (3.8 per cent in May 2018, compared with 4.4 per cent for persons aged 25-54). </w:t>
            </w:r>
            <w:r w:rsidR="006428DE" w:rsidRPr="00A03A49">
              <w:t>However, once a mature age worker becomes unemployed, they face much greater difficulty</w:t>
            </w:r>
            <w:r w:rsidRPr="00A03A49">
              <w:t xml:space="preserve"> finding subsequent employment, when compared with younger cohorts (with an average duration of unemployment of 74 weeks in May 2018, compared with 54 weeks for persons aged 25-54 years)</w:t>
            </w:r>
            <w:r w:rsidRPr="00D54D53">
              <w:rPr>
                <w:rFonts w:ascii="Calibri" w:eastAsia="Calibri" w:hAnsi="Calibri"/>
              </w:rPr>
              <w:t>.</w:t>
            </w:r>
          </w:p>
          <w:p w14:paraId="55540300" w14:textId="709BF75A" w:rsidR="00D30531" w:rsidRPr="00D54D53" w:rsidRDefault="00D30531" w:rsidP="00D46B76">
            <w:pPr>
              <w:spacing w:after="120"/>
              <w:rPr>
                <w:rFonts w:ascii="Calibri" w:eastAsia="Calibri" w:hAnsi="Calibri"/>
              </w:rPr>
            </w:pPr>
            <w:r w:rsidRPr="00D54D53">
              <w:rPr>
                <w:rFonts w:ascii="Calibri" w:eastAsia="Calibri" w:hAnsi="Calibri"/>
              </w:rPr>
              <w:lastRenderedPageBreak/>
              <w:t xml:space="preserve">Evidence suggests that older unemployed persons continue to suffer from various forms of age discrimination and job selection bias. Moreover, employers may falsely believe that mature-aged workers are inflexible, cannot adapt to technological change and are difficult to train. </w:t>
            </w:r>
            <w:r w:rsidRPr="00D54D53">
              <w:rPr>
                <w:rFonts w:cstheme="minorHAnsi"/>
              </w:rPr>
              <w:t xml:space="preserve">It is true, however, that due to structural changes in the economy, an older person who has been in a job for longer may have job specific skills that are no longer required and would therefore need training (a sunk cost to employers) to gain subsequent employment after retrenchment.  </w:t>
            </w:r>
          </w:p>
          <w:p w14:paraId="1303F26A" w14:textId="77777777" w:rsidR="00D30531" w:rsidRPr="006428DE" w:rsidRDefault="00D30531" w:rsidP="00E8748B">
            <w:pPr>
              <w:pStyle w:val="Heading3"/>
              <w:outlineLvl w:val="2"/>
              <w:rPr>
                <w:rStyle w:val="IntenseEmphasis"/>
                <w:b/>
                <w:bCs/>
                <w:i w:val="0"/>
              </w:rPr>
            </w:pPr>
            <w:r w:rsidRPr="006428DE">
              <w:rPr>
                <w:rStyle w:val="IntenseEmphasis"/>
                <w:b/>
                <w:bCs/>
                <w:i w:val="0"/>
              </w:rPr>
              <w:t>Jobless families and one parent families</w:t>
            </w:r>
            <w:r w:rsidRPr="006428DE">
              <w:rPr>
                <w:rStyle w:val="EndnoteReference"/>
              </w:rPr>
              <w:endnoteReference w:id="25"/>
            </w:r>
          </w:p>
          <w:p w14:paraId="19779710" w14:textId="77777777" w:rsidR="00D30531" w:rsidRPr="00355F46" w:rsidRDefault="00D30531" w:rsidP="00A03A49">
            <w:r w:rsidRPr="00355F46">
              <w:t xml:space="preserve">Reflecting the </w:t>
            </w:r>
            <w:r>
              <w:t xml:space="preserve">recent </w:t>
            </w:r>
            <w:r w:rsidRPr="00355F46">
              <w:t xml:space="preserve">strengthening in labour market conditions, the number of </w:t>
            </w:r>
            <w:r w:rsidRPr="00355F46">
              <w:rPr>
                <w:bCs/>
              </w:rPr>
              <w:t>jobless families with children</w:t>
            </w:r>
            <w:r w:rsidRPr="00355F46">
              <w:t xml:space="preserve"> </w:t>
            </w:r>
            <w:r>
              <w:t xml:space="preserve">has </w:t>
            </w:r>
            <w:r w:rsidRPr="00355F46">
              <w:t>decreased</w:t>
            </w:r>
            <w:r>
              <w:t xml:space="preserve"> over the year to June 2017 (latest available data)</w:t>
            </w:r>
            <w:r w:rsidRPr="00355F46">
              <w:t xml:space="preserve"> by 7,200 (or 2.4</w:t>
            </w:r>
            <w:r>
              <w:t> </w:t>
            </w:r>
            <w:r w:rsidRPr="00355F46">
              <w:t>per</w:t>
            </w:r>
            <w:r>
              <w:t> </w:t>
            </w:r>
            <w:r w:rsidRPr="00355F46">
              <w:t xml:space="preserve">cent) to stand at 298,700. In June 2017, 39.8 per cent of </w:t>
            </w:r>
            <w:r w:rsidRPr="00355F46">
              <w:rPr>
                <w:bCs/>
              </w:rPr>
              <w:t>one parent families with children</w:t>
            </w:r>
            <w:r w:rsidRPr="00355F46">
              <w:t xml:space="preserve"> (or 192,000) were jobless, marginally lower than the 39.9 reco</w:t>
            </w:r>
            <w:r>
              <w:t>rded in</w:t>
            </w:r>
            <w:r w:rsidRPr="00355F46">
              <w:t xml:space="preserve"> June 2016.</w:t>
            </w:r>
          </w:p>
          <w:p w14:paraId="1BEB1064" w14:textId="4439C6AB" w:rsidR="00D30531" w:rsidRDefault="00D30531" w:rsidP="00A03A49">
            <w:pPr>
              <w:rPr>
                <w:rFonts w:cstheme="minorHAnsi"/>
              </w:rPr>
            </w:pPr>
            <w:r>
              <w:rPr>
                <w:rFonts w:cstheme="minorHAnsi"/>
              </w:rPr>
              <w:t>T</w:t>
            </w:r>
            <w:r w:rsidRPr="00F664D8">
              <w:rPr>
                <w:rFonts w:cstheme="minorHAnsi"/>
              </w:rPr>
              <w:t xml:space="preserve">he ABS </w:t>
            </w:r>
            <w:r w:rsidRPr="006428DE">
              <w:rPr>
                <w:rFonts w:cstheme="minorHAnsi"/>
              </w:rPr>
              <w:t>Barriers and Incentives to Labour Force Participation</w:t>
            </w:r>
            <w:r w:rsidRPr="00F664D8">
              <w:rPr>
                <w:rFonts w:cstheme="minorHAnsi"/>
                <w:i/>
              </w:rPr>
              <w:t xml:space="preserve"> </w:t>
            </w:r>
            <w:r w:rsidRPr="00F664D8">
              <w:rPr>
                <w:rFonts w:cstheme="minorHAnsi"/>
              </w:rPr>
              <w:t>publication indicates that</w:t>
            </w:r>
            <w:r>
              <w:rPr>
                <w:rFonts w:cstheme="minorHAnsi"/>
              </w:rPr>
              <w:t>,</w:t>
            </w:r>
            <w:r w:rsidRPr="00F664D8">
              <w:rPr>
                <w:rFonts w:cstheme="minorHAnsi"/>
              </w:rPr>
              <w:t xml:space="preserve"> in </w:t>
            </w:r>
            <w:r w:rsidR="006428DE">
              <w:rPr>
                <w:rFonts w:cstheme="minorHAnsi"/>
              </w:rPr>
              <w:br/>
            </w:r>
            <w:r>
              <w:rPr>
                <w:rFonts w:cstheme="minorHAnsi"/>
              </w:rPr>
              <w:t>2015-16,</w:t>
            </w:r>
            <w:r w:rsidRPr="00F664D8">
              <w:rPr>
                <w:rFonts w:cstheme="minorHAnsi"/>
              </w:rPr>
              <w:t xml:space="preserve"> there were </w:t>
            </w:r>
            <w:r w:rsidRPr="006C1A89">
              <w:rPr>
                <w:rFonts w:ascii="Calibri" w:hAnsi="Calibri" w:cs="Calibri"/>
              </w:rPr>
              <w:t xml:space="preserve">158,700 </w:t>
            </w:r>
            <w:r w:rsidRPr="00F664D8">
              <w:rPr>
                <w:rFonts w:cstheme="minorHAnsi"/>
              </w:rPr>
              <w:t xml:space="preserve">women who cited ‘Caring for children’ as their main reason for not looking for work/more hours. Of these women, </w:t>
            </w:r>
            <w:r>
              <w:rPr>
                <w:rFonts w:cstheme="minorHAnsi"/>
              </w:rPr>
              <w:t>more than a third</w:t>
            </w:r>
            <w:r w:rsidRPr="00F664D8">
              <w:rPr>
                <w:rFonts w:cstheme="minorHAnsi"/>
              </w:rPr>
              <w:t xml:space="preserve"> (</w:t>
            </w:r>
            <w:r>
              <w:rPr>
                <w:rFonts w:cstheme="minorHAnsi"/>
              </w:rPr>
              <w:t xml:space="preserve">59,800 or 37.7 </w:t>
            </w:r>
            <w:r w:rsidRPr="00F664D8">
              <w:rPr>
                <w:rFonts w:cstheme="minorHAnsi"/>
              </w:rPr>
              <w:t xml:space="preserve">per cent) said they ‘Preferred to look after </w:t>
            </w:r>
            <w:r w:rsidRPr="00212017">
              <w:rPr>
                <w:rFonts w:cstheme="minorHAnsi"/>
              </w:rPr>
              <w:t xml:space="preserve">children’ </w:t>
            </w:r>
            <w:r>
              <w:rPr>
                <w:rFonts w:cstheme="minorHAnsi"/>
              </w:rPr>
              <w:t>although 30,600</w:t>
            </w:r>
            <w:r w:rsidRPr="00212017">
              <w:rPr>
                <w:rFonts w:cstheme="minorHAnsi"/>
              </w:rPr>
              <w:t xml:space="preserve"> (or </w:t>
            </w:r>
            <w:r>
              <w:rPr>
                <w:rFonts w:cstheme="minorHAnsi"/>
              </w:rPr>
              <w:t xml:space="preserve">19.3 </w:t>
            </w:r>
            <w:r w:rsidRPr="00212017">
              <w:rPr>
                <w:rFonts w:cstheme="minorHAnsi"/>
              </w:rPr>
              <w:t>per cent) cited</w:t>
            </w:r>
            <w:r>
              <w:rPr>
                <w:rFonts w:cstheme="minorHAnsi"/>
              </w:rPr>
              <w:t xml:space="preserve"> childcare</w:t>
            </w:r>
            <w:r w:rsidRPr="00212017">
              <w:rPr>
                <w:rFonts w:cstheme="minorHAnsi"/>
              </w:rPr>
              <w:t xml:space="preserve"> </w:t>
            </w:r>
            <w:r w:rsidR="006428DE">
              <w:rPr>
                <w:rFonts w:cstheme="minorHAnsi"/>
              </w:rPr>
              <w:br/>
            </w:r>
            <w:r w:rsidRPr="00212017">
              <w:rPr>
                <w:rFonts w:cstheme="minorHAnsi"/>
              </w:rPr>
              <w:t xml:space="preserve">‘Cost/too expensive’ as their main reason for not looking for work/more hours, </w:t>
            </w:r>
            <w:r w:rsidRPr="00FC3B9C">
              <w:rPr>
                <w:rFonts w:cstheme="minorHAnsi"/>
              </w:rPr>
              <w:t xml:space="preserve">while </w:t>
            </w:r>
            <w:r>
              <w:rPr>
                <w:rFonts w:cstheme="minorHAnsi"/>
              </w:rPr>
              <w:t>20,900</w:t>
            </w:r>
            <w:r w:rsidRPr="00FC3B9C">
              <w:rPr>
                <w:rFonts w:cstheme="minorHAnsi"/>
              </w:rPr>
              <w:t xml:space="preserve"> </w:t>
            </w:r>
            <w:r w:rsidR="006428DE">
              <w:rPr>
                <w:rFonts w:cstheme="minorHAnsi"/>
              </w:rPr>
              <w:br/>
            </w:r>
            <w:r w:rsidRPr="00FC3B9C">
              <w:rPr>
                <w:rFonts w:cstheme="minorHAnsi"/>
              </w:rPr>
              <w:t xml:space="preserve">(or </w:t>
            </w:r>
            <w:r>
              <w:rPr>
                <w:rFonts w:cstheme="minorHAnsi"/>
              </w:rPr>
              <w:t>13.2 </w:t>
            </w:r>
            <w:r w:rsidRPr="00FC3B9C">
              <w:rPr>
                <w:rFonts w:cstheme="minorHAnsi"/>
              </w:rPr>
              <w:t>per</w:t>
            </w:r>
            <w:r>
              <w:rPr>
                <w:rFonts w:cstheme="minorHAnsi"/>
              </w:rPr>
              <w:t> </w:t>
            </w:r>
            <w:r w:rsidRPr="00FC3B9C">
              <w:rPr>
                <w:rFonts w:cstheme="minorHAnsi"/>
              </w:rPr>
              <w:t>cent) said ‘Childcare not available/childcare booked out/no childcare in locality’.</w:t>
            </w:r>
            <w:r>
              <w:rPr>
                <w:rStyle w:val="EndnoteReference"/>
                <w:rFonts w:cstheme="minorHAnsi"/>
              </w:rPr>
              <w:endnoteReference w:id="26"/>
            </w:r>
          </w:p>
          <w:p w14:paraId="23E07C0F" w14:textId="77777777" w:rsidR="00D30531" w:rsidRPr="00B64016" w:rsidRDefault="00D30531" w:rsidP="00E8748B">
            <w:pPr>
              <w:pStyle w:val="Heading3"/>
              <w:outlineLvl w:val="2"/>
              <w:rPr>
                <w:rStyle w:val="IntenseEmphasis"/>
              </w:rPr>
            </w:pPr>
            <w:r w:rsidRPr="00CB5A2D">
              <w:t>Female labour force participation</w:t>
            </w:r>
            <w:r>
              <w:rPr>
                <w:rStyle w:val="EndnoteReference"/>
                <w:b w:val="0"/>
                <w:bCs w:val="0"/>
                <w:i/>
              </w:rPr>
              <w:endnoteReference w:id="27"/>
            </w:r>
          </w:p>
          <w:p w14:paraId="760419F9" w14:textId="77777777" w:rsidR="00D30531" w:rsidRDefault="00D30531" w:rsidP="00D46B76">
            <w:pPr>
              <w:rPr>
                <w:rFonts w:cstheme="minorHAnsi"/>
              </w:rPr>
            </w:pPr>
            <w:r w:rsidRPr="00A03A49">
              <w:t>While the overall female participation rate has increased dramatically over recent decades, it is not surprising that it declines during a woman’s prime childbearing years and begins to rise again once their child rearing responsibilities decrease (i.e. particularly when children reach school age—see discussion on jobless families above). Importantly, the participation rate for females has increased considerably over the last four decades, up from 43.7 per cent in May 1978, to 60.4 per cent in May 2018. This reflects, in part, greater access to childcare, the emergence of more flexible work arrangements, an increasing acceptance of women with children remaining in the labour force and a rise in employment in the industries that have traditionally favoured</w:t>
            </w:r>
            <w:r>
              <w:rPr>
                <w:rFonts w:cstheme="minorHAnsi"/>
              </w:rPr>
              <w:t xml:space="preserve"> females.</w:t>
            </w:r>
          </w:p>
          <w:p w14:paraId="16654D16" w14:textId="77777777" w:rsidR="00D30531" w:rsidRPr="00CB5A2D" w:rsidRDefault="00D30531" w:rsidP="00E8748B">
            <w:pPr>
              <w:pStyle w:val="Heading3"/>
              <w:outlineLvl w:val="2"/>
              <w:rPr>
                <w:rStyle w:val="IntenseEmphasis"/>
                <w:b/>
                <w:bCs/>
                <w:i w:val="0"/>
              </w:rPr>
            </w:pPr>
            <w:r w:rsidRPr="00CB5A2D">
              <w:rPr>
                <w:rStyle w:val="IntenseEmphasis"/>
                <w:b/>
                <w:bCs/>
                <w:i w:val="0"/>
              </w:rPr>
              <w:t>Indigenous Australians</w:t>
            </w:r>
            <w:r w:rsidRPr="00CB5A2D">
              <w:rPr>
                <w:rStyle w:val="EndnoteReference"/>
                <w:b w:val="0"/>
              </w:rPr>
              <w:endnoteReference w:id="28"/>
            </w:r>
          </w:p>
          <w:p w14:paraId="474B008F" w14:textId="2006975F" w:rsidR="00D30531" w:rsidRPr="005C4C19" w:rsidRDefault="00D30531" w:rsidP="00D46B76">
            <w:pPr>
              <w:rPr>
                <w:b/>
                <w:bCs/>
                <w:i/>
              </w:rPr>
            </w:pPr>
            <w:r w:rsidRPr="005C4C19">
              <w:rPr>
                <w:rStyle w:val="IntenseEmphasis"/>
                <w:b w:val="0"/>
                <w:i w:val="0"/>
              </w:rPr>
              <w:t>Indigenous Australians can face considerable disadvantage in finding work. The unemployment rate for Indigenous Australians stood at 18.2 per cent in August 2016, well above the rate for</w:t>
            </w:r>
            <w:r w:rsidR="00CB5A2D">
              <w:rPr>
                <w:rStyle w:val="IntenseEmphasis"/>
                <w:b w:val="0"/>
                <w:i w:val="0"/>
              </w:rPr>
              <w:t xml:space="preserve"> </w:t>
            </w:r>
            <w:r w:rsidR="00CB5A2D">
              <w:rPr>
                <w:rStyle w:val="IntenseEmphasis"/>
                <w:b w:val="0"/>
                <w:i w:val="0"/>
              </w:rPr>
              <w:br/>
            </w:r>
            <w:r w:rsidRPr="005C4C19">
              <w:rPr>
                <w:rStyle w:val="IntenseEmphasis"/>
                <w:b w:val="0"/>
                <w:i w:val="0"/>
              </w:rPr>
              <w:t xml:space="preserve">non-Indigenous (6.6 per cent). Just over half (53.9 per cent) of Indigenous people were participating in the labour market in 2016, well below the 64.9 per cent for non-Indigenous. This could be due to a range of factors, but a particular issue is </w:t>
            </w:r>
            <w:r>
              <w:rPr>
                <w:rStyle w:val="IntenseEmphasis"/>
                <w:b w:val="0"/>
                <w:i w:val="0"/>
              </w:rPr>
              <w:t xml:space="preserve">that </w:t>
            </w:r>
            <w:r w:rsidRPr="00DE2B6C">
              <w:rPr>
                <w:rStyle w:val="IntenseEmphasis"/>
                <w:b w:val="0"/>
                <w:i w:val="0"/>
              </w:rPr>
              <w:t xml:space="preserve">Indigenous Australians </w:t>
            </w:r>
            <w:r w:rsidRPr="005C4C19">
              <w:rPr>
                <w:rStyle w:val="IntenseEmphasis"/>
                <w:b w:val="0"/>
                <w:i w:val="0"/>
              </w:rPr>
              <w:t>are often located in regional and remote communities where there are limited job opportunities.</w:t>
            </w:r>
            <w:r w:rsidRPr="005C4C19">
              <w:rPr>
                <w:rStyle w:val="IntenseEmphasis"/>
                <w:i w:val="0"/>
              </w:rPr>
              <w:t xml:space="preserve"> </w:t>
            </w:r>
            <w:r w:rsidRPr="005C4C19">
              <w:rPr>
                <w:rStyle w:val="IntenseEmphasis"/>
                <w:b w:val="0"/>
                <w:i w:val="0"/>
              </w:rPr>
              <w:t>Indigenous</w:t>
            </w:r>
            <w:r w:rsidRPr="005C4C19">
              <w:rPr>
                <w:rStyle w:val="IntenseEmphasis"/>
                <w:i w:val="0"/>
              </w:rPr>
              <w:t xml:space="preserve"> </w:t>
            </w:r>
            <w:r w:rsidRPr="005C4C19">
              <w:rPr>
                <w:rStyle w:val="IntenseEmphasis"/>
                <w:b w:val="0"/>
                <w:i w:val="0"/>
              </w:rPr>
              <w:t>Australian</w:t>
            </w:r>
            <w:r>
              <w:rPr>
                <w:rStyle w:val="IntenseEmphasis"/>
                <w:b w:val="0"/>
                <w:i w:val="0"/>
              </w:rPr>
              <w:t>s</w:t>
            </w:r>
            <w:r w:rsidRPr="005C4C19">
              <w:rPr>
                <w:rStyle w:val="IntenseEmphasis"/>
                <w:b w:val="0"/>
                <w:i w:val="0"/>
              </w:rPr>
              <w:t xml:space="preserve"> generally have lower educational levels than non-Indigenous Australians, which also affects their competitiveness in the job market.</w:t>
            </w:r>
          </w:p>
          <w:p w14:paraId="2361574D" w14:textId="77777777" w:rsidR="00D30531" w:rsidRPr="00B4343F" w:rsidRDefault="00D30531" w:rsidP="00E8748B">
            <w:pPr>
              <w:pStyle w:val="Heading3"/>
              <w:outlineLvl w:val="2"/>
            </w:pPr>
            <w:r w:rsidRPr="00B4343F">
              <w:t xml:space="preserve">Indigenous </w:t>
            </w:r>
            <w:r>
              <w:t>d</w:t>
            </w:r>
            <w:r w:rsidRPr="00B4343F">
              <w:t xml:space="preserve">igital </w:t>
            </w:r>
            <w:r>
              <w:t>i</w:t>
            </w:r>
            <w:r w:rsidRPr="00B4343F">
              <w:t>nclusion</w:t>
            </w:r>
            <w:r w:rsidRPr="00B4343F">
              <w:rPr>
                <w:rStyle w:val="EndnoteReference"/>
                <w:rFonts w:cstheme="minorHAnsi"/>
                <w:b w:val="0"/>
                <w:i/>
              </w:rPr>
              <w:endnoteReference w:id="29"/>
            </w:r>
          </w:p>
          <w:p w14:paraId="685EE748" w14:textId="71170A2D" w:rsidR="00D30531" w:rsidRPr="00B30DFF" w:rsidRDefault="00D30531" w:rsidP="00D46B76">
            <w:pPr>
              <w:rPr>
                <w:rFonts w:cstheme="minorHAnsi"/>
              </w:rPr>
            </w:pPr>
            <w:r w:rsidRPr="00B30DFF">
              <w:rPr>
                <w:rFonts w:cstheme="minorHAnsi"/>
              </w:rPr>
              <w:t xml:space="preserve">There is a gap </w:t>
            </w:r>
            <w:r>
              <w:rPr>
                <w:rFonts w:cstheme="minorHAnsi"/>
              </w:rPr>
              <w:t>in</w:t>
            </w:r>
            <w:r w:rsidRPr="00B30DFF">
              <w:rPr>
                <w:rFonts w:cstheme="minorHAnsi"/>
              </w:rPr>
              <w:t xml:space="preserve"> the digital inclusion levels between Indigenous </w:t>
            </w:r>
            <w:r>
              <w:rPr>
                <w:rFonts w:cstheme="minorHAnsi"/>
              </w:rPr>
              <w:t xml:space="preserve">and </w:t>
            </w:r>
            <w:r w:rsidRPr="00B30DFF">
              <w:rPr>
                <w:rFonts w:cstheme="minorHAnsi"/>
              </w:rPr>
              <w:t>non-Indigenous Australians.</w:t>
            </w:r>
            <w:r>
              <w:rPr>
                <w:rFonts w:cstheme="minorHAnsi"/>
              </w:rPr>
              <w:t xml:space="preserve"> </w:t>
            </w:r>
            <w:r w:rsidR="00CB5A2D">
              <w:rPr>
                <w:rFonts w:cstheme="minorHAnsi"/>
              </w:rPr>
              <w:t xml:space="preserve">Indigenous </w:t>
            </w:r>
            <w:r w:rsidR="00CB5A2D" w:rsidRPr="00E8748B">
              <w:rPr>
                <w:rFonts w:cstheme="minorHAnsi"/>
              </w:rPr>
              <w:t>people are 69 per cent</w:t>
            </w:r>
            <w:r w:rsidRPr="00E8748B">
              <w:rPr>
                <w:rFonts w:cstheme="minorHAnsi"/>
              </w:rPr>
              <w:t xml:space="preserve"> less likely</w:t>
            </w:r>
            <w:r w:rsidRPr="00B30DFF">
              <w:rPr>
                <w:rFonts w:cstheme="minorHAnsi"/>
              </w:rPr>
              <w:t xml:space="preserve"> to have any internet connection than non-Indigenous Australians. </w:t>
            </w:r>
          </w:p>
          <w:p w14:paraId="1BDBABD8" w14:textId="77777777" w:rsidR="00D30531" w:rsidRPr="00B30DFF" w:rsidRDefault="00D30531" w:rsidP="00D46B76">
            <w:pPr>
              <w:rPr>
                <w:rFonts w:cstheme="minorHAnsi"/>
              </w:rPr>
            </w:pPr>
            <w:r>
              <w:rPr>
                <w:rFonts w:cstheme="minorHAnsi"/>
              </w:rPr>
              <w:lastRenderedPageBreak/>
              <w:t>T</w:t>
            </w:r>
            <w:r w:rsidRPr="00B30DFF">
              <w:rPr>
                <w:rFonts w:cstheme="minorHAnsi"/>
              </w:rPr>
              <w:t>he Australian Digital Inclusion Index (ADII), which measures Indigenous digital inclusion using indicators like access, affordability, usage, skills and relevance, shows digital inclusion for Indigenous people is seven points lower than the national average. This does not include remote areas where digital inclusion is expected to be far lower.</w:t>
            </w:r>
          </w:p>
          <w:p w14:paraId="555C4C84" w14:textId="77777777" w:rsidR="00D30531" w:rsidRPr="00B30DFF" w:rsidRDefault="00D30531" w:rsidP="00D46B76">
            <w:pPr>
              <w:rPr>
                <w:rFonts w:cstheme="minorHAnsi"/>
              </w:rPr>
            </w:pPr>
            <w:r w:rsidRPr="00B30DFF">
              <w:rPr>
                <w:rFonts w:cstheme="minorHAnsi"/>
              </w:rPr>
              <w:t>The low digital inclusion score cannot be explaine</w:t>
            </w:r>
            <w:r>
              <w:rPr>
                <w:rFonts w:cstheme="minorHAnsi"/>
              </w:rPr>
              <w:t>d by low socio-economic status</w:t>
            </w:r>
            <w:r w:rsidRPr="00B30DFF">
              <w:rPr>
                <w:rFonts w:cstheme="minorHAnsi"/>
              </w:rPr>
              <w:t xml:space="preserve"> alone. When compared with the total low SES population, Indigenous Australians score lower across all indices.</w:t>
            </w:r>
          </w:p>
          <w:p w14:paraId="50F055FE" w14:textId="77777777" w:rsidR="00D30531" w:rsidRPr="00B4343F" w:rsidRDefault="00D30531" w:rsidP="00D46B76">
            <w:pPr>
              <w:spacing w:after="0"/>
              <w:rPr>
                <w:rFonts w:cstheme="minorHAnsi"/>
                <w:b/>
                <w:i/>
              </w:rPr>
            </w:pPr>
            <w:r w:rsidRPr="00B4343F">
              <w:rPr>
                <w:rFonts w:cstheme="minorHAnsi"/>
                <w:b/>
                <w:i/>
              </w:rPr>
              <w:t>Digital literacy and affordability</w:t>
            </w:r>
          </w:p>
          <w:p w14:paraId="2F1FDCA6" w14:textId="77777777" w:rsidR="00D30531" w:rsidRPr="00B30DFF" w:rsidRDefault="00D30531" w:rsidP="00D46B76">
            <w:pPr>
              <w:rPr>
                <w:rFonts w:cstheme="minorHAnsi"/>
              </w:rPr>
            </w:pPr>
            <w:r w:rsidRPr="00B30DFF">
              <w:rPr>
                <w:rFonts w:cstheme="minorHAnsi"/>
              </w:rPr>
              <w:t>Indigenous Australians are much more likely to be mobile-only users. Mobile-only users tend to have lower digital ability and are less likely to use the internet for transactions. Mobile data is more expensive so Indigenous Australians get less value out of their expenditure.</w:t>
            </w:r>
          </w:p>
          <w:p w14:paraId="74608AF1" w14:textId="77777777" w:rsidR="00D30531" w:rsidRPr="00B4343F" w:rsidRDefault="00D30531" w:rsidP="00D46B76">
            <w:pPr>
              <w:spacing w:after="0"/>
              <w:rPr>
                <w:rFonts w:cstheme="minorHAnsi"/>
                <w:b/>
                <w:i/>
              </w:rPr>
            </w:pPr>
            <w:r w:rsidRPr="00B4343F">
              <w:rPr>
                <w:rFonts w:cstheme="minorHAnsi"/>
                <w:b/>
                <w:i/>
              </w:rPr>
              <w:t>Availability</w:t>
            </w:r>
          </w:p>
          <w:p w14:paraId="36BF3A0F" w14:textId="77777777" w:rsidR="00D30531" w:rsidRPr="00B30DFF" w:rsidRDefault="00D30531" w:rsidP="00D46B76">
            <w:pPr>
              <w:spacing w:after="0"/>
              <w:rPr>
                <w:rFonts w:cstheme="minorHAnsi"/>
              </w:rPr>
            </w:pPr>
            <w:r w:rsidRPr="00B30DFF">
              <w:rPr>
                <w:rFonts w:cstheme="minorHAnsi"/>
              </w:rPr>
              <w:t xml:space="preserve">Of </w:t>
            </w:r>
            <w:r>
              <w:rPr>
                <w:rFonts w:cstheme="minorHAnsi"/>
              </w:rPr>
              <w:t xml:space="preserve">the </w:t>
            </w:r>
            <w:r w:rsidRPr="00B30DFF">
              <w:rPr>
                <w:rFonts w:cstheme="minorHAnsi"/>
              </w:rPr>
              <w:t xml:space="preserve">1516 Indigenous urban, regional and remote communities for which </w:t>
            </w:r>
            <w:r>
              <w:rPr>
                <w:rFonts w:cstheme="minorHAnsi"/>
              </w:rPr>
              <w:t>data are available, only</w:t>
            </w:r>
            <w:r w:rsidRPr="00B30DFF">
              <w:rPr>
                <w:rFonts w:cstheme="minorHAnsi"/>
              </w:rPr>
              <w:t>:</w:t>
            </w:r>
          </w:p>
          <w:p w14:paraId="61232AB0" w14:textId="77777777" w:rsidR="00D30531" w:rsidRPr="00087A17" w:rsidRDefault="00D30531" w:rsidP="00087A17">
            <w:pPr>
              <w:pStyle w:val="ListParagraph"/>
            </w:pPr>
            <w:r w:rsidRPr="00087A17">
              <w:t>856 have or will receive mobile coverage, and</w:t>
            </w:r>
          </w:p>
          <w:p w14:paraId="5D69DCD9" w14:textId="3E5FFC08" w:rsidR="00D30531" w:rsidRPr="00087A17" w:rsidRDefault="00D30531" w:rsidP="00087A17">
            <w:pPr>
              <w:pStyle w:val="ListParagraph"/>
            </w:pPr>
            <w:r w:rsidRPr="00087A17">
              <w:t>51 have access to terrestrial NBN.</w:t>
            </w:r>
          </w:p>
          <w:p w14:paraId="414A626C" w14:textId="4F8A8D6F" w:rsidR="00D30531" w:rsidRPr="0011293C" w:rsidRDefault="00D30531" w:rsidP="00CB5A2D">
            <w:pPr>
              <w:rPr>
                <w:rFonts w:cstheme="minorHAnsi"/>
              </w:rPr>
            </w:pPr>
            <w:r>
              <w:rPr>
                <w:rFonts w:cstheme="minorHAnsi"/>
              </w:rPr>
              <w:t xml:space="preserve">A total of </w:t>
            </w:r>
            <w:r w:rsidRPr="00B30DFF">
              <w:rPr>
                <w:rFonts w:cstheme="minorHAnsi"/>
              </w:rPr>
              <w:t>51.9</w:t>
            </w:r>
            <w:r w:rsidR="00CB5A2D">
              <w:rPr>
                <w:rFonts w:cstheme="minorHAnsi"/>
              </w:rPr>
              <w:t xml:space="preserve"> per cent</w:t>
            </w:r>
            <w:r w:rsidRPr="00B30DFF">
              <w:rPr>
                <w:rFonts w:cstheme="minorHAnsi"/>
              </w:rPr>
              <w:t xml:space="preserve"> of Indigenous people living in very remote areas did not access the internet in las</w:t>
            </w:r>
            <w:r w:rsidR="00CB5A2D">
              <w:rPr>
                <w:rFonts w:cstheme="minorHAnsi"/>
              </w:rPr>
              <w:t>t 12 months, compared with 11.1 per cent</w:t>
            </w:r>
            <w:r w:rsidRPr="00B30DFF">
              <w:rPr>
                <w:rFonts w:cstheme="minorHAnsi"/>
              </w:rPr>
              <w:t xml:space="preserve"> of Indigenous Australians living in major cities.</w:t>
            </w:r>
          </w:p>
        </w:tc>
      </w:tr>
    </w:tbl>
    <w:p w14:paraId="226E20D9" w14:textId="77777777" w:rsidR="000F333C" w:rsidRDefault="000F333C" w:rsidP="00A03A49">
      <w:pPr>
        <w:rPr>
          <w:rFonts w:ascii="Calibri" w:eastAsiaTheme="majorEastAsia" w:hAnsi="Calibri" w:cstheme="majorBidi"/>
          <w:color w:val="1E3D6B"/>
          <w:sz w:val="36"/>
          <w:szCs w:val="28"/>
        </w:rPr>
      </w:pPr>
      <w:r>
        <w:lastRenderedPageBreak/>
        <w:br w:type="page"/>
      </w:r>
    </w:p>
    <w:p w14:paraId="0AED10D8" w14:textId="7A040D12" w:rsidR="00D30531" w:rsidRPr="003A51FD" w:rsidRDefault="00D30531" w:rsidP="00D00151">
      <w:pPr>
        <w:pStyle w:val="Heading1"/>
      </w:pPr>
      <w:bookmarkStart w:id="26" w:name="_Toc518050085"/>
      <w:r>
        <w:lastRenderedPageBreak/>
        <w:t>Appendix H</w:t>
      </w:r>
      <w:r w:rsidR="000F333C">
        <w:t>:</w:t>
      </w:r>
      <w:bookmarkEnd w:id="18"/>
      <w:bookmarkEnd w:id="19"/>
      <w:r w:rsidR="009F426F">
        <w:br/>
      </w:r>
      <w:r w:rsidR="0098788E">
        <w:t>International employment services</w:t>
      </w:r>
      <w:bookmarkEnd w:id="26"/>
    </w:p>
    <w:p w14:paraId="2741606C" w14:textId="77777777" w:rsidR="00D30531" w:rsidRDefault="00D30531" w:rsidP="006966DA">
      <w:pPr>
        <w:pStyle w:val="Heading2"/>
      </w:pPr>
      <w:bookmarkStart w:id="27" w:name="_Toc513814284"/>
      <w:r>
        <w:t>Summary of international trends in employment service models</w:t>
      </w:r>
    </w:p>
    <w:p w14:paraId="78C1DF9C" w14:textId="572F4C22" w:rsidR="00D30531" w:rsidRDefault="00D30531" w:rsidP="00E8748B">
      <w:pPr>
        <w:pStyle w:val="Heading3"/>
        <w:rPr>
          <w:noProof/>
        </w:rPr>
      </w:pPr>
      <w:bookmarkStart w:id="28" w:name="_Toc513814285"/>
      <w:bookmarkEnd w:id="27"/>
      <w:r>
        <w:rPr>
          <w:noProof/>
        </w:rPr>
        <w:t>Introduction</w:t>
      </w:r>
    </w:p>
    <w:p w14:paraId="364FFC49" w14:textId="77777777" w:rsidR="00D30531" w:rsidRDefault="00D30531" w:rsidP="0027515F">
      <w:r>
        <w:t xml:space="preserve">This appendix outlines some of the key features of government-funded public employment services (PES) in several other Organisation for Economic Co-operation and Development (OECD) member countries. It is focused on policy settings in countries which are broadly comparable to Australia and which may be of assistance to readers when considering options for a future Australian employment services model. </w:t>
      </w:r>
    </w:p>
    <w:p w14:paraId="358E3C5C" w14:textId="77777777" w:rsidR="00D30531" w:rsidRDefault="00D30531" w:rsidP="0027515F">
      <w:r w:rsidRPr="006D34CE">
        <w:t xml:space="preserve">The selection of examples in this </w:t>
      </w:r>
      <w:r>
        <w:t>appendix</w:t>
      </w:r>
      <w:r w:rsidRPr="006D34CE">
        <w:t xml:space="preserve"> does not imply endorsement of their suitability in the Australian context.</w:t>
      </w:r>
      <w:r>
        <w:t xml:space="preserve"> The Employment Services Expert Advisory Panel and Department of Jobs and Small Business are drawing on a wide range of domestic and international evidence to inform potential options.</w:t>
      </w:r>
    </w:p>
    <w:p w14:paraId="2CAE65F9" w14:textId="77777777" w:rsidR="00D30531" w:rsidRDefault="00D30531" w:rsidP="0027515F">
      <w:r>
        <w:t>All information in this appendix has been sourced from public documents. The policy settings described were current as at early 2018.</w:t>
      </w:r>
    </w:p>
    <w:p w14:paraId="32C5E112" w14:textId="3FBE4551" w:rsidR="00D30531" w:rsidRPr="00304FAD" w:rsidRDefault="00D30531" w:rsidP="00E8748B">
      <w:pPr>
        <w:pStyle w:val="Heading3"/>
        <w:rPr>
          <w:noProof/>
        </w:rPr>
      </w:pPr>
      <w:r>
        <w:rPr>
          <w:noProof/>
        </w:rPr>
        <w:t>International perspectives on labour market policies and a</w:t>
      </w:r>
      <w:r w:rsidRPr="00304FAD">
        <w:rPr>
          <w:noProof/>
        </w:rPr>
        <w:t>ctivation</w:t>
      </w:r>
      <w:bookmarkEnd w:id="28"/>
      <w:r w:rsidRPr="00304FAD">
        <w:rPr>
          <w:noProof/>
        </w:rPr>
        <w:t xml:space="preserve"> </w:t>
      </w:r>
    </w:p>
    <w:p w14:paraId="60CB384C" w14:textId="77777777" w:rsidR="00D30531" w:rsidRDefault="00D30531" w:rsidP="00A03A49">
      <w:pPr>
        <w:rPr>
          <w:noProof/>
        </w:rPr>
      </w:pPr>
      <w:r w:rsidRPr="00304FAD">
        <w:rPr>
          <w:noProof/>
        </w:rPr>
        <w:t xml:space="preserve">International research </w:t>
      </w:r>
      <w:r>
        <w:rPr>
          <w:noProof/>
        </w:rPr>
        <w:t>demonstrates</w:t>
      </w:r>
      <w:r w:rsidRPr="00304FAD">
        <w:rPr>
          <w:noProof/>
        </w:rPr>
        <w:t xml:space="preserve"> that there is no </w:t>
      </w:r>
      <w:r>
        <w:rPr>
          <w:noProof/>
        </w:rPr>
        <w:t>‘</w:t>
      </w:r>
      <w:r w:rsidRPr="00304FAD">
        <w:rPr>
          <w:noProof/>
        </w:rPr>
        <w:t>gold standard</w:t>
      </w:r>
      <w:r>
        <w:rPr>
          <w:noProof/>
        </w:rPr>
        <w:t>’</w:t>
      </w:r>
      <w:r w:rsidRPr="00304FAD">
        <w:rPr>
          <w:noProof/>
        </w:rPr>
        <w:t xml:space="preserve"> </w:t>
      </w:r>
      <w:r>
        <w:rPr>
          <w:noProof/>
        </w:rPr>
        <w:t xml:space="preserve">in </w:t>
      </w:r>
      <w:r w:rsidRPr="00304FAD">
        <w:rPr>
          <w:noProof/>
        </w:rPr>
        <w:t xml:space="preserve">employment services. </w:t>
      </w:r>
      <w:r>
        <w:rPr>
          <w:noProof/>
        </w:rPr>
        <w:t xml:space="preserve">There is considerable diversity in these policies, which results from </w:t>
      </w:r>
      <w:r w:rsidRPr="00304FAD">
        <w:rPr>
          <w:noProof/>
        </w:rPr>
        <w:t>di</w:t>
      </w:r>
      <w:r>
        <w:rPr>
          <w:noProof/>
        </w:rPr>
        <w:t>fferences in</w:t>
      </w:r>
      <w:r w:rsidRPr="00304FAD">
        <w:rPr>
          <w:noProof/>
        </w:rPr>
        <w:t xml:space="preserve"> starting points, institutions, government policies</w:t>
      </w:r>
      <w:r>
        <w:rPr>
          <w:noProof/>
        </w:rPr>
        <w:t>, funding models</w:t>
      </w:r>
      <w:r w:rsidRPr="00304FAD">
        <w:rPr>
          <w:noProof/>
        </w:rPr>
        <w:t xml:space="preserve"> and culture. For instance, European </w:t>
      </w:r>
      <w:r>
        <w:rPr>
          <w:noProof/>
        </w:rPr>
        <w:t xml:space="preserve">employment services </w:t>
      </w:r>
      <w:r w:rsidRPr="00304FAD">
        <w:rPr>
          <w:noProof/>
        </w:rPr>
        <w:t>are often part of a social insurance model, where services are</w:t>
      </w:r>
      <w:r>
        <w:rPr>
          <w:noProof/>
        </w:rPr>
        <w:t xml:space="preserve"> primarily</w:t>
      </w:r>
      <w:r w:rsidRPr="00304FAD">
        <w:rPr>
          <w:noProof/>
        </w:rPr>
        <w:t xml:space="preserve"> provided to individuals who </w:t>
      </w:r>
      <w:r>
        <w:rPr>
          <w:noProof/>
        </w:rPr>
        <w:t xml:space="preserve">are </w:t>
      </w:r>
      <w:r w:rsidRPr="00304FAD">
        <w:rPr>
          <w:noProof/>
        </w:rPr>
        <w:t>less disadvantaged</w:t>
      </w:r>
      <w:r>
        <w:rPr>
          <w:noProof/>
        </w:rPr>
        <w:t xml:space="preserve"> than those assisted by the Australia’s employment services.</w:t>
      </w:r>
    </w:p>
    <w:p w14:paraId="15289486" w14:textId="77777777" w:rsidR="00D30531" w:rsidRPr="006815EB" w:rsidRDefault="00D30531" w:rsidP="00E8748B">
      <w:pPr>
        <w:pStyle w:val="Heading3"/>
        <w:rPr>
          <w:noProof/>
        </w:rPr>
      </w:pPr>
      <w:bookmarkStart w:id="29" w:name="_Toc513814286"/>
      <w:r w:rsidRPr="006815EB">
        <w:rPr>
          <w:noProof/>
        </w:rPr>
        <w:t xml:space="preserve">Digital </w:t>
      </w:r>
      <w:r>
        <w:rPr>
          <w:noProof/>
        </w:rPr>
        <w:t>s</w:t>
      </w:r>
      <w:r w:rsidRPr="006815EB">
        <w:rPr>
          <w:noProof/>
        </w:rPr>
        <w:t>ervices</w:t>
      </w:r>
      <w:bookmarkEnd w:id="29"/>
    </w:p>
    <w:p w14:paraId="50D6A794" w14:textId="77777777" w:rsidR="00D30531" w:rsidRPr="006815EB" w:rsidRDefault="00D30531" w:rsidP="00DC1088">
      <w:pPr>
        <w:rPr>
          <w:noProof/>
        </w:rPr>
      </w:pPr>
      <w:r w:rsidRPr="006815EB">
        <w:rPr>
          <w:iCs/>
          <w:noProof/>
        </w:rPr>
        <w:t>Digital service delivery is transforming the way employment services operate</w:t>
      </w:r>
      <w:r>
        <w:rPr>
          <w:iCs/>
          <w:noProof/>
        </w:rPr>
        <w:t xml:space="preserve"> in many countries</w:t>
      </w:r>
      <w:r w:rsidRPr="006815EB">
        <w:rPr>
          <w:noProof/>
        </w:rPr>
        <w:t>. International experience</w:t>
      </w:r>
      <w:r>
        <w:rPr>
          <w:noProof/>
        </w:rPr>
        <w:t>s</w:t>
      </w:r>
      <w:r w:rsidRPr="006815EB">
        <w:rPr>
          <w:noProof/>
        </w:rPr>
        <w:t xml:space="preserve"> </w:t>
      </w:r>
      <w:r>
        <w:rPr>
          <w:noProof/>
        </w:rPr>
        <w:t>demonstrate</w:t>
      </w:r>
      <w:r w:rsidRPr="006815EB">
        <w:rPr>
          <w:noProof/>
        </w:rPr>
        <w:t xml:space="preserve"> that technology can provide sophisticated ‘self-help’ digital solutions to address barriers to employment, and complement face-to-face servicing. The digital employment services in the Flemish </w:t>
      </w:r>
      <w:r>
        <w:rPr>
          <w:noProof/>
        </w:rPr>
        <w:t>R</w:t>
      </w:r>
      <w:r w:rsidRPr="006815EB">
        <w:rPr>
          <w:noProof/>
        </w:rPr>
        <w:t>egion of Belgium are an example of a cost-effective way of delivering services to job seekers in a self-servicing environment. As well as including functions to assi</w:t>
      </w:r>
      <w:r>
        <w:rPr>
          <w:noProof/>
        </w:rPr>
        <w:t>s</w:t>
      </w:r>
      <w:r w:rsidRPr="006815EB">
        <w:rPr>
          <w:noProof/>
        </w:rPr>
        <w:t>t job seekers to search for work, these services also offer high-quality e-training</w:t>
      </w:r>
      <w:r>
        <w:rPr>
          <w:noProof/>
        </w:rPr>
        <w:t>.</w:t>
      </w:r>
    </w:p>
    <w:p w14:paraId="55E7BCDE" w14:textId="77777777" w:rsidR="00D30531" w:rsidRPr="006815EB" w:rsidRDefault="00D30531" w:rsidP="00E8748B">
      <w:pPr>
        <w:pStyle w:val="Heading3"/>
        <w:rPr>
          <w:noProof/>
        </w:rPr>
      </w:pPr>
      <w:bookmarkStart w:id="30" w:name="_Toc513814287"/>
      <w:r w:rsidRPr="006815EB">
        <w:rPr>
          <w:noProof/>
        </w:rPr>
        <w:t>Intensive services</w:t>
      </w:r>
      <w:bookmarkEnd w:id="30"/>
      <w:r w:rsidRPr="006815EB">
        <w:rPr>
          <w:noProof/>
        </w:rPr>
        <w:t xml:space="preserve"> </w:t>
      </w:r>
    </w:p>
    <w:p w14:paraId="36458444" w14:textId="77777777" w:rsidR="00D30531" w:rsidRDefault="00D30531" w:rsidP="00DC1088">
      <w:pPr>
        <w:spacing w:after="0"/>
        <w:rPr>
          <w:noProof/>
        </w:rPr>
      </w:pPr>
      <w:r>
        <w:rPr>
          <w:noProof/>
        </w:rPr>
        <w:t>Intensive</w:t>
      </w:r>
      <w:r w:rsidRPr="006815EB">
        <w:rPr>
          <w:noProof/>
        </w:rPr>
        <w:t xml:space="preserve"> services for disadvantaged job seekers remain a fundamental part of international employment services.</w:t>
      </w:r>
      <w:r>
        <w:rPr>
          <w:noProof/>
        </w:rPr>
        <w:t xml:space="preserve"> Key elements of international intensive services models include:</w:t>
      </w:r>
    </w:p>
    <w:p w14:paraId="23EFE299" w14:textId="77777777" w:rsidR="00D30531" w:rsidRPr="00E8748B" w:rsidRDefault="00D30531" w:rsidP="000F333C">
      <w:pPr>
        <w:pStyle w:val="ListParagraph"/>
        <w:rPr>
          <w:noProof/>
        </w:rPr>
      </w:pPr>
      <w:r w:rsidRPr="00E8748B">
        <w:t>Tailoring the assistance job seekers receive to their needs and barriers to employment</w:t>
      </w:r>
    </w:p>
    <w:p w14:paraId="44D4BC68" w14:textId="77777777" w:rsidR="00D30531" w:rsidRPr="00E8748B" w:rsidRDefault="00D30531" w:rsidP="000F333C">
      <w:pPr>
        <w:pStyle w:val="ListParagraph"/>
        <w:rPr>
          <w:noProof/>
        </w:rPr>
      </w:pPr>
      <w:r w:rsidRPr="00E8748B">
        <w:rPr>
          <w:noProof/>
        </w:rPr>
        <w:t>Applying early intervention principles when directing assistance to disadvantaged job seekers</w:t>
      </w:r>
    </w:p>
    <w:p w14:paraId="5A0EDA48" w14:textId="02F3F596" w:rsidR="00A03A49" w:rsidRDefault="00D30531" w:rsidP="00E019B6">
      <w:pPr>
        <w:pStyle w:val="ListParagraph"/>
      </w:pPr>
      <w:r w:rsidRPr="00E8748B">
        <w:rPr>
          <w:noProof/>
        </w:rPr>
        <w:t>Facilitating ‘wrap-around’ services for disadvantaged job seekers.</w:t>
      </w:r>
      <w:r w:rsidRPr="00E8748B">
        <w:t xml:space="preserve"> </w:t>
      </w:r>
    </w:p>
    <w:p w14:paraId="64213D47" w14:textId="77777777" w:rsidR="00A03A49" w:rsidRDefault="00A03A49">
      <w:pPr>
        <w:spacing w:before="0" w:after="160" w:line="259" w:lineRule="auto"/>
      </w:pPr>
      <w:r>
        <w:br w:type="page"/>
      </w:r>
    </w:p>
    <w:p w14:paraId="2444EAE4" w14:textId="77777777" w:rsidR="00D30531" w:rsidRPr="00E8748B" w:rsidRDefault="00D30531" w:rsidP="00A03A49"/>
    <w:tbl>
      <w:tblPr>
        <w:tblStyle w:val="TableGrid"/>
        <w:tblpPr w:leftFromText="180" w:rightFromText="180" w:vertAnchor="text" w:horzAnchor="margin" w:tblpY="18"/>
        <w:tblW w:w="0" w:type="auto"/>
        <w:tblLayout w:type="fixed"/>
        <w:tblLook w:val="04A0" w:firstRow="1" w:lastRow="0" w:firstColumn="1" w:lastColumn="0" w:noHBand="0" w:noVBand="1"/>
      </w:tblPr>
      <w:tblGrid>
        <w:gridCol w:w="9016"/>
      </w:tblGrid>
      <w:tr w:rsidR="00D30531" w14:paraId="50EADBDC" w14:textId="77777777" w:rsidTr="008A7EEF">
        <w:tc>
          <w:tcPr>
            <w:tcW w:w="9016" w:type="dxa"/>
          </w:tcPr>
          <w:p w14:paraId="06D8DF5D" w14:textId="77777777" w:rsidR="00D30531" w:rsidRPr="001566B2" w:rsidRDefault="00D30531" w:rsidP="00A03A49">
            <w:pPr>
              <w:pStyle w:val="Heading2"/>
              <w:keepLines/>
              <w:outlineLvl w:val="1"/>
            </w:pPr>
            <w:r w:rsidRPr="00C4033C">
              <w:t xml:space="preserve">Caveats </w:t>
            </w:r>
            <w:r>
              <w:t>to consider when assessing</w:t>
            </w:r>
            <w:r w:rsidRPr="00C4033C">
              <w:t xml:space="preserve"> international </w:t>
            </w:r>
            <w:r>
              <w:t>examples</w:t>
            </w:r>
          </w:p>
          <w:p w14:paraId="48FDB925" w14:textId="77777777" w:rsidR="00D30531" w:rsidRPr="00635782" w:rsidRDefault="00D30531" w:rsidP="00A03A49">
            <w:pPr>
              <w:keepNext/>
              <w:keepLines/>
              <w:rPr>
                <w:rFonts w:cstheme="minorHAnsi"/>
              </w:rPr>
            </w:pPr>
            <w:r w:rsidRPr="00635782">
              <w:rPr>
                <w:rFonts w:cstheme="minorHAnsi"/>
              </w:rPr>
              <w:t xml:space="preserve">Care needs to be taken when considering how international settings could be applied to Australian employment services due to the significant differences between countries’ economic circumstances, systems of government, policy frameworks and societies. </w:t>
            </w:r>
          </w:p>
          <w:p w14:paraId="48B4896C" w14:textId="77777777" w:rsidR="00D30531" w:rsidRPr="00635782" w:rsidRDefault="00D30531" w:rsidP="008A7EEF">
            <w:pPr>
              <w:rPr>
                <w:rFonts w:cstheme="minorHAnsi"/>
              </w:rPr>
            </w:pPr>
            <w:r w:rsidRPr="00635782">
              <w:rPr>
                <w:rFonts w:cstheme="minorHAnsi"/>
              </w:rPr>
              <w:t>As a result, measures which have been successful in other countries may not necessarily be well suited to Australian circumstances.</w:t>
            </w:r>
          </w:p>
          <w:p w14:paraId="7F7BF174" w14:textId="4A689AE4" w:rsidR="00D30531" w:rsidRPr="00437F2A" w:rsidRDefault="00D30531" w:rsidP="00437F2A">
            <w:pPr>
              <w:spacing w:line="240" w:lineRule="auto"/>
            </w:pPr>
            <w:r w:rsidRPr="00AC2F3C">
              <w:t xml:space="preserve">A key difference is that almost all of the countries covered in this </w:t>
            </w:r>
            <w:r>
              <w:t>appendix</w:t>
            </w:r>
            <w:r w:rsidRPr="00AC2F3C">
              <w:t xml:space="preserve"> have an insurance-based welfare system. In these countries</w:t>
            </w:r>
            <w:r>
              <w:t>,</w:t>
            </w:r>
            <w:r w:rsidRPr="00AC2F3C">
              <w:t xml:space="preserve"> job seekers receive unemployment benefits in return for financial contributions paid by themselves or their employers during periods of employment. These insurance-based benefits are typically time-limited, with job seekers receiving much lower payments after a set period of time. </w:t>
            </w:r>
            <w:r>
              <w:t>In contrast, Australia’s welfare system is funded through tax revenue and is available to all people who meet eligibility criteria.</w:t>
            </w:r>
          </w:p>
        </w:tc>
      </w:tr>
    </w:tbl>
    <w:p w14:paraId="6C248924" w14:textId="77777777" w:rsidR="00D30531" w:rsidRDefault="00D30531" w:rsidP="006966DA">
      <w:pPr>
        <w:pStyle w:val="Heading2"/>
      </w:pPr>
      <w:bookmarkStart w:id="31" w:name="_Toc506385736"/>
      <w:bookmarkStart w:id="32" w:name="_Toc506534816"/>
      <w:r>
        <w:t>Examples of public employment services in other OECD-member countries</w:t>
      </w:r>
    </w:p>
    <w:p w14:paraId="40A50B6D" w14:textId="77777777" w:rsidR="00D30531" w:rsidRPr="00431DA7" w:rsidRDefault="00D30531" w:rsidP="00E8748B">
      <w:pPr>
        <w:pStyle w:val="Heading3"/>
        <w:numPr>
          <w:ilvl w:val="0"/>
          <w:numId w:val="30"/>
        </w:numPr>
      </w:pPr>
      <w:r w:rsidRPr="00431DA7">
        <w:rPr>
          <w:noProof/>
          <w:color w:val="0000FF"/>
          <w:lang w:eastAsia="en-AU"/>
        </w:rPr>
        <w:drawing>
          <wp:anchor distT="0" distB="0" distL="114300" distR="114300" simplePos="0" relativeHeight="251691008" behindDoc="1" locked="0" layoutInCell="1" allowOverlap="1" wp14:anchorId="37719CDE" wp14:editId="1C9BBD14">
            <wp:simplePos x="0" y="0"/>
            <wp:positionH relativeFrom="margin">
              <wp:align>right</wp:align>
            </wp:positionH>
            <wp:positionV relativeFrom="paragraph">
              <wp:posOffset>0</wp:posOffset>
            </wp:positionV>
            <wp:extent cx="1028700" cy="888365"/>
            <wp:effectExtent l="0" t="0" r="0" b="6985"/>
            <wp:wrapTight wrapText="bothSides">
              <wp:wrapPolygon edited="0">
                <wp:start x="0" y="0"/>
                <wp:lineTo x="0" y="21307"/>
                <wp:lineTo x="21200" y="21307"/>
                <wp:lineTo x="21200" y="0"/>
                <wp:lineTo x="0" y="0"/>
              </wp:wrapPolygon>
            </wp:wrapTight>
            <wp:docPr id="3" name="Picture 3" descr="Flag of Belgium">
              <a:hlinkClick xmlns:a="http://schemas.openxmlformats.org/drawingml/2006/main" r:id="rId54" tooltip="&quot;Flag of Belgi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Belgium">
                      <a:hlinkClick r:id="rId54" tooltip="&quot;Flag of Belgium&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870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DA7">
        <w:t xml:space="preserve">Belgium </w:t>
      </w:r>
      <w:r>
        <w:t>(Flemish Region)</w:t>
      </w:r>
      <w:bookmarkEnd w:id="31"/>
      <w:bookmarkEnd w:id="32"/>
      <w:r>
        <w:t xml:space="preserve"> </w:t>
      </w:r>
    </w:p>
    <w:p w14:paraId="16B42DC4" w14:textId="77777777" w:rsidR="00D30531" w:rsidRPr="00431DA7" w:rsidRDefault="00D30531" w:rsidP="00A03A49">
      <w:r>
        <w:t>As described in Chapter 4 of the discussion paper, the employment services in the Flemish Region of Belgium have adopted a ‘digital first’ (digital-</w:t>
      </w:r>
      <w:r w:rsidRPr="000204CA">
        <w:t>by</w:t>
      </w:r>
      <w:r>
        <w:t>-</w:t>
      </w:r>
      <w:r w:rsidRPr="000204CA">
        <w:t xml:space="preserve"> default) approach for </w:t>
      </w:r>
      <w:r>
        <w:t>assisting</w:t>
      </w:r>
      <w:r w:rsidRPr="000204CA">
        <w:t xml:space="preserve"> job seekers.</w:t>
      </w:r>
    </w:p>
    <w:p w14:paraId="194C7187" w14:textId="77777777" w:rsidR="00D30531" w:rsidRPr="00431DA7" w:rsidRDefault="00D30531" w:rsidP="00A03A49">
      <w:r>
        <w:t xml:space="preserve">In addition to these services, </w:t>
      </w:r>
      <w:r w:rsidRPr="00431DA7">
        <w:t>job</w:t>
      </w:r>
      <w:r>
        <w:t xml:space="preserve"> </w:t>
      </w:r>
      <w:r w:rsidRPr="00431DA7">
        <w:t xml:space="preserve">seekers who are facing obstacles in finding </w:t>
      </w:r>
      <w:r>
        <w:t>receive</w:t>
      </w:r>
      <w:r w:rsidRPr="00431DA7">
        <w:t xml:space="preserve"> intensive guidance from VDAB (</w:t>
      </w:r>
      <w:r>
        <w:t xml:space="preserve">the </w:t>
      </w:r>
      <w:r w:rsidRPr="00431DA7">
        <w:t xml:space="preserve">Flemish </w:t>
      </w:r>
      <w:r>
        <w:t>public employment service</w:t>
      </w:r>
      <w:r w:rsidRPr="00431DA7">
        <w:t>) counsellors. Intensive guidance is offered when the job</w:t>
      </w:r>
      <w:r>
        <w:t xml:space="preserve"> </w:t>
      </w:r>
      <w:r w:rsidRPr="00431DA7">
        <w:t xml:space="preserve">seeker lacks experience, technical competences, or </w:t>
      </w:r>
      <w:r>
        <w:t>faces other barriers which</w:t>
      </w:r>
      <w:r w:rsidRPr="00431DA7">
        <w:t xml:space="preserve"> hinder </w:t>
      </w:r>
      <w:r>
        <w:t>their</w:t>
      </w:r>
      <w:r w:rsidRPr="00431DA7">
        <w:t xml:space="preserve"> re-employment. The caseworker identifies issues at intake, paying attention not only to employment-specific qualifications, but also to social skills, communicative skills, disability, mental health problems, limited mobility </w:t>
      </w:r>
      <w:r>
        <w:t>and</w:t>
      </w:r>
      <w:r w:rsidRPr="00431DA7">
        <w:t xml:space="preserve"> childcare obligations.</w:t>
      </w:r>
      <w:r>
        <w:t xml:space="preserve"> Based on these characteristics, </w:t>
      </w:r>
      <w:r w:rsidRPr="00431DA7">
        <w:t xml:space="preserve">an individual action plan is created.  </w:t>
      </w:r>
    </w:p>
    <w:p w14:paraId="24ABF9CC" w14:textId="77777777" w:rsidR="00D30531" w:rsidRDefault="00D30531" w:rsidP="00A03A49">
      <w:r w:rsidRPr="00431DA7">
        <w:t xml:space="preserve">If the client </w:t>
      </w:r>
      <w:r>
        <w:t>experiences difficulties</w:t>
      </w:r>
      <w:r w:rsidRPr="00431DA7">
        <w:t xml:space="preserve"> during their job-search, they can request an appointment for an interview </w:t>
      </w:r>
      <w:r>
        <w:t xml:space="preserve">at </w:t>
      </w:r>
      <w:r w:rsidRPr="00431DA7">
        <w:t>any time. The caseworker can request a diagnosis by a VDAB psychologist or an in-depth multidisciplinary screening by an external employment research centre, if there is a suspicion that the job</w:t>
      </w:r>
      <w:r>
        <w:t xml:space="preserve"> </w:t>
      </w:r>
      <w:r w:rsidRPr="00431DA7">
        <w:t>seeker may suffer from a severe me</w:t>
      </w:r>
      <w:r>
        <w:t xml:space="preserve">ntal health condition. If a physical </w:t>
      </w:r>
      <w:r w:rsidRPr="00431DA7">
        <w:t>disability or a mental health problem is detected, the job</w:t>
      </w:r>
      <w:r>
        <w:t xml:space="preserve"> </w:t>
      </w:r>
      <w:r w:rsidRPr="00431DA7">
        <w:t>seeker receives specialised support in their job-search</w:t>
      </w:r>
      <w:r>
        <w:t>.</w:t>
      </w:r>
    </w:p>
    <w:p w14:paraId="749AD1F6" w14:textId="77777777" w:rsidR="00D30531" w:rsidRPr="00431DA7" w:rsidRDefault="00D30531" w:rsidP="00E8748B">
      <w:pPr>
        <w:pStyle w:val="Heading3"/>
        <w:numPr>
          <w:ilvl w:val="0"/>
          <w:numId w:val="30"/>
        </w:numPr>
      </w:pPr>
      <w:bookmarkStart w:id="33" w:name="_Toc506385737"/>
      <w:bookmarkStart w:id="34" w:name="_Toc506534817"/>
      <w:r w:rsidRPr="00431DA7">
        <w:rPr>
          <w:noProof/>
          <w:color w:val="0000FF"/>
          <w:lang w:eastAsia="en-AU"/>
        </w:rPr>
        <w:drawing>
          <wp:anchor distT="0" distB="0" distL="114300" distR="114300" simplePos="0" relativeHeight="251688960" behindDoc="1" locked="0" layoutInCell="1" allowOverlap="1" wp14:anchorId="1DB1663C" wp14:editId="29C33E81">
            <wp:simplePos x="0" y="0"/>
            <wp:positionH relativeFrom="column">
              <wp:posOffset>4467225</wp:posOffset>
            </wp:positionH>
            <wp:positionV relativeFrom="paragraph">
              <wp:posOffset>0</wp:posOffset>
            </wp:positionV>
            <wp:extent cx="1095375" cy="832485"/>
            <wp:effectExtent l="0" t="0" r="9525" b="5715"/>
            <wp:wrapTight wrapText="bothSides">
              <wp:wrapPolygon edited="0">
                <wp:start x="0" y="0"/>
                <wp:lineTo x="0" y="21254"/>
                <wp:lineTo x="21412" y="21254"/>
                <wp:lineTo x="21412" y="0"/>
                <wp:lineTo x="0" y="0"/>
              </wp:wrapPolygon>
            </wp:wrapTight>
            <wp:docPr id="13" name="Picture 13" descr="Flag of Denmark">
              <a:hlinkClick xmlns:a="http://schemas.openxmlformats.org/drawingml/2006/main" r:id="rId56" tooltip="&quot;Flag of Denmar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with a white cross that extends to the edges of the flag; the vertical part of the cross is shifted to the hoist side">
                      <a:hlinkClick r:id="rId56" tooltip="&quot;Flag of Denmar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9537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DA7">
        <w:t>Denmark</w:t>
      </w:r>
      <w:r>
        <w:rPr>
          <w:rStyle w:val="EndnoteReference"/>
        </w:rPr>
        <w:endnoteReference w:id="30"/>
      </w:r>
      <w:bookmarkEnd w:id="33"/>
      <w:bookmarkEnd w:id="34"/>
      <w:r w:rsidRPr="00431DA7">
        <w:t xml:space="preserve"> </w:t>
      </w:r>
    </w:p>
    <w:p w14:paraId="7275B5D0" w14:textId="77777777" w:rsidR="00D30531" w:rsidRPr="00431DA7" w:rsidRDefault="00D30531" w:rsidP="0005395E">
      <w:pPr>
        <w:pStyle w:val="Heading4"/>
      </w:pPr>
      <w:r w:rsidRPr="00431DA7">
        <w:t>Municipal</w:t>
      </w:r>
      <w:r>
        <w:t xml:space="preserve">-level </w:t>
      </w:r>
      <w:r w:rsidRPr="00431DA7">
        <w:t>reform</w:t>
      </w:r>
      <w:r>
        <w:t>s</w:t>
      </w:r>
    </w:p>
    <w:p w14:paraId="55A18F9C" w14:textId="07CAB5EF" w:rsidR="00D30531" w:rsidRPr="0005395E" w:rsidRDefault="00D30531" w:rsidP="00140A27">
      <w:r w:rsidRPr="00431DA7">
        <w:t xml:space="preserve">As part of a comprehensive municipal reform in 2004, Denmark </w:t>
      </w:r>
      <w:r>
        <w:t xml:space="preserve">moved its public employment service (PES) </w:t>
      </w:r>
      <w:r w:rsidRPr="00431DA7">
        <w:t>to the municipal system. Municipalities are responsible for employment and welfare service delivery (except for health care), and serve both the insured and the uninsured unemployed. Municipalities enjoy a high degree of autonomy</w:t>
      </w:r>
      <w:r>
        <w:t>,</w:t>
      </w:r>
      <w:r w:rsidRPr="00431DA7">
        <w:t xml:space="preserve"> but their performance is </w:t>
      </w:r>
      <w:r>
        <w:t>assessed</w:t>
      </w:r>
      <w:r w:rsidRPr="00431DA7">
        <w:t xml:space="preserve"> </w:t>
      </w:r>
      <w:r>
        <w:t xml:space="preserve">through a central </w:t>
      </w:r>
      <w:r w:rsidRPr="00431DA7">
        <w:t>moni</w:t>
      </w:r>
      <w:r>
        <w:t>toring and benchmarking system.</w:t>
      </w:r>
    </w:p>
    <w:p w14:paraId="320F2BF0" w14:textId="77777777" w:rsidR="00D30531" w:rsidRPr="00431DA7" w:rsidRDefault="00D30531" w:rsidP="0005395E">
      <w:pPr>
        <w:pStyle w:val="Heading4"/>
      </w:pPr>
      <w:r>
        <w:t>Early and intensive</w:t>
      </w:r>
      <w:r w:rsidRPr="00431DA7">
        <w:t xml:space="preserve"> counselling</w:t>
      </w:r>
    </w:p>
    <w:p w14:paraId="0B156EFB" w14:textId="77777777" w:rsidR="00D30531" w:rsidRPr="007C0A1E" w:rsidRDefault="00D30531" w:rsidP="00140A27">
      <w:pPr>
        <w:rPr>
          <w:rFonts w:eastAsia="ECSquareSansPro-Light"/>
        </w:rPr>
      </w:pPr>
      <w:r w:rsidRPr="00431DA7">
        <w:lastRenderedPageBreak/>
        <w:t xml:space="preserve">National employment reforms in 2014 introduced </w:t>
      </w:r>
      <w:r>
        <w:t xml:space="preserve">an </w:t>
      </w:r>
      <w:r w:rsidRPr="00431DA7">
        <w:t>early and intensified contact</w:t>
      </w:r>
      <w:r>
        <w:t xml:space="preserve"> regime</w:t>
      </w:r>
      <w:r w:rsidRPr="00431DA7">
        <w:t xml:space="preserve"> for unemployed </w:t>
      </w:r>
      <w:r>
        <w:t xml:space="preserve">people </w:t>
      </w:r>
      <w:r w:rsidRPr="00431DA7">
        <w:t xml:space="preserve">in every local PES office in Denmark. </w:t>
      </w:r>
      <w:r w:rsidRPr="00431DA7">
        <w:rPr>
          <w:rFonts w:eastAsia="ECSquareSansPro-Light"/>
        </w:rPr>
        <w:t xml:space="preserve">The reform was based on evidence from earlier pilot projects, some of which showed that early and frequent meetings increase employment rates by over 10 per cent, and that intensified contact is effective in </w:t>
      </w:r>
      <w:r>
        <w:rPr>
          <w:rFonts w:eastAsia="ECSquareSansPro-Light"/>
        </w:rPr>
        <w:t>assisting</w:t>
      </w:r>
      <w:r w:rsidRPr="00431DA7">
        <w:rPr>
          <w:rFonts w:eastAsia="ECSquareSansPro-Light"/>
        </w:rPr>
        <w:t xml:space="preserve"> the long-term unemployed.</w:t>
      </w:r>
      <w:r>
        <w:rPr>
          <w:rFonts w:eastAsia="ECSquareSansPro-Light"/>
        </w:rPr>
        <w:t xml:space="preserve"> </w:t>
      </w:r>
      <w:r w:rsidRPr="00431DA7">
        <w:t xml:space="preserve">The model aims to shorten unemployment periods and prevent long-term unemployment. In addition, PES offices have implemented </w:t>
      </w:r>
      <w:r>
        <w:t xml:space="preserve">local-level </w:t>
      </w:r>
      <w:r w:rsidRPr="00431DA7">
        <w:t>projects to prevent long-term unemployment.</w:t>
      </w:r>
    </w:p>
    <w:p w14:paraId="0DBDE2E7" w14:textId="300E9C91" w:rsidR="00D30531" w:rsidRPr="00431DA7" w:rsidRDefault="00D30531" w:rsidP="00140A27">
      <w:pPr>
        <w:rPr>
          <w:rFonts w:eastAsia="ECSquareSansPro-Light"/>
        </w:rPr>
      </w:pPr>
      <w:r w:rsidRPr="00431DA7">
        <w:rPr>
          <w:rFonts w:eastAsia="ECSquareSansPro-Light"/>
        </w:rPr>
        <w:t>It is expected that by participating in the program job</w:t>
      </w:r>
      <w:r>
        <w:rPr>
          <w:rFonts w:eastAsia="ECSquareSansPro-Light"/>
        </w:rPr>
        <w:t xml:space="preserve"> </w:t>
      </w:r>
      <w:r w:rsidRPr="00431DA7">
        <w:rPr>
          <w:rFonts w:eastAsia="ECSquareSansPro-Light"/>
        </w:rPr>
        <w:t>seekers are empowered: they are made responsible for their job-search by arranging meetings with job cou</w:t>
      </w:r>
      <w:r>
        <w:rPr>
          <w:rFonts w:eastAsia="ECSquareSansPro-Light"/>
        </w:rPr>
        <w:t xml:space="preserve">nsellors. Local PES </w:t>
      </w:r>
      <w:r w:rsidRPr="00431DA7">
        <w:rPr>
          <w:rFonts w:eastAsia="ECSquareSansPro-Light"/>
        </w:rPr>
        <w:t>focus on the quality o</w:t>
      </w:r>
      <w:r>
        <w:rPr>
          <w:rFonts w:eastAsia="ECSquareSansPro-Light"/>
        </w:rPr>
        <w:t xml:space="preserve">f the meetings between the job seekers and </w:t>
      </w:r>
      <w:r w:rsidRPr="00431DA7">
        <w:rPr>
          <w:rFonts w:eastAsia="ECSquareSansPro-Light"/>
        </w:rPr>
        <w:t>job counsellor</w:t>
      </w:r>
      <w:r>
        <w:rPr>
          <w:rFonts w:eastAsia="ECSquareSansPro-Light"/>
        </w:rPr>
        <w:t>s</w:t>
      </w:r>
      <w:r w:rsidRPr="00431DA7">
        <w:rPr>
          <w:rFonts w:eastAsia="ECSquareSansPro-Light"/>
        </w:rPr>
        <w:t>. Job counsellors are trained in conversational and questioning methods, which are job-focused and aim to motivate the job</w:t>
      </w:r>
      <w:r>
        <w:rPr>
          <w:rFonts w:eastAsia="ECSquareSansPro-Light"/>
        </w:rPr>
        <w:t xml:space="preserve"> </w:t>
      </w:r>
      <w:r w:rsidRPr="00431DA7">
        <w:rPr>
          <w:rFonts w:eastAsia="ECSquareSansPro-Light"/>
        </w:rPr>
        <w:t>seeker.</w:t>
      </w:r>
    </w:p>
    <w:p w14:paraId="48B680E6" w14:textId="46539851" w:rsidR="00D30531" w:rsidRPr="00431DA7" w:rsidRDefault="00D30531" w:rsidP="0005395E">
      <w:pPr>
        <w:pStyle w:val="Heading4"/>
      </w:pPr>
      <w:r w:rsidRPr="00431DA7">
        <w:t>Multidisciplinary teams</w:t>
      </w:r>
    </w:p>
    <w:p w14:paraId="1C7BCE40" w14:textId="77777777" w:rsidR="00D30531" w:rsidRPr="00431DA7" w:rsidRDefault="00D30531" w:rsidP="00140A27">
      <w:r w:rsidRPr="00431DA7">
        <w:t xml:space="preserve">Denmark </w:t>
      </w:r>
      <w:r>
        <w:t>has</w:t>
      </w:r>
      <w:r w:rsidRPr="00431DA7">
        <w:t xml:space="preserve"> established multidisciplinary teams in municipalities, which assess and provide services to long-term unemployed clients with complex problems. The team</w:t>
      </w:r>
      <w:r>
        <w:t>s are</w:t>
      </w:r>
      <w:r w:rsidRPr="00431DA7">
        <w:t xml:space="preserve"> comprised of employment experts and social workers delegated by the municipality, as well as health and education experts, who</w:t>
      </w:r>
      <w:r>
        <w:t>,</w:t>
      </w:r>
      <w:r w:rsidRPr="00431DA7">
        <w:t xml:space="preserve"> by law</w:t>
      </w:r>
      <w:r>
        <w:t>,</w:t>
      </w:r>
      <w:r w:rsidRPr="00431DA7">
        <w:t xml:space="preserve"> have to support the teams upon the request of the municipality.</w:t>
      </w:r>
    </w:p>
    <w:p w14:paraId="387126C4" w14:textId="77777777" w:rsidR="00D30531" w:rsidRPr="00431DA7" w:rsidRDefault="00D30531" w:rsidP="00140A27">
      <w:r w:rsidRPr="00431DA7">
        <w:t xml:space="preserve">Municipalities can commission external experts – e.g. employer counsellors – on a case-by-case basis. In most municipalities the teams have office hours on fixed days of the week, while in larger municipalities, the multidisciplinary team is </w:t>
      </w:r>
      <w:r>
        <w:t xml:space="preserve">always available to the clients. </w:t>
      </w:r>
      <w:r w:rsidRPr="00431DA7">
        <w:t>The teams served around 25</w:t>
      </w:r>
      <w:r>
        <w:t xml:space="preserve">,000 </w:t>
      </w:r>
      <w:r w:rsidRPr="00431DA7">
        <w:t>clients in 2014, which equals roughly 10 per cent of</w:t>
      </w:r>
      <w:r>
        <w:t xml:space="preserve"> Danish</w:t>
      </w:r>
      <w:r w:rsidRPr="00431DA7">
        <w:t xml:space="preserve"> long-term unemployed </w:t>
      </w:r>
      <w:r>
        <w:t>job seekers.</w:t>
      </w:r>
    </w:p>
    <w:p w14:paraId="73668FA7" w14:textId="77777777" w:rsidR="00D30531" w:rsidRDefault="00D30531" w:rsidP="00140A27">
      <w:r w:rsidRPr="00431DA7">
        <w:t>The Danish multidisciplinary teams use digitised case management</w:t>
      </w:r>
      <w:r>
        <w:t>.</w:t>
      </w:r>
      <w:r w:rsidRPr="00431DA7">
        <w:t xml:space="preserve"> </w:t>
      </w:r>
      <w:r>
        <w:t>A</w:t>
      </w:r>
      <w:r w:rsidRPr="00431DA7">
        <w:t>ll stakeholders involved in the program can access</w:t>
      </w:r>
      <w:r>
        <w:t xml:space="preserve"> clients’</w:t>
      </w:r>
      <w:r w:rsidRPr="00431DA7">
        <w:t xml:space="preserve"> </w:t>
      </w:r>
      <w:r>
        <w:t>i</w:t>
      </w:r>
      <w:r w:rsidRPr="00431DA7">
        <w:t>nformation.</w:t>
      </w:r>
      <w:r>
        <w:t xml:space="preserve"> </w:t>
      </w:r>
    </w:p>
    <w:p w14:paraId="221E04A0" w14:textId="77777777" w:rsidR="00D30531" w:rsidRPr="00431DA7" w:rsidRDefault="00D30531" w:rsidP="00E8748B">
      <w:pPr>
        <w:pStyle w:val="Heading3"/>
        <w:numPr>
          <w:ilvl w:val="0"/>
          <w:numId w:val="30"/>
        </w:numPr>
      </w:pPr>
      <w:bookmarkStart w:id="35" w:name="_Toc506385738"/>
      <w:bookmarkStart w:id="36" w:name="_Toc506534818"/>
      <w:r w:rsidRPr="00431DA7">
        <w:rPr>
          <w:noProof/>
          <w:color w:val="0000FF"/>
          <w:lang w:eastAsia="en-AU"/>
        </w:rPr>
        <w:drawing>
          <wp:anchor distT="0" distB="0" distL="114300" distR="114300" simplePos="0" relativeHeight="251689984" behindDoc="1" locked="0" layoutInCell="1" allowOverlap="1" wp14:anchorId="0E14C3C0" wp14:editId="4DA652B3">
            <wp:simplePos x="0" y="0"/>
            <wp:positionH relativeFrom="margin">
              <wp:posOffset>4626610</wp:posOffset>
            </wp:positionH>
            <wp:positionV relativeFrom="paragraph">
              <wp:posOffset>273685</wp:posOffset>
            </wp:positionV>
            <wp:extent cx="1190625" cy="714375"/>
            <wp:effectExtent l="0" t="0" r="9525" b="9525"/>
            <wp:wrapTight wrapText="bothSides">
              <wp:wrapPolygon edited="0">
                <wp:start x="0" y="0"/>
                <wp:lineTo x="0" y="21312"/>
                <wp:lineTo x="21427" y="21312"/>
                <wp:lineTo x="21427" y="0"/>
                <wp:lineTo x="0" y="0"/>
              </wp:wrapPolygon>
            </wp:wrapTight>
            <wp:docPr id="14" name="Picture 14" descr="Flag of Germany">
              <a:hlinkClick xmlns:a="http://schemas.openxmlformats.org/drawingml/2006/main" r:id="rId58" tooltip="&quot;Flag of Germa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Germany">
                      <a:hlinkClick r:id="rId58" tooltip="&quot;Flag of Germany&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906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DA7">
        <w:t>Germany</w:t>
      </w:r>
      <w:bookmarkEnd w:id="35"/>
      <w:bookmarkEnd w:id="36"/>
      <w:r w:rsidRPr="00431DA7">
        <w:t xml:space="preserve"> </w:t>
      </w:r>
    </w:p>
    <w:p w14:paraId="74A426EB" w14:textId="77777777" w:rsidR="00D30531" w:rsidRPr="00431DA7" w:rsidRDefault="00D30531" w:rsidP="0005395E">
      <w:pPr>
        <w:pStyle w:val="Heading4"/>
        <w:rPr>
          <w:rFonts w:cstheme="minorHAnsi"/>
        </w:rPr>
      </w:pPr>
      <w:r w:rsidRPr="003844FD">
        <w:t>The 4-Phase Model (4PM) for activation and the management of transitions</w:t>
      </w:r>
    </w:p>
    <w:p w14:paraId="5875F96F" w14:textId="3B99277D" w:rsidR="00D30531" w:rsidRPr="00431DA7" w:rsidRDefault="00D30531" w:rsidP="00140A27">
      <w:r w:rsidRPr="00431DA7">
        <w:t xml:space="preserve">The German public employment service </w:t>
      </w:r>
      <w:r>
        <w:t>includes a</w:t>
      </w:r>
      <w:r w:rsidRPr="00431DA7">
        <w:t xml:space="preserve"> </w:t>
      </w:r>
      <w:r>
        <w:t>“</w:t>
      </w:r>
      <w:r w:rsidRPr="00431DA7">
        <w:t>4-Phase Model</w:t>
      </w:r>
      <w:r>
        <w:t>”</w:t>
      </w:r>
      <w:r w:rsidRPr="00431DA7">
        <w:t xml:space="preserve"> for activation and management.</w:t>
      </w:r>
      <w:r>
        <w:t xml:space="preserve"> </w:t>
      </w:r>
      <w:r w:rsidRPr="00431DA7">
        <w:t xml:space="preserve">The model </w:t>
      </w:r>
      <w:r>
        <w:t xml:space="preserve">was introduced with the goal of encouraging </w:t>
      </w:r>
      <w:r w:rsidRPr="00431DA7">
        <w:t>more customer-oriented services,</w:t>
      </w:r>
      <w:r>
        <w:t xml:space="preserve"> including by</w:t>
      </w:r>
      <w:r w:rsidRPr="00431DA7">
        <w:t xml:space="preserve"> identifying job seekers</w:t>
      </w:r>
      <w:r>
        <w:t>’</w:t>
      </w:r>
      <w:r w:rsidRPr="00431DA7">
        <w:t xml:space="preserve"> individual </w:t>
      </w:r>
      <w:r>
        <w:t>needs</w:t>
      </w:r>
      <w:r w:rsidRPr="00431DA7">
        <w:t xml:space="preserve"> and directing them to solutions (including social service</w:t>
      </w:r>
      <w:r>
        <w:t>s</w:t>
      </w:r>
      <w:r w:rsidRPr="00431DA7">
        <w:t xml:space="preserve">). </w:t>
      </w:r>
      <w:r>
        <w:t xml:space="preserve">It also aims to assist employment </w:t>
      </w:r>
      <w:r w:rsidRPr="00431DA7">
        <w:t>counsellors to fulfil their tasks in a systematic, high-quality and e</w:t>
      </w:r>
      <w:r>
        <w:t>fficient</w:t>
      </w:r>
      <w:r w:rsidRPr="00431DA7">
        <w:t xml:space="preserve"> </w:t>
      </w:r>
      <w:r>
        <w:t>way</w:t>
      </w:r>
      <w:r w:rsidRPr="00431DA7">
        <w:t xml:space="preserve">. </w:t>
      </w:r>
    </w:p>
    <w:p w14:paraId="5CEDF66E" w14:textId="77777777" w:rsidR="00D30531" w:rsidRDefault="00D30531" w:rsidP="00140A27">
      <w:r w:rsidRPr="00431DA7">
        <w:t>The 4PM is a consistent approach with four phases for i</w:t>
      </w:r>
      <w:r>
        <w:t>ndividualised service provision, i</w:t>
      </w:r>
      <w:r w:rsidRPr="00431DA7">
        <w:t>ncluding</w:t>
      </w:r>
      <w:r>
        <w:t>:</w:t>
      </w:r>
    </w:p>
    <w:p w14:paraId="3013AEC8" w14:textId="77777777" w:rsidR="00D30531" w:rsidRDefault="00D30531" w:rsidP="00B16665">
      <w:pPr>
        <w:pStyle w:val="ListParagraph"/>
        <w:numPr>
          <w:ilvl w:val="0"/>
          <w:numId w:val="42"/>
        </w:numPr>
      </w:pPr>
      <w:r w:rsidRPr="00431DA7">
        <w:t>profiling</w:t>
      </w:r>
    </w:p>
    <w:p w14:paraId="7E24F9CE" w14:textId="77777777" w:rsidR="00D30531" w:rsidRPr="00A050EF" w:rsidRDefault="00D30531" w:rsidP="00B16665">
      <w:pPr>
        <w:pStyle w:val="ListParagraph"/>
        <w:numPr>
          <w:ilvl w:val="0"/>
          <w:numId w:val="42"/>
        </w:numPr>
      </w:pPr>
      <w:r w:rsidRPr="00A050EF">
        <w:t>target definition</w:t>
      </w:r>
    </w:p>
    <w:p w14:paraId="6B905B27" w14:textId="77777777" w:rsidR="00D30531" w:rsidRDefault="00D30531" w:rsidP="00B16665">
      <w:pPr>
        <w:pStyle w:val="ListParagraph"/>
        <w:numPr>
          <w:ilvl w:val="0"/>
          <w:numId w:val="42"/>
        </w:numPr>
      </w:pPr>
      <w:r w:rsidRPr="0003370B">
        <w:t xml:space="preserve">strategy selection, and </w:t>
      </w:r>
    </w:p>
    <w:p w14:paraId="29CEF628" w14:textId="78AFFADC" w:rsidR="00D30531" w:rsidRPr="00431DA7" w:rsidRDefault="00D30531" w:rsidP="00437F2A">
      <w:pPr>
        <w:pStyle w:val="ListParagraph"/>
        <w:numPr>
          <w:ilvl w:val="0"/>
          <w:numId w:val="42"/>
        </w:numPr>
      </w:pPr>
      <w:r w:rsidRPr="00686696">
        <w:t xml:space="preserve">action and controlling. </w:t>
      </w:r>
    </w:p>
    <w:p w14:paraId="03C626B7" w14:textId="77777777" w:rsidR="00D30531" w:rsidRPr="00635BE1" w:rsidRDefault="00D30531" w:rsidP="00140A27">
      <w:r w:rsidRPr="00635BE1">
        <w:t xml:space="preserve">Profiling is an integral part of individualised service provision to job seekers. Through profiling, counsellors can better understand their client’s aspirations, barriers and needs. In the 4PM model, profiling is used to forecast employability by mapping job seekers’ proximity or distance from employment. The two main categories used to guide the services job seekers receive are: </w:t>
      </w:r>
    </w:p>
    <w:p w14:paraId="63C7E736" w14:textId="77777777" w:rsidR="00D30531" w:rsidRPr="00437F2A" w:rsidRDefault="00D30531" w:rsidP="00437F2A">
      <w:pPr>
        <w:pStyle w:val="ListParagraph"/>
      </w:pPr>
      <w:r w:rsidRPr="00437F2A">
        <w:lastRenderedPageBreak/>
        <w:t xml:space="preserve">‘near’ (integration into the primary labour market within six months is likely), and </w:t>
      </w:r>
    </w:p>
    <w:p w14:paraId="56860914" w14:textId="1A227B52" w:rsidR="00D30531" w:rsidRPr="00431DA7" w:rsidRDefault="00D30531" w:rsidP="00E019B6">
      <w:pPr>
        <w:pStyle w:val="ListParagraph"/>
      </w:pPr>
      <w:r w:rsidRPr="00437F2A">
        <w:t xml:space="preserve">‘far’ (integration within six months is unlikely). </w:t>
      </w:r>
    </w:p>
    <w:p w14:paraId="6F171722" w14:textId="77777777" w:rsidR="00D30531" w:rsidRPr="00635BE1" w:rsidRDefault="00D30531" w:rsidP="0005395E">
      <w:pPr>
        <w:keepNext/>
        <w:autoSpaceDE w:val="0"/>
        <w:autoSpaceDN w:val="0"/>
        <w:adjustRightInd w:val="0"/>
        <w:spacing w:after="0" w:line="240" w:lineRule="auto"/>
        <w:rPr>
          <w:rFonts w:cstheme="minorHAnsi"/>
        </w:rPr>
      </w:pPr>
      <w:r w:rsidRPr="00635BE1">
        <w:rPr>
          <w:rFonts w:cstheme="minorHAnsi"/>
        </w:rPr>
        <w:t>Following the profiling phase, counsellors and job seekers develop and agree to a Job Integration Agreement (JIA). JIAs cover:</w:t>
      </w:r>
    </w:p>
    <w:p w14:paraId="63DF6F82" w14:textId="77777777" w:rsidR="00D30531" w:rsidRPr="00437F2A" w:rsidRDefault="00D30531" w:rsidP="00437F2A">
      <w:pPr>
        <w:pStyle w:val="ListParagraph"/>
      </w:pPr>
      <w:r w:rsidRPr="00437F2A">
        <w:t xml:space="preserve">what general goals the job seeker is to work towards, and </w:t>
      </w:r>
    </w:p>
    <w:p w14:paraId="0DC5A752" w14:textId="77777777" w:rsidR="00D30531" w:rsidRPr="00437F2A" w:rsidRDefault="00D30531" w:rsidP="00437F2A">
      <w:pPr>
        <w:pStyle w:val="ListParagraph"/>
      </w:pPr>
      <w:r w:rsidRPr="00437F2A">
        <w:t>which services the PES can offer.</w:t>
      </w:r>
    </w:p>
    <w:p w14:paraId="7E08EC50" w14:textId="77777777" w:rsidR="00D30531" w:rsidRPr="00635BE1" w:rsidRDefault="00D30531" w:rsidP="00140A27">
      <w:r w:rsidRPr="00635BE1">
        <w:t xml:space="preserve">After the JIA is completed, employment counsellors can exercise a degree of discretion on the services offered to job seekers. The level of discretion is bound by the job seeker’s characteristics. Only certain ‘bundles’ of services can be selected for some groups of job seekers, and particularly the highly vulnerable. </w:t>
      </w:r>
    </w:p>
    <w:p w14:paraId="45ABD1D5" w14:textId="77777777" w:rsidR="00D30531" w:rsidRPr="00431DA7" w:rsidRDefault="00D30531" w:rsidP="00140A27">
      <w:r w:rsidRPr="00431DA7">
        <w:t>Employment counsellors are supported by a product directory</w:t>
      </w:r>
      <w:r>
        <w:t xml:space="preserve">. This </w:t>
      </w:r>
      <w:r w:rsidRPr="00431DA7">
        <w:t>includes recommendations, lists the m</w:t>
      </w:r>
      <w:r>
        <w:t>ost suitable measures for</w:t>
      </w:r>
      <w:r w:rsidRPr="00431DA7">
        <w:t xml:space="preserve"> different strategies and describes promising implementation alternatives. Th</w:t>
      </w:r>
      <w:r>
        <w:t>e</w:t>
      </w:r>
      <w:r w:rsidRPr="00431DA7">
        <w:t xml:space="preserve"> product directory can be complemented with local activation/integration strategies and service bundles.</w:t>
      </w:r>
    </w:p>
    <w:p w14:paraId="1C467A75" w14:textId="77777777" w:rsidR="00D30531" w:rsidRPr="00635BE1" w:rsidRDefault="00D30531" w:rsidP="00140A27">
      <w:r w:rsidRPr="00635BE1">
        <w:t xml:space="preserve">Finally, the strategy selected by the employment counsellor becomes part of an individual action plan, which contains the next steps for both parties. </w:t>
      </w:r>
    </w:p>
    <w:p w14:paraId="3579CF49" w14:textId="77777777" w:rsidR="00D30531" w:rsidRPr="004204C0" w:rsidRDefault="00D30531" w:rsidP="00140A27">
      <w:r w:rsidRPr="004204C0">
        <w:t xml:space="preserve">All </w:t>
      </w:r>
      <w:r>
        <w:t xml:space="preserve">four </w:t>
      </w:r>
      <w:r w:rsidRPr="004204C0">
        <w:t xml:space="preserve">phases </w:t>
      </w:r>
      <w:r>
        <w:t xml:space="preserve">are repeated at </w:t>
      </w:r>
      <w:r w:rsidRPr="004204C0">
        <w:t>each interview</w:t>
      </w:r>
      <w:r>
        <w:t xml:space="preserve"> between a job seeker and their employment counsellor. This provides </w:t>
      </w:r>
      <w:r w:rsidRPr="004204C0">
        <w:t xml:space="preserve">an opportunity </w:t>
      </w:r>
      <w:r>
        <w:t xml:space="preserve">to adjust the job seeker’s </w:t>
      </w:r>
      <w:r w:rsidRPr="004204C0">
        <w:t>profil</w:t>
      </w:r>
      <w:r>
        <w:t>e</w:t>
      </w:r>
      <w:r w:rsidRPr="004204C0">
        <w:t>,</w:t>
      </w:r>
      <w:r>
        <w:t xml:space="preserve"> as well as their</w:t>
      </w:r>
      <w:r w:rsidRPr="004204C0">
        <w:t xml:space="preserve"> goals and strategies.</w:t>
      </w:r>
    </w:p>
    <w:p w14:paraId="53C4A007" w14:textId="0525D38C" w:rsidR="00D30531" w:rsidRDefault="00D30531" w:rsidP="00140A27">
      <w:r>
        <w:t xml:space="preserve">In addition to the </w:t>
      </w:r>
      <w:r w:rsidRPr="00431DA7">
        <w:t xml:space="preserve">4PM, </w:t>
      </w:r>
      <w:r>
        <w:t xml:space="preserve">Germany’s public employment service has also introduced </w:t>
      </w:r>
      <w:r w:rsidRPr="00431DA7">
        <w:t xml:space="preserve">a basic qualification for </w:t>
      </w:r>
      <w:r>
        <w:t>workers</w:t>
      </w:r>
      <w:r w:rsidRPr="00431DA7">
        <w:t>.</w:t>
      </w:r>
      <w:r>
        <w:t xml:space="preserve"> Workers also undertake training and knowledge sharing exercises with their </w:t>
      </w:r>
      <w:r w:rsidRPr="00431DA7">
        <w:t xml:space="preserve">colleagues. </w:t>
      </w:r>
    </w:p>
    <w:p w14:paraId="1D55E336" w14:textId="77777777" w:rsidR="00D30531" w:rsidRDefault="00D30531" w:rsidP="00E8748B">
      <w:pPr>
        <w:pStyle w:val="Heading3"/>
        <w:numPr>
          <w:ilvl w:val="0"/>
          <w:numId w:val="30"/>
        </w:numPr>
      </w:pPr>
      <w:bookmarkStart w:id="37" w:name="_Toc506385739"/>
      <w:bookmarkStart w:id="38" w:name="_Toc506534819"/>
      <w:r w:rsidRPr="00781D23">
        <w:rPr>
          <w:noProof/>
          <w:lang w:eastAsia="en-AU"/>
        </w:rPr>
        <w:drawing>
          <wp:anchor distT="0" distB="0" distL="114300" distR="114300" simplePos="0" relativeHeight="251693056" behindDoc="1" locked="0" layoutInCell="1" allowOverlap="1" wp14:anchorId="00BF6E7B" wp14:editId="253BE97F">
            <wp:simplePos x="0" y="0"/>
            <wp:positionH relativeFrom="column">
              <wp:posOffset>4533900</wp:posOffset>
            </wp:positionH>
            <wp:positionV relativeFrom="paragraph">
              <wp:posOffset>20955</wp:posOffset>
            </wp:positionV>
            <wp:extent cx="1156335" cy="656590"/>
            <wp:effectExtent l="0" t="0" r="5715" b="0"/>
            <wp:wrapTight wrapText="bothSides">
              <wp:wrapPolygon edited="0">
                <wp:start x="0" y="0"/>
                <wp:lineTo x="0" y="20681"/>
                <wp:lineTo x="21351" y="20681"/>
                <wp:lineTo x="21351" y="0"/>
                <wp:lineTo x="0" y="0"/>
              </wp:wrapPolygon>
            </wp:wrapTight>
            <wp:docPr id="15" name="Picture 15" descr="Flag of Ireland">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Ireland.sv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56335" cy="656590"/>
                    </a:xfrm>
                    <a:prstGeom prst="rect">
                      <a:avLst/>
                    </a:prstGeom>
                    <a:noFill/>
                    <a:ln>
                      <a:noFill/>
                    </a:ln>
                  </pic:spPr>
                </pic:pic>
              </a:graphicData>
            </a:graphic>
            <wp14:sizeRelH relativeFrom="page">
              <wp14:pctWidth>0</wp14:pctWidth>
            </wp14:sizeRelH>
            <wp14:sizeRelV relativeFrom="page">
              <wp14:pctHeight>0</wp14:pctHeight>
            </wp14:sizeRelV>
          </wp:anchor>
        </w:drawing>
      </w:r>
      <w:r>
        <w:t>Ireland</w:t>
      </w:r>
      <w:bookmarkEnd w:id="37"/>
      <w:bookmarkEnd w:id="38"/>
      <w:r>
        <w:t xml:space="preserve"> </w:t>
      </w:r>
    </w:p>
    <w:p w14:paraId="02FA4F83" w14:textId="7D8CC4D1" w:rsidR="00D30531" w:rsidRPr="00437F2A" w:rsidRDefault="00D30531" w:rsidP="00437F2A">
      <w:pPr>
        <w:pStyle w:val="Heading4"/>
      </w:pPr>
      <w:r w:rsidRPr="00437F2A">
        <w:t xml:space="preserve">The Intreo network and preventing long-term unemployment </w:t>
      </w:r>
    </w:p>
    <w:p w14:paraId="57C9043E" w14:textId="1C678109" w:rsidR="00D30531" w:rsidRDefault="00D30531" w:rsidP="001566B2">
      <w:r>
        <w:t>The Irish Government has introduced major reforms to its strategy for reducing long-term unemployment. The Government’s approach has been outlined in a succession of ‘Pathways to Work’ programs that combine reforms to the benefit system, employment programs and services for job seekers and employers.</w:t>
      </w:r>
    </w:p>
    <w:p w14:paraId="55B4AC72" w14:textId="439EF1E0" w:rsidR="00D30531" w:rsidRDefault="00D30531" w:rsidP="001566B2">
      <w:r>
        <w:t xml:space="preserve">The </w:t>
      </w:r>
      <w:r w:rsidRPr="001100A2">
        <w:t xml:space="preserve">Pathways to Work strategy </w:t>
      </w:r>
      <w:r>
        <w:t xml:space="preserve">has </w:t>
      </w:r>
      <w:r w:rsidRPr="00E8748B">
        <w:t>included the new PES</w:t>
      </w:r>
      <w:r w:rsidRPr="001100A2">
        <w:t xml:space="preserve"> service delivery system </w:t>
      </w:r>
      <w:r>
        <w:t xml:space="preserve">which </w:t>
      </w:r>
      <w:r w:rsidRPr="001100A2">
        <w:t>combin</w:t>
      </w:r>
      <w:r>
        <w:t>es</w:t>
      </w:r>
      <w:r w:rsidRPr="001100A2">
        <w:t xml:space="preserve"> public, non-profit and private providers. This included the integration of three previously separate employment and benefit service delivery networks, and related registration processes, into one ‘Intreo’ public service.</w:t>
      </w:r>
    </w:p>
    <w:p w14:paraId="0F486DCE" w14:textId="6C30BE58" w:rsidR="00D30531" w:rsidRPr="00D96F29" w:rsidRDefault="00D30531" w:rsidP="001566B2">
      <w:r>
        <w:t xml:space="preserve">Parallel to the Pathways to Work reforms, the Irish Government established a Labour Market Council, comprised of employers and policy experts to advise and build wider support for the Pathways strategy. </w:t>
      </w:r>
    </w:p>
    <w:p w14:paraId="68A929E3" w14:textId="77777777" w:rsidR="00D30531" w:rsidRPr="00CC1FA3" w:rsidRDefault="00D30531" w:rsidP="00437F2A">
      <w:pPr>
        <w:pStyle w:val="Heading4"/>
      </w:pPr>
      <w:r w:rsidRPr="00CC1FA3">
        <w:t xml:space="preserve">Profiling job seekers - Probability of Exit to Employment within 12 months’ (PEX) rating </w:t>
      </w:r>
    </w:p>
    <w:p w14:paraId="3CB8D031" w14:textId="069B4F3C" w:rsidR="00D30531" w:rsidRDefault="00D30531" w:rsidP="001566B2">
      <w:r>
        <w:t xml:space="preserve">In the Irish system, </w:t>
      </w:r>
      <w:r w:rsidRPr="00CC1FA3">
        <w:t xml:space="preserve">when unemployed people </w:t>
      </w:r>
      <w:r>
        <w:t xml:space="preserve">initially </w:t>
      </w:r>
      <w:r w:rsidRPr="00CC1FA3">
        <w:t xml:space="preserve">claim </w:t>
      </w:r>
      <w:r>
        <w:t xml:space="preserve">a </w:t>
      </w:r>
      <w:r w:rsidRPr="00CC1FA3">
        <w:t>benefit they must complete a profiling questionnaire, which is used to assign a ‘Probability of Exit to Employment within 12 months’ (PEX) rating</w:t>
      </w:r>
      <w:r>
        <w:t>. T</w:t>
      </w:r>
      <w:r w:rsidRPr="00CC1FA3">
        <w:t xml:space="preserve">he claimant must </w:t>
      </w:r>
      <w:r>
        <w:t xml:space="preserve">also </w:t>
      </w:r>
      <w:r w:rsidRPr="00CC1FA3">
        <w:t xml:space="preserve">agree to a record of mutual commitments. All claimants then attend a </w:t>
      </w:r>
      <w:r w:rsidRPr="00CC1FA3">
        <w:lastRenderedPageBreak/>
        <w:t xml:space="preserve">group information session where they are informed of the role of the PES, the mandatory activation process and </w:t>
      </w:r>
      <w:r>
        <w:t>the</w:t>
      </w:r>
      <w:r w:rsidRPr="00CC1FA3">
        <w:t xml:space="preserve"> support available from Intreo. The results of the PEX rating determine if a claimant is given an appointment for an advisory interview with a case officer during which a ‘Personal Progres</w:t>
      </w:r>
      <w:r w:rsidRPr="00CC1FA3">
        <w:softHyphen/>
        <w:t>sion Plan’ (PPP) is discussed and agreed.</w:t>
      </w:r>
    </w:p>
    <w:p w14:paraId="1917C2C4" w14:textId="77777777" w:rsidR="00D30531" w:rsidRDefault="00D30531" w:rsidP="0005395E">
      <w:pPr>
        <w:keepNext/>
        <w:keepLines/>
      </w:pPr>
      <w:r w:rsidRPr="00197A79">
        <w:t>The subsequent frequency and timing of engage</w:t>
      </w:r>
      <w:r w:rsidRPr="00197A79">
        <w:softHyphen/>
        <w:t xml:space="preserve">ment with an Intreo case officer is shaped by the </w:t>
      </w:r>
      <w:r>
        <w:t xml:space="preserve">client’s </w:t>
      </w:r>
      <w:r w:rsidRPr="00197A79">
        <w:t xml:space="preserve">PEX rating. </w:t>
      </w:r>
      <w:r>
        <w:t xml:space="preserve">Clients with a: </w:t>
      </w:r>
    </w:p>
    <w:p w14:paraId="3F97A04F" w14:textId="3E095B4A" w:rsidR="00D30531" w:rsidRPr="00437F2A" w:rsidRDefault="00D30531" w:rsidP="0005395E">
      <w:pPr>
        <w:pStyle w:val="ListParagraph"/>
        <w:keepNext/>
        <w:keepLines/>
      </w:pPr>
      <w:r w:rsidRPr="00437F2A">
        <w:t xml:space="preserve">high PEX rating (i.e., those with a high probability of gaining employment) are encouraged to search for work but are not required to attend an advisory interview for six months. </w:t>
      </w:r>
    </w:p>
    <w:p w14:paraId="36EDDF00" w14:textId="08000B7D" w:rsidR="00D30531" w:rsidRPr="00437F2A" w:rsidRDefault="00D30531" w:rsidP="0005395E">
      <w:pPr>
        <w:pStyle w:val="ListParagraph"/>
        <w:keepNext/>
        <w:keepLines/>
      </w:pPr>
      <w:r w:rsidRPr="00437F2A">
        <w:t>mid-point rating attend interviews once every two months</w:t>
      </w:r>
    </w:p>
    <w:p w14:paraId="5E90D6D8" w14:textId="04C57994" w:rsidR="00D30531" w:rsidRPr="006F0A9E" w:rsidRDefault="00D30531" w:rsidP="0005395E">
      <w:pPr>
        <w:pStyle w:val="ListParagraph"/>
        <w:keepLines/>
      </w:pPr>
      <w:r w:rsidRPr="00437F2A">
        <w:t>low PEX rating meet with an advisor every month</w:t>
      </w:r>
      <w:r w:rsidRPr="006F0A9E">
        <w:t>.</w:t>
      </w:r>
    </w:p>
    <w:p w14:paraId="758F001F" w14:textId="77777777" w:rsidR="00D30531" w:rsidRDefault="00D30531" w:rsidP="001566B2">
      <w:r>
        <w:t>The a</w:t>
      </w:r>
      <w:r w:rsidRPr="00197A79">
        <w:t>dvisory interviews complement a ‘signing on’ regime where claimants who are not meeting a case officer attend an Intreo office each month to make a declaration that they remain unemployed and are looking for work.</w:t>
      </w:r>
    </w:p>
    <w:p w14:paraId="0A04956F" w14:textId="0F3B73A3" w:rsidR="00D30531" w:rsidRPr="000F4B56" w:rsidRDefault="00D30531" w:rsidP="004821B4">
      <w:pPr>
        <w:pStyle w:val="Heading4"/>
      </w:pPr>
      <w:r w:rsidRPr="000F4B56">
        <w:t xml:space="preserve">JobPath </w:t>
      </w:r>
      <w:r>
        <w:t xml:space="preserve">- </w:t>
      </w:r>
      <w:r w:rsidRPr="000F4B56">
        <w:t xml:space="preserve">services </w:t>
      </w:r>
      <w:r>
        <w:t xml:space="preserve">for </w:t>
      </w:r>
      <w:r w:rsidRPr="000F4B56">
        <w:t xml:space="preserve">the </w:t>
      </w:r>
      <w:r>
        <w:t>long-term unemployed</w:t>
      </w:r>
    </w:p>
    <w:p w14:paraId="6CE573A7" w14:textId="77777777" w:rsidR="00D30531" w:rsidRDefault="00D30531" w:rsidP="00140A27">
      <w:r>
        <w:t xml:space="preserve">The </w:t>
      </w:r>
      <w:r w:rsidRPr="00414F49">
        <w:t xml:space="preserve">JobPath </w:t>
      </w:r>
      <w:r>
        <w:t xml:space="preserve">measure assists long-term unemployed job seekers </w:t>
      </w:r>
      <w:r w:rsidRPr="00414F49">
        <w:t>to secure and sustain full-time paid employment or self-employment.</w:t>
      </w:r>
      <w:r>
        <w:t xml:space="preserve"> It is delivered by non-government providers.</w:t>
      </w:r>
    </w:p>
    <w:p w14:paraId="3992AD94" w14:textId="77041952" w:rsidR="00D30531" w:rsidRDefault="00D30531" w:rsidP="00140A27">
      <w:r>
        <w:t xml:space="preserve">The Irish Department of Employment Affairs and Social Protection </w:t>
      </w:r>
      <w:r w:rsidRPr="00414F49">
        <w:t>selects</w:t>
      </w:r>
      <w:r>
        <w:t xml:space="preserve"> long-term unemployed</w:t>
      </w:r>
      <w:r w:rsidRPr="00414F49">
        <w:t xml:space="preserve"> job</w:t>
      </w:r>
      <w:r>
        <w:t xml:space="preserve"> </w:t>
      </w:r>
      <w:r w:rsidRPr="00414F49">
        <w:t xml:space="preserve">seekers on a random basis for referral to JobPath. </w:t>
      </w:r>
      <w:r>
        <w:t xml:space="preserve">The random allocation is designed to prevent providers selecting only the most job-ready clients to assist and, over a period of time, sequence the flow of referrals from amongst the existing ‘stock’ of eligible job seekers. Job seekers selected for the program meet on a </w:t>
      </w:r>
      <w:r w:rsidRPr="00414F49">
        <w:t xml:space="preserve">one-to-one </w:t>
      </w:r>
      <w:r>
        <w:t xml:space="preserve">basis </w:t>
      </w:r>
      <w:r w:rsidRPr="00414F49">
        <w:t>with an advisor who will work</w:t>
      </w:r>
      <w:r>
        <w:t xml:space="preserve"> with them to </w:t>
      </w:r>
      <w:r w:rsidRPr="00414F49">
        <w:t>get a job</w:t>
      </w:r>
      <w:r>
        <w:t>. Participation in the measure is compulsory for those selected for it.</w:t>
      </w:r>
    </w:p>
    <w:p w14:paraId="4B19CD6C" w14:textId="77777777" w:rsidR="00D30531" w:rsidRDefault="00D30531" w:rsidP="00140A27">
      <w:r>
        <w:t xml:space="preserve">Job seekers spend a year on JobPath and if they are placed into a job they may continue to receive support for the first year of employment. During their time on JobPath they may also be referred for further education and training opportunities. </w:t>
      </w:r>
    </w:p>
    <w:p w14:paraId="37EA8D17" w14:textId="77777777" w:rsidR="00D30531" w:rsidRDefault="00D30531" w:rsidP="00140A27">
      <w:r>
        <w:t>JobPath contracts are designed to attract private providers who invest in job seekers. Under this model, providers receive their full payments only when they succeed in placing the job seeker into employment which is sustained for more than one year.</w:t>
      </w:r>
    </w:p>
    <w:p w14:paraId="3C337190" w14:textId="77777777" w:rsidR="00D30531" w:rsidRDefault="00D30531" w:rsidP="00E8748B">
      <w:pPr>
        <w:pStyle w:val="Heading3"/>
        <w:numPr>
          <w:ilvl w:val="0"/>
          <w:numId w:val="30"/>
        </w:numPr>
      </w:pPr>
      <w:bookmarkStart w:id="39" w:name="_Toc506385740"/>
      <w:bookmarkStart w:id="40" w:name="_Toc506534820"/>
      <w:r w:rsidRPr="00781D23">
        <w:rPr>
          <w:noProof/>
          <w:lang w:eastAsia="en-AU"/>
        </w:rPr>
        <w:drawing>
          <wp:anchor distT="0" distB="0" distL="114300" distR="114300" simplePos="0" relativeHeight="251692032" behindDoc="1" locked="0" layoutInCell="1" allowOverlap="1" wp14:anchorId="0DBE736E" wp14:editId="2506FC3D">
            <wp:simplePos x="0" y="0"/>
            <wp:positionH relativeFrom="margin">
              <wp:align>right</wp:align>
            </wp:positionH>
            <wp:positionV relativeFrom="paragraph">
              <wp:posOffset>10160</wp:posOffset>
            </wp:positionV>
            <wp:extent cx="1190625" cy="790575"/>
            <wp:effectExtent l="0" t="0" r="9525" b="9525"/>
            <wp:wrapTight wrapText="bothSides">
              <wp:wrapPolygon edited="0">
                <wp:start x="0" y="0"/>
                <wp:lineTo x="0" y="21340"/>
                <wp:lineTo x="21427" y="21340"/>
                <wp:lineTo x="21427" y="0"/>
                <wp:lineTo x="0" y="0"/>
              </wp:wrapPolygon>
            </wp:wrapTight>
            <wp:docPr id="20" name="Picture 20" descr="flag">
              <a:hlinkClick xmlns:a="http://schemas.openxmlformats.org/drawingml/2006/main" r:id="rId62" tooltip="&quot;Flag of South Kor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ntered taegeuk on a white rectangle inclusive of four black trigrams">
                      <a:hlinkClick r:id="rId62" tooltip="&quot;Flag of South Korea&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906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t>Republic of Korea (</w:t>
      </w:r>
      <w:r w:rsidRPr="00431DA7">
        <w:t>South Korea</w:t>
      </w:r>
      <w:bookmarkEnd w:id="39"/>
      <w:bookmarkEnd w:id="40"/>
      <w:r>
        <w:t>)</w:t>
      </w:r>
    </w:p>
    <w:p w14:paraId="1C9882B9" w14:textId="77777777" w:rsidR="00D30531" w:rsidRPr="004D3C9F" w:rsidRDefault="00D30531" w:rsidP="001566B2">
      <w:r>
        <w:t xml:space="preserve">Korean employment services are covered by the </w:t>
      </w:r>
      <w:r w:rsidRPr="004D3C9F">
        <w:t xml:space="preserve">Employment Insurance Act which provides individual and specific labour market programmes under the Employment Insurance System (EIS). PES are delivered by a range of central government ministries, local governments and some government affiliated bodies, with the Job Centre being the core PES organisation.  </w:t>
      </w:r>
    </w:p>
    <w:p w14:paraId="21DBABC8" w14:textId="77777777" w:rsidR="00D30531" w:rsidRPr="004D3C9F" w:rsidRDefault="00D30531" w:rsidP="0005395E">
      <w:pPr>
        <w:pStyle w:val="Heading4"/>
      </w:pPr>
      <w:r w:rsidRPr="004D3C9F">
        <w:t>Job Centre</w:t>
      </w:r>
      <w:r>
        <w:t>s</w:t>
      </w:r>
    </w:p>
    <w:p w14:paraId="0359D075" w14:textId="1C92F2D5" w:rsidR="00D30531" w:rsidRPr="004D3C9F" w:rsidRDefault="00D30531" w:rsidP="001566B2">
      <w:r>
        <w:t xml:space="preserve">The Korean </w:t>
      </w:r>
      <w:r w:rsidRPr="004D3C9F">
        <w:t>Government Job Centre implements most of the programs in the</w:t>
      </w:r>
      <w:r>
        <w:t xml:space="preserve"> EIS</w:t>
      </w:r>
      <w:r w:rsidRPr="004D3C9F">
        <w:t xml:space="preserve">, providing a one-stop service linking </w:t>
      </w:r>
      <w:r>
        <w:t xml:space="preserve">the </w:t>
      </w:r>
      <w:r w:rsidRPr="004D3C9F">
        <w:t>payment of unemployment benefit</w:t>
      </w:r>
      <w:r>
        <w:t>s with</w:t>
      </w:r>
      <w:r w:rsidRPr="004D3C9F">
        <w:t xml:space="preserve"> job placement and vocational training services. Job Centre services also include counselling and an active labour market program, the Successful Employment Package Program</w:t>
      </w:r>
      <w:r>
        <w:t xml:space="preserve"> (SEPP)</w:t>
      </w:r>
      <w:r w:rsidRPr="004D3C9F">
        <w:t>.</w:t>
      </w:r>
    </w:p>
    <w:p w14:paraId="279EBFD8" w14:textId="77777777" w:rsidR="00D30531" w:rsidRPr="004D3C9F" w:rsidRDefault="00D30531" w:rsidP="001566B2">
      <w:r w:rsidRPr="004D3C9F">
        <w:lastRenderedPageBreak/>
        <w:t>Job placement services are carried out on the basis of information on the Work-Net</w:t>
      </w:r>
      <w:r>
        <w:t xml:space="preserve">, </w:t>
      </w:r>
      <w:r w:rsidRPr="004D3C9F">
        <w:t>the public job information network that collects, stores and provides the details of job seekers and recruiting companies. Job placement services include individual counselling for discouraged job seekers to encourage and enhance self-esteem, motivation, interpersonal and communication skills; and group counselling for targeted people who have severe difficulty in finding a job. The Job Centre also holds job fairs to help connect people to jobs. On occasion, job consultants will accompan</w:t>
      </w:r>
      <w:r>
        <w:t>y job seekers to job interviews</w:t>
      </w:r>
      <w:r w:rsidRPr="004D3C9F">
        <w:t>, in an effort to improve the job placement rate.</w:t>
      </w:r>
    </w:p>
    <w:p w14:paraId="103282CF" w14:textId="77777777" w:rsidR="00D30531" w:rsidRPr="004D3C9F" w:rsidRDefault="00D30531" w:rsidP="0005395E">
      <w:pPr>
        <w:pStyle w:val="Heading4"/>
      </w:pPr>
      <w:r w:rsidRPr="004D3C9F">
        <w:t>Employment stabilisation programs</w:t>
      </w:r>
    </w:p>
    <w:p w14:paraId="7CD101A8" w14:textId="01AD0511" w:rsidR="00D30531" w:rsidRDefault="00D30531" w:rsidP="001566B2">
      <w:r>
        <w:t>O</w:t>
      </w:r>
      <w:r w:rsidRPr="004D3C9F">
        <w:t xml:space="preserve">ne of the main </w:t>
      </w:r>
      <w:r>
        <w:t>goals</w:t>
      </w:r>
      <w:r w:rsidRPr="004D3C9F">
        <w:t xml:space="preserve"> of the Korean EIS is </w:t>
      </w:r>
      <w:r>
        <w:t xml:space="preserve">to </w:t>
      </w:r>
      <w:r w:rsidRPr="004D3C9F">
        <w:t>prevent unemployment and promot</w:t>
      </w:r>
      <w:r>
        <w:t>e</w:t>
      </w:r>
      <w:r w:rsidRPr="004D3C9F">
        <w:t xml:space="preserve"> reemployment. This aim is reflected in the range of emplo</w:t>
      </w:r>
      <w:r>
        <w:t>yment stabilisation programmes, which include the:</w:t>
      </w:r>
    </w:p>
    <w:p w14:paraId="79398EA7" w14:textId="7BDD3A11" w:rsidR="00D30531" w:rsidRDefault="00D30531" w:rsidP="00B16665">
      <w:pPr>
        <w:pStyle w:val="ListParagraph"/>
        <w:numPr>
          <w:ilvl w:val="0"/>
          <w:numId w:val="40"/>
        </w:numPr>
      </w:pPr>
      <w:r w:rsidRPr="004D3C9F">
        <w:t>Job Creation Program which provides financial assistance to employers to expand employment opportunities by improving the working environment, implementing alternative work patterns or making</w:t>
      </w:r>
      <w:r>
        <w:t xml:space="preserve"> other efforts to create jobs.</w:t>
      </w:r>
    </w:p>
    <w:p w14:paraId="302289FD" w14:textId="7109A319" w:rsidR="00D30531" w:rsidRDefault="00D30531" w:rsidP="00B16665">
      <w:pPr>
        <w:pStyle w:val="ListParagraph"/>
        <w:numPr>
          <w:ilvl w:val="0"/>
          <w:numId w:val="40"/>
        </w:numPr>
      </w:pPr>
      <w:r w:rsidRPr="004D3C9F">
        <w:t xml:space="preserve">Employment Adjustment Program </w:t>
      </w:r>
      <w:r>
        <w:t xml:space="preserve">which </w:t>
      </w:r>
      <w:r w:rsidRPr="004D3C9F">
        <w:t>aims to stabilise employment by providing subsidies to employers to cover part of the costs involved in minimising lay-offs in the cour</w:t>
      </w:r>
      <w:r>
        <w:t>se of employment adjustment.</w:t>
      </w:r>
    </w:p>
    <w:p w14:paraId="38148959" w14:textId="19C2D8EA" w:rsidR="00D30531" w:rsidRPr="004D3C9F" w:rsidRDefault="00D30531" w:rsidP="00B16665">
      <w:pPr>
        <w:pStyle w:val="ListParagraph"/>
        <w:numPr>
          <w:ilvl w:val="0"/>
          <w:numId w:val="40"/>
        </w:numPr>
      </w:pPr>
      <w:r w:rsidRPr="004D3C9F">
        <w:t xml:space="preserve">Employment Promotion Programme </w:t>
      </w:r>
      <w:r>
        <w:t xml:space="preserve">which is </w:t>
      </w:r>
      <w:r w:rsidRPr="004D3C9F">
        <w:t xml:space="preserve">aimed at facilitating employment of vulnerable groups in finding jobs under normal labour market conditions through employer subsidies.  </w:t>
      </w:r>
    </w:p>
    <w:p w14:paraId="06E5FE64" w14:textId="77777777" w:rsidR="00D30531" w:rsidRPr="004D3C9F" w:rsidRDefault="00D30531" w:rsidP="0005395E">
      <w:pPr>
        <w:pStyle w:val="Heading4"/>
      </w:pPr>
      <w:r w:rsidRPr="004D3C9F">
        <w:t>Successful Employment Package Program</w:t>
      </w:r>
      <w:r>
        <w:t xml:space="preserve"> </w:t>
      </w:r>
    </w:p>
    <w:p w14:paraId="405CFAC0" w14:textId="77777777" w:rsidR="00D30531" w:rsidRPr="004D3C9F" w:rsidRDefault="00D30531" w:rsidP="001566B2">
      <w:r w:rsidRPr="004D3C9F">
        <w:t xml:space="preserve">The </w:t>
      </w:r>
      <w:r>
        <w:t>SEPP</w:t>
      </w:r>
      <w:r w:rsidRPr="004D3C9F">
        <w:t xml:space="preserve"> is a three-stage program run by the Korean Job Centre, providing customised assistance for up to 12 months to participants. Financial incentives and income support are </w:t>
      </w:r>
      <w:r>
        <w:t>available</w:t>
      </w:r>
      <w:r w:rsidRPr="004D3C9F">
        <w:t xml:space="preserve"> at various stages to promote participation.</w:t>
      </w:r>
    </w:p>
    <w:p w14:paraId="4A0C68F9" w14:textId="77777777" w:rsidR="00D30531" w:rsidRPr="004821B4" w:rsidRDefault="00D30531" w:rsidP="004821B4">
      <w:pPr>
        <w:pStyle w:val="ListParagraph"/>
      </w:pPr>
      <w:r w:rsidRPr="004821B4">
        <w:t>In the first stage, participants receive individual counselling and develop an Individual Action Plan (IAP).</w:t>
      </w:r>
    </w:p>
    <w:p w14:paraId="5923EE66" w14:textId="77777777" w:rsidR="00D30531" w:rsidRPr="004821B4" w:rsidRDefault="00D30531" w:rsidP="004821B4">
      <w:pPr>
        <w:pStyle w:val="ListParagraph"/>
      </w:pPr>
      <w:r w:rsidRPr="004821B4">
        <w:t>During the second stage, participants are monitored at least once every two weeks by Job Centre officials who meet face-to-face or via the internet. Depending on their IAP, participants receive further job-search assistance, vocational training, work experience or help to set up their own business.</w:t>
      </w:r>
    </w:p>
    <w:p w14:paraId="527DA601" w14:textId="77777777" w:rsidR="00D30531" w:rsidRPr="00431DA7" w:rsidRDefault="00D30531" w:rsidP="004821B4">
      <w:pPr>
        <w:pStyle w:val="ListParagraph"/>
        <w:rPr>
          <w:rFonts w:cstheme="minorHAnsi"/>
          <w:color w:val="000000"/>
        </w:rPr>
      </w:pPr>
      <w:r w:rsidRPr="004821B4">
        <w:t>In the third stage, participants are helped to find employment through intensive job</w:t>
      </w:r>
      <w:r w:rsidRPr="004821B4">
        <w:noBreakHyphen/>
        <w:t>placement services provided by both public job centres and contracted private employment services</w:t>
      </w:r>
      <w:r w:rsidRPr="004D3C9F">
        <w:t>.</w:t>
      </w:r>
      <w:r w:rsidRPr="00431DA7">
        <w:rPr>
          <w:rFonts w:cstheme="minorHAnsi"/>
          <w:color w:val="000000"/>
        </w:rPr>
        <w:t xml:space="preserve"> </w:t>
      </w:r>
    </w:p>
    <w:p w14:paraId="3956643B" w14:textId="77777777" w:rsidR="00D30531" w:rsidRPr="00781D23" w:rsidRDefault="00D30531" w:rsidP="00E8748B">
      <w:pPr>
        <w:pStyle w:val="Heading3"/>
        <w:numPr>
          <w:ilvl w:val="0"/>
          <w:numId w:val="30"/>
        </w:numPr>
      </w:pPr>
      <w:bookmarkStart w:id="41" w:name="_Toc506534822"/>
      <w:r w:rsidRPr="00781D23">
        <w:rPr>
          <w:noProof/>
          <w:lang w:eastAsia="en-AU"/>
        </w:rPr>
        <w:drawing>
          <wp:anchor distT="0" distB="0" distL="114300" distR="114300" simplePos="0" relativeHeight="251694080" behindDoc="1" locked="0" layoutInCell="1" allowOverlap="1" wp14:anchorId="7B913ED3" wp14:editId="3598B97D">
            <wp:simplePos x="0" y="0"/>
            <wp:positionH relativeFrom="margin">
              <wp:align>right</wp:align>
            </wp:positionH>
            <wp:positionV relativeFrom="paragraph">
              <wp:posOffset>0</wp:posOffset>
            </wp:positionV>
            <wp:extent cx="1190625" cy="600075"/>
            <wp:effectExtent l="0" t="0" r="9525" b="9525"/>
            <wp:wrapTight wrapText="bothSides">
              <wp:wrapPolygon edited="0">
                <wp:start x="0" y="0"/>
                <wp:lineTo x="0" y="21257"/>
                <wp:lineTo x="21427" y="21257"/>
                <wp:lineTo x="21427" y="0"/>
                <wp:lineTo x="0" y="0"/>
              </wp:wrapPolygon>
            </wp:wrapTight>
            <wp:docPr id="26" name="Picture 26" descr="New Zealand flag">
              <a:hlinkClick xmlns:a="http://schemas.openxmlformats.org/drawingml/2006/main" r:id="rId64" tooltip="&quot;Flag of New Zea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field with the Union Flag in the top right corner, and four red stars with white borders to the right.">
                      <a:hlinkClick r:id="rId64" tooltip="&quot;Flag of New Zealand&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D23">
        <w:t>New Zealand</w:t>
      </w:r>
      <w:bookmarkEnd w:id="41"/>
      <w:r w:rsidRPr="00781D23">
        <w:t xml:space="preserve"> </w:t>
      </w:r>
    </w:p>
    <w:p w14:paraId="42500C8A" w14:textId="77777777" w:rsidR="00D30531" w:rsidRPr="00AA7DD6" w:rsidRDefault="00D30531" w:rsidP="0005395E">
      <w:pPr>
        <w:pStyle w:val="Heading4"/>
      </w:pPr>
      <w:r w:rsidRPr="00AA7DD6">
        <w:t xml:space="preserve">Employment Service Reform </w:t>
      </w:r>
      <w:r>
        <w:t>– Service integration</w:t>
      </w:r>
    </w:p>
    <w:p w14:paraId="13FDF38F" w14:textId="77777777" w:rsidR="00D30531" w:rsidRPr="00AA7DD6" w:rsidRDefault="00D30531" w:rsidP="00140A27">
      <w:r>
        <w:t>The e</w:t>
      </w:r>
      <w:r w:rsidRPr="00D96F29">
        <w:t>mployment and income support</w:t>
      </w:r>
      <w:r>
        <w:t xml:space="preserve"> services in New Zealand </w:t>
      </w:r>
      <w:r w:rsidRPr="00D96F29">
        <w:t>were administered by separate departments until 1998</w:t>
      </w:r>
      <w:r>
        <w:t>,</w:t>
      </w:r>
      <w:r w:rsidRPr="00D96F29">
        <w:t xml:space="preserve"> when they were merged to form the Department of Work and Income. The Department of Work and Income was in turn merged with the Ministry of Social Policy to form the Ministry for Social Development (MSD) in 2001. MSD </w:t>
      </w:r>
      <w:r>
        <w:t>mandate was to move</w:t>
      </w:r>
      <w:r w:rsidRPr="00D96F29">
        <w:t xml:space="preserve"> towards </w:t>
      </w:r>
      <w:r w:rsidRPr="00D96F29">
        <w:rPr>
          <w:i/>
        </w:rPr>
        <w:t>“a greater emphasis on ‘investment’ in clients to achieve longer-term outcomes, in particular sustainable employment”</w:t>
      </w:r>
      <w:r w:rsidRPr="00D96F29">
        <w:t>.</w:t>
      </w:r>
    </w:p>
    <w:p w14:paraId="10757E3B" w14:textId="77777777" w:rsidR="00D30531" w:rsidRPr="006E0175" w:rsidRDefault="00D30531" w:rsidP="00140A27">
      <w:pPr>
        <w:rPr>
          <w:rFonts w:cstheme="minorHAnsi"/>
        </w:rPr>
      </w:pPr>
      <w:r>
        <w:rPr>
          <w:rFonts w:cstheme="minorHAnsi"/>
        </w:rPr>
        <w:t>MSD remain</w:t>
      </w:r>
      <w:r w:rsidRPr="0059187E">
        <w:rPr>
          <w:rFonts w:cstheme="minorHAnsi"/>
        </w:rPr>
        <w:t>s responsible for employment service</w:t>
      </w:r>
      <w:r>
        <w:rPr>
          <w:rFonts w:cstheme="minorHAnsi"/>
        </w:rPr>
        <w:t>s</w:t>
      </w:r>
      <w:r w:rsidRPr="0059187E">
        <w:rPr>
          <w:rFonts w:cstheme="minorHAnsi"/>
        </w:rPr>
        <w:t xml:space="preserve"> and welfare policy as well as its delivery through </w:t>
      </w:r>
      <w:r>
        <w:rPr>
          <w:rFonts w:cstheme="minorHAnsi"/>
        </w:rPr>
        <w:t xml:space="preserve">the </w:t>
      </w:r>
      <w:r w:rsidRPr="00A83C7B">
        <w:rPr>
          <w:rFonts w:cstheme="minorHAnsi"/>
        </w:rPr>
        <w:t>Work and Income</w:t>
      </w:r>
      <w:r>
        <w:rPr>
          <w:rFonts w:cstheme="minorHAnsi"/>
        </w:rPr>
        <w:t xml:space="preserve"> agency.</w:t>
      </w:r>
      <w:r w:rsidRPr="0059187E">
        <w:rPr>
          <w:rFonts w:cstheme="minorHAnsi"/>
        </w:rPr>
        <w:t xml:space="preserve"> MSD performs national, regional and local labour market engagement </w:t>
      </w:r>
      <w:r w:rsidRPr="0059187E">
        <w:rPr>
          <w:rFonts w:cstheme="minorHAnsi"/>
        </w:rPr>
        <w:lastRenderedPageBreak/>
        <w:t xml:space="preserve">functions (including </w:t>
      </w:r>
      <w:r>
        <w:rPr>
          <w:rFonts w:cstheme="minorHAnsi"/>
        </w:rPr>
        <w:t>with employers</w:t>
      </w:r>
      <w:r w:rsidRPr="0059187E">
        <w:rPr>
          <w:rFonts w:cstheme="minorHAnsi"/>
        </w:rPr>
        <w:t>), case management (including in</w:t>
      </w:r>
      <w:r w:rsidRPr="0059187E">
        <w:rPr>
          <w:rFonts w:cstheme="minorHAnsi"/>
        </w:rPr>
        <w:noBreakHyphen/>
        <w:t>work support) and a work brokerage service</w:t>
      </w:r>
      <w:r>
        <w:rPr>
          <w:rFonts w:cstheme="minorHAnsi"/>
        </w:rPr>
        <w:t>s</w:t>
      </w:r>
      <w:r w:rsidRPr="0059187E">
        <w:rPr>
          <w:rFonts w:cstheme="minorHAnsi"/>
        </w:rPr>
        <w:t xml:space="preserve">. </w:t>
      </w:r>
      <w:r>
        <w:rPr>
          <w:rFonts w:cstheme="minorHAnsi"/>
        </w:rPr>
        <w:t>Through MSD, e</w:t>
      </w:r>
      <w:r w:rsidRPr="0059187E">
        <w:rPr>
          <w:rFonts w:cstheme="minorHAnsi"/>
        </w:rPr>
        <w:t xml:space="preserve">mployment services are integrated with income support, housing and other assistance, such as with childcare. </w:t>
      </w:r>
      <w:r>
        <w:rPr>
          <w:rFonts w:cstheme="minorHAnsi"/>
        </w:rPr>
        <w:t>MSD also</w:t>
      </w:r>
      <w:r w:rsidRPr="0059187E">
        <w:rPr>
          <w:rFonts w:cstheme="minorHAnsi"/>
        </w:rPr>
        <w:t xml:space="preserve"> procure</w:t>
      </w:r>
      <w:r>
        <w:rPr>
          <w:rFonts w:cstheme="minorHAnsi"/>
        </w:rPr>
        <w:t>s</w:t>
      </w:r>
      <w:r w:rsidRPr="0059187E">
        <w:rPr>
          <w:rFonts w:cstheme="minorHAnsi"/>
        </w:rPr>
        <w:t xml:space="preserve"> regional work preparation, training and work readiness programs.</w:t>
      </w:r>
      <w:r>
        <w:rPr>
          <w:rFonts w:cstheme="minorHAnsi"/>
        </w:rPr>
        <w:t xml:space="preserve"> </w:t>
      </w:r>
      <w:r w:rsidRPr="006E0175">
        <w:rPr>
          <w:rFonts w:cstheme="minorHAnsi"/>
        </w:rPr>
        <w:t xml:space="preserve">Work and Income’s website provides access to a range of </w:t>
      </w:r>
      <w:r>
        <w:rPr>
          <w:rFonts w:cstheme="minorHAnsi"/>
        </w:rPr>
        <w:t xml:space="preserve">practical </w:t>
      </w:r>
      <w:r w:rsidRPr="006E0175">
        <w:rPr>
          <w:rFonts w:cstheme="minorHAnsi"/>
        </w:rPr>
        <w:t>services and resources, such as templates for a CV.</w:t>
      </w:r>
    </w:p>
    <w:p w14:paraId="52273B10" w14:textId="77777777" w:rsidR="00D30531" w:rsidRPr="00B751CB" w:rsidRDefault="00D30531" w:rsidP="007E621D">
      <w:pPr>
        <w:pStyle w:val="Heading4"/>
      </w:pPr>
      <w:r w:rsidRPr="00B751CB">
        <w:t xml:space="preserve">Youth Service </w:t>
      </w:r>
    </w:p>
    <w:p w14:paraId="4611BBB0" w14:textId="18C78E77" w:rsidR="00D30531" w:rsidRPr="00A35E62" w:rsidRDefault="00D30531" w:rsidP="00140A27">
      <w:r w:rsidRPr="00A35E62">
        <w:t>The Youth Service</w:t>
      </w:r>
      <w:r w:rsidR="007E621D">
        <w:t xml:space="preserve"> </w:t>
      </w:r>
      <w:r w:rsidRPr="00A35E62">
        <w:t>supports people aged 16 to 19 to engage in education, training, and work-based learning, and to have the life skills to be a successful contributing member of the community.</w:t>
      </w:r>
      <w:r>
        <w:t xml:space="preserve"> </w:t>
      </w:r>
      <w:r w:rsidRPr="00A35E62">
        <w:t xml:space="preserve">There are </w:t>
      </w:r>
      <w:r>
        <w:t>five</w:t>
      </w:r>
      <w:r w:rsidRPr="00A35E62">
        <w:t xml:space="preserve"> groups of clients: </w:t>
      </w:r>
    </w:p>
    <w:p w14:paraId="315A37D7" w14:textId="77777777" w:rsidR="00D30531" w:rsidRPr="00C43F7B" w:rsidRDefault="00D30531" w:rsidP="007E621D">
      <w:pPr>
        <w:pStyle w:val="ListParagraph"/>
        <w:rPr>
          <w:rFonts w:eastAsia="Times New Roman"/>
          <w:lang w:eastAsia="en-AU"/>
        </w:rPr>
      </w:pPr>
      <w:r w:rsidRPr="00C43F7B">
        <w:rPr>
          <w:rFonts w:eastAsia="Times New Roman"/>
          <w:lang w:eastAsia="en-AU"/>
        </w:rPr>
        <w:t>16 and 17 year olds (and some 15 year olds) who are not engaged in employment, education or training, or young people who are at risk of moving into this category</w:t>
      </w:r>
    </w:p>
    <w:p w14:paraId="6D1CF1F8" w14:textId="77777777" w:rsidR="00D30531" w:rsidRPr="00C43F7B" w:rsidRDefault="00D30531" w:rsidP="007E621D">
      <w:pPr>
        <w:pStyle w:val="ListParagraph"/>
        <w:rPr>
          <w:rFonts w:eastAsia="Times New Roman"/>
          <w:lang w:eastAsia="en-AU"/>
        </w:rPr>
      </w:pPr>
      <w:r w:rsidRPr="00C43F7B">
        <w:rPr>
          <w:rFonts w:eastAsia="Times New Roman"/>
          <w:lang w:eastAsia="en-AU"/>
        </w:rPr>
        <w:t>16 to 19 year-old parents</w:t>
      </w:r>
    </w:p>
    <w:p w14:paraId="0A7BA026" w14:textId="77777777" w:rsidR="00D30531" w:rsidRPr="00C43F7B" w:rsidRDefault="00D30531" w:rsidP="007E621D">
      <w:pPr>
        <w:pStyle w:val="ListParagraph"/>
        <w:rPr>
          <w:rFonts w:eastAsia="Times New Roman"/>
          <w:lang w:eastAsia="en-AU"/>
        </w:rPr>
      </w:pPr>
      <w:r w:rsidRPr="00C43F7B">
        <w:rPr>
          <w:rFonts w:eastAsia="Times New Roman"/>
          <w:lang w:eastAsia="en-AU"/>
        </w:rPr>
        <w:t>16 and 17 year olds who can’t live with their parents or guardians, or be supported by them or anyone else</w:t>
      </w:r>
    </w:p>
    <w:p w14:paraId="43BB7865" w14:textId="77777777" w:rsidR="00D30531" w:rsidRPr="00C43F7B" w:rsidRDefault="00D30531" w:rsidP="007E621D">
      <w:pPr>
        <w:pStyle w:val="ListParagraph"/>
        <w:rPr>
          <w:rFonts w:eastAsia="Times New Roman"/>
          <w:lang w:eastAsia="en-AU"/>
        </w:rPr>
      </w:pPr>
      <w:r w:rsidRPr="00C43F7B">
        <w:rPr>
          <w:rFonts w:eastAsia="Times New Roman"/>
          <w:lang w:eastAsia="en-AU"/>
        </w:rPr>
        <w:t>16 or 17 years olds, who have no dependent children and are the partner of a main Work and income beneficiary</w:t>
      </w:r>
    </w:p>
    <w:p w14:paraId="0A068313" w14:textId="77777777" w:rsidR="00D30531" w:rsidRPr="00C43F7B" w:rsidRDefault="00D30531" w:rsidP="007E621D">
      <w:pPr>
        <w:pStyle w:val="ListParagraph"/>
        <w:rPr>
          <w:rFonts w:eastAsia="Times New Roman"/>
          <w:color w:val="44332E"/>
          <w:lang w:eastAsia="en-AU"/>
        </w:rPr>
      </w:pPr>
      <w:r w:rsidRPr="00C43F7B">
        <w:rPr>
          <w:rFonts w:eastAsia="Times New Roman"/>
          <w:lang w:eastAsia="en-AU"/>
        </w:rPr>
        <w:t>16 to 19 years olds, who have a dependent child or children and are the partner of a main Work and income beneficiary</w:t>
      </w:r>
      <w:r w:rsidRPr="00C43F7B">
        <w:rPr>
          <w:rFonts w:eastAsia="Times New Roman"/>
          <w:color w:val="44332E"/>
          <w:lang w:eastAsia="en-AU"/>
        </w:rPr>
        <w:t>.</w:t>
      </w:r>
    </w:p>
    <w:p w14:paraId="2C093322" w14:textId="417DC239" w:rsidR="00D30531" w:rsidRDefault="00D30531" w:rsidP="00140A27">
      <w:r w:rsidRPr="00A35E62">
        <w:t>Y</w:t>
      </w:r>
      <w:r w:rsidR="004821B4">
        <w:t xml:space="preserve">outh </w:t>
      </w:r>
      <w:r w:rsidRPr="00A35E62">
        <w:t>S</w:t>
      </w:r>
      <w:r w:rsidR="004821B4">
        <w:t>ervice</w:t>
      </w:r>
      <w:r w:rsidRPr="00A35E62">
        <w:t xml:space="preserve"> clients receive more intensive, individualised services than most </w:t>
      </w:r>
      <w:r>
        <w:t xml:space="preserve">adult </w:t>
      </w:r>
      <w:r w:rsidRPr="00A35E62">
        <w:t>MSD employment service clients.</w:t>
      </w:r>
      <w:r>
        <w:t xml:space="preserve"> </w:t>
      </w:r>
      <w:r w:rsidRPr="00A35E62">
        <w:t>MSD contracts a network of non-government provider organisations to deliver the YS in most localities. In-house MSD caseworkers provide the servi</w:t>
      </w:r>
      <w:r>
        <w:t xml:space="preserve">ce in Wellington and Whanganui. </w:t>
      </w:r>
      <w:r w:rsidRPr="00A35E62">
        <w:t xml:space="preserve">Most parts of the country have only one provider in each community. </w:t>
      </w:r>
    </w:p>
    <w:p w14:paraId="77FB6302" w14:textId="77777777" w:rsidR="00D30531" w:rsidRPr="00A35E62" w:rsidRDefault="00D30531" w:rsidP="00140A27">
      <w:r w:rsidRPr="00A35E62">
        <w:t>Providers hold outcomes-based contracts to improve the proportions of young people in education, training and employment. They also help clients into settled accommodation and to learn to budget their money.</w:t>
      </w:r>
    </w:p>
    <w:p w14:paraId="021244C2" w14:textId="77777777" w:rsidR="001566B2" w:rsidRPr="00431DA7" w:rsidRDefault="00D30531" w:rsidP="00E8748B">
      <w:pPr>
        <w:pStyle w:val="Heading3"/>
        <w:numPr>
          <w:ilvl w:val="0"/>
          <w:numId w:val="30"/>
        </w:numPr>
      </w:pPr>
      <w:bookmarkStart w:id="42" w:name="_Toc506385742"/>
      <w:bookmarkStart w:id="43" w:name="_Toc506534823"/>
      <w:r w:rsidRPr="00781D23">
        <w:rPr>
          <w:noProof/>
          <w:lang w:eastAsia="en-AU"/>
        </w:rPr>
        <w:drawing>
          <wp:anchor distT="0" distB="0" distL="114300" distR="114300" simplePos="0" relativeHeight="251695104" behindDoc="1" locked="0" layoutInCell="1" allowOverlap="1" wp14:anchorId="17F7E1BA" wp14:editId="1B9B5F8F">
            <wp:simplePos x="0" y="0"/>
            <wp:positionH relativeFrom="margin">
              <wp:align>right</wp:align>
            </wp:positionH>
            <wp:positionV relativeFrom="paragraph">
              <wp:posOffset>0</wp:posOffset>
            </wp:positionV>
            <wp:extent cx="1190625" cy="742950"/>
            <wp:effectExtent l="0" t="0" r="9525" b="0"/>
            <wp:wrapTight wrapText="bothSides">
              <wp:wrapPolygon edited="0">
                <wp:start x="0" y="0"/>
                <wp:lineTo x="0" y="21046"/>
                <wp:lineTo x="21427" y="21046"/>
                <wp:lineTo x="21427" y="0"/>
                <wp:lineTo x="0" y="0"/>
              </wp:wrapPolygon>
            </wp:wrapTight>
            <wp:docPr id="27" name="Picture 27" descr="Flag of Sweden">
              <a:hlinkClick xmlns:a="http://schemas.openxmlformats.org/drawingml/2006/main" r:id="rId66" tooltip="&quot;Flag of Swe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of Sweden">
                      <a:hlinkClick r:id="rId66" tooltip="&quot;Flag of Sweden&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t>Sweden</w:t>
      </w:r>
      <w:r w:rsidRPr="0024582D">
        <w:rPr>
          <w:rStyle w:val="EndnoteReference"/>
          <w:b w:val="0"/>
          <w:i/>
        </w:rPr>
        <w:endnoteReference w:id="31"/>
      </w:r>
      <w:bookmarkEnd w:id="42"/>
      <w:bookmarkEnd w:id="43"/>
      <w:r w:rsidRPr="0024582D">
        <w:rPr>
          <w:rStyle w:val="EndnoteReference"/>
          <w:b w:val="0"/>
          <w:i/>
        </w:rPr>
        <w:t xml:space="preserve"> </w:t>
      </w:r>
    </w:p>
    <w:p w14:paraId="11E471DD" w14:textId="77777777" w:rsidR="001566B2" w:rsidRPr="003844FD" w:rsidRDefault="001566B2" w:rsidP="0005395E">
      <w:pPr>
        <w:pStyle w:val="Heading4"/>
      </w:pPr>
      <w:r w:rsidRPr="00431DA7">
        <w:t>Blended service delivery approach</w:t>
      </w:r>
    </w:p>
    <w:p w14:paraId="03F0E549" w14:textId="02B49F1F" w:rsidR="001566B2" w:rsidRPr="00431DA7" w:rsidRDefault="001566B2" w:rsidP="00140A27">
      <w:r w:rsidRPr="00431DA7">
        <w:t xml:space="preserve">The Swedish </w:t>
      </w:r>
      <w:r w:rsidR="004821B4">
        <w:t>PES</w:t>
      </w:r>
      <w:r w:rsidRPr="00431DA7">
        <w:t xml:space="preserve"> offers a unique multi-model service arrangement. The initial profiling and creation of individual action plans takes place at local employment offices during face-to-face meetings with caseworkers. Job-ready customers are expected to primarily use online </w:t>
      </w:r>
      <w:r>
        <w:t>services, but can also receive</w:t>
      </w:r>
      <w:r w:rsidRPr="00431DA7">
        <w:t xml:space="preserve"> personalised support </w:t>
      </w:r>
      <w:r>
        <w:t>from</w:t>
      </w:r>
      <w:r w:rsidRPr="00431DA7">
        <w:t xml:space="preserve"> caseworkers both over the telephone and </w:t>
      </w:r>
      <w:r>
        <w:t>via</w:t>
      </w:r>
      <w:r w:rsidRPr="00431DA7">
        <w:t xml:space="preserve"> online meetings. These job</w:t>
      </w:r>
      <w:r>
        <w:t xml:space="preserve"> </w:t>
      </w:r>
      <w:r w:rsidRPr="00431DA7">
        <w:t xml:space="preserve">seekers are referred </w:t>
      </w:r>
      <w:r>
        <w:t>to attend</w:t>
      </w:r>
      <w:r w:rsidRPr="00431DA7">
        <w:t xml:space="preserve"> face-to-face meetings at the employment office only to update their individual action plans and for further counselling if they have not returned to employment within four months. </w:t>
      </w:r>
      <w:r>
        <w:t>F</w:t>
      </w:r>
      <w:r w:rsidRPr="00431DA7">
        <w:t xml:space="preserve">or </w:t>
      </w:r>
      <w:r>
        <w:t>job seekers</w:t>
      </w:r>
      <w:r w:rsidRPr="00431DA7">
        <w:t xml:space="preserve"> further away from the labour market, most services a</w:t>
      </w:r>
      <w:r>
        <w:t>re offered face-to-face</w:t>
      </w:r>
      <w:r w:rsidRPr="00431DA7">
        <w:t xml:space="preserve">. </w:t>
      </w:r>
    </w:p>
    <w:p w14:paraId="4246DFC4" w14:textId="77777777" w:rsidR="001566B2" w:rsidRPr="00431DA7" w:rsidRDefault="001566B2" w:rsidP="00140A27">
      <w:r w:rsidRPr="00431DA7">
        <w:t>Swedish digital services aim to b</w:t>
      </w:r>
      <w:r>
        <w:t>e effective for all parties, while limiting the costs facing government, job seekers and employers. For example, as a measure to improve the efficiency of the recruitment process and reduce job seekers’ travel costs, the</w:t>
      </w:r>
      <w:r w:rsidRPr="00431DA7">
        <w:t xml:space="preserve"> digital service offer</w:t>
      </w:r>
      <w:r>
        <w:t xml:space="preserve"> allows for</w:t>
      </w:r>
      <w:r w:rsidRPr="00431DA7">
        <w:t xml:space="preserve"> </w:t>
      </w:r>
      <w:r w:rsidRPr="00431DA7">
        <w:rPr>
          <w:bCs/>
        </w:rPr>
        <w:t xml:space="preserve">online screening interviews </w:t>
      </w:r>
      <w:r w:rsidRPr="00431DA7">
        <w:t>between employers</w:t>
      </w:r>
      <w:r>
        <w:t xml:space="preserve"> and job applicants.</w:t>
      </w:r>
      <w:r w:rsidRPr="00431DA7">
        <w:t xml:space="preserve"> </w:t>
      </w:r>
    </w:p>
    <w:p w14:paraId="78A8003F" w14:textId="77777777" w:rsidR="001566B2" w:rsidRPr="00431DA7" w:rsidRDefault="001566B2" w:rsidP="0005395E">
      <w:pPr>
        <w:pStyle w:val="Heading4"/>
      </w:pPr>
      <w:r w:rsidRPr="00431DA7">
        <w:t>Coordination Associations</w:t>
      </w:r>
      <w:r w:rsidRPr="00C042AF">
        <w:rPr>
          <w:i/>
        </w:rPr>
        <w:t xml:space="preserve"> </w:t>
      </w:r>
    </w:p>
    <w:p w14:paraId="601E66AC" w14:textId="77777777" w:rsidR="001566B2" w:rsidRPr="002E2756" w:rsidRDefault="001566B2" w:rsidP="00623DDB">
      <w:r w:rsidRPr="00431DA7">
        <w:lastRenderedPageBreak/>
        <w:t xml:space="preserve">Sweden </w:t>
      </w:r>
      <w:r>
        <w:t xml:space="preserve">has </w:t>
      </w:r>
      <w:r w:rsidRPr="00431DA7">
        <w:t>introduced a voluntary</w:t>
      </w:r>
      <w:r>
        <w:t xml:space="preserve"> local</w:t>
      </w:r>
      <w:r w:rsidRPr="00431DA7">
        <w:t xml:space="preserve"> cooperation scheme, called Coordination Associations (CA), </w:t>
      </w:r>
      <w:r w:rsidRPr="00140A27">
        <w:t>to facilitate institutional cooperation between the PES, the social and health sector and municipalities. CAs are independent and led by a local political board. CA boards are made up of officials of public authorities as well as political representatives of the municipality and the county council. CAs coordinate the goals of the participating stakeholders, launch joint projects (e.g. for the</w:t>
      </w:r>
      <w:r w:rsidRPr="00431DA7">
        <w:t xml:space="preserve"> integration of immigrants) and maintain inter-organisational teams that support the reintegration of long-term unemployed and </w:t>
      </w:r>
      <w:r>
        <w:t>help people with health issues.</w:t>
      </w:r>
    </w:p>
    <w:tbl>
      <w:tblPr>
        <w:tblStyle w:val="TableGrid"/>
        <w:tblW w:w="0" w:type="auto"/>
        <w:tblLook w:val="04A0" w:firstRow="1" w:lastRow="0" w:firstColumn="1" w:lastColumn="0" w:noHBand="0" w:noVBand="1"/>
      </w:tblPr>
      <w:tblGrid>
        <w:gridCol w:w="9016"/>
      </w:tblGrid>
      <w:tr w:rsidR="001566B2" w:rsidRPr="00431DA7" w14:paraId="702985FD" w14:textId="77777777" w:rsidTr="0005395E">
        <w:tc>
          <w:tcPr>
            <w:tcW w:w="9016" w:type="dxa"/>
          </w:tcPr>
          <w:p w14:paraId="3A26D422" w14:textId="77777777" w:rsidR="001566B2" w:rsidRPr="00023230" w:rsidRDefault="001566B2" w:rsidP="008A7EEF">
            <w:pPr>
              <w:spacing w:before="60"/>
              <w:rPr>
                <w:rFonts w:cstheme="minorHAnsi"/>
                <w:b/>
              </w:rPr>
            </w:pPr>
            <w:r w:rsidRPr="00023230">
              <w:rPr>
                <w:rFonts w:cstheme="minorHAnsi"/>
                <w:b/>
              </w:rPr>
              <w:t xml:space="preserve">Case Study: Sweden “co-browsing” (multi-modal servicing) </w:t>
            </w:r>
          </w:p>
          <w:p w14:paraId="7EA4DCDC" w14:textId="7A74F4D9" w:rsidR="001566B2" w:rsidRPr="00023230" w:rsidRDefault="001566B2" w:rsidP="00140A27">
            <w:r w:rsidRPr="00023230">
              <w:t xml:space="preserve">Sweden has one of the highest levels of broadband Internet penetration (around 90 percent) in the world. This high level of connectivity and widespread adoption of various e-services has led to a high demand from clients for online services which are provided by </w:t>
            </w:r>
            <w:r w:rsidR="00F675D0">
              <w:t>the PES</w:t>
            </w:r>
            <w:r w:rsidRPr="00023230">
              <w:t>.</w:t>
            </w:r>
          </w:p>
          <w:p w14:paraId="15B9F330" w14:textId="73E22E5A" w:rsidR="001566B2" w:rsidRPr="00023230" w:rsidRDefault="001566B2" w:rsidP="00140A27">
            <w:r w:rsidRPr="00023230">
              <w:t xml:space="preserve">In order to keep clients within the online channel and to </w:t>
            </w:r>
            <w:r w:rsidR="0096086B">
              <w:t>guarantee</w:t>
            </w:r>
            <w:r w:rsidR="0096086B" w:rsidRPr="00023230">
              <w:t xml:space="preserve"> </w:t>
            </w:r>
            <w:r w:rsidRPr="00023230">
              <w:t>delivery of services in a way that is relevant and adapted to the client’s capacity and situation, the Swedish public employment service has adopted co-browsing as a blended service delivery tool.</w:t>
            </w:r>
          </w:p>
          <w:p w14:paraId="19B3374E" w14:textId="77777777" w:rsidR="001566B2" w:rsidRPr="00023230" w:rsidRDefault="001566B2" w:rsidP="00140A27">
            <w:r w:rsidRPr="00023230">
              <w:t>Co-browsing essentially means that a job seeker who is online and cannot find information or complete a service can allow a public employment employee to see their screen and provide assistance. In addition, chat/text, audio, and video facilities provide support in this screen-sharing process. Through the use of different channels simultaneously, co-browsing is an example of blended service delivery.</w:t>
            </w:r>
            <w:r w:rsidRPr="00023230">
              <w:rPr>
                <w:rStyle w:val="EndnoteReference"/>
                <w:rFonts w:cstheme="minorHAnsi"/>
              </w:rPr>
              <w:t xml:space="preserve"> </w:t>
            </w:r>
          </w:p>
          <w:p w14:paraId="0B5D6E07" w14:textId="77777777" w:rsidR="001566B2" w:rsidRPr="00023230" w:rsidRDefault="001566B2" w:rsidP="00140A27">
            <w:r w:rsidRPr="00023230">
              <w:t xml:space="preserve">The co-browsing tool is aimed at </w:t>
            </w:r>
            <w:r w:rsidRPr="00023230">
              <w:rPr>
                <w:bCs/>
              </w:rPr>
              <w:t>job seekers who are job-ready and who have been unemployed for less than four months</w:t>
            </w:r>
            <w:r w:rsidRPr="00023230">
              <w:t>. This means that customers who are not job ready or who have been unemployed for longer than four months will be referred to the local PES office for assistance.</w:t>
            </w:r>
          </w:p>
          <w:p w14:paraId="1A52A8FC" w14:textId="77777777" w:rsidR="001566B2" w:rsidRPr="00023230" w:rsidRDefault="001566B2" w:rsidP="00140A27">
            <w:r w:rsidRPr="00023230">
              <w:t>Customer satisfaction surveys show that over 90 per cent of public employment service clients are satisfied with this type of service. Around 92 per cent of nearly 1,600 respondents said they “would use this type of support/assistance again”.</w:t>
            </w:r>
          </w:p>
        </w:tc>
      </w:tr>
    </w:tbl>
    <w:p w14:paraId="04062ED4" w14:textId="77777777" w:rsidR="001566B2" w:rsidRDefault="001566B2" w:rsidP="00623DDB"/>
    <w:p w14:paraId="7C3F2E7D" w14:textId="77777777" w:rsidR="001566B2" w:rsidRPr="0024582D" w:rsidRDefault="001566B2" w:rsidP="00E8748B">
      <w:pPr>
        <w:pStyle w:val="Heading3"/>
        <w:numPr>
          <w:ilvl w:val="0"/>
          <w:numId w:val="30"/>
        </w:numPr>
      </w:pPr>
      <w:bookmarkStart w:id="44" w:name="_Toc506534824"/>
      <w:r w:rsidRPr="00781D23">
        <w:rPr>
          <w:noProof/>
          <w:lang w:eastAsia="en-AU"/>
        </w:rPr>
        <w:drawing>
          <wp:anchor distT="0" distB="0" distL="114300" distR="114300" simplePos="0" relativeHeight="251685888" behindDoc="1" locked="0" layoutInCell="1" allowOverlap="1" wp14:anchorId="32ADB343" wp14:editId="54A4D0AB">
            <wp:simplePos x="0" y="0"/>
            <wp:positionH relativeFrom="margin">
              <wp:align>right</wp:align>
            </wp:positionH>
            <wp:positionV relativeFrom="paragraph">
              <wp:posOffset>9525</wp:posOffset>
            </wp:positionV>
            <wp:extent cx="1190625" cy="600075"/>
            <wp:effectExtent l="0" t="0" r="9525" b="9525"/>
            <wp:wrapTight wrapText="bothSides">
              <wp:wrapPolygon edited="0">
                <wp:start x="0" y="0"/>
                <wp:lineTo x="0" y="21257"/>
                <wp:lineTo x="21427" y="21257"/>
                <wp:lineTo x="21427" y="0"/>
                <wp:lineTo x="0" y="0"/>
              </wp:wrapPolygon>
            </wp:wrapTight>
            <wp:docPr id="10" name="Picture 10" descr="UK flag">
              <a:hlinkClick xmlns:a="http://schemas.openxmlformats.org/drawingml/2006/main" r:id="rId68" tooltip="&quot;Flag of United Kingd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flag featuring both cross and saltire in red, white and blue">
                      <a:hlinkClick r:id="rId68" tooltip="&quot;Flag of United Kingdom&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906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B45">
        <w:t>The United Kingdom</w:t>
      </w:r>
      <w:bookmarkEnd w:id="44"/>
      <w:r w:rsidRPr="00473B45">
        <w:t xml:space="preserve"> </w:t>
      </w:r>
    </w:p>
    <w:p w14:paraId="1EE76973" w14:textId="77777777" w:rsidR="001566B2" w:rsidRPr="000901C2" w:rsidRDefault="001566B2" w:rsidP="004F5231">
      <w:pPr>
        <w:pStyle w:val="Heading4"/>
      </w:pPr>
      <w:r w:rsidRPr="000901C2">
        <w:t>Jobcentre Plus</w:t>
      </w:r>
    </w:p>
    <w:p w14:paraId="2EC513F4" w14:textId="77777777" w:rsidR="001566B2" w:rsidRPr="000901C2" w:rsidRDefault="001566B2" w:rsidP="00140A27">
      <w:pPr>
        <w:rPr>
          <w:rFonts w:eastAsia="Times New Roman"/>
          <w:lang w:val="en" w:eastAsia="en-AU"/>
        </w:rPr>
      </w:pPr>
      <w:r w:rsidRPr="000901C2">
        <w:rPr>
          <w:rFonts w:eastAsia="Times New Roman"/>
          <w:lang w:val="en" w:eastAsia="en-AU"/>
        </w:rPr>
        <w:t>Jobcentre Plus is a government-funded employment agency and social security office, help</w:t>
      </w:r>
      <w:r>
        <w:rPr>
          <w:rFonts w:eastAsia="Times New Roman"/>
          <w:lang w:val="en" w:eastAsia="en-AU"/>
        </w:rPr>
        <w:t>ing</w:t>
      </w:r>
      <w:r w:rsidRPr="000901C2">
        <w:rPr>
          <w:rFonts w:eastAsia="Times New Roman"/>
          <w:lang w:val="en" w:eastAsia="en-AU"/>
        </w:rPr>
        <w:t xml:space="preserve"> people of working age find employment in the UK. Jobcentre Plus p</w:t>
      </w:r>
      <w:r>
        <w:rPr>
          <w:rFonts w:eastAsia="Times New Roman"/>
          <w:lang w:val="en" w:eastAsia="en-AU"/>
        </w:rPr>
        <w:t>rovides resources to enable job seekers</w:t>
      </w:r>
      <w:r w:rsidRPr="000901C2">
        <w:rPr>
          <w:rFonts w:eastAsia="Times New Roman"/>
          <w:lang w:val="en" w:eastAsia="en-AU"/>
        </w:rPr>
        <w:t xml:space="preserve"> to find work, through Jobpoints (touch-screen computer terminals), Jobseeker Direct (</w:t>
      </w:r>
      <w:r>
        <w:rPr>
          <w:rFonts w:eastAsia="Times New Roman"/>
          <w:lang w:val="en" w:eastAsia="en-AU"/>
        </w:rPr>
        <w:t xml:space="preserve">a </w:t>
      </w:r>
      <w:r w:rsidRPr="000901C2">
        <w:rPr>
          <w:rFonts w:eastAsia="Times New Roman"/>
          <w:lang w:val="en" w:eastAsia="en-AU"/>
        </w:rPr>
        <w:t xml:space="preserve">telephone service) and the Jobcentre Plus website. </w:t>
      </w:r>
      <w:r>
        <w:rPr>
          <w:rFonts w:eastAsia="Times New Roman"/>
          <w:lang w:val="en" w:eastAsia="en-AU"/>
        </w:rPr>
        <w:t>These services</w:t>
      </w:r>
      <w:r w:rsidRPr="000901C2">
        <w:rPr>
          <w:rFonts w:eastAsia="Times New Roman"/>
          <w:lang w:val="en" w:eastAsia="en-AU"/>
        </w:rPr>
        <w:t xml:space="preserve"> </w:t>
      </w:r>
      <w:r>
        <w:rPr>
          <w:rFonts w:eastAsia="Times New Roman"/>
          <w:lang w:val="en" w:eastAsia="en-AU"/>
        </w:rPr>
        <w:t xml:space="preserve">also </w:t>
      </w:r>
      <w:r w:rsidRPr="000901C2">
        <w:rPr>
          <w:rFonts w:eastAsia="Times New Roman"/>
          <w:lang w:val="en" w:eastAsia="en-AU"/>
        </w:rPr>
        <w:t>offer information about</w:t>
      </w:r>
      <w:r>
        <w:rPr>
          <w:rFonts w:eastAsia="Times New Roman"/>
          <w:lang w:val="en" w:eastAsia="en-AU"/>
        </w:rPr>
        <w:t xml:space="preserve"> training opportunities for long-term </w:t>
      </w:r>
      <w:r w:rsidRPr="000901C2">
        <w:rPr>
          <w:rFonts w:eastAsia="Times New Roman"/>
          <w:lang w:val="en" w:eastAsia="en-AU"/>
        </w:rPr>
        <w:t>unemployed</w:t>
      </w:r>
      <w:r>
        <w:rPr>
          <w:rFonts w:eastAsia="Times New Roman"/>
          <w:lang w:val="en" w:eastAsia="en-AU"/>
        </w:rPr>
        <w:t xml:space="preserve"> people</w:t>
      </w:r>
      <w:r w:rsidRPr="000901C2">
        <w:rPr>
          <w:rFonts w:eastAsia="Times New Roman"/>
          <w:lang w:val="en" w:eastAsia="en-AU"/>
        </w:rPr>
        <w:t xml:space="preserve">. </w:t>
      </w:r>
      <w:r>
        <w:rPr>
          <w:rFonts w:eastAsia="Times New Roman"/>
          <w:lang w:val="en" w:eastAsia="en-AU"/>
        </w:rPr>
        <w:t xml:space="preserve">In addition to delivering employment services, Jobcentre Plus also </w:t>
      </w:r>
      <w:r w:rsidRPr="000901C2">
        <w:rPr>
          <w:rFonts w:eastAsia="Times New Roman"/>
          <w:lang w:val="en" w:eastAsia="en-AU"/>
        </w:rPr>
        <w:t>administer</w:t>
      </w:r>
      <w:r>
        <w:rPr>
          <w:rFonts w:eastAsia="Times New Roman"/>
          <w:lang w:val="en" w:eastAsia="en-AU"/>
        </w:rPr>
        <w:t>s</w:t>
      </w:r>
      <w:r w:rsidRPr="000901C2">
        <w:rPr>
          <w:rFonts w:eastAsia="Times New Roman"/>
          <w:lang w:val="en" w:eastAsia="en-AU"/>
        </w:rPr>
        <w:t xml:space="preserve"> claims for benefits such as Income Support, Incapacity Benefit, and Jobseeker's Allowance.</w:t>
      </w:r>
    </w:p>
    <w:p w14:paraId="36EAC959" w14:textId="62D74059" w:rsidR="001566B2" w:rsidRPr="000901C2" w:rsidRDefault="001566B2" w:rsidP="00140A27">
      <w:pPr>
        <w:rPr>
          <w:rFonts w:eastAsia="Times New Roman"/>
          <w:lang w:val="en" w:eastAsia="en-AU"/>
        </w:rPr>
      </w:pPr>
      <w:r w:rsidRPr="000901C2">
        <w:rPr>
          <w:rFonts w:eastAsia="Times New Roman"/>
          <w:lang w:val="en" w:eastAsia="en-AU"/>
        </w:rPr>
        <w:t xml:space="preserve">“Work coaches” at Jobcentre Plus are civil servants (part of the Department of Work and Pensions), and generally have caseloads of 80 to 100 job seekers. </w:t>
      </w:r>
      <w:r w:rsidR="00466FAC" w:rsidRPr="00466FAC">
        <w:rPr>
          <w:rFonts w:eastAsia="Times New Roman"/>
          <w:lang w:val="en" w:eastAsia="en-AU"/>
        </w:rPr>
        <w:t xml:space="preserve">Staff can </w:t>
      </w:r>
      <w:r w:rsidRPr="00466FAC">
        <w:rPr>
          <w:rFonts w:eastAsia="Times New Roman"/>
          <w:lang w:val="en" w:eastAsia="en-AU"/>
        </w:rPr>
        <w:t>access to a Flexible</w:t>
      </w:r>
      <w:r>
        <w:rPr>
          <w:rFonts w:eastAsia="Times New Roman"/>
          <w:lang w:val="en" w:eastAsia="en-AU"/>
        </w:rPr>
        <w:t xml:space="preserve"> Support Fund (similar to the Australian Employment </w:t>
      </w:r>
      <w:r w:rsidRPr="000901C2">
        <w:rPr>
          <w:rFonts w:eastAsia="Times New Roman"/>
          <w:lang w:val="en" w:eastAsia="en-AU"/>
        </w:rPr>
        <w:t>F</w:t>
      </w:r>
      <w:r>
        <w:rPr>
          <w:rFonts w:eastAsia="Times New Roman"/>
          <w:lang w:val="en" w:eastAsia="en-AU"/>
        </w:rPr>
        <w:t>und</w:t>
      </w:r>
      <w:r w:rsidRPr="000901C2">
        <w:rPr>
          <w:rFonts w:eastAsia="Times New Roman"/>
          <w:lang w:val="en" w:eastAsia="en-AU"/>
        </w:rPr>
        <w:t xml:space="preserve">), </w:t>
      </w:r>
      <w:r>
        <w:rPr>
          <w:rFonts w:eastAsia="Times New Roman"/>
          <w:lang w:val="en" w:eastAsia="en-AU"/>
        </w:rPr>
        <w:t>which</w:t>
      </w:r>
      <w:r w:rsidRPr="000901C2">
        <w:rPr>
          <w:rFonts w:eastAsia="Times New Roman"/>
          <w:lang w:val="en" w:eastAsia="en-AU"/>
        </w:rPr>
        <w:t xml:space="preserve"> can be used to provide grants to external org</w:t>
      </w:r>
      <w:r>
        <w:rPr>
          <w:rFonts w:eastAsia="Times New Roman"/>
          <w:lang w:val="en" w:eastAsia="en-AU"/>
        </w:rPr>
        <w:t>anisation</w:t>
      </w:r>
      <w:r w:rsidRPr="000901C2">
        <w:rPr>
          <w:rFonts w:eastAsia="Times New Roman"/>
          <w:lang w:val="en" w:eastAsia="en-AU"/>
        </w:rPr>
        <w:t>s for training or other programs.</w:t>
      </w:r>
    </w:p>
    <w:p w14:paraId="407CA14A" w14:textId="77777777" w:rsidR="001566B2" w:rsidRDefault="001566B2" w:rsidP="00140A27">
      <w:r>
        <w:lastRenderedPageBreak/>
        <w:t xml:space="preserve">Jobcentre Plus is currently operating amid social services reform in the United Kingdom, with the United Kingdom rolling out “universal credit” (a streamlined benefit payment model). The Jobcentre Plus system is also undergoing its own reform in an effort to streamline the system. This reform will include the merger of smaller Jobcentre offices and the co-location of around 50 offices with local </w:t>
      </w:r>
      <w:r w:rsidRPr="00933EC0">
        <w:t>authorities or other community services to provide joined-up services for the local community</w:t>
      </w:r>
      <w:r>
        <w:t xml:space="preserve">. </w:t>
      </w:r>
    </w:p>
    <w:p w14:paraId="42F8D1FA" w14:textId="77777777" w:rsidR="001566B2" w:rsidRPr="000901C2" w:rsidRDefault="001566B2" w:rsidP="004F5231">
      <w:pPr>
        <w:pStyle w:val="Heading4"/>
      </w:pPr>
      <w:r w:rsidRPr="000901C2">
        <w:t>Work and Health Programme</w:t>
      </w:r>
    </w:p>
    <w:p w14:paraId="5E9C320B" w14:textId="77777777" w:rsidR="001566B2" w:rsidRPr="000901C2" w:rsidRDefault="001566B2" w:rsidP="00140A27">
      <w:pPr>
        <w:rPr>
          <w:rFonts w:eastAsia="Times New Roman"/>
          <w:lang w:eastAsia="en-AU"/>
        </w:rPr>
      </w:pPr>
      <w:r w:rsidRPr="000901C2">
        <w:rPr>
          <w:rFonts w:eastAsia="Times New Roman"/>
          <w:lang w:eastAsia="en-AU"/>
        </w:rPr>
        <w:t xml:space="preserve">The Work and Health Programme </w:t>
      </w:r>
      <w:r>
        <w:rPr>
          <w:rFonts w:eastAsia="Times New Roman"/>
          <w:lang w:eastAsia="en-AU"/>
        </w:rPr>
        <w:t xml:space="preserve">was </w:t>
      </w:r>
      <w:r w:rsidRPr="000901C2">
        <w:rPr>
          <w:rFonts w:eastAsia="Times New Roman"/>
          <w:lang w:eastAsia="en-AU"/>
        </w:rPr>
        <w:t xml:space="preserve">launched in 2017. It provides specialised support for those unemployed for over two years and, on a voluntary basis, to those with health conditions or disabilities. The </w:t>
      </w:r>
      <w:r>
        <w:rPr>
          <w:rFonts w:eastAsia="Times New Roman"/>
          <w:lang w:eastAsia="en-AU"/>
        </w:rPr>
        <w:t xml:space="preserve">UK </w:t>
      </w:r>
      <w:r w:rsidRPr="000901C2">
        <w:rPr>
          <w:rFonts w:eastAsia="Times New Roman"/>
          <w:lang w:eastAsia="en-AU"/>
        </w:rPr>
        <w:t xml:space="preserve">Government expects that the majority of people referred to the Programme will be </w:t>
      </w:r>
      <w:r>
        <w:rPr>
          <w:rFonts w:eastAsia="Times New Roman"/>
          <w:lang w:eastAsia="en-AU"/>
        </w:rPr>
        <w:t xml:space="preserve">people with disability. </w:t>
      </w:r>
      <w:r w:rsidRPr="000901C2">
        <w:rPr>
          <w:rFonts w:eastAsia="Times New Roman"/>
          <w:lang w:eastAsia="en-AU"/>
        </w:rPr>
        <w:t xml:space="preserve"> </w:t>
      </w:r>
    </w:p>
    <w:p w14:paraId="017B9E84" w14:textId="77777777" w:rsidR="001566B2" w:rsidRPr="00623DDB" w:rsidRDefault="001566B2" w:rsidP="001566B2">
      <w:pPr>
        <w:shd w:val="clear" w:color="auto" w:fill="FFFFFF"/>
        <w:spacing w:after="0" w:line="240" w:lineRule="auto"/>
        <w:rPr>
          <w:rStyle w:val="Strong"/>
        </w:rPr>
      </w:pPr>
      <w:r w:rsidRPr="000901C2">
        <w:rPr>
          <w:rFonts w:ascii="Calibri" w:eastAsia="Times New Roman" w:hAnsi="Calibri" w:cs="Calibri"/>
          <w:color w:val="000000"/>
          <w:lang w:eastAsia="en-AU"/>
        </w:rPr>
        <w:t>Eligible groups of job seekers include:</w:t>
      </w:r>
    </w:p>
    <w:p w14:paraId="7E7CE878" w14:textId="7128CF1B" w:rsidR="001566B2" w:rsidRPr="0005395E" w:rsidRDefault="001566B2" w:rsidP="0005395E">
      <w:pPr>
        <w:pStyle w:val="ListParagraph"/>
      </w:pPr>
      <w:r w:rsidRPr="0005395E">
        <w:t>Very long</w:t>
      </w:r>
      <w:r w:rsidR="00AE50CC" w:rsidRPr="0005395E">
        <w:t>-</w:t>
      </w:r>
      <w:r w:rsidRPr="0005395E">
        <w:t>term unemployed people are required to participate, with providers being expected to bring a different and refreshed energy and approach for these job seekers</w:t>
      </w:r>
    </w:p>
    <w:p w14:paraId="18EF3E7B" w14:textId="77777777" w:rsidR="001566B2" w:rsidRPr="0005395E" w:rsidRDefault="001566B2" w:rsidP="0005395E">
      <w:pPr>
        <w:pStyle w:val="ListParagraph"/>
      </w:pPr>
      <w:r w:rsidRPr="0005395E">
        <w:t>Specified early entrant groups that are Government policy priorities, including:</w:t>
      </w:r>
    </w:p>
    <w:p w14:paraId="2D3CAF81" w14:textId="77777777" w:rsidR="001566B2" w:rsidRPr="000901C2" w:rsidRDefault="001566B2" w:rsidP="0005395E">
      <w:pPr>
        <w:pStyle w:val="dotpoint2"/>
        <w:rPr>
          <w:lang w:eastAsia="en-AU"/>
        </w:rPr>
      </w:pPr>
      <w:r w:rsidRPr="000901C2">
        <w:rPr>
          <w:lang w:eastAsia="en-AU"/>
        </w:rPr>
        <w:t>ex-offender</w:t>
      </w:r>
      <w:r>
        <w:rPr>
          <w:lang w:eastAsia="en-AU"/>
        </w:rPr>
        <w:t>s</w:t>
      </w:r>
    </w:p>
    <w:p w14:paraId="0C25B1E5" w14:textId="77777777" w:rsidR="001566B2" w:rsidRPr="000901C2" w:rsidRDefault="001566B2" w:rsidP="0005395E">
      <w:pPr>
        <w:pStyle w:val="dotpoint2"/>
        <w:rPr>
          <w:lang w:eastAsia="en-AU"/>
        </w:rPr>
      </w:pPr>
      <w:r w:rsidRPr="000901C2">
        <w:rPr>
          <w:lang w:eastAsia="en-AU"/>
        </w:rPr>
        <w:t>ex-carer</w:t>
      </w:r>
      <w:r>
        <w:rPr>
          <w:lang w:eastAsia="en-AU"/>
        </w:rPr>
        <w:t>s</w:t>
      </w:r>
    </w:p>
    <w:p w14:paraId="1D26635A" w14:textId="77777777" w:rsidR="001566B2" w:rsidRPr="000901C2" w:rsidRDefault="001566B2" w:rsidP="0005395E">
      <w:pPr>
        <w:pStyle w:val="dotpoint2"/>
        <w:rPr>
          <w:lang w:eastAsia="en-AU"/>
        </w:rPr>
      </w:pPr>
      <w:r>
        <w:rPr>
          <w:lang w:eastAsia="en-AU"/>
        </w:rPr>
        <w:t>homeless people</w:t>
      </w:r>
    </w:p>
    <w:p w14:paraId="64BE4045" w14:textId="77777777" w:rsidR="001566B2" w:rsidRPr="000901C2" w:rsidRDefault="001566B2" w:rsidP="0005395E">
      <w:pPr>
        <w:pStyle w:val="dotpoint2"/>
        <w:rPr>
          <w:lang w:eastAsia="en-AU"/>
        </w:rPr>
      </w:pPr>
      <w:r w:rsidRPr="000901C2">
        <w:rPr>
          <w:lang w:eastAsia="en-AU"/>
        </w:rPr>
        <w:t>ex</w:t>
      </w:r>
      <w:r>
        <w:rPr>
          <w:lang w:eastAsia="en-AU"/>
        </w:rPr>
        <w:t>-HM Armed Forces personnel</w:t>
      </w:r>
    </w:p>
    <w:p w14:paraId="71B48954" w14:textId="77777777" w:rsidR="001566B2" w:rsidRPr="000901C2" w:rsidRDefault="001566B2" w:rsidP="0005395E">
      <w:pPr>
        <w:pStyle w:val="dotpoint2"/>
        <w:rPr>
          <w:lang w:eastAsia="en-AU"/>
        </w:rPr>
      </w:pPr>
      <w:r w:rsidRPr="000901C2">
        <w:rPr>
          <w:lang w:eastAsia="en-AU"/>
        </w:rPr>
        <w:t>partner</w:t>
      </w:r>
      <w:r>
        <w:rPr>
          <w:lang w:eastAsia="en-AU"/>
        </w:rPr>
        <w:t>s</w:t>
      </w:r>
      <w:r w:rsidRPr="000901C2">
        <w:rPr>
          <w:lang w:eastAsia="en-AU"/>
        </w:rPr>
        <w:t xml:space="preserve"> of current or former Armed Forces personnel</w:t>
      </w:r>
    </w:p>
    <w:p w14:paraId="36055BCB" w14:textId="77777777" w:rsidR="001566B2" w:rsidRDefault="001566B2" w:rsidP="0005395E">
      <w:pPr>
        <w:pStyle w:val="dotpoint2"/>
        <w:rPr>
          <w:lang w:eastAsia="en-AU"/>
        </w:rPr>
      </w:pPr>
      <w:r>
        <w:rPr>
          <w:lang w:eastAsia="en-AU"/>
        </w:rPr>
        <w:t xml:space="preserve">people </w:t>
      </w:r>
      <w:r w:rsidRPr="00023230">
        <w:rPr>
          <w:lang w:eastAsia="en-AU"/>
        </w:rPr>
        <w:t>for whom a drug</w:t>
      </w:r>
      <w:r>
        <w:rPr>
          <w:lang w:eastAsia="en-AU"/>
        </w:rPr>
        <w:t xml:space="preserve"> or alcohol dependency </w:t>
      </w:r>
      <w:r w:rsidRPr="00023230">
        <w:rPr>
          <w:lang w:eastAsia="en-AU"/>
        </w:rPr>
        <w:t>presents a significant barrier to employment.</w:t>
      </w:r>
    </w:p>
    <w:p w14:paraId="069F5364" w14:textId="77777777" w:rsidR="001566B2" w:rsidRPr="0005395E" w:rsidRDefault="001566B2" w:rsidP="0005395E">
      <w:pPr>
        <w:pStyle w:val="ListParagraph"/>
      </w:pPr>
      <w:r w:rsidRPr="0005395E">
        <w:t xml:space="preserve">People with disability can also volunteer to join the programme at any time. </w:t>
      </w:r>
    </w:p>
    <w:p w14:paraId="4FE41665" w14:textId="77777777" w:rsidR="001566B2" w:rsidRPr="000901C2" w:rsidRDefault="001566B2" w:rsidP="00140A27">
      <w:pPr>
        <w:rPr>
          <w:rFonts w:eastAsia="Times New Roman"/>
          <w:lang w:eastAsia="en-AU"/>
        </w:rPr>
      </w:pPr>
      <w:r w:rsidRPr="000901C2">
        <w:rPr>
          <w:rFonts w:eastAsia="Times New Roman"/>
          <w:lang w:eastAsia="en-AU"/>
        </w:rPr>
        <w:t xml:space="preserve">Servicing is limited to 15 months unless the </w:t>
      </w:r>
      <w:r>
        <w:rPr>
          <w:rFonts w:eastAsia="Times New Roman"/>
          <w:lang w:eastAsia="en-AU"/>
        </w:rPr>
        <w:t>client</w:t>
      </w:r>
      <w:r w:rsidRPr="000901C2">
        <w:rPr>
          <w:rFonts w:eastAsia="Times New Roman"/>
          <w:lang w:eastAsia="en-AU"/>
        </w:rPr>
        <w:t xml:space="preserve"> is tracking towards a sustained </w:t>
      </w:r>
      <w:r>
        <w:rPr>
          <w:rFonts w:eastAsia="Times New Roman"/>
          <w:lang w:eastAsia="en-AU"/>
        </w:rPr>
        <w:t>j</w:t>
      </w:r>
      <w:r w:rsidRPr="000901C2">
        <w:rPr>
          <w:rFonts w:eastAsia="Times New Roman"/>
          <w:lang w:eastAsia="en-AU"/>
        </w:rPr>
        <w:t xml:space="preserve">ob </w:t>
      </w:r>
      <w:r>
        <w:rPr>
          <w:rFonts w:eastAsia="Times New Roman"/>
          <w:lang w:eastAsia="en-AU"/>
        </w:rPr>
        <w:t>o</w:t>
      </w:r>
      <w:r w:rsidRPr="000901C2">
        <w:rPr>
          <w:rFonts w:eastAsia="Times New Roman"/>
          <w:lang w:eastAsia="en-AU"/>
        </w:rPr>
        <w:t>utcome (21 months is the maximum</w:t>
      </w:r>
      <w:r>
        <w:rPr>
          <w:rFonts w:eastAsia="Times New Roman"/>
          <w:lang w:eastAsia="en-AU"/>
        </w:rPr>
        <w:t xml:space="preserve"> possible period of assistance</w:t>
      </w:r>
      <w:r w:rsidRPr="000901C2">
        <w:rPr>
          <w:rFonts w:eastAsia="Times New Roman"/>
          <w:lang w:eastAsia="en-AU"/>
        </w:rPr>
        <w:t xml:space="preserve">). </w:t>
      </w:r>
      <w:r>
        <w:rPr>
          <w:rFonts w:eastAsia="Times New Roman"/>
          <w:lang w:eastAsia="en-AU"/>
        </w:rPr>
        <w:t>Job seekers return to Jobcentre Plus services if they remain on income support past this time.</w:t>
      </w:r>
    </w:p>
    <w:p w14:paraId="27234142" w14:textId="77777777" w:rsidR="001566B2" w:rsidRPr="0024582D" w:rsidRDefault="001566B2" w:rsidP="00E8748B">
      <w:pPr>
        <w:pStyle w:val="Heading3"/>
        <w:numPr>
          <w:ilvl w:val="0"/>
          <w:numId w:val="30"/>
        </w:numPr>
      </w:pPr>
      <w:bookmarkStart w:id="45" w:name="_Toc506534825"/>
      <w:r w:rsidRPr="00781D23">
        <w:rPr>
          <w:noProof/>
          <w:lang w:eastAsia="en-AU"/>
        </w:rPr>
        <w:drawing>
          <wp:anchor distT="0" distB="0" distL="114300" distR="114300" simplePos="0" relativeHeight="251683840" behindDoc="1" locked="0" layoutInCell="1" allowOverlap="1" wp14:anchorId="6B5805CE" wp14:editId="4F6BEAEA">
            <wp:simplePos x="0" y="0"/>
            <wp:positionH relativeFrom="margin">
              <wp:posOffset>4531360</wp:posOffset>
            </wp:positionH>
            <wp:positionV relativeFrom="paragraph">
              <wp:posOffset>201881</wp:posOffset>
            </wp:positionV>
            <wp:extent cx="1190625" cy="628650"/>
            <wp:effectExtent l="0" t="0" r="9525" b="0"/>
            <wp:wrapTight wrapText="bothSides">
              <wp:wrapPolygon edited="0">
                <wp:start x="0" y="0"/>
                <wp:lineTo x="0" y="20945"/>
                <wp:lineTo x="21427" y="20945"/>
                <wp:lineTo x="21427" y="0"/>
                <wp:lineTo x="0" y="0"/>
              </wp:wrapPolygon>
            </wp:wrapTight>
            <wp:docPr id="28" name="Picture 28" descr="Flag of the United States">
              <a:hlinkClick xmlns:a="http://schemas.openxmlformats.org/drawingml/2006/main" r:id="rId70" tooltip="&quot;Flag of the United St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the United States">
                      <a:hlinkClick r:id="rId70" tooltip="&quot;Flag of the United States&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1906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B45">
        <w:t>United States</w:t>
      </w:r>
      <w:bookmarkEnd w:id="45"/>
    </w:p>
    <w:p w14:paraId="0E8B3D72" w14:textId="77777777" w:rsidR="001566B2" w:rsidRDefault="001566B2" w:rsidP="00140A27">
      <w:r>
        <w:t>The United States workforce development system is characterised by a federal-state cooperative structure. Employment services are universally available under federal law and funded from federal budgets; services are provided through local one-stop centres (American Job Centers); state laws determine eligibility for regular unemployment benefits; and local workforce development boards determine eligibility of job seekers for dislocated worker status, based upon federal requirements.</w:t>
      </w:r>
    </w:p>
    <w:p w14:paraId="0EC1084C" w14:textId="56953092" w:rsidR="001566B2" w:rsidRPr="006B50E0" w:rsidRDefault="00466FAC" w:rsidP="00623DDB">
      <w:pPr>
        <w:pStyle w:val="Heading4"/>
      </w:pPr>
      <w:r>
        <w:t>American Job Centers (</w:t>
      </w:r>
      <w:r w:rsidR="001566B2" w:rsidRPr="00466FAC">
        <w:t>One-Stop Centers</w:t>
      </w:r>
      <w:r>
        <w:t>)</w:t>
      </w:r>
    </w:p>
    <w:p w14:paraId="1E6802D5" w14:textId="281A15CA" w:rsidR="001566B2" w:rsidRDefault="001566B2" w:rsidP="00140A27">
      <w:r w:rsidRPr="00933226">
        <w:t>American Job Cente</w:t>
      </w:r>
      <w:r>
        <w:t>r</w:t>
      </w:r>
      <w:r w:rsidRPr="00933226">
        <w:t>s</w:t>
      </w:r>
      <w:r>
        <w:t xml:space="preserve"> (also known as One-Stop Centers) provide a range of assistance to job seekers under one roof. The centres offer training referrals, career counselling, job listings, and other employment-related services. Customers can visit a centre in person or connect to the centre’s information online or through remote access kiosks.</w:t>
      </w:r>
    </w:p>
    <w:p w14:paraId="17417A33" w14:textId="77777777" w:rsidR="001566B2" w:rsidRDefault="001566B2" w:rsidP="00140A27">
      <w:r>
        <w:t xml:space="preserve">The American Jobs Center System is coordinated by the United States Department of Labour Employment and Training Administration (DOLETA). The amount of Federal Government funding for </w:t>
      </w:r>
      <w:r>
        <w:lastRenderedPageBreak/>
        <w:t>the centers is influenced by state-level labour market conditions, with supplements being provided in the event of sudden plant closings and mass layoffs. The centers also receive funding from local partner organisations.</w:t>
      </w:r>
    </w:p>
    <w:p w14:paraId="45F9C1AE" w14:textId="77777777" w:rsidR="001566B2" w:rsidRDefault="001566B2" w:rsidP="00140A27">
      <w:r>
        <w:t>There are currently over 2400 One-Stop Centers across the United States. Annually, 15-22 million people seek services from American Job Centers. Most people visit only once, and around five million people receive some form of employment service. Services are run by local governments, non-government organisations and private companies, with all partners being required to contribute to funding of services and meeting infrastructure costs.</w:t>
      </w:r>
    </w:p>
    <w:p w14:paraId="1988112C" w14:textId="77777777" w:rsidR="001566B2" w:rsidRPr="002F0337" w:rsidRDefault="001566B2" w:rsidP="00623DDB">
      <w:pPr>
        <w:pStyle w:val="Heading4"/>
      </w:pPr>
      <w:r w:rsidRPr="002F0337">
        <w:t>Labour market information systems</w:t>
      </w:r>
    </w:p>
    <w:p w14:paraId="14077A1D" w14:textId="7FBB8C3A" w:rsidR="001566B2" w:rsidRPr="002F0337" w:rsidRDefault="001566B2" w:rsidP="00140A27">
      <w:r w:rsidRPr="002F0337">
        <w:t xml:space="preserve">America’s Labour Market Information System (ALMIS) </w:t>
      </w:r>
      <w:r w:rsidR="004F5231">
        <w:t>p</w:t>
      </w:r>
      <w:r w:rsidR="00110878">
        <w:t>rovides c</w:t>
      </w:r>
      <w:r w:rsidR="00110878" w:rsidRPr="002F0337">
        <w:t xml:space="preserve">areer </w:t>
      </w:r>
      <w:r w:rsidRPr="002F0337">
        <w:t xml:space="preserve">and occupational information in a variety of media and formats for use by job seekers, employers and workforce development professionals. The ALMIS is a collaborative effort between the states and the USDOLETA, and comprises federal, state and local components including data collection and analysis, research and information, product development, direct service delivery, technical assistance and capacity building. </w:t>
      </w:r>
    </w:p>
    <w:p w14:paraId="7DE455B1" w14:textId="77777777" w:rsidR="001566B2" w:rsidRPr="002F0337" w:rsidRDefault="001566B2" w:rsidP="001566B2">
      <w:pPr>
        <w:spacing w:after="240" w:line="240" w:lineRule="auto"/>
      </w:pPr>
      <w:r w:rsidRPr="002F0337">
        <w:t>ALMIS includes the CareerOneStop</w:t>
      </w:r>
      <w:r>
        <w:t xml:space="preserve"> web portal</w:t>
      </w:r>
      <w:r w:rsidRPr="002F0337">
        <w:t xml:space="preserve"> that provides a single point of entry to the content contained in the USDOLETA’s E-tools, including:</w:t>
      </w:r>
    </w:p>
    <w:p w14:paraId="3BB8591E" w14:textId="77777777" w:rsidR="001566B2" w:rsidRPr="0005395E" w:rsidRDefault="001566B2" w:rsidP="0005395E">
      <w:pPr>
        <w:pStyle w:val="ListParagraph"/>
      </w:pPr>
      <w:r w:rsidRPr="0005395E">
        <w:t>America’s Job Bank – an electronic vacancy database</w:t>
      </w:r>
    </w:p>
    <w:p w14:paraId="2A3FAA71" w14:textId="77777777" w:rsidR="001566B2" w:rsidRPr="0005395E" w:rsidRDefault="001566B2" w:rsidP="0005395E">
      <w:pPr>
        <w:pStyle w:val="ListParagraph"/>
      </w:pPr>
      <w:r w:rsidRPr="0005395E">
        <w:t>America’s Talent Bank  – an electronic resume database</w:t>
      </w:r>
    </w:p>
    <w:p w14:paraId="677A8305" w14:textId="77777777" w:rsidR="001566B2" w:rsidRPr="0005395E" w:rsidRDefault="001566B2" w:rsidP="0005395E">
      <w:pPr>
        <w:pStyle w:val="ListParagraph"/>
      </w:pPr>
      <w:r w:rsidRPr="0005395E">
        <w:t>America’ Career Infonet – a database providing users with basic labour market information</w:t>
      </w:r>
    </w:p>
    <w:p w14:paraId="62014C14" w14:textId="77777777" w:rsidR="001566B2" w:rsidRPr="0005395E" w:rsidRDefault="001566B2" w:rsidP="0005395E">
      <w:pPr>
        <w:pStyle w:val="ListParagraph"/>
      </w:pPr>
      <w:r w:rsidRPr="0005395E">
        <w:t>America’s Service locator.</w:t>
      </w:r>
    </w:p>
    <w:p w14:paraId="66D07F5E" w14:textId="77777777" w:rsidR="001566B2" w:rsidRPr="002F0337" w:rsidRDefault="001566B2" w:rsidP="001566B2">
      <w:pPr>
        <w:spacing w:after="240" w:line="240" w:lineRule="auto"/>
        <w:ind w:left="720"/>
        <w:contextualSpacing/>
      </w:pPr>
    </w:p>
    <w:p w14:paraId="67B32CC3" w14:textId="77777777" w:rsidR="001566B2" w:rsidRPr="002F0337" w:rsidRDefault="001566B2" w:rsidP="00623DDB">
      <w:r w:rsidRPr="002F0337">
        <w:t>Types of information provided on the CareerOneStop portal include:</w:t>
      </w:r>
    </w:p>
    <w:p w14:paraId="5FC91918" w14:textId="74BFE171" w:rsidR="001566B2" w:rsidRPr="0005395E" w:rsidRDefault="001566B2" w:rsidP="0005395E">
      <w:pPr>
        <w:pStyle w:val="ListParagraph"/>
      </w:pPr>
      <w:r w:rsidRPr="00623DDB">
        <w:t xml:space="preserve">Career advice (self-assessments; career and occupation profiles; career goals and professional </w:t>
      </w:r>
      <w:r w:rsidRPr="0005395E">
        <w:t>development)</w:t>
      </w:r>
      <w:r w:rsidR="00167B0D" w:rsidRPr="0005395E">
        <w:t>.</w:t>
      </w:r>
    </w:p>
    <w:p w14:paraId="40D488E8" w14:textId="00389B53" w:rsidR="001566B2" w:rsidRPr="0005395E" w:rsidRDefault="001566B2" w:rsidP="0005395E">
      <w:pPr>
        <w:pStyle w:val="ListParagraph"/>
      </w:pPr>
      <w:r w:rsidRPr="0005395E">
        <w:t>Education and training resources (types of training available; sources of funding; training paths for job seekers)</w:t>
      </w:r>
      <w:r w:rsidR="00167B0D" w:rsidRPr="0005395E">
        <w:t>.</w:t>
      </w:r>
    </w:p>
    <w:p w14:paraId="3495084B" w14:textId="16AB6897" w:rsidR="001566B2" w:rsidRPr="0005395E" w:rsidRDefault="001566B2" w:rsidP="0005395E">
      <w:pPr>
        <w:pStyle w:val="ListParagraph"/>
      </w:pPr>
      <w:r w:rsidRPr="0005395E">
        <w:t>Job search assistance (strategies for job search; networking opportunities; information about job banks and state employment agencies; information no resume and interview preparation; and job search tips)</w:t>
      </w:r>
      <w:r w:rsidR="00167B0D" w:rsidRPr="0005395E">
        <w:t>.</w:t>
      </w:r>
    </w:p>
    <w:p w14:paraId="546C012F" w14:textId="48D82D7E" w:rsidR="001566B2" w:rsidRPr="0005395E" w:rsidRDefault="001566B2" w:rsidP="0005395E">
      <w:pPr>
        <w:pStyle w:val="ListParagraph"/>
      </w:pPr>
      <w:r w:rsidRPr="0005395E">
        <w:t>Links to services offered in the local area (local American Job Centres; employment and training programs; community services; and unemployment benefits available in the state)</w:t>
      </w:r>
      <w:r w:rsidR="00167B0D" w:rsidRPr="0005395E">
        <w:t>.</w:t>
      </w:r>
    </w:p>
    <w:p w14:paraId="1D153C98" w14:textId="176F6878" w:rsidR="00B4343F" w:rsidRPr="0005395E" w:rsidRDefault="001566B2" w:rsidP="0005395E">
      <w:pPr>
        <w:pStyle w:val="ListParagraph"/>
      </w:pPr>
      <w:r w:rsidRPr="0005395E">
        <w:t>Resources for vari</w:t>
      </w:r>
      <w:r w:rsidR="004F5231" w:rsidRPr="0005395E">
        <w:t xml:space="preserve">ous cohorts and groups, including </w:t>
      </w:r>
      <w:r w:rsidRPr="0005395E">
        <w:t>career chan</w:t>
      </w:r>
      <w:r w:rsidR="004F5231" w:rsidRPr="0005395E">
        <w:t>ges; veterans, retrenched workers,</w:t>
      </w:r>
      <w:r w:rsidRPr="0005395E">
        <w:t xml:space="preserve"> wo</w:t>
      </w:r>
      <w:r w:rsidR="004F5231" w:rsidRPr="0005395E">
        <w:t>rkers with criminal convictions, entry level workers,</w:t>
      </w:r>
      <w:r w:rsidRPr="0005395E">
        <w:t xml:space="preserve"> older workers, young ad</w:t>
      </w:r>
      <w:r w:rsidR="004F5231" w:rsidRPr="0005395E">
        <w:t>ults, workers with a disability, businesses,</w:t>
      </w:r>
      <w:r w:rsidRPr="0005395E">
        <w:t xml:space="preserve"> and career advisors.</w:t>
      </w:r>
    </w:p>
    <w:sectPr w:rsidR="00B4343F" w:rsidRPr="0005395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52296" w14:textId="77777777" w:rsidR="00E019B6" w:rsidRDefault="00E019B6" w:rsidP="00DC1088">
      <w:pPr>
        <w:spacing w:after="0" w:line="240" w:lineRule="auto"/>
      </w:pPr>
      <w:r>
        <w:separator/>
      </w:r>
    </w:p>
  </w:endnote>
  <w:endnote w:type="continuationSeparator" w:id="0">
    <w:p w14:paraId="2EB605CA" w14:textId="77777777" w:rsidR="00E019B6" w:rsidRDefault="00E019B6" w:rsidP="00DC1088">
      <w:pPr>
        <w:spacing w:after="0" w:line="240" w:lineRule="auto"/>
      </w:pPr>
      <w:r>
        <w:continuationSeparator/>
      </w:r>
    </w:p>
  </w:endnote>
  <w:endnote w:id="1">
    <w:p w14:paraId="7ACA9F42" w14:textId="496132D3" w:rsidR="00E019B6" w:rsidRPr="00146FE6" w:rsidRDefault="00E019B6" w:rsidP="00A56D65">
      <w:pPr>
        <w:rPr>
          <w:sz w:val="18"/>
          <w:szCs w:val="18"/>
        </w:rPr>
      </w:pPr>
      <w:r w:rsidRPr="00146FE6">
        <w:rPr>
          <w:rStyle w:val="EndnoteReference"/>
          <w:sz w:val="18"/>
          <w:szCs w:val="18"/>
        </w:rPr>
        <w:endnoteRef/>
      </w:r>
      <w:r w:rsidRPr="00146FE6">
        <w:rPr>
          <w:sz w:val="18"/>
          <w:szCs w:val="18"/>
        </w:rPr>
        <w:t xml:space="preserve"> </w:t>
      </w:r>
      <w:r w:rsidRPr="00277C39">
        <w:rPr>
          <w:sz w:val="18"/>
          <w:szCs w:val="18"/>
        </w:rPr>
        <w:t>National Employment Services Association (NESA), Employment Services Workforce Survey of Remuneration and Human Resource Management Performance, 2016. nesa.com.au/employment-services-workforce-survey/</w:t>
      </w:r>
      <w:r>
        <w:rPr>
          <w:sz w:val="18"/>
          <w:szCs w:val="18"/>
        </w:rPr>
        <w:t xml:space="preserve"> </w:t>
      </w:r>
    </w:p>
  </w:endnote>
  <w:endnote w:id="2">
    <w:p w14:paraId="4A4C9ABE" w14:textId="4209852B" w:rsidR="00E019B6" w:rsidRPr="00146FE6" w:rsidRDefault="00E019B6" w:rsidP="00A56D65">
      <w:pPr>
        <w:rPr>
          <w:sz w:val="18"/>
          <w:szCs w:val="18"/>
        </w:rPr>
      </w:pPr>
      <w:r w:rsidRPr="00146FE6">
        <w:rPr>
          <w:sz w:val="18"/>
          <w:szCs w:val="18"/>
        </w:rPr>
        <w:endnoteRef/>
      </w:r>
      <w:r w:rsidRPr="00137401">
        <w:rPr>
          <w:sz w:val="18"/>
          <w:szCs w:val="18"/>
        </w:rPr>
        <w:t xml:space="preserve"> </w:t>
      </w:r>
      <w:r w:rsidRPr="00146FE6">
        <w:rPr>
          <w:sz w:val="18"/>
          <w:szCs w:val="18"/>
        </w:rPr>
        <w:t>Australian Institute of Management</w:t>
      </w:r>
      <w:r>
        <w:rPr>
          <w:sz w:val="18"/>
          <w:szCs w:val="18"/>
        </w:rPr>
        <w:t xml:space="preserve">, </w:t>
      </w:r>
      <w:r w:rsidRPr="00146FE6">
        <w:rPr>
          <w:sz w:val="18"/>
          <w:szCs w:val="18"/>
        </w:rPr>
        <w:t>Staff Retention Report</w:t>
      </w:r>
      <w:r>
        <w:rPr>
          <w:sz w:val="18"/>
          <w:szCs w:val="18"/>
        </w:rPr>
        <w:t>, 2016</w:t>
      </w:r>
      <w:r w:rsidRPr="00146FE6">
        <w:rPr>
          <w:sz w:val="18"/>
          <w:szCs w:val="18"/>
        </w:rPr>
        <w:t>.</w:t>
      </w:r>
    </w:p>
  </w:endnote>
  <w:endnote w:id="3">
    <w:p w14:paraId="631CFC03" w14:textId="6A93E509" w:rsidR="00E019B6" w:rsidRPr="00146FE6" w:rsidRDefault="00E019B6" w:rsidP="00A56D65">
      <w:pPr>
        <w:rPr>
          <w:sz w:val="18"/>
          <w:szCs w:val="18"/>
        </w:rPr>
      </w:pPr>
      <w:r w:rsidRPr="00146FE6">
        <w:rPr>
          <w:sz w:val="18"/>
          <w:szCs w:val="18"/>
        </w:rPr>
        <w:endnoteRef/>
      </w:r>
      <w:r w:rsidRPr="00146FE6">
        <w:rPr>
          <w:sz w:val="18"/>
          <w:szCs w:val="18"/>
        </w:rPr>
        <w:t xml:space="preserve"> All figures are as at 31 May 2018 and sourced from departmental administrative data, unless otherwise stated.</w:t>
      </w:r>
    </w:p>
  </w:endnote>
  <w:endnote w:id="4">
    <w:p w14:paraId="69FCD7BA" w14:textId="46C6812F"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Duration of unemployment (including long-term unemployed) refers to time in employment services and can include those who are working part-time or have had intermittent spells of employment. This differs from the Australian Bureau of Statistics definition, which requires a person to be continuously unemployed and actively looking for work.</w:t>
      </w:r>
    </w:p>
  </w:endnote>
  <w:endnote w:id="5">
    <w:p w14:paraId="23ECF634" w14:textId="4856BCAB"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This is all employment services, not just jobactive.</w:t>
      </w:r>
    </w:p>
  </w:endnote>
  <w:endnote w:id="6">
    <w:p w14:paraId="54ADF77D" w14:textId="4290C8BC"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 xml:space="preserve">A job seeker may exit jobactive for a variety of reasons, including for employment, moving into study, exiting the labour market, movement into other labour market programs. </w:t>
      </w:r>
    </w:p>
  </w:endnote>
  <w:endnote w:id="7">
    <w:p w14:paraId="30FC6501" w14:textId="6C5DE6F9"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The population reported here excludes Stream A Volunteer job seekers. The Stream is</w:t>
      </w:r>
      <w:r>
        <w:rPr>
          <w:sz w:val="18"/>
          <w:szCs w:val="18"/>
        </w:rPr>
        <w:t xml:space="preserve"> designated</w:t>
      </w:r>
      <w:r w:rsidRPr="00146FE6">
        <w:rPr>
          <w:sz w:val="18"/>
          <w:szCs w:val="18"/>
        </w:rPr>
        <w:t xml:space="preserve"> based o</w:t>
      </w:r>
      <w:r>
        <w:rPr>
          <w:sz w:val="18"/>
          <w:szCs w:val="18"/>
        </w:rPr>
        <w:t>n</w:t>
      </w:r>
      <w:r w:rsidRPr="00146FE6">
        <w:rPr>
          <w:sz w:val="18"/>
          <w:szCs w:val="18"/>
        </w:rPr>
        <w:t xml:space="preserve"> the Stream that the job seeker commenced in.</w:t>
      </w:r>
    </w:p>
  </w:endnote>
  <w:endnote w:id="8">
    <w:p w14:paraId="0E13AA2B" w14:textId="772B0742"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 xml:space="preserve">For further discussion of recent and projected future trends in the Australian labour market, including in individual industries, see </w:t>
      </w:r>
      <w:hyperlink r:id="rId1" w:history="1">
        <w:r w:rsidRPr="00146FE6">
          <w:rPr>
            <w:sz w:val="18"/>
            <w:szCs w:val="18"/>
          </w:rPr>
          <w:t>docs.jobs.gov.au/collections/australian-jobs</w:t>
        </w:r>
      </w:hyperlink>
      <w:r w:rsidRPr="00146FE6">
        <w:rPr>
          <w:sz w:val="18"/>
          <w:szCs w:val="18"/>
        </w:rPr>
        <w:t xml:space="preserve"> </w:t>
      </w:r>
    </w:p>
  </w:endnote>
  <w:endnote w:id="9">
    <w:p w14:paraId="2373FB1B" w14:textId="1AB2E207" w:rsidR="00E019B6" w:rsidRPr="00146FE6" w:rsidRDefault="00E019B6" w:rsidP="00A56D65">
      <w:pPr>
        <w:rPr>
          <w:sz w:val="18"/>
          <w:szCs w:val="18"/>
        </w:rPr>
      </w:pPr>
      <w:r w:rsidRPr="00146FE6">
        <w:rPr>
          <w:sz w:val="18"/>
          <w:szCs w:val="18"/>
        </w:rPr>
        <w:endnoteRef/>
      </w:r>
      <w:r w:rsidRPr="00277C39">
        <w:rPr>
          <w:sz w:val="18"/>
          <w:szCs w:val="18"/>
        </w:rPr>
        <w:t xml:space="preserve">Australian Bureau of Statistics (ABS), cat. no. </w:t>
      </w:r>
      <w:r>
        <w:rPr>
          <w:sz w:val="18"/>
          <w:szCs w:val="18"/>
        </w:rPr>
        <w:t xml:space="preserve">6202.0 </w:t>
      </w:r>
      <w:r w:rsidRPr="00277C39">
        <w:rPr>
          <w:sz w:val="18"/>
          <w:szCs w:val="18"/>
        </w:rPr>
        <w:t xml:space="preserve">– </w:t>
      </w:r>
      <w:r w:rsidRPr="00146FE6">
        <w:rPr>
          <w:sz w:val="18"/>
          <w:szCs w:val="18"/>
        </w:rPr>
        <w:t>Labour Force, Australia</w:t>
      </w:r>
      <w:r>
        <w:rPr>
          <w:sz w:val="18"/>
          <w:szCs w:val="18"/>
        </w:rPr>
        <w:t>,</w:t>
      </w:r>
      <w:r w:rsidRPr="00146FE6">
        <w:rPr>
          <w:sz w:val="18"/>
          <w:szCs w:val="18"/>
        </w:rPr>
        <w:t xml:space="preserve"> May 2018</w:t>
      </w:r>
      <w:r>
        <w:rPr>
          <w:sz w:val="18"/>
          <w:szCs w:val="18"/>
        </w:rPr>
        <w:t xml:space="preserve">, seasonally adjusted data. </w:t>
      </w:r>
      <w:r w:rsidRPr="00277C39">
        <w:rPr>
          <w:sz w:val="18"/>
          <w:szCs w:val="18"/>
        </w:rPr>
        <w:t>abs.gov.au/ausstats/abs%40.nsf/mf/6202.0</w:t>
      </w:r>
      <w:r>
        <w:rPr>
          <w:sz w:val="18"/>
          <w:szCs w:val="18"/>
        </w:rPr>
        <w:t xml:space="preserve"> </w:t>
      </w:r>
      <w:r w:rsidRPr="00146FE6">
        <w:rPr>
          <w:sz w:val="18"/>
          <w:szCs w:val="18"/>
        </w:rPr>
        <w:t>.</w:t>
      </w:r>
    </w:p>
  </w:endnote>
  <w:endnote w:id="10">
    <w:p w14:paraId="3374F93A" w14:textId="30DAFF92"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Australian Bureau of Statistics (ABS)</w:t>
      </w:r>
      <w:r>
        <w:rPr>
          <w:sz w:val="18"/>
          <w:szCs w:val="18"/>
        </w:rPr>
        <w:t>, cat. no.</w:t>
      </w:r>
      <w:r w:rsidRPr="00146FE6">
        <w:rPr>
          <w:sz w:val="18"/>
          <w:szCs w:val="18"/>
        </w:rPr>
        <w:t xml:space="preserve"> 6291.0.55.003 – Labour Force, Australia, Detailed, Quarterly, May 2018</w:t>
      </w:r>
      <w:r>
        <w:rPr>
          <w:sz w:val="18"/>
          <w:szCs w:val="18"/>
        </w:rPr>
        <w:t xml:space="preserve">. </w:t>
      </w:r>
      <w:r w:rsidRPr="008A206C">
        <w:rPr>
          <w:sz w:val="18"/>
          <w:szCs w:val="18"/>
        </w:rPr>
        <w:t>abs.gov.au/ausstats/abs@.nsf/mf/6291.0.55.003</w:t>
      </w:r>
    </w:p>
  </w:endnote>
  <w:endnote w:id="11">
    <w:p w14:paraId="2989E550" w14:textId="5C8B4141"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Usually requiring a Bachelor degree or a higher level of educational attainment.</w:t>
      </w:r>
    </w:p>
  </w:endnote>
  <w:endnote w:id="12">
    <w:p w14:paraId="2A2EED3B" w14:textId="655343D0"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Usually requiring only Certificate I or secondary education.</w:t>
      </w:r>
    </w:p>
  </w:endnote>
  <w:endnote w:id="13">
    <w:p w14:paraId="654FA8A1" w14:textId="21801B6F"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Australian Bureau of Statistics (ABS)</w:t>
      </w:r>
      <w:r>
        <w:rPr>
          <w:sz w:val="18"/>
          <w:szCs w:val="18"/>
        </w:rPr>
        <w:t>, cat. no.</w:t>
      </w:r>
      <w:r w:rsidRPr="00146FE6">
        <w:rPr>
          <w:sz w:val="18"/>
          <w:szCs w:val="18"/>
        </w:rPr>
        <w:t xml:space="preserve"> 6291.0.55.003 – Labour Force, Australia, Detailed, Quarterly, May 2018</w:t>
      </w:r>
      <w:r>
        <w:rPr>
          <w:sz w:val="18"/>
          <w:szCs w:val="18"/>
        </w:rPr>
        <w:t>,</w:t>
      </w:r>
      <w:r w:rsidRPr="00137401">
        <w:rPr>
          <w:sz w:val="18"/>
          <w:szCs w:val="18"/>
        </w:rPr>
        <w:t xml:space="preserve"> </w:t>
      </w:r>
      <w:r w:rsidRPr="007F39AF">
        <w:rPr>
          <w:sz w:val="18"/>
          <w:szCs w:val="18"/>
        </w:rPr>
        <w:t>Department of Jobs and Small Business trend</w:t>
      </w:r>
      <w:r>
        <w:rPr>
          <w:sz w:val="18"/>
          <w:szCs w:val="18"/>
        </w:rPr>
        <w:t xml:space="preserve">. </w:t>
      </w:r>
      <w:r w:rsidRPr="008A206C">
        <w:rPr>
          <w:sz w:val="18"/>
          <w:szCs w:val="18"/>
        </w:rPr>
        <w:t>abs.gov.au/ausstats/abs@.nsf/mf/6291.0.55.003</w:t>
      </w:r>
    </w:p>
  </w:endnote>
  <w:endnote w:id="14">
    <w:p w14:paraId="3C050B2B" w14:textId="5AA44837"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Department of Jobs and Small Business, Employment Projections</w:t>
      </w:r>
      <w:r w:rsidRPr="00137401">
        <w:rPr>
          <w:sz w:val="18"/>
          <w:szCs w:val="18"/>
        </w:rPr>
        <w:t xml:space="preserve"> </w:t>
      </w:r>
      <w:r>
        <w:rPr>
          <w:sz w:val="18"/>
          <w:szCs w:val="18"/>
        </w:rPr>
        <w:t xml:space="preserve">to May 2022, Labour Market Information Portal, 2017. </w:t>
      </w:r>
      <w:r w:rsidRPr="008A206C">
        <w:rPr>
          <w:sz w:val="18"/>
          <w:szCs w:val="18"/>
        </w:rPr>
        <w:t>lmip.gov.au/default.aspx?LMIP/GainInsights/EmploymentProjections</w:t>
      </w:r>
      <w:r w:rsidRPr="00146FE6">
        <w:rPr>
          <w:sz w:val="18"/>
          <w:szCs w:val="18"/>
        </w:rPr>
        <w:t xml:space="preserve"> </w:t>
      </w:r>
    </w:p>
  </w:endnote>
  <w:endnote w:id="15">
    <w:p w14:paraId="288A52EE" w14:textId="4080C028"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Australian Bureau of Statistics (ABS)</w:t>
      </w:r>
      <w:r>
        <w:rPr>
          <w:sz w:val="18"/>
          <w:szCs w:val="18"/>
        </w:rPr>
        <w:t>,</w:t>
      </w:r>
      <w:r w:rsidRPr="00146FE6">
        <w:rPr>
          <w:sz w:val="18"/>
          <w:szCs w:val="18"/>
        </w:rPr>
        <w:t xml:space="preserve"> </w:t>
      </w:r>
      <w:r>
        <w:rPr>
          <w:sz w:val="18"/>
          <w:szCs w:val="18"/>
        </w:rPr>
        <w:t xml:space="preserve">cat. no. </w:t>
      </w:r>
      <w:r w:rsidRPr="00146FE6">
        <w:rPr>
          <w:sz w:val="18"/>
          <w:szCs w:val="18"/>
        </w:rPr>
        <w:t>6227.0 – Education and Work, Australia</w:t>
      </w:r>
      <w:r>
        <w:rPr>
          <w:sz w:val="18"/>
          <w:szCs w:val="18"/>
        </w:rPr>
        <w:t>,</w:t>
      </w:r>
      <w:r w:rsidRPr="00146FE6">
        <w:rPr>
          <w:sz w:val="18"/>
          <w:szCs w:val="18"/>
        </w:rPr>
        <w:t xml:space="preserve"> May 2017.</w:t>
      </w:r>
      <w:r>
        <w:rPr>
          <w:sz w:val="18"/>
          <w:szCs w:val="18"/>
        </w:rPr>
        <w:t xml:space="preserve"> </w:t>
      </w:r>
      <w:r w:rsidRPr="008A206C">
        <w:rPr>
          <w:sz w:val="18"/>
          <w:szCs w:val="18"/>
        </w:rPr>
        <w:t>abs.gov.au/AUSSTATS/abs@.nsf/Lookup/6227.0Main+Features1May%202017</w:t>
      </w:r>
    </w:p>
  </w:endnote>
  <w:endnote w:id="16">
    <w:p w14:paraId="5D9C33EC" w14:textId="2658A602"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Quality Indicators for Learning and Teaching, 2017 Graduate Outcomes Survey</w:t>
      </w:r>
      <w:r>
        <w:rPr>
          <w:sz w:val="18"/>
          <w:szCs w:val="18"/>
        </w:rPr>
        <w:t>: National Report, 2018</w:t>
      </w:r>
      <w:r w:rsidRPr="00146FE6">
        <w:rPr>
          <w:sz w:val="18"/>
          <w:szCs w:val="18"/>
        </w:rPr>
        <w:t>.</w:t>
      </w:r>
      <w:r>
        <w:rPr>
          <w:sz w:val="18"/>
          <w:szCs w:val="18"/>
        </w:rPr>
        <w:t xml:space="preserve"> </w:t>
      </w:r>
      <w:r w:rsidRPr="008A206C">
        <w:rPr>
          <w:sz w:val="18"/>
          <w:szCs w:val="18"/>
        </w:rPr>
        <w:t>www.qilt.edu.au/about-this-site/graduate-employment</w:t>
      </w:r>
    </w:p>
  </w:endnote>
  <w:endnote w:id="17">
    <w:p w14:paraId="4C80DF2B" w14:textId="49D29A90" w:rsidR="00E019B6" w:rsidRPr="00146FE6" w:rsidRDefault="00E019B6" w:rsidP="00A56D65">
      <w:pPr>
        <w:rPr>
          <w:sz w:val="18"/>
          <w:szCs w:val="18"/>
        </w:rPr>
      </w:pPr>
      <w:r w:rsidRPr="00146FE6">
        <w:rPr>
          <w:sz w:val="18"/>
          <w:szCs w:val="18"/>
        </w:rPr>
        <w:endnoteRef/>
      </w:r>
      <w:r w:rsidRPr="00137401">
        <w:rPr>
          <w:sz w:val="18"/>
          <w:szCs w:val="18"/>
        </w:rPr>
        <w:t xml:space="preserve"> Department of Jobs </w:t>
      </w:r>
      <w:r w:rsidRPr="0008136F">
        <w:rPr>
          <w:sz w:val="18"/>
          <w:szCs w:val="18"/>
        </w:rPr>
        <w:t>and Small Business, Survey of Employers’ Recruitment Experiences 2016–17.</w:t>
      </w:r>
    </w:p>
  </w:endnote>
  <w:endnote w:id="18">
    <w:p w14:paraId="06FE46D2" w14:textId="6DB00A69" w:rsidR="00E019B6" w:rsidRPr="00146FE6" w:rsidRDefault="00E019B6" w:rsidP="00A56D65">
      <w:pPr>
        <w:rPr>
          <w:sz w:val="18"/>
          <w:szCs w:val="18"/>
        </w:rPr>
      </w:pPr>
      <w:r w:rsidRPr="00146FE6">
        <w:rPr>
          <w:sz w:val="18"/>
          <w:szCs w:val="18"/>
        </w:rPr>
        <w:endnoteRef/>
      </w:r>
      <w:r>
        <w:rPr>
          <w:sz w:val="18"/>
          <w:szCs w:val="18"/>
        </w:rPr>
        <w:t xml:space="preserve"> </w:t>
      </w:r>
      <w:r w:rsidRPr="001B7588">
        <w:rPr>
          <w:sz w:val="18"/>
          <w:szCs w:val="18"/>
        </w:rPr>
        <w:t>Australian Bureau of Statistics (ABS)</w:t>
      </w:r>
      <w:r>
        <w:rPr>
          <w:sz w:val="18"/>
          <w:szCs w:val="18"/>
        </w:rPr>
        <w:t>,</w:t>
      </w:r>
      <w:r w:rsidRPr="001B7588">
        <w:rPr>
          <w:sz w:val="18"/>
          <w:szCs w:val="18"/>
        </w:rPr>
        <w:t xml:space="preserve"> </w:t>
      </w:r>
      <w:r>
        <w:rPr>
          <w:sz w:val="18"/>
          <w:szCs w:val="18"/>
        </w:rPr>
        <w:t xml:space="preserve">cat. no. </w:t>
      </w:r>
      <w:r w:rsidRPr="001B7588">
        <w:rPr>
          <w:sz w:val="18"/>
          <w:szCs w:val="18"/>
        </w:rPr>
        <w:t>6227.0 – Education and Work, Australia</w:t>
      </w:r>
      <w:r>
        <w:rPr>
          <w:sz w:val="18"/>
          <w:szCs w:val="18"/>
        </w:rPr>
        <w:t>,</w:t>
      </w:r>
      <w:r w:rsidRPr="001B7588">
        <w:rPr>
          <w:sz w:val="18"/>
          <w:szCs w:val="18"/>
        </w:rPr>
        <w:t xml:space="preserve"> May 2017.</w:t>
      </w:r>
      <w:r>
        <w:rPr>
          <w:sz w:val="18"/>
          <w:szCs w:val="18"/>
        </w:rPr>
        <w:t xml:space="preserve"> </w:t>
      </w:r>
      <w:r w:rsidRPr="008A206C">
        <w:rPr>
          <w:sz w:val="18"/>
          <w:szCs w:val="18"/>
        </w:rPr>
        <w:t>abs.gov.au/AUSSTATS/abs@.nsf/Lookup/6227.0Main+Features1May%202017</w:t>
      </w:r>
      <w:r>
        <w:rPr>
          <w:sz w:val="18"/>
          <w:szCs w:val="18"/>
        </w:rPr>
        <w:t xml:space="preserve"> </w:t>
      </w:r>
    </w:p>
  </w:endnote>
  <w:endnote w:id="19">
    <w:p w14:paraId="63EFA3BA" w14:textId="4462B5A2" w:rsidR="00E019B6" w:rsidRPr="00146FE6" w:rsidRDefault="00E019B6" w:rsidP="00A56D65">
      <w:pPr>
        <w:rPr>
          <w:sz w:val="18"/>
          <w:szCs w:val="18"/>
        </w:rPr>
      </w:pPr>
      <w:r w:rsidRPr="00146FE6">
        <w:rPr>
          <w:sz w:val="18"/>
          <w:szCs w:val="18"/>
        </w:rPr>
        <w:endnoteRef/>
      </w:r>
      <w:r>
        <w:rPr>
          <w:sz w:val="18"/>
          <w:szCs w:val="18"/>
        </w:rPr>
        <w:t xml:space="preserve"> </w:t>
      </w:r>
      <w:r w:rsidRPr="00034A7F">
        <w:rPr>
          <w:sz w:val="18"/>
          <w:szCs w:val="18"/>
        </w:rPr>
        <w:t>Department of Jobs and Small Business, Survey of Employers’ Recruitment Experiences 2016–17.</w:t>
      </w:r>
    </w:p>
  </w:endnote>
  <w:endnote w:id="20">
    <w:p w14:paraId="7B6914AC" w14:textId="18651F61" w:rsidR="00E019B6" w:rsidRPr="00146FE6" w:rsidRDefault="00E019B6" w:rsidP="00A56D65">
      <w:pPr>
        <w:rPr>
          <w:sz w:val="18"/>
          <w:szCs w:val="18"/>
        </w:rPr>
      </w:pPr>
      <w:r w:rsidRPr="00146FE6">
        <w:rPr>
          <w:sz w:val="18"/>
          <w:szCs w:val="18"/>
        </w:rPr>
        <w:endnoteRef/>
      </w:r>
      <w:r>
        <w:rPr>
          <w:sz w:val="18"/>
          <w:szCs w:val="18"/>
        </w:rPr>
        <w:t xml:space="preserve"> </w:t>
      </w:r>
      <w:r w:rsidRPr="00034A7F">
        <w:rPr>
          <w:sz w:val="18"/>
          <w:szCs w:val="18"/>
        </w:rPr>
        <w:t>Department of Jobs and Small Business, Survey of Employers’ Recruitment Experiences 2016–17.</w:t>
      </w:r>
    </w:p>
  </w:endnote>
  <w:endnote w:id="21">
    <w:p w14:paraId="094AFF3A" w14:textId="6F853DEB" w:rsidR="00E019B6" w:rsidRPr="00146FE6" w:rsidRDefault="00E019B6" w:rsidP="00A56D65">
      <w:pPr>
        <w:rPr>
          <w:sz w:val="18"/>
          <w:szCs w:val="18"/>
        </w:rPr>
      </w:pPr>
      <w:r w:rsidRPr="00146FE6">
        <w:rPr>
          <w:sz w:val="18"/>
          <w:szCs w:val="18"/>
        </w:rPr>
        <w:endnoteRef/>
      </w:r>
      <w:r>
        <w:rPr>
          <w:sz w:val="18"/>
          <w:szCs w:val="18"/>
        </w:rPr>
        <w:t xml:space="preserve"> </w:t>
      </w:r>
      <w:r w:rsidRPr="001B7588">
        <w:rPr>
          <w:sz w:val="18"/>
          <w:szCs w:val="18"/>
        </w:rPr>
        <w:t>Department of Jobs and Small Business, Employment Projections</w:t>
      </w:r>
      <w:r w:rsidRPr="00137401">
        <w:rPr>
          <w:sz w:val="18"/>
          <w:szCs w:val="18"/>
        </w:rPr>
        <w:t xml:space="preserve"> </w:t>
      </w:r>
      <w:r>
        <w:rPr>
          <w:sz w:val="18"/>
          <w:szCs w:val="18"/>
        </w:rPr>
        <w:t xml:space="preserve">to May 2022, Labour Market Information Portal, 2017. </w:t>
      </w:r>
      <w:r w:rsidRPr="008A206C">
        <w:rPr>
          <w:sz w:val="18"/>
          <w:szCs w:val="18"/>
        </w:rPr>
        <w:t>lmip.gov.au/default.aspx?LMIP/GainInsights/EmploymentProjections</w:t>
      </w:r>
      <w:r w:rsidRPr="001B7588">
        <w:rPr>
          <w:sz w:val="18"/>
          <w:szCs w:val="18"/>
        </w:rPr>
        <w:t xml:space="preserve"> </w:t>
      </w:r>
    </w:p>
  </w:endnote>
  <w:endnote w:id="22">
    <w:p w14:paraId="1D2E078C" w14:textId="026356B8"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 xml:space="preserve"> Total employment is projected to fall in the Manufacturing; Electricity, Gas, Water and Waste Services; and Agriculture, Forestry and Fishing industries, though some subsectors of these industries are projected to add skilled jobs.</w:t>
      </w:r>
      <w:r w:rsidRPr="00146FE6">
        <w:t xml:space="preserve"> </w:t>
      </w:r>
    </w:p>
  </w:endnote>
  <w:endnote w:id="23">
    <w:p w14:paraId="09E45789" w14:textId="10776731" w:rsidR="00E019B6" w:rsidRPr="00146FE6" w:rsidRDefault="00E019B6" w:rsidP="00A56D65">
      <w:pPr>
        <w:rPr>
          <w:sz w:val="18"/>
          <w:szCs w:val="18"/>
        </w:rPr>
      </w:pPr>
      <w:r w:rsidRPr="00146FE6">
        <w:rPr>
          <w:sz w:val="18"/>
          <w:szCs w:val="18"/>
        </w:rPr>
        <w:endnoteRef/>
      </w:r>
      <w:r>
        <w:rPr>
          <w:sz w:val="18"/>
          <w:szCs w:val="18"/>
        </w:rPr>
        <w:t xml:space="preserve"> </w:t>
      </w:r>
      <w:r w:rsidRPr="00277C39">
        <w:rPr>
          <w:sz w:val="18"/>
          <w:szCs w:val="18"/>
        </w:rPr>
        <w:t xml:space="preserve">Australian Bureau of Statistics (ABS), cat. no. </w:t>
      </w:r>
      <w:r>
        <w:rPr>
          <w:sz w:val="18"/>
          <w:szCs w:val="18"/>
        </w:rPr>
        <w:t xml:space="preserve">6202.0 </w:t>
      </w:r>
      <w:r w:rsidRPr="00277C39">
        <w:rPr>
          <w:sz w:val="18"/>
          <w:szCs w:val="18"/>
        </w:rPr>
        <w:t xml:space="preserve">– </w:t>
      </w:r>
      <w:r w:rsidRPr="001B7588">
        <w:rPr>
          <w:sz w:val="18"/>
          <w:szCs w:val="18"/>
        </w:rPr>
        <w:t>Labour Force, Australia</w:t>
      </w:r>
      <w:r>
        <w:rPr>
          <w:sz w:val="18"/>
          <w:szCs w:val="18"/>
        </w:rPr>
        <w:t>,</w:t>
      </w:r>
      <w:r w:rsidRPr="001B7588">
        <w:rPr>
          <w:sz w:val="18"/>
          <w:szCs w:val="18"/>
        </w:rPr>
        <w:t xml:space="preserve"> May 2018</w:t>
      </w:r>
      <w:r>
        <w:rPr>
          <w:sz w:val="18"/>
          <w:szCs w:val="18"/>
        </w:rPr>
        <w:t xml:space="preserve">. </w:t>
      </w:r>
      <w:r w:rsidRPr="00277C39">
        <w:rPr>
          <w:sz w:val="18"/>
          <w:szCs w:val="18"/>
        </w:rPr>
        <w:t>abs.gov.au/ausstats/abs%40.nsf/mf/6202.0</w:t>
      </w:r>
    </w:p>
  </w:endnote>
  <w:endnote w:id="24">
    <w:p w14:paraId="17FED5CC" w14:textId="39B81DC5" w:rsidR="00E019B6" w:rsidRPr="00146FE6" w:rsidRDefault="00E019B6" w:rsidP="00A56D65">
      <w:pPr>
        <w:rPr>
          <w:sz w:val="18"/>
          <w:szCs w:val="18"/>
        </w:rPr>
      </w:pPr>
      <w:r w:rsidRPr="00146FE6">
        <w:rPr>
          <w:sz w:val="18"/>
          <w:szCs w:val="18"/>
        </w:rPr>
        <w:endnoteRef/>
      </w:r>
      <w:r>
        <w:rPr>
          <w:sz w:val="18"/>
          <w:szCs w:val="18"/>
        </w:rPr>
        <w:t xml:space="preserve"> </w:t>
      </w:r>
      <w:r w:rsidRPr="00137401">
        <w:rPr>
          <w:sz w:val="18"/>
          <w:szCs w:val="18"/>
        </w:rPr>
        <w:t>Australian Bureau of Statistics (ABS), cat. no. 6291.0.55.001 – Labour Force, Australia, Detailed – Electronic Delivery, May 2018. abs.gov.au/ausstats/abs@.nsf/mf/6291.0.55.001</w:t>
      </w:r>
    </w:p>
  </w:endnote>
  <w:endnote w:id="25">
    <w:p w14:paraId="265CC156" w14:textId="2E83A5C5"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Australian Bureau of Statistics (ABS)</w:t>
      </w:r>
      <w:r>
        <w:rPr>
          <w:sz w:val="18"/>
          <w:szCs w:val="18"/>
        </w:rPr>
        <w:t>,</w:t>
      </w:r>
      <w:r w:rsidRPr="00146FE6">
        <w:rPr>
          <w:sz w:val="18"/>
          <w:szCs w:val="18"/>
        </w:rPr>
        <w:t xml:space="preserve"> </w:t>
      </w:r>
      <w:r>
        <w:rPr>
          <w:sz w:val="18"/>
          <w:szCs w:val="18"/>
        </w:rPr>
        <w:t xml:space="preserve">cat. no. </w:t>
      </w:r>
      <w:r w:rsidRPr="00146FE6">
        <w:rPr>
          <w:sz w:val="18"/>
          <w:szCs w:val="18"/>
        </w:rPr>
        <w:t xml:space="preserve">6224.0.55.001 </w:t>
      </w:r>
      <w:r>
        <w:rPr>
          <w:sz w:val="18"/>
          <w:szCs w:val="18"/>
        </w:rPr>
        <w:t xml:space="preserve">– </w:t>
      </w:r>
      <w:r w:rsidRPr="00146FE6">
        <w:rPr>
          <w:sz w:val="18"/>
          <w:szCs w:val="18"/>
        </w:rPr>
        <w:t>Labour Force, Australia: Labour Force Status and Other Characteristics of Families, June 2017.</w:t>
      </w:r>
      <w:r>
        <w:rPr>
          <w:sz w:val="18"/>
          <w:szCs w:val="18"/>
        </w:rPr>
        <w:t xml:space="preserve"> </w:t>
      </w:r>
      <w:r w:rsidRPr="00034A7F">
        <w:rPr>
          <w:sz w:val="18"/>
          <w:szCs w:val="18"/>
        </w:rPr>
        <w:t>abs.gov.au/ausstats/abs@.nsf/mf/6291.0.55.001</w:t>
      </w:r>
    </w:p>
  </w:endnote>
  <w:endnote w:id="26">
    <w:p w14:paraId="4F71CBFE" w14:textId="14DF766C" w:rsidR="00E019B6" w:rsidRPr="00146FE6" w:rsidRDefault="00E019B6" w:rsidP="00A56D65">
      <w:pPr>
        <w:rPr>
          <w:sz w:val="18"/>
          <w:szCs w:val="18"/>
        </w:rPr>
      </w:pPr>
      <w:r w:rsidRPr="00146FE6">
        <w:rPr>
          <w:sz w:val="18"/>
          <w:szCs w:val="18"/>
        </w:rPr>
        <w:endnoteRef/>
      </w:r>
      <w:r w:rsidRPr="003C67FE">
        <w:rPr>
          <w:sz w:val="18"/>
          <w:szCs w:val="18"/>
        </w:rPr>
        <w:t xml:space="preserve"> </w:t>
      </w:r>
      <w:r w:rsidRPr="00146FE6">
        <w:rPr>
          <w:sz w:val="18"/>
          <w:szCs w:val="18"/>
        </w:rPr>
        <w:t>Australia Bureau of Statistics (ABS)</w:t>
      </w:r>
      <w:r w:rsidRPr="003C67FE">
        <w:rPr>
          <w:sz w:val="18"/>
          <w:szCs w:val="18"/>
        </w:rPr>
        <w:t>,</w:t>
      </w:r>
      <w:r w:rsidRPr="00146FE6">
        <w:rPr>
          <w:sz w:val="18"/>
          <w:szCs w:val="18"/>
        </w:rPr>
        <w:t xml:space="preserve"> cat. no. 6239.0 - Barriers and Incentives to Labour Force Participation, Australia, July 2016 to June 2017.</w:t>
      </w:r>
      <w:r w:rsidRPr="003C67FE">
        <w:rPr>
          <w:sz w:val="18"/>
          <w:szCs w:val="18"/>
        </w:rPr>
        <w:t xml:space="preserve"> abs.gov.au/ausstats/abs%40.nsf/mf/6239.0</w:t>
      </w:r>
    </w:p>
  </w:endnote>
  <w:endnote w:id="27">
    <w:p w14:paraId="5BABC19D" w14:textId="5361868E" w:rsidR="00E019B6" w:rsidRPr="00146FE6" w:rsidRDefault="00E019B6" w:rsidP="00A56D65">
      <w:pPr>
        <w:rPr>
          <w:sz w:val="18"/>
          <w:szCs w:val="18"/>
        </w:rPr>
      </w:pPr>
      <w:r w:rsidRPr="00146FE6">
        <w:rPr>
          <w:sz w:val="18"/>
          <w:szCs w:val="18"/>
        </w:rPr>
        <w:endnoteRef/>
      </w:r>
      <w:r>
        <w:rPr>
          <w:sz w:val="18"/>
          <w:szCs w:val="18"/>
        </w:rPr>
        <w:t xml:space="preserve"> </w:t>
      </w:r>
      <w:r w:rsidRPr="00137401">
        <w:rPr>
          <w:sz w:val="18"/>
          <w:szCs w:val="18"/>
        </w:rPr>
        <w:t>Australian Bureau of Statistics (ABS), cat. no. 6202.0 – Labour Force, Australia, May 2018</w:t>
      </w:r>
      <w:r>
        <w:rPr>
          <w:sz w:val="18"/>
          <w:szCs w:val="18"/>
        </w:rPr>
        <w:t>, seasonally adjusted data</w:t>
      </w:r>
      <w:r w:rsidRPr="00137401">
        <w:rPr>
          <w:sz w:val="18"/>
          <w:szCs w:val="18"/>
        </w:rPr>
        <w:t>. abs.gov.au/ausstats/abs%40.nsf/mf/6202.0</w:t>
      </w:r>
    </w:p>
  </w:endnote>
  <w:endnote w:id="28">
    <w:p w14:paraId="672F84EA" w14:textId="7AE063A2"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Australia Bureau of Statistics (ABS)</w:t>
      </w:r>
      <w:r>
        <w:rPr>
          <w:sz w:val="18"/>
          <w:szCs w:val="18"/>
        </w:rPr>
        <w:t>,</w:t>
      </w:r>
      <w:r w:rsidRPr="00146FE6">
        <w:rPr>
          <w:sz w:val="18"/>
          <w:szCs w:val="18"/>
        </w:rPr>
        <w:t xml:space="preserve"> Census of Population and Housing, August 2016.</w:t>
      </w:r>
    </w:p>
  </w:endnote>
  <w:endnote w:id="29">
    <w:p w14:paraId="250AFFE4" w14:textId="438434BF" w:rsidR="00E019B6" w:rsidRPr="00146FE6" w:rsidRDefault="00E019B6" w:rsidP="003C67FE">
      <w:pPr>
        <w:rPr>
          <w:sz w:val="18"/>
          <w:szCs w:val="18"/>
        </w:rPr>
      </w:pPr>
      <w:r w:rsidRPr="00146FE6">
        <w:rPr>
          <w:sz w:val="18"/>
          <w:szCs w:val="18"/>
        </w:rPr>
        <w:endnoteRef/>
      </w:r>
      <w:r>
        <w:rPr>
          <w:sz w:val="18"/>
          <w:szCs w:val="18"/>
        </w:rPr>
        <w:t xml:space="preserve"> J. Thomas, J. Barraket, C. Wilson, S. Ewing, T. MacDonald, J. Tucker and E. Rennie,</w:t>
      </w:r>
      <w:r w:rsidRPr="00146FE6">
        <w:rPr>
          <w:sz w:val="18"/>
          <w:szCs w:val="18"/>
        </w:rPr>
        <w:t xml:space="preserve"> Measuring Australia's </w:t>
      </w:r>
      <w:r>
        <w:rPr>
          <w:sz w:val="18"/>
          <w:szCs w:val="18"/>
        </w:rPr>
        <w:t>D</w:t>
      </w:r>
      <w:r w:rsidRPr="00146FE6">
        <w:rPr>
          <w:sz w:val="18"/>
          <w:szCs w:val="18"/>
        </w:rPr>
        <w:t xml:space="preserve">igital </w:t>
      </w:r>
      <w:r>
        <w:rPr>
          <w:sz w:val="18"/>
          <w:szCs w:val="18"/>
        </w:rPr>
        <w:t>D</w:t>
      </w:r>
      <w:r w:rsidRPr="00146FE6">
        <w:rPr>
          <w:sz w:val="18"/>
          <w:szCs w:val="18"/>
        </w:rPr>
        <w:t xml:space="preserve">ivide: The Australian Digital Inclusion Index 2017, RMIT University, </w:t>
      </w:r>
      <w:r>
        <w:rPr>
          <w:sz w:val="18"/>
          <w:szCs w:val="18"/>
        </w:rPr>
        <w:t>2017</w:t>
      </w:r>
      <w:r w:rsidRPr="00146FE6">
        <w:rPr>
          <w:sz w:val="18"/>
          <w:szCs w:val="18"/>
        </w:rPr>
        <w:t>.</w:t>
      </w:r>
      <w:r>
        <w:rPr>
          <w:sz w:val="18"/>
          <w:szCs w:val="18"/>
        </w:rPr>
        <w:t xml:space="preserve"> </w:t>
      </w:r>
      <w:r w:rsidRPr="003C67FE">
        <w:rPr>
          <w:sz w:val="18"/>
          <w:szCs w:val="18"/>
        </w:rPr>
        <w:t>digitalinclusionindex.org.au/the-index-report/report/</w:t>
      </w:r>
    </w:p>
  </w:endnote>
  <w:endnote w:id="30">
    <w:p w14:paraId="40D8DADF" w14:textId="0BF0F8DD" w:rsidR="00E019B6" w:rsidRPr="00146FE6" w:rsidRDefault="00E019B6" w:rsidP="00A56D65">
      <w:pPr>
        <w:rPr>
          <w:sz w:val="18"/>
          <w:szCs w:val="18"/>
        </w:rPr>
      </w:pPr>
      <w:r w:rsidRPr="00146FE6">
        <w:rPr>
          <w:sz w:val="18"/>
          <w:szCs w:val="18"/>
        </w:rPr>
        <w:endnoteRef/>
      </w:r>
      <w:r>
        <w:rPr>
          <w:sz w:val="18"/>
          <w:szCs w:val="18"/>
        </w:rPr>
        <w:t xml:space="preserve"> </w:t>
      </w:r>
      <w:r w:rsidRPr="00146FE6">
        <w:rPr>
          <w:sz w:val="18"/>
          <w:szCs w:val="18"/>
        </w:rPr>
        <w:t>Denmark operates as part of a Ghent System, whereby the main responsibility for welfare payments, especially unemployment benefits, is held by trade</w:t>
      </w:r>
      <w:r>
        <w:rPr>
          <w:sz w:val="18"/>
          <w:szCs w:val="18"/>
        </w:rPr>
        <w:t xml:space="preserve"> or </w:t>
      </w:r>
      <w:r w:rsidRPr="00146FE6">
        <w:rPr>
          <w:sz w:val="18"/>
          <w:szCs w:val="18"/>
        </w:rPr>
        <w:t>labour unions, rather than a government agency. Ghent systems are also used in Finland, Iceland and Sweden.</w:t>
      </w:r>
    </w:p>
  </w:endnote>
  <w:endnote w:id="31">
    <w:p w14:paraId="5A517B0C" w14:textId="18E01B57" w:rsidR="00E019B6" w:rsidRPr="006C34A9" w:rsidRDefault="00E019B6" w:rsidP="00A56D65">
      <w:pPr>
        <w:rPr>
          <w:sz w:val="18"/>
          <w:szCs w:val="18"/>
        </w:rPr>
      </w:pPr>
      <w:r w:rsidRPr="00146FE6">
        <w:rPr>
          <w:sz w:val="18"/>
          <w:szCs w:val="18"/>
        </w:rPr>
        <w:endnoteRef/>
      </w:r>
      <w:r w:rsidRPr="00137401">
        <w:rPr>
          <w:sz w:val="18"/>
          <w:szCs w:val="18"/>
        </w:rPr>
        <w:t xml:space="preserve"> </w:t>
      </w:r>
      <w:r w:rsidRPr="00146FE6">
        <w:rPr>
          <w:sz w:val="18"/>
          <w:szCs w:val="18"/>
        </w:rPr>
        <w:t>Sweden operates as part of a Ghent System, whereby the main responsibility for welfare payments, especially unemployment benefits, is held by trade</w:t>
      </w:r>
      <w:r w:rsidRPr="00137401">
        <w:rPr>
          <w:sz w:val="18"/>
          <w:szCs w:val="18"/>
        </w:rPr>
        <w:t xml:space="preserve"> or </w:t>
      </w:r>
      <w:r w:rsidRPr="00146FE6">
        <w:rPr>
          <w:sz w:val="18"/>
          <w:szCs w:val="18"/>
        </w:rPr>
        <w:t>labour unions, rather than a government agency. Ghent systems are also used in Denmark, Finland and Iceland.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ECSquareSans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7C853" w14:textId="77777777" w:rsidR="00E700B3" w:rsidRDefault="00E70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4C95" w14:textId="77777777" w:rsidR="00E700B3" w:rsidRDefault="00E70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5ED4C" w14:textId="77777777" w:rsidR="00E700B3" w:rsidRDefault="00E70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A6C44" w14:textId="77777777" w:rsidR="00E019B6" w:rsidRDefault="00E019B6" w:rsidP="00DC1088">
      <w:pPr>
        <w:spacing w:after="0" w:line="240" w:lineRule="auto"/>
      </w:pPr>
      <w:r>
        <w:separator/>
      </w:r>
    </w:p>
  </w:footnote>
  <w:footnote w:type="continuationSeparator" w:id="0">
    <w:p w14:paraId="015CA241" w14:textId="77777777" w:rsidR="00E019B6" w:rsidRDefault="00E019B6" w:rsidP="00DC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770E" w14:textId="77777777" w:rsidR="00E700B3" w:rsidRDefault="00E70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2418" w14:textId="77777777" w:rsidR="00E700B3" w:rsidRDefault="00E70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5280" w14:textId="77777777" w:rsidR="00E700B3" w:rsidRDefault="00E70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BB"/>
    <w:multiLevelType w:val="hybridMultilevel"/>
    <w:tmpl w:val="0CAA59B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55736"/>
    <w:multiLevelType w:val="hybridMultilevel"/>
    <w:tmpl w:val="0710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437A3"/>
    <w:multiLevelType w:val="hybridMultilevel"/>
    <w:tmpl w:val="6D14F13E"/>
    <w:lvl w:ilvl="0" w:tplc="5AAE2EBE">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997AE2"/>
    <w:multiLevelType w:val="hybridMultilevel"/>
    <w:tmpl w:val="F0FC8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5C60FA"/>
    <w:multiLevelType w:val="hybridMultilevel"/>
    <w:tmpl w:val="43683E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64B0209"/>
    <w:multiLevelType w:val="multilevel"/>
    <w:tmpl w:val="895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6A88"/>
    <w:multiLevelType w:val="hybridMultilevel"/>
    <w:tmpl w:val="65225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D42488"/>
    <w:multiLevelType w:val="hybridMultilevel"/>
    <w:tmpl w:val="49BAE08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1DBE271D"/>
    <w:multiLevelType w:val="hybridMultilevel"/>
    <w:tmpl w:val="5BE2524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A160D3"/>
    <w:multiLevelType w:val="hybridMultilevel"/>
    <w:tmpl w:val="8C423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2D5A8B"/>
    <w:multiLevelType w:val="hybridMultilevel"/>
    <w:tmpl w:val="6596827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A042112"/>
    <w:multiLevelType w:val="hybridMultilevel"/>
    <w:tmpl w:val="EC40F18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start w:val="1"/>
      <w:numFmt w:val="bullet"/>
      <w:lvlText w:val=""/>
      <w:lvlJc w:val="left"/>
      <w:pPr>
        <w:ind w:left="1352"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145B6E"/>
    <w:multiLevelType w:val="hybridMultilevel"/>
    <w:tmpl w:val="9858E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387C8D"/>
    <w:multiLevelType w:val="hybridMultilevel"/>
    <w:tmpl w:val="1068D6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9256E4"/>
    <w:multiLevelType w:val="hybridMultilevel"/>
    <w:tmpl w:val="5B227B04"/>
    <w:lvl w:ilvl="0" w:tplc="0C090003">
      <w:start w:val="1"/>
      <w:numFmt w:val="bullet"/>
      <w:lvlText w:val="o"/>
      <w:lvlJc w:val="left"/>
      <w:pPr>
        <w:ind w:left="1117" w:hanging="360"/>
      </w:pPr>
      <w:rPr>
        <w:rFonts w:ascii="Courier New" w:hAnsi="Courier New" w:cs="Courier New" w:hint="default"/>
      </w:rPr>
    </w:lvl>
    <w:lvl w:ilvl="1" w:tplc="0C090003">
      <w:start w:val="1"/>
      <w:numFmt w:val="bullet"/>
      <w:lvlText w:val="o"/>
      <w:lvlJc w:val="left"/>
      <w:pPr>
        <w:ind w:left="1837" w:hanging="360"/>
      </w:pPr>
      <w:rPr>
        <w:rFonts w:ascii="Courier New" w:hAnsi="Courier New" w:cs="Courier New" w:hint="default"/>
      </w:rPr>
    </w:lvl>
    <w:lvl w:ilvl="2" w:tplc="0C090005">
      <w:start w:val="1"/>
      <w:numFmt w:val="bullet"/>
      <w:lvlText w:val=""/>
      <w:lvlJc w:val="left"/>
      <w:pPr>
        <w:ind w:left="2557" w:hanging="360"/>
      </w:pPr>
      <w:rPr>
        <w:rFonts w:ascii="Wingdings" w:hAnsi="Wingdings" w:hint="default"/>
      </w:rPr>
    </w:lvl>
    <w:lvl w:ilvl="3" w:tplc="0C090001">
      <w:start w:val="1"/>
      <w:numFmt w:val="bullet"/>
      <w:lvlText w:val=""/>
      <w:lvlJc w:val="left"/>
      <w:pPr>
        <w:ind w:left="3277" w:hanging="360"/>
      </w:pPr>
      <w:rPr>
        <w:rFonts w:ascii="Symbol" w:hAnsi="Symbol" w:hint="default"/>
      </w:rPr>
    </w:lvl>
    <w:lvl w:ilvl="4" w:tplc="0C090003">
      <w:start w:val="1"/>
      <w:numFmt w:val="bullet"/>
      <w:lvlText w:val="o"/>
      <w:lvlJc w:val="left"/>
      <w:pPr>
        <w:ind w:left="3997" w:hanging="360"/>
      </w:pPr>
      <w:rPr>
        <w:rFonts w:ascii="Courier New" w:hAnsi="Courier New" w:cs="Courier New" w:hint="default"/>
      </w:rPr>
    </w:lvl>
    <w:lvl w:ilvl="5" w:tplc="0C090005">
      <w:start w:val="1"/>
      <w:numFmt w:val="bullet"/>
      <w:lvlText w:val=""/>
      <w:lvlJc w:val="left"/>
      <w:pPr>
        <w:ind w:left="4717" w:hanging="360"/>
      </w:pPr>
      <w:rPr>
        <w:rFonts w:ascii="Wingdings" w:hAnsi="Wingdings" w:hint="default"/>
      </w:rPr>
    </w:lvl>
    <w:lvl w:ilvl="6" w:tplc="0C090001">
      <w:start w:val="1"/>
      <w:numFmt w:val="bullet"/>
      <w:lvlText w:val=""/>
      <w:lvlJc w:val="left"/>
      <w:pPr>
        <w:ind w:left="5437" w:hanging="360"/>
      </w:pPr>
      <w:rPr>
        <w:rFonts w:ascii="Symbol" w:hAnsi="Symbol" w:hint="default"/>
      </w:rPr>
    </w:lvl>
    <w:lvl w:ilvl="7" w:tplc="0C090003">
      <w:start w:val="1"/>
      <w:numFmt w:val="bullet"/>
      <w:lvlText w:val="o"/>
      <w:lvlJc w:val="left"/>
      <w:pPr>
        <w:ind w:left="6157" w:hanging="360"/>
      </w:pPr>
      <w:rPr>
        <w:rFonts w:ascii="Courier New" w:hAnsi="Courier New" w:cs="Courier New" w:hint="default"/>
      </w:rPr>
    </w:lvl>
    <w:lvl w:ilvl="8" w:tplc="0C090005">
      <w:start w:val="1"/>
      <w:numFmt w:val="bullet"/>
      <w:lvlText w:val=""/>
      <w:lvlJc w:val="left"/>
      <w:pPr>
        <w:ind w:left="6877" w:hanging="360"/>
      </w:pPr>
      <w:rPr>
        <w:rFonts w:ascii="Wingdings" w:hAnsi="Wingdings" w:hint="default"/>
      </w:rPr>
    </w:lvl>
  </w:abstractNum>
  <w:abstractNum w:abstractNumId="15" w15:restartNumberingAfterBreak="0">
    <w:nsid w:val="2EDE3E13"/>
    <w:multiLevelType w:val="hybridMultilevel"/>
    <w:tmpl w:val="5C7EC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FD227A"/>
    <w:multiLevelType w:val="hybridMultilevel"/>
    <w:tmpl w:val="9BBCF08C"/>
    <w:lvl w:ilvl="0" w:tplc="0C090003">
      <w:start w:val="1"/>
      <w:numFmt w:val="bullet"/>
      <w:lvlText w:val="o"/>
      <w:lvlJc w:val="left"/>
      <w:pPr>
        <w:ind w:left="1446" w:hanging="360"/>
      </w:pPr>
      <w:rPr>
        <w:rFonts w:ascii="Courier New" w:hAnsi="Courier New" w:cs="Courier New"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7" w15:restartNumberingAfterBreak="0">
    <w:nsid w:val="3590231E"/>
    <w:multiLevelType w:val="hybridMultilevel"/>
    <w:tmpl w:val="B764F240"/>
    <w:lvl w:ilvl="0" w:tplc="B03A4E92">
      <w:numFmt w:val="bullet"/>
      <w:lvlText w:val="-"/>
      <w:lvlJc w:val="left"/>
      <w:pPr>
        <w:ind w:left="1004" w:hanging="360"/>
      </w:pPr>
      <w:rPr>
        <w:rFonts w:ascii="Cambria" w:eastAsiaTheme="minorHAnsi" w:hAnsi="Cambria"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B4C1CA8"/>
    <w:multiLevelType w:val="hybridMultilevel"/>
    <w:tmpl w:val="4588E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126AF"/>
    <w:multiLevelType w:val="multilevel"/>
    <w:tmpl w:val="67F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77A95"/>
    <w:multiLevelType w:val="hybridMultilevel"/>
    <w:tmpl w:val="E8AA41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6D5FA4"/>
    <w:multiLevelType w:val="hybridMultilevel"/>
    <w:tmpl w:val="C87E46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57257FD7"/>
    <w:multiLevelType w:val="hybridMultilevel"/>
    <w:tmpl w:val="25522520"/>
    <w:lvl w:ilvl="0" w:tplc="A6EE6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C1EEF"/>
    <w:multiLevelType w:val="hybridMultilevel"/>
    <w:tmpl w:val="CC545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0216FE"/>
    <w:multiLevelType w:val="hybridMultilevel"/>
    <w:tmpl w:val="957E6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4428AF"/>
    <w:multiLevelType w:val="hybridMultilevel"/>
    <w:tmpl w:val="579EAFFA"/>
    <w:lvl w:ilvl="0" w:tplc="9580F4AE">
      <w:start w:val="1"/>
      <w:numFmt w:val="lowerRoman"/>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E996CB2"/>
    <w:multiLevelType w:val="hybridMultilevel"/>
    <w:tmpl w:val="6F741D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2D7907"/>
    <w:multiLevelType w:val="hybridMultilevel"/>
    <w:tmpl w:val="DACAF318"/>
    <w:lvl w:ilvl="0" w:tplc="0C090001">
      <w:start w:val="1"/>
      <w:numFmt w:val="bullet"/>
      <w:lvlText w:val=""/>
      <w:lvlJc w:val="left"/>
      <w:pPr>
        <w:ind w:left="360" w:hanging="360"/>
      </w:pPr>
      <w:rPr>
        <w:rFonts w:ascii="Symbol" w:hAnsi="Symbol" w:hint="default"/>
      </w:rPr>
    </w:lvl>
    <w:lvl w:ilvl="1" w:tplc="A13C22BE">
      <w:start w:val="1"/>
      <w:numFmt w:val="bullet"/>
      <w:pStyle w:val="dotpoint2"/>
      <w:lvlText w:val="o"/>
      <w:lvlJc w:val="left"/>
      <w:pPr>
        <w:ind w:left="149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BF451A"/>
    <w:multiLevelType w:val="hybridMultilevel"/>
    <w:tmpl w:val="824C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F768E6"/>
    <w:multiLevelType w:val="hybridMultilevel"/>
    <w:tmpl w:val="0BEA8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9516D7"/>
    <w:multiLevelType w:val="hybridMultilevel"/>
    <w:tmpl w:val="6BA65AF2"/>
    <w:lvl w:ilvl="0" w:tplc="12B05E34">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63EC0"/>
    <w:multiLevelType w:val="hybridMultilevel"/>
    <w:tmpl w:val="956CB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5E14BB"/>
    <w:multiLevelType w:val="hybridMultilevel"/>
    <w:tmpl w:val="0ED69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E26577"/>
    <w:multiLevelType w:val="hybridMultilevel"/>
    <w:tmpl w:val="C5DE5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1D079E7"/>
    <w:multiLevelType w:val="hybridMultilevel"/>
    <w:tmpl w:val="D402D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4810D3"/>
    <w:multiLevelType w:val="hybridMultilevel"/>
    <w:tmpl w:val="401CE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547906"/>
    <w:multiLevelType w:val="hybridMultilevel"/>
    <w:tmpl w:val="5D423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F26231"/>
    <w:multiLevelType w:val="hybridMultilevel"/>
    <w:tmpl w:val="53B2466C"/>
    <w:lvl w:ilvl="0" w:tplc="12721DAA">
      <w:start w:val="1"/>
      <w:numFmt w:val="bullet"/>
      <w:pStyle w:val="ListParagraph"/>
      <w:lvlText w:val=""/>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654E84"/>
    <w:multiLevelType w:val="multilevel"/>
    <w:tmpl w:val="CDC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7"/>
  </w:num>
  <w:num w:numId="3">
    <w:abstractNumId w:val="3"/>
  </w:num>
  <w:num w:numId="4">
    <w:abstractNumId w:val="30"/>
  </w:num>
  <w:num w:numId="5">
    <w:abstractNumId w:val="28"/>
  </w:num>
  <w:num w:numId="6">
    <w:abstractNumId w:val="8"/>
  </w:num>
  <w:num w:numId="7">
    <w:abstractNumId w:val="19"/>
  </w:num>
  <w:num w:numId="8">
    <w:abstractNumId w:val="5"/>
  </w:num>
  <w:num w:numId="9">
    <w:abstractNumId w:val="39"/>
  </w:num>
  <w:num w:numId="10">
    <w:abstractNumId w:val="11"/>
  </w:num>
  <w:num w:numId="11">
    <w:abstractNumId w:val="12"/>
  </w:num>
  <w:num w:numId="12">
    <w:abstractNumId w:val="26"/>
  </w:num>
  <w:num w:numId="13">
    <w:abstractNumId w:val="38"/>
  </w:num>
  <w:num w:numId="14">
    <w:abstractNumId w:val="16"/>
  </w:num>
  <w:num w:numId="15">
    <w:abstractNumId w:val="36"/>
  </w:num>
  <w:num w:numId="16">
    <w:abstractNumId w:val="9"/>
  </w:num>
  <w:num w:numId="17">
    <w:abstractNumId w:val="35"/>
  </w:num>
  <w:num w:numId="18">
    <w:abstractNumId w:val="29"/>
  </w:num>
  <w:num w:numId="19">
    <w:abstractNumId w:val="24"/>
  </w:num>
  <w:num w:numId="20">
    <w:abstractNumId w:val="27"/>
  </w:num>
  <w:num w:numId="21">
    <w:abstractNumId w:val="2"/>
  </w:num>
  <w:num w:numId="22">
    <w:abstractNumId w:val="14"/>
  </w:num>
  <w:num w:numId="23">
    <w:abstractNumId w:val="20"/>
  </w:num>
  <w:num w:numId="24">
    <w:abstractNumId w:val="4"/>
  </w:num>
  <w:num w:numId="25">
    <w:abstractNumId w:val="1"/>
  </w:num>
  <w:num w:numId="26">
    <w:abstractNumId w:val="18"/>
  </w:num>
  <w:num w:numId="27">
    <w:abstractNumId w:val="23"/>
  </w:num>
  <w:num w:numId="28">
    <w:abstractNumId w:val="20"/>
  </w:num>
  <w:num w:numId="29">
    <w:abstractNumId w:val="16"/>
  </w:num>
  <w:num w:numId="30">
    <w:abstractNumId w:val="13"/>
  </w:num>
  <w:num w:numId="31">
    <w:abstractNumId w:val="0"/>
  </w:num>
  <w:num w:numId="32">
    <w:abstractNumId w:val="25"/>
  </w:num>
  <w:num w:numId="33">
    <w:abstractNumId w:val="6"/>
  </w:num>
  <w:num w:numId="34">
    <w:abstractNumId w:val="31"/>
  </w:num>
  <w:num w:numId="35">
    <w:abstractNumId w:val="21"/>
  </w:num>
  <w:num w:numId="36">
    <w:abstractNumId w:val="7"/>
  </w:num>
  <w:num w:numId="37">
    <w:abstractNumId w:val="32"/>
  </w:num>
  <w:num w:numId="38">
    <w:abstractNumId w:val="10"/>
  </w:num>
  <w:num w:numId="39">
    <w:abstractNumId w:val="17"/>
  </w:num>
  <w:num w:numId="40">
    <w:abstractNumId w:val="33"/>
  </w:num>
  <w:num w:numId="41">
    <w:abstractNumId w:val="15"/>
  </w:num>
  <w:num w:numId="42">
    <w:abstractNumId w:val="2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88"/>
    <w:rsid w:val="0002338A"/>
    <w:rsid w:val="000255DC"/>
    <w:rsid w:val="00026EAE"/>
    <w:rsid w:val="000318AC"/>
    <w:rsid w:val="00034A7F"/>
    <w:rsid w:val="00036CF9"/>
    <w:rsid w:val="00036DF7"/>
    <w:rsid w:val="000419C7"/>
    <w:rsid w:val="000444E6"/>
    <w:rsid w:val="0005395E"/>
    <w:rsid w:val="00067AA0"/>
    <w:rsid w:val="0008136F"/>
    <w:rsid w:val="00087A17"/>
    <w:rsid w:val="000A3ADF"/>
    <w:rsid w:val="000E10FA"/>
    <w:rsid w:val="000E3225"/>
    <w:rsid w:val="000F333C"/>
    <w:rsid w:val="00110878"/>
    <w:rsid w:val="001118E2"/>
    <w:rsid w:val="001361B6"/>
    <w:rsid w:val="00137401"/>
    <w:rsid w:val="00140A27"/>
    <w:rsid w:val="00146FE6"/>
    <w:rsid w:val="00154648"/>
    <w:rsid w:val="001566B2"/>
    <w:rsid w:val="00160E59"/>
    <w:rsid w:val="0016569D"/>
    <w:rsid w:val="00167B0D"/>
    <w:rsid w:val="00193994"/>
    <w:rsid w:val="001C143A"/>
    <w:rsid w:val="001C27D9"/>
    <w:rsid w:val="001D1BE8"/>
    <w:rsid w:val="001E34D2"/>
    <w:rsid w:val="0021258F"/>
    <w:rsid w:val="00217D21"/>
    <w:rsid w:val="00235588"/>
    <w:rsid w:val="0025450E"/>
    <w:rsid w:val="002652E9"/>
    <w:rsid w:val="0027515F"/>
    <w:rsid w:val="00277C39"/>
    <w:rsid w:val="00284F56"/>
    <w:rsid w:val="00285F47"/>
    <w:rsid w:val="00291EEC"/>
    <w:rsid w:val="0029212F"/>
    <w:rsid w:val="002934FA"/>
    <w:rsid w:val="002D0892"/>
    <w:rsid w:val="002D475E"/>
    <w:rsid w:val="002F05BF"/>
    <w:rsid w:val="002F2292"/>
    <w:rsid w:val="00305D2B"/>
    <w:rsid w:val="0032155F"/>
    <w:rsid w:val="00323D8C"/>
    <w:rsid w:val="00323DC1"/>
    <w:rsid w:val="00333AF6"/>
    <w:rsid w:val="003427F8"/>
    <w:rsid w:val="00355FC8"/>
    <w:rsid w:val="00370751"/>
    <w:rsid w:val="003A5332"/>
    <w:rsid w:val="003B20B4"/>
    <w:rsid w:val="003C0E12"/>
    <w:rsid w:val="003C2F92"/>
    <w:rsid w:val="003C67FE"/>
    <w:rsid w:val="003C7BDF"/>
    <w:rsid w:val="003D0F76"/>
    <w:rsid w:val="003D5C1B"/>
    <w:rsid w:val="00406FC4"/>
    <w:rsid w:val="00412BD1"/>
    <w:rsid w:val="0041400C"/>
    <w:rsid w:val="00437F2A"/>
    <w:rsid w:val="00442B6F"/>
    <w:rsid w:val="00450D42"/>
    <w:rsid w:val="004571E6"/>
    <w:rsid w:val="00463B76"/>
    <w:rsid w:val="00466FAC"/>
    <w:rsid w:val="00471C89"/>
    <w:rsid w:val="00475E3C"/>
    <w:rsid w:val="004821B4"/>
    <w:rsid w:val="00484BB8"/>
    <w:rsid w:val="0049664C"/>
    <w:rsid w:val="004A0FD0"/>
    <w:rsid w:val="004A6994"/>
    <w:rsid w:val="004D013A"/>
    <w:rsid w:val="004D20A0"/>
    <w:rsid w:val="004F3C36"/>
    <w:rsid w:val="004F5231"/>
    <w:rsid w:val="00533BD2"/>
    <w:rsid w:val="00535307"/>
    <w:rsid w:val="005353F5"/>
    <w:rsid w:val="005853FD"/>
    <w:rsid w:val="00586EE7"/>
    <w:rsid w:val="005D5047"/>
    <w:rsid w:val="005F103E"/>
    <w:rsid w:val="005F7873"/>
    <w:rsid w:val="00603FC8"/>
    <w:rsid w:val="00616746"/>
    <w:rsid w:val="00620496"/>
    <w:rsid w:val="00623DDB"/>
    <w:rsid w:val="00626FDD"/>
    <w:rsid w:val="00636847"/>
    <w:rsid w:val="006428DE"/>
    <w:rsid w:val="00644AF0"/>
    <w:rsid w:val="006618AD"/>
    <w:rsid w:val="006666AD"/>
    <w:rsid w:val="0068559D"/>
    <w:rsid w:val="0069089D"/>
    <w:rsid w:val="006966DA"/>
    <w:rsid w:val="006A3171"/>
    <w:rsid w:val="006A6A0D"/>
    <w:rsid w:val="006C34A9"/>
    <w:rsid w:val="006D3D58"/>
    <w:rsid w:val="0072397C"/>
    <w:rsid w:val="007471FB"/>
    <w:rsid w:val="00793E1B"/>
    <w:rsid w:val="007B43BD"/>
    <w:rsid w:val="007B5352"/>
    <w:rsid w:val="007B6A01"/>
    <w:rsid w:val="007C5F1A"/>
    <w:rsid w:val="007D3303"/>
    <w:rsid w:val="007E621D"/>
    <w:rsid w:val="008021DD"/>
    <w:rsid w:val="00803BCF"/>
    <w:rsid w:val="008475B6"/>
    <w:rsid w:val="0085420A"/>
    <w:rsid w:val="0085469A"/>
    <w:rsid w:val="00871997"/>
    <w:rsid w:val="00880035"/>
    <w:rsid w:val="00896914"/>
    <w:rsid w:val="008A206C"/>
    <w:rsid w:val="008A508C"/>
    <w:rsid w:val="008A5CCE"/>
    <w:rsid w:val="008A7EEF"/>
    <w:rsid w:val="008E25C9"/>
    <w:rsid w:val="00913B37"/>
    <w:rsid w:val="00914642"/>
    <w:rsid w:val="0093297A"/>
    <w:rsid w:val="00937134"/>
    <w:rsid w:val="00947CD8"/>
    <w:rsid w:val="00953F6D"/>
    <w:rsid w:val="0096086B"/>
    <w:rsid w:val="0097700A"/>
    <w:rsid w:val="00983BC7"/>
    <w:rsid w:val="0098788E"/>
    <w:rsid w:val="00996142"/>
    <w:rsid w:val="009A4534"/>
    <w:rsid w:val="009B571F"/>
    <w:rsid w:val="009C0589"/>
    <w:rsid w:val="009C697F"/>
    <w:rsid w:val="009C79BF"/>
    <w:rsid w:val="009D2EBE"/>
    <w:rsid w:val="009E27DE"/>
    <w:rsid w:val="009F426F"/>
    <w:rsid w:val="009F449A"/>
    <w:rsid w:val="009F5760"/>
    <w:rsid w:val="00A03A49"/>
    <w:rsid w:val="00A2354A"/>
    <w:rsid w:val="00A41B48"/>
    <w:rsid w:val="00A556DB"/>
    <w:rsid w:val="00A56D65"/>
    <w:rsid w:val="00A87A8D"/>
    <w:rsid w:val="00A9401D"/>
    <w:rsid w:val="00A96055"/>
    <w:rsid w:val="00AC290F"/>
    <w:rsid w:val="00AE50CC"/>
    <w:rsid w:val="00AE7A4A"/>
    <w:rsid w:val="00B1458C"/>
    <w:rsid w:val="00B16665"/>
    <w:rsid w:val="00B327F5"/>
    <w:rsid w:val="00B4343F"/>
    <w:rsid w:val="00B67A9B"/>
    <w:rsid w:val="00B716B7"/>
    <w:rsid w:val="00B7393F"/>
    <w:rsid w:val="00B805EB"/>
    <w:rsid w:val="00B85E94"/>
    <w:rsid w:val="00B966C9"/>
    <w:rsid w:val="00BC51EC"/>
    <w:rsid w:val="00BE1426"/>
    <w:rsid w:val="00BE3A41"/>
    <w:rsid w:val="00C060A3"/>
    <w:rsid w:val="00C355B5"/>
    <w:rsid w:val="00C521A7"/>
    <w:rsid w:val="00C56678"/>
    <w:rsid w:val="00C675EF"/>
    <w:rsid w:val="00C77A88"/>
    <w:rsid w:val="00C82E3D"/>
    <w:rsid w:val="00C867FF"/>
    <w:rsid w:val="00C96263"/>
    <w:rsid w:val="00CA7678"/>
    <w:rsid w:val="00CB5A2D"/>
    <w:rsid w:val="00CD005E"/>
    <w:rsid w:val="00CD10E6"/>
    <w:rsid w:val="00CD1391"/>
    <w:rsid w:val="00CF5F1E"/>
    <w:rsid w:val="00D00151"/>
    <w:rsid w:val="00D1767D"/>
    <w:rsid w:val="00D30531"/>
    <w:rsid w:val="00D36CD6"/>
    <w:rsid w:val="00D46B76"/>
    <w:rsid w:val="00D63263"/>
    <w:rsid w:val="00D678A1"/>
    <w:rsid w:val="00DC1088"/>
    <w:rsid w:val="00DF630C"/>
    <w:rsid w:val="00E019B6"/>
    <w:rsid w:val="00E23843"/>
    <w:rsid w:val="00E352E2"/>
    <w:rsid w:val="00E410A3"/>
    <w:rsid w:val="00E418F3"/>
    <w:rsid w:val="00E431FC"/>
    <w:rsid w:val="00E700B3"/>
    <w:rsid w:val="00E8748B"/>
    <w:rsid w:val="00E96AD4"/>
    <w:rsid w:val="00EA7E57"/>
    <w:rsid w:val="00EC0174"/>
    <w:rsid w:val="00EE2BFB"/>
    <w:rsid w:val="00EF1C1A"/>
    <w:rsid w:val="00EF3613"/>
    <w:rsid w:val="00F21A94"/>
    <w:rsid w:val="00F21E13"/>
    <w:rsid w:val="00F675D0"/>
    <w:rsid w:val="00F71503"/>
    <w:rsid w:val="00FA3D09"/>
    <w:rsid w:val="00FC0455"/>
    <w:rsid w:val="00FF3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DDC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DB"/>
    <w:pPr>
      <w:spacing w:before="120" w:after="60" w:line="276" w:lineRule="auto"/>
    </w:pPr>
    <w:rPr>
      <w:rFonts w:eastAsiaTheme="minorEastAsia"/>
    </w:rPr>
  </w:style>
  <w:style w:type="paragraph" w:styleId="Heading1">
    <w:name w:val="heading 1"/>
    <w:basedOn w:val="Normal"/>
    <w:next w:val="Normal"/>
    <w:link w:val="Heading1Char"/>
    <w:uiPriority w:val="9"/>
    <w:qFormat/>
    <w:rsid w:val="00D00151"/>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0419C7"/>
    <w:pPr>
      <w:keepNext/>
      <w:spacing w:after="0"/>
      <w:outlineLvl w:val="1"/>
    </w:pPr>
    <w:rPr>
      <w:rFonts w:eastAsia="Calibri"/>
      <w:b/>
    </w:rPr>
  </w:style>
  <w:style w:type="paragraph" w:styleId="Heading3">
    <w:name w:val="heading 3"/>
    <w:basedOn w:val="Normal"/>
    <w:next w:val="Normal"/>
    <w:link w:val="Heading3Char"/>
    <w:uiPriority w:val="9"/>
    <w:unhideWhenUsed/>
    <w:qFormat/>
    <w:rsid w:val="00E8748B"/>
    <w:pPr>
      <w:keepNext/>
      <w:spacing w:before="200" w:after="0"/>
      <w:outlineLvl w:val="2"/>
    </w:pPr>
    <w:rPr>
      <w:rFonts w:ascii="Calibri" w:eastAsiaTheme="majorEastAsia" w:hAnsi="Calibri" w:cstheme="majorBidi"/>
      <w:b/>
      <w:bCs/>
      <w:color w:val="0CA7DA" w:themeColor="accent1" w:themeShade="BF"/>
    </w:rPr>
  </w:style>
  <w:style w:type="paragraph" w:styleId="Heading4">
    <w:name w:val="heading 4"/>
    <w:basedOn w:val="Normal"/>
    <w:next w:val="Normal"/>
    <w:link w:val="Heading4Char"/>
    <w:uiPriority w:val="9"/>
    <w:unhideWhenUsed/>
    <w:qFormat/>
    <w:rsid w:val="00437F2A"/>
    <w:pPr>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51"/>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0419C7"/>
    <w:rPr>
      <w:rFonts w:eastAsia="Calibri"/>
      <w:b/>
    </w:rPr>
  </w:style>
  <w:style w:type="character" w:customStyle="1" w:styleId="Heading3Char">
    <w:name w:val="Heading 3 Char"/>
    <w:basedOn w:val="DefaultParagraphFont"/>
    <w:link w:val="Heading3"/>
    <w:uiPriority w:val="9"/>
    <w:rsid w:val="00E8748B"/>
    <w:rPr>
      <w:rFonts w:ascii="Calibri" w:eastAsiaTheme="majorEastAsia" w:hAnsi="Calibri" w:cstheme="majorBidi"/>
      <w:b/>
      <w:bCs/>
      <w:color w:val="0CA7DA" w:themeColor="accent1" w:themeShade="BF"/>
    </w:rPr>
  </w:style>
  <w:style w:type="character" w:customStyle="1" w:styleId="Heading4Char">
    <w:name w:val="Heading 4 Char"/>
    <w:basedOn w:val="DefaultParagraphFont"/>
    <w:link w:val="Heading4"/>
    <w:uiPriority w:val="9"/>
    <w:rsid w:val="00437F2A"/>
    <w:rPr>
      <w:rFonts w:ascii="Calibri" w:eastAsiaTheme="majorEastAsia" w:hAnsi="Calibri" w:cstheme="majorBidi"/>
      <w:b/>
      <w:bCs/>
      <w:iCs/>
    </w:rPr>
  </w:style>
  <w:style w:type="character" w:styleId="Hyperlink">
    <w:name w:val="Hyperlink"/>
    <w:basedOn w:val="DefaultParagraphFont"/>
    <w:uiPriority w:val="99"/>
    <w:unhideWhenUsed/>
    <w:rsid w:val="00DC1088"/>
    <w:rPr>
      <w:color w:val="0563C1" w:themeColor="hyperlink"/>
      <w:u w:val="single"/>
    </w:rPr>
  </w:style>
  <w:style w:type="paragraph" w:styleId="ListParagraph">
    <w:name w:val="List Paragraph"/>
    <w:aliases w:val="dot point 1"/>
    <w:basedOn w:val="Normal"/>
    <w:link w:val="ListParagraphChar"/>
    <w:uiPriority w:val="34"/>
    <w:qFormat/>
    <w:rsid w:val="00B16665"/>
    <w:pPr>
      <w:numPr>
        <w:numId w:val="13"/>
      </w:numPr>
      <w:spacing w:after="120"/>
      <w:contextualSpacing/>
    </w:pPr>
  </w:style>
  <w:style w:type="character" w:styleId="IntenseEmphasis">
    <w:name w:val="Intense Emphasis"/>
    <w:uiPriority w:val="21"/>
    <w:rsid w:val="00DC1088"/>
    <w:rPr>
      <w:b/>
      <w:bCs/>
      <w:i/>
    </w:rPr>
  </w:style>
  <w:style w:type="paragraph" w:styleId="ListBullet">
    <w:name w:val="List Bullet"/>
    <w:basedOn w:val="Normal"/>
    <w:uiPriority w:val="99"/>
    <w:unhideWhenUsed/>
    <w:rsid w:val="00DC1088"/>
    <w:pPr>
      <w:numPr>
        <w:numId w:val="1"/>
      </w:numPr>
      <w:spacing w:after="120"/>
      <w:contextualSpacing/>
    </w:pPr>
  </w:style>
  <w:style w:type="paragraph" w:styleId="ListBullet2">
    <w:name w:val="List Bullet 2"/>
    <w:basedOn w:val="Normal"/>
    <w:uiPriority w:val="99"/>
    <w:unhideWhenUsed/>
    <w:rsid w:val="00DC1088"/>
    <w:pPr>
      <w:numPr>
        <w:ilvl w:val="1"/>
        <w:numId w:val="1"/>
      </w:numPr>
      <w:spacing w:after="120"/>
      <w:contextualSpacing/>
    </w:pPr>
  </w:style>
  <w:style w:type="paragraph" w:styleId="ListBullet3">
    <w:name w:val="List Bullet 3"/>
    <w:basedOn w:val="Normal"/>
    <w:uiPriority w:val="99"/>
    <w:unhideWhenUsed/>
    <w:rsid w:val="00DC1088"/>
    <w:pPr>
      <w:numPr>
        <w:ilvl w:val="2"/>
        <w:numId w:val="1"/>
      </w:numPr>
      <w:spacing w:after="120"/>
      <w:contextualSpacing/>
    </w:pPr>
  </w:style>
  <w:style w:type="paragraph" w:styleId="ListBullet4">
    <w:name w:val="List Bullet 4"/>
    <w:basedOn w:val="Normal"/>
    <w:uiPriority w:val="99"/>
    <w:unhideWhenUsed/>
    <w:rsid w:val="00DC1088"/>
    <w:pPr>
      <w:numPr>
        <w:ilvl w:val="3"/>
        <w:numId w:val="1"/>
      </w:numPr>
      <w:spacing w:after="120"/>
      <w:contextualSpacing/>
    </w:pPr>
  </w:style>
  <w:style w:type="table" w:styleId="TableGrid">
    <w:name w:val="Table Grid"/>
    <w:basedOn w:val="TableNormal"/>
    <w:uiPriority w:val="59"/>
    <w:rsid w:val="00DC10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rsid w:val="00DC1088"/>
    <w:rPr>
      <w:rFonts w:cstheme="minorHAnsi"/>
      <w:b/>
      <w:sz w:val="20"/>
      <w:szCs w:val="20"/>
    </w:rPr>
  </w:style>
  <w:style w:type="numbering" w:customStyle="1" w:styleId="BulletList">
    <w:name w:val="Bullet List"/>
    <w:uiPriority w:val="99"/>
    <w:rsid w:val="00DC1088"/>
    <w:pPr>
      <w:numPr>
        <w:numId w:val="1"/>
      </w:numPr>
    </w:pPr>
  </w:style>
  <w:style w:type="paragraph" w:styleId="ListBullet5">
    <w:name w:val="List Bullet 5"/>
    <w:basedOn w:val="Normal"/>
    <w:uiPriority w:val="99"/>
    <w:semiHidden/>
    <w:unhideWhenUsed/>
    <w:rsid w:val="00DC1088"/>
    <w:pPr>
      <w:numPr>
        <w:ilvl w:val="4"/>
        <w:numId w:val="1"/>
      </w:numPr>
      <w:contextualSpacing/>
    </w:pPr>
  </w:style>
  <w:style w:type="paragraph" w:customStyle="1" w:styleId="Body">
    <w:name w:val="Body"/>
    <w:basedOn w:val="Normal"/>
    <w:link w:val="BodyChar"/>
    <w:qFormat/>
    <w:rsid w:val="00DC1088"/>
    <w:rPr>
      <w:lang w:eastAsia="en-AU"/>
    </w:rPr>
  </w:style>
  <w:style w:type="character" w:customStyle="1" w:styleId="BodyChar">
    <w:name w:val="Body Char"/>
    <w:basedOn w:val="DefaultParagraphFont"/>
    <w:link w:val="Body"/>
    <w:rsid w:val="00DC1088"/>
    <w:rPr>
      <w:rFonts w:eastAsiaTheme="minorEastAsia"/>
      <w:lang w:eastAsia="en-AU"/>
    </w:rPr>
  </w:style>
  <w:style w:type="character" w:customStyle="1" w:styleId="ListParagraphChar">
    <w:name w:val="List Paragraph Char"/>
    <w:aliases w:val="dot point 1 Char"/>
    <w:basedOn w:val="DefaultParagraphFont"/>
    <w:link w:val="ListParagraph"/>
    <w:uiPriority w:val="34"/>
    <w:qFormat/>
    <w:locked/>
    <w:rsid w:val="00B16665"/>
    <w:rPr>
      <w:rFonts w:eastAsiaTheme="minorEastAsia"/>
    </w:rPr>
  </w:style>
  <w:style w:type="paragraph" w:customStyle="1" w:styleId="Figure">
    <w:name w:val="Figure"/>
    <w:basedOn w:val="Normal"/>
    <w:link w:val="FigureChar"/>
    <w:qFormat/>
    <w:rsid w:val="00DC1088"/>
    <w:pPr>
      <w:keepNext/>
      <w:spacing w:before="60" w:line="240" w:lineRule="auto"/>
      <w:ind w:right="225"/>
    </w:pPr>
    <w:rPr>
      <w:rFonts w:eastAsia="Times New Roman" w:cs="Arial"/>
      <w:b/>
    </w:rPr>
  </w:style>
  <w:style w:type="character" w:customStyle="1" w:styleId="FigureChar">
    <w:name w:val="Figure Char"/>
    <w:basedOn w:val="DefaultParagraphFont"/>
    <w:link w:val="Figure"/>
    <w:rsid w:val="00DC1088"/>
    <w:rPr>
      <w:rFonts w:eastAsia="Times New Roman" w:cs="Arial"/>
      <w:b/>
    </w:rPr>
  </w:style>
  <w:style w:type="paragraph" w:styleId="TOCHeading">
    <w:name w:val="TOC Heading"/>
    <w:basedOn w:val="Heading1"/>
    <w:next w:val="Normal"/>
    <w:uiPriority w:val="39"/>
    <w:unhideWhenUsed/>
    <w:qFormat/>
    <w:rsid w:val="00616746"/>
    <w:pPr>
      <w:keepNext/>
      <w:keepLines/>
      <w:spacing w:before="240" w:after="0" w:line="259" w:lineRule="auto"/>
      <w:contextualSpacing w:val="0"/>
      <w:outlineLvl w:val="9"/>
    </w:pPr>
    <w:rPr>
      <w:rFonts w:asciiTheme="majorHAnsi" w:hAnsiTheme="majorHAnsi"/>
      <w:b w:val="0"/>
      <w:bCs w:val="0"/>
      <w:color w:val="0CA7DA" w:themeColor="accent1" w:themeShade="BF"/>
      <w:sz w:val="32"/>
      <w:szCs w:val="32"/>
      <w:lang w:val="en-US"/>
    </w:rPr>
  </w:style>
  <w:style w:type="paragraph" w:styleId="TOC1">
    <w:name w:val="toc 1"/>
    <w:basedOn w:val="Normal"/>
    <w:next w:val="Normal"/>
    <w:autoRedefine/>
    <w:uiPriority w:val="39"/>
    <w:unhideWhenUsed/>
    <w:rsid w:val="00616746"/>
    <w:pPr>
      <w:spacing w:after="100"/>
    </w:pPr>
  </w:style>
  <w:style w:type="paragraph" w:styleId="TOC2">
    <w:name w:val="toc 2"/>
    <w:basedOn w:val="Normal"/>
    <w:next w:val="Normal"/>
    <w:autoRedefine/>
    <w:uiPriority w:val="39"/>
    <w:unhideWhenUsed/>
    <w:rsid w:val="00616746"/>
    <w:pPr>
      <w:spacing w:after="100"/>
      <w:ind w:left="220"/>
    </w:pPr>
  </w:style>
  <w:style w:type="paragraph" w:styleId="TOC3">
    <w:name w:val="toc 3"/>
    <w:basedOn w:val="Normal"/>
    <w:next w:val="Normal"/>
    <w:autoRedefine/>
    <w:uiPriority w:val="39"/>
    <w:unhideWhenUsed/>
    <w:rsid w:val="00616746"/>
    <w:pPr>
      <w:spacing w:after="100"/>
      <w:ind w:left="440"/>
    </w:pPr>
  </w:style>
  <w:style w:type="table" w:customStyle="1" w:styleId="TableGrid1">
    <w:name w:val="Table Grid1"/>
    <w:basedOn w:val="TableNormal"/>
    <w:next w:val="TableGrid"/>
    <w:uiPriority w:val="39"/>
    <w:rsid w:val="00616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sid w:val="00B4343F"/>
    <w:rPr>
      <w:b/>
    </w:rPr>
  </w:style>
  <w:style w:type="character" w:styleId="CommentReference">
    <w:name w:val="annotation reference"/>
    <w:basedOn w:val="DefaultParagraphFont"/>
    <w:uiPriority w:val="99"/>
    <w:semiHidden/>
    <w:unhideWhenUsed/>
    <w:rsid w:val="00B4343F"/>
    <w:rPr>
      <w:sz w:val="16"/>
      <w:szCs w:val="16"/>
    </w:rPr>
  </w:style>
  <w:style w:type="paragraph" w:styleId="CommentText">
    <w:name w:val="annotation text"/>
    <w:basedOn w:val="Normal"/>
    <w:link w:val="CommentTextChar"/>
    <w:uiPriority w:val="99"/>
    <w:semiHidden/>
    <w:unhideWhenUsed/>
    <w:rsid w:val="00B4343F"/>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4343F"/>
    <w:rPr>
      <w:sz w:val="20"/>
      <w:szCs w:val="20"/>
    </w:rPr>
  </w:style>
  <w:style w:type="paragraph" w:customStyle="1" w:styleId="Chart">
    <w:name w:val="Chart"/>
    <w:basedOn w:val="Normal"/>
    <w:qFormat/>
    <w:rsid w:val="0072397C"/>
    <w:pPr>
      <w:spacing w:after="120" w:line="240" w:lineRule="auto"/>
    </w:pPr>
    <w:rPr>
      <w:rFonts w:eastAsiaTheme="minorHAnsi"/>
      <w:noProof/>
      <w:lang w:eastAsia="en-AU"/>
    </w:rPr>
  </w:style>
  <w:style w:type="paragraph" w:customStyle="1" w:styleId="Chartreference">
    <w:name w:val="Chart reference"/>
    <w:basedOn w:val="Normal"/>
    <w:qFormat/>
    <w:rsid w:val="00B4343F"/>
    <w:pPr>
      <w:spacing w:after="240" w:line="259" w:lineRule="auto"/>
    </w:pPr>
    <w:rPr>
      <w:rFonts w:eastAsiaTheme="minorHAnsi"/>
      <w:i/>
      <w:sz w:val="18"/>
      <w:szCs w:val="18"/>
    </w:rPr>
  </w:style>
  <w:style w:type="paragraph" w:customStyle="1" w:styleId="ChartandTabletitle">
    <w:name w:val="Chart and Table title"/>
    <w:basedOn w:val="Normal"/>
    <w:rsid w:val="00CA7678"/>
    <w:pPr>
      <w:keepNext/>
      <w:spacing w:line="259" w:lineRule="auto"/>
    </w:pPr>
    <w:rPr>
      <w:rFonts w:eastAsiaTheme="minorHAnsi"/>
    </w:rPr>
  </w:style>
  <w:style w:type="paragraph" w:styleId="BalloonText">
    <w:name w:val="Balloon Text"/>
    <w:basedOn w:val="Normal"/>
    <w:link w:val="BalloonTextChar"/>
    <w:uiPriority w:val="99"/>
    <w:semiHidden/>
    <w:unhideWhenUsed/>
    <w:rsid w:val="00BC5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1EC"/>
    <w:rPr>
      <w:rFonts w:ascii="Segoe UI" w:eastAsiaTheme="minorEastAsia" w:hAnsi="Segoe UI" w:cs="Segoe UI"/>
      <w:sz w:val="18"/>
      <w:szCs w:val="18"/>
    </w:rPr>
  </w:style>
  <w:style w:type="character" w:styleId="EndnoteReference">
    <w:name w:val="endnote reference"/>
    <w:basedOn w:val="DefaultParagraphFont"/>
    <w:uiPriority w:val="99"/>
    <w:unhideWhenUsed/>
    <w:rsid w:val="001566B2"/>
    <w:rPr>
      <w:vertAlign w:val="superscript"/>
    </w:rPr>
  </w:style>
  <w:style w:type="paragraph" w:styleId="CommentSubject">
    <w:name w:val="annotation subject"/>
    <w:basedOn w:val="CommentText"/>
    <w:next w:val="CommentText"/>
    <w:link w:val="CommentSubjectChar"/>
    <w:uiPriority w:val="99"/>
    <w:semiHidden/>
    <w:unhideWhenUsed/>
    <w:rsid w:val="008A7EEF"/>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8A7EEF"/>
    <w:rPr>
      <w:rFonts w:eastAsiaTheme="minorEastAsia"/>
      <w:b/>
      <w:bCs/>
      <w:sz w:val="20"/>
      <w:szCs w:val="20"/>
    </w:rPr>
  </w:style>
  <w:style w:type="paragraph" w:styleId="EndnoteText">
    <w:name w:val="endnote text"/>
    <w:basedOn w:val="Normal"/>
    <w:link w:val="EndnoteTextChar"/>
    <w:uiPriority w:val="99"/>
    <w:semiHidden/>
    <w:unhideWhenUsed/>
    <w:rsid w:val="00D305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531"/>
    <w:rPr>
      <w:rFonts w:eastAsiaTheme="minorEastAsia"/>
      <w:sz w:val="20"/>
      <w:szCs w:val="20"/>
    </w:rPr>
  </w:style>
  <w:style w:type="paragraph" w:customStyle="1" w:styleId="dotpoint2">
    <w:name w:val="dot point 2"/>
    <w:basedOn w:val="ListParagraph"/>
    <w:qFormat/>
    <w:rsid w:val="00623DDB"/>
    <w:pPr>
      <w:numPr>
        <w:ilvl w:val="1"/>
        <w:numId w:val="20"/>
      </w:numPr>
      <w:ind w:left="709"/>
    </w:pPr>
    <w:rPr>
      <w:rFonts w:eastAsia="Calibri"/>
    </w:rPr>
  </w:style>
  <w:style w:type="paragraph" w:customStyle="1" w:styleId="chartsubheading">
    <w:name w:val="chart sub heading"/>
    <w:basedOn w:val="Normal"/>
    <w:qFormat/>
    <w:rsid w:val="0093297A"/>
    <w:pPr>
      <w:jc w:val="center"/>
    </w:pPr>
    <w:rPr>
      <w:b/>
      <w:noProof/>
      <w:sz w:val="20"/>
      <w:lang w:eastAsia="en-AU"/>
    </w:rPr>
  </w:style>
  <w:style w:type="paragraph" w:styleId="Title">
    <w:name w:val="Title"/>
    <w:basedOn w:val="Normal"/>
    <w:next w:val="Normal"/>
    <w:link w:val="TitleChar"/>
    <w:uiPriority w:val="10"/>
    <w:qFormat/>
    <w:rsid w:val="00793E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E1B"/>
    <w:rPr>
      <w:rFonts w:asciiTheme="majorHAnsi" w:eastAsiaTheme="majorEastAsia" w:hAnsiTheme="majorHAnsi" w:cstheme="majorBidi"/>
      <w:spacing w:val="-10"/>
      <w:kern w:val="28"/>
      <w:sz w:val="56"/>
      <w:szCs w:val="56"/>
    </w:rPr>
  </w:style>
  <w:style w:type="paragraph" w:customStyle="1" w:styleId="Chartandtableheader">
    <w:name w:val="Chart and table header"/>
    <w:basedOn w:val="ChartandTabletitle"/>
    <w:qFormat/>
    <w:rsid w:val="00193994"/>
  </w:style>
  <w:style w:type="paragraph" w:customStyle="1" w:styleId="Table1">
    <w:name w:val="Table 1"/>
    <w:basedOn w:val="Normal"/>
    <w:qFormat/>
    <w:rsid w:val="00291EEC"/>
    <w:rPr>
      <w:b/>
    </w:rPr>
  </w:style>
  <w:style w:type="paragraph" w:customStyle="1" w:styleId="tablecontents">
    <w:name w:val="table contents"/>
    <w:basedOn w:val="Normal"/>
    <w:qFormat/>
    <w:rsid w:val="005853FD"/>
    <w:pPr>
      <w:spacing w:before="0" w:after="0" w:line="240" w:lineRule="auto"/>
    </w:pPr>
    <w:rPr>
      <w:rFonts w:eastAsia="Times New Roman" w:cs="Calibri"/>
      <w:color w:val="000000"/>
      <w:sz w:val="20"/>
      <w:szCs w:val="20"/>
      <w:lang w:eastAsia="en-AU"/>
    </w:rPr>
  </w:style>
  <w:style w:type="paragraph" w:styleId="Header">
    <w:name w:val="header"/>
    <w:basedOn w:val="Normal"/>
    <w:link w:val="HeaderChar"/>
    <w:uiPriority w:val="99"/>
    <w:unhideWhenUsed/>
    <w:rsid w:val="00E700B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00B3"/>
    <w:rPr>
      <w:rFonts w:eastAsiaTheme="minorEastAsia"/>
    </w:rPr>
  </w:style>
  <w:style w:type="paragraph" w:styleId="Footer">
    <w:name w:val="footer"/>
    <w:basedOn w:val="Normal"/>
    <w:link w:val="FooterChar"/>
    <w:uiPriority w:val="99"/>
    <w:unhideWhenUsed/>
    <w:rsid w:val="00E700B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00B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00339">
      <w:bodyDiv w:val="1"/>
      <w:marLeft w:val="0"/>
      <w:marRight w:val="0"/>
      <w:marTop w:val="0"/>
      <w:marBottom w:val="0"/>
      <w:divBdr>
        <w:top w:val="none" w:sz="0" w:space="0" w:color="auto"/>
        <w:left w:val="none" w:sz="0" w:space="0" w:color="auto"/>
        <w:bottom w:val="none" w:sz="0" w:space="0" w:color="auto"/>
        <w:right w:val="none" w:sz="0" w:space="0" w:color="auto"/>
      </w:divBdr>
    </w:div>
    <w:div w:id="512762516">
      <w:bodyDiv w:val="1"/>
      <w:marLeft w:val="0"/>
      <w:marRight w:val="0"/>
      <w:marTop w:val="0"/>
      <w:marBottom w:val="0"/>
      <w:divBdr>
        <w:top w:val="none" w:sz="0" w:space="0" w:color="auto"/>
        <w:left w:val="none" w:sz="0" w:space="0" w:color="auto"/>
        <w:bottom w:val="none" w:sz="0" w:space="0" w:color="auto"/>
        <w:right w:val="none" w:sz="0" w:space="0" w:color="auto"/>
      </w:divBdr>
    </w:div>
    <w:div w:id="576206923">
      <w:bodyDiv w:val="1"/>
      <w:marLeft w:val="0"/>
      <w:marRight w:val="0"/>
      <w:marTop w:val="0"/>
      <w:marBottom w:val="0"/>
      <w:divBdr>
        <w:top w:val="none" w:sz="0" w:space="0" w:color="auto"/>
        <w:left w:val="none" w:sz="0" w:space="0" w:color="auto"/>
        <w:bottom w:val="none" w:sz="0" w:space="0" w:color="auto"/>
        <w:right w:val="none" w:sz="0" w:space="0" w:color="auto"/>
      </w:divBdr>
    </w:div>
    <w:div w:id="1304307926">
      <w:bodyDiv w:val="1"/>
      <w:marLeft w:val="0"/>
      <w:marRight w:val="0"/>
      <w:marTop w:val="0"/>
      <w:marBottom w:val="0"/>
      <w:divBdr>
        <w:top w:val="none" w:sz="0" w:space="0" w:color="auto"/>
        <w:left w:val="none" w:sz="0" w:space="0" w:color="auto"/>
        <w:bottom w:val="none" w:sz="0" w:space="0" w:color="auto"/>
        <w:right w:val="none" w:sz="0" w:space="0" w:color="auto"/>
      </w:divBdr>
    </w:div>
    <w:div w:id="13540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chart" Target="charts/chart1.xml"/><Relationship Id="rId39" Type="http://schemas.openxmlformats.org/officeDocument/2006/relationships/diagramQuickStyle" Target="diagrams/quickStyle4.xml"/><Relationship Id="rId21" Type="http://schemas.openxmlformats.org/officeDocument/2006/relationships/diagramData" Target="diagrams/data2.xml"/><Relationship Id="rId34" Type="http://schemas.openxmlformats.org/officeDocument/2006/relationships/diagramQuickStyle" Target="diagrams/quickStyle3.xml"/><Relationship Id="rId42" Type="http://schemas.openxmlformats.org/officeDocument/2006/relationships/chart" Target="charts/chart7.xml"/><Relationship Id="rId47" Type="http://schemas.openxmlformats.org/officeDocument/2006/relationships/chart" Target="charts/chart12.xml"/><Relationship Id="rId50" Type="http://schemas.openxmlformats.org/officeDocument/2006/relationships/chart" Target="charts/chart15.xml"/><Relationship Id="rId55" Type="http://schemas.openxmlformats.org/officeDocument/2006/relationships/image" Target="media/image1.png"/><Relationship Id="rId63" Type="http://schemas.openxmlformats.org/officeDocument/2006/relationships/image" Target="media/image5.png"/><Relationship Id="rId68" Type="http://schemas.openxmlformats.org/officeDocument/2006/relationships/hyperlink" Target="https://en.wikipedia.org/wiki/File:Flag_of_the_United_Kingdom.svg" TargetMode="External"/><Relationship Id="rId7" Type="http://schemas.openxmlformats.org/officeDocument/2006/relationships/endnotes" Target="endnotes.xml"/><Relationship Id="rId71"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chart" Target="charts/chart4.xml"/><Relationship Id="rId11" Type="http://schemas.openxmlformats.org/officeDocument/2006/relationships/footer" Target="footer2.xml"/><Relationship Id="rId24" Type="http://schemas.openxmlformats.org/officeDocument/2006/relationships/diagramColors" Target="diagrams/colors2.xml"/><Relationship Id="rId32" Type="http://schemas.openxmlformats.org/officeDocument/2006/relationships/diagramData" Target="diagrams/data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chart" Target="charts/chart10.xml"/><Relationship Id="rId53" Type="http://schemas.openxmlformats.org/officeDocument/2006/relationships/chart" Target="charts/chart18.xml"/><Relationship Id="rId58" Type="http://schemas.openxmlformats.org/officeDocument/2006/relationships/hyperlink" Target="https://en.wikipedia.org/wiki/File:Flag_of_Germany.svg" TargetMode="External"/><Relationship Id="rId66" Type="http://schemas.openxmlformats.org/officeDocument/2006/relationships/hyperlink" Target="https://en.wikipedia.org/wiki/File:Flag_of_Sweden.svg" TargetMode="External"/><Relationship Id="rId5" Type="http://schemas.openxmlformats.org/officeDocument/2006/relationships/webSettings" Target="webSettings.xml"/><Relationship Id="rId15" Type="http://schemas.openxmlformats.org/officeDocument/2006/relationships/hyperlink" Target="https://www.jobs.gov.au/stronger-transitions" TargetMode="External"/><Relationship Id="rId23" Type="http://schemas.openxmlformats.org/officeDocument/2006/relationships/diagramQuickStyle" Target="diagrams/quickStyle2.xml"/><Relationship Id="rId28" Type="http://schemas.openxmlformats.org/officeDocument/2006/relationships/chart" Target="charts/chart3.xml"/><Relationship Id="rId36" Type="http://schemas.microsoft.com/office/2007/relationships/diagramDrawing" Target="diagrams/drawing3.xml"/><Relationship Id="rId49" Type="http://schemas.openxmlformats.org/officeDocument/2006/relationships/chart" Target="charts/chart14.xml"/><Relationship Id="rId57" Type="http://schemas.openxmlformats.org/officeDocument/2006/relationships/image" Target="media/image2.png"/><Relationship Id="rId61"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chart" Target="charts/chart6.xml"/><Relationship Id="rId44" Type="http://schemas.openxmlformats.org/officeDocument/2006/relationships/chart" Target="charts/chart9.xml"/><Relationship Id="rId52" Type="http://schemas.openxmlformats.org/officeDocument/2006/relationships/chart" Target="charts/chart17.xml"/><Relationship Id="rId60" Type="http://schemas.openxmlformats.org/officeDocument/2006/relationships/hyperlink" Target="https://en.wikipedia.org/wiki/File:Flag_of_Ireland.svg" TargetMode="External"/><Relationship Id="rId65" Type="http://schemas.openxmlformats.org/officeDocument/2006/relationships/image" Target="media/image6.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bsearch.gov.au/harvest" TargetMode="External"/><Relationship Id="rId22" Type="http://schemas.openxmlformats.org/officeDocument/2006/relationships/diagramLayout" Target="diagrams/layout2.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diagramColors" Target="diagrams/colors3.xml"/><Relationship Id="rId43" Type="http://schemas.openxmlformats.org/officeDocument/2006/relationships/chart" Target="charts/chart8.xml"/><Relationship Id="rId48" Type="http://schemas.openxmlformats.org/officeDocument/2006/relationships/chart" Target="charts/chart13.xml"/><Relationship Id="rId56" Type="http://schemas.openxmlformats.org/officeDocument/2006/relationships/hyperlink" Target="https://en.wikipedia.org/wiki/File:Flag_of_Denmark.svg" TargetMode="External"/><Relationship Id="rId64" Type="http://schemas.openxmlformats.org/officeDocument/2006/relationships/hyperlink" Target="https://en.wikipedia.org/wiki/File:Flag_of_New_Zealand.svg" TargetMode="External"/><Relationship Id="rId69" Type="http://schemas.openxmlformats.org/officeDocument/2006/relationships/image" Target="media/image8.png"/><Relationship Id="rId8" Type="http://schemas.openxmlformats.org/officeDocument/2006/relationships/header" Target="header1.xml"/><Relationship Id="rId51" Type="http://schemas.openxmlformats.org/officeDocument/2006/relationships/chart" Target="charts/chart16.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Layout" Target="diagrams/layout3.xml"/><Relationship Id="rId38" Type="http://schemas.openxmlformats.org/officeDocument/2006/relationships/diagramLayout" Target="diagrams/layout4.xml"/><Relationship Id="rId46" Type="http://schemas.openxmlformats.org/officeDocument/2006/relationships/chart" Target="charts/chart11.xml"/><Relationship Id="rId59" Type="http://schemas.openxmlformats.org/officeDocument/2006/relationships/image" Target="media/image3.png"/><Relationship Id="rId67" Type="http://schemas.openxmlformats.org/officeDocument/2006/relationships/image" Target="media/image7.png"/><Relationship Id="rId20" Type="http://schemas.microsoft.com/office/2007/relationships/diagramDrawing" Target="diagrams/drawing1.xml"/><Relationship Id="rId41" Type="http://schemas.microsoft.com/office/2007/relationships/diagramDrawing" Target="diagrams/drawing4.xml"/><Relationship Id="rId54" Type="http://schemas.openxmlformats.org/officeDocument/2006/relationships/hyperlink" Target="https://en.wikipedia.org/wiki/File:Flag_of_Belgium.svg" TargetMode="External"/><Relationship Id="rId62" Type="http://schemas.openxmlformats.org/officeDocument/2006/relationships/hyperlink" Target="https://en.wikipedia.org/wiki/File:Flag_of_South_Korea.svg" TargetMode="External"/><Relationship Id="rId70" Type="http://schemas.openxmlformats.org/officeDocument/2006/relationships/hyperlink" Target="https://en.wikipedia.org/wiki/File:Flag_of_the_United_States.sv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docs.jobs.gov.au/collections/australian-job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special$\New%20Employment%20Services%20Model\ALMA%202020\5.%20Policy%20Development\Public%20discussion%20paper\Appendix%20documents\Data%20files\Data%20for%20Appendix%20E%20-%20with%20chart.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Emp\special$\New%20Employment%20Services%20Model\ALMA%202020\5.%20Policy%20Development\Public%20discussion%20paper\Appendix%20documents\Data%20files\Data%20for%20Appendix%20F%20-%20with%20charts.xlsx" TargetMode="External"/><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oleObject" Target="file:///\\Emp\special$\New%20Employment%20Services%20Model\ALMA%202020\5.%20Policy%20Development\Public%20discussion%20paper\Appendix%20documents\Data%20files\Data%20for%20Appendix%20G.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2" Type="http://schemas.openxmlformats.org/officeDocument/2006/relationships/oleObject" Target="file:///\\EMP\50030034\SSTS\04.%20Australian%20Jobs\Australian%20Jobs%202018\2.%20Data\3.%20Tables%20and%20Charts\Charts%20-%20Aus%20Jobs%202018.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_rels/chart16.xml.rels><?xml version="1.0" encoding="UTF-8" standalone="yes"?>
<Relationships xmlns="http://schemas.openxmlformats.org/package/2006/relationships"><Relationship Id="rId3" Type="http://schemas.openxmlformats.org/officeDocument/2006/relationships/oleObject" Target="file:///\\Emp\special$\New%20Employment%20Services%20Model\ALMA%202020\5.%20Policy%20Development\Public%20discussion%20paper\Appendix%20documents\Data%20files\Data%20for%20Appendix%20G.xlsx" TargetMode="External"/><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ND1502\AppData\Local\Microsoft\Windows\INetCache\Content.Outlook\8EZ8Y8X0\projections%20charts.xlsx" TargetMode="External"/><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ND1502\AppData\Local\Microsoft\Windows\INetCache\Content.Outlook\8EZ8Y8X0\projections%20chart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1" Type="http://schemas.openxmlformats.org/officeDocument/2006/relationships/oleObject" Target="file:///\\Emp\special$\New%20Employment%20Services%20Model\ALMA%202020\5.%20Policy%20Development\Public%20discussion%20paper\Appendix%20documents\Data%20files\Data%20for%20Appendix%20E%20-%20with%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special$\New%20Employment%20Services%20Model\ALMA%202020\5.%20Policy%20Development\Public%20discussion%20paper\Appendix%20documents\Data%20files\Data%20for%20Appendix%20E%20-%20with%20chart.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Emp\special$\New%20Employment%20Services%20Model\ALMA%202020\6.%20Evidence%20Base\Data\Caseload%20by%20LTU.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b2580\AppData\Local\Microsoft\Windows\INetCache\Content.Outlook\3UWYTK5U\Declared%20Earnings%20-%20by%20duration%20on%20caseload%20(002).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Emp\special$\New%20Employment%20Services%20Model\ALMA%202020\5.%20Policy%20Development\Public%20discussion%20paper\Appendix%20documents\Data%20files\Data%20for%20Appendix%20F%20-%20with%20charts.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eprxsas100\SASDATA\SectionFiles\ESMPEG\EMEB\RED%20and%20Strategic%20Research\Duration%20Model\Survival%20and%20exit%20rates%20by%20stream.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file:///\\EMP\50030307\Post-Program%20Monitoring%20Survey\Latest%20PPM%20data\JSA%20jobctive%20compariso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84189314501743"/>
          <c:y val="1.1555672545406655E-4"/>
          <c:w val="0.66024201388888892"/>
          <c:h val="0.91630773420479317"/>
        </c:manualLayout>
      </c:layout>
      <c:barChart>
        <c:barDir val="bar"/>
        <c:grouping val="clustered"/>
        <c:varyColors val="0"/>
        <c:ser>
          <c:idx val="0"/>
          <c:order val="0"/>
          <c:tx>
            <c:strRef>
              <c:f>'Figure 1'!$B$4</c:f>
              <c:strCache>
                <c:ptCount val="1"/>
                <c:pt idx="0">
                  <c:v>share</c:v>
                </c:pt>
              </c:strCache>
            </c:strRef>
          </c:tx>
          <c:spPr>
            <a:solidFill>
              <a:srgbClr val="41C8F4"/>
            </a:solidFill>
          </c:spPr>
          <c:invertIfNegative val="0"/>
          <c:dLbls>
            <c:dLbl>
              <c:idx val="0"/>
              <c:layout/>
              <c:tx>
                <c:rich>
                  <a:bodyPr/>
                  <a:lstStyle/>
                  <a:p>
                    <a:r>
                      <a:rPr lang="en-US"/>
                      <a:t>&lt;1%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0C6-4B37-A150-44971B3A1060}"/>
                </c:ext>
              </c:extLst>
            </c:dLbl>
            <c:numFmt formatCode="0.0&quot;%&quot;"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'Figure 1'!$A$5:$A$15</c:f>
              <c:strCache>
                <c:ptCount val="11"/>
                <c:pt idx="0">
                  <c:v>Pre Release Prisoner</c:v>
                </c:pt>
                <c:pt idx="1">
                  <c:v>Refugees</c:v>
                </c:pt>
                <c:pt idx="2">
                  <c:v>Drug and Alcohol</c:v>
                </c:pt>
                <c:pt idx="3">
                  <c:v>Homeless</c:v>
                </c:pt>
                <c:pt idx="4">
                  <c:v>Indigenous</c:v>
                </c:pt>
                <c:pt idx="5">
                  <c:v>Ex-Offenders</c:v>
                </c:pt>
                <c:pt idx="6">
                  <c:v>Stronger Participation Incentive </c:v>
                </c:pt>
                <c:pt idx="7">
                  <c:v>Mental Health</c:v>
                </c:pt>
                <c:pt idx="8">
                  <c:v>Parents</c:v>
                </c:pt>
                <c:pt idx="9">
                  <c:v>Culturally and Linguistically Diverse</c:v>
                </c:pt>
                <c:pt idx="10">
                  <c:v>People with Disability</c:v>
                </c:pt>
              </c:strCache>
            </c:strRef>
          </c:cat>
          <c:val>
            <c:numRef>
              <c:f>'Figure 1'!$B$5:$B$15</c:f>
              <c:numCache>
                <c:formatCode>General</c:formatCode>
                <c:ptCount val="11"/>
                <c:pt idx="0">
                  <c:v>0</c:v>
                </c:pt>
                <c:pt idx="1">
                  <c:v>5.3</c:v>
                </c:pt>
                <c:pt idx="2">
                  <c:v>8.3000000000000007</c:v>
                </c:pt>
                <c:pt idx="3">
                  <c:v>9.6999999999999993</c:v>
                </c:pt>
                <c:pt idx="4">
                  <c:v>10.9</c:v>
                </c:pt>
                <c:pt idx="5">
                  <c:v>11.3</c:v>
                </c:pt>
                <c:pt idx="6">
                  <c:v>11.9</c:v>
                </c:pt>
                <c:pt idx="7">
                  <c:v>13.1</c:v>
                </c:pt>
                <c:pt idx="8">
                  <c:v>17.5</c:v>
                </c:pt>
                <c:pt idx="9">
                  <c:v>19.100000000000001</c:v>
                </c:pt>
                <c:pt idx="10">
                  <c:v>27.1</c:v>
                </c:pt>
              </c:numCache>
            </c:numRef>
          </c:val>
          <c:extLst>
            <c:ext xmlns:c16="http://schemas.microsoft.com/office/drawing/2014/chart" uri="{C3380CC4-5D6E-409C-BE32-E72D297353CC}">
              <c16:uniqueId val="{00000001-C0C6-4B37-A150-44971B3A1060}"/>
            </c:ext>
          </c:extLst>
        </c:ser>
        <c:dLbls>
          <c:dLblPos val="outEnd"/>
          <c:showLegendKey val="0"/>
          <c:showVal val="1"/>
          <c:showCatName val="0"/>
          <c:showSerName val="0"/>
          <c:showPercent val="0"/>
          <c:showBubbleSize val="0"/>
        </c:dLbls>
        <c:gapWidth val="182"/>
        <c:axId val="507959296"/>
        <c:axId val="507955688"/>
      </c:barChart>
      <c:catAx>
        <c:axId val="507959296"/>
        <c:scaling>
          <c:orientation val="minMax"/>
        </c:scaling>
        <c:delete val="0"/>
        <c:axPos val="l"/>
        <c:numFmt formatCode="General" sourceLinked="1"/>
        <c:majorTickMark val="none"/>
        <c:minorTickMark val="none"/>
        <c:tickLblPos val="nextTo"/>
        <c:crossAx val="507955688"/>
        <c:crosses val="autoZero"/>
        <c:auto val="1"/>
        <c:lblAlgn val="ctr"/>
        <c:lblOffset val="100"/>
        <c:noMultiLvlLbl val="0"/>
      </c:catAx>
      <c:valAx>
        <c:axId val="507955688"/>
        <c:scaling>
          <c:orientation val="minMax"/>
        </c:scaling>
        <c:delete val="0"/>
        <c:axPos val="b"/>
        <c:numFmt formatCode="General" sourceLinked="1"/>
        <c:majorTickMark val="none"/>
        <c:minorTickMark val="none"/>
        <c:tickLblPos val="nextTo"/>
        <c:crossAx val="507959296"/>
        <c:crosses val="autoZero"/>
        <c:crossBetween val="between"/>
      </c:valAx>
    </c:plotArea>
    <c:plotVisOnly val="1"/>
    <c:dispBlanksAs val="gap"/>
    <c:showDLblsOverMax val="0"/>
  </c:chart>
  <c:spPr>
    <a:ln>
      <a:noFill/>
    </a:ln>
  </c:spPr>
  <c:txPr>
    <a:bodyPr/>
    <a:lstStyle/>
    <a:p>
      <a:pPr>
        <a:defRPr sz="900"/>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04777449572624"/>
          <c:y val="1.8854584020740042E-2"/>
          <c:w val="0.650986214802033"/>
          <c:h val="0.87179699403000033"/>
        </c:manualLayout>
      </c:layout>
      <c:barChart>
        <c:barDir val="bar"/>
        <c:grouping val="clustered"/>
        <c:varyColors val="0"/>
        <c:ser>
          <c:idx val="0"/>
          <c:order val="0"/>
          <c:tx>
            <c:strRef>
              <c:f>'fig 4'!$C$6</c:f>
              <c:strCache>
                <c:ptCount val="1"/>
                <c:pt idx="0">
                  <c:v>Employed (%)</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B34-45D2-9ED1-3778F4A78D57}"/>
              </c:ext>
            </c:extLst>
          </c:dPt>
          <c:dLbls>
            <c:numFmt formatCode="0.0&quot;%&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 4'!$B$7:$B$15</c:f>
              <c:strCache>
                <c:ptCount val="9"/>
                <c:pt idx="0">
                  <c:v>All job seekers</c:v>
                </c:pt>
                <c:pt idx="1">
                  <c:v>Parents</c:v>
                </c:pt>
                <c:pt idx="2">
                  <c:v>Culturally and Linguistically Diverse</c:v>
                </c:pt>
                <c:pt idx="3">
                  <c:v>Ex-offenders</c:v>
                </c:pt>
                <c:pt idx="4">
                  <c:v>Homeless</c:v>
                </c:pt>
                <c:pt idx="5">
                  <c:v>Indigenous</c:v>
                </c:pt>
                <c:pt idx="6">
                  <c:v>Refugees</c:v>
                </c:pt>
                <c:pt idx="7">
                  <c:v>People with a Disability</c:v>
                </c:pt>
                <c:pt idx="8">
                  <c:v>Year 1 to 9 educated</c:v>
                </c:pt>
              </c:strCache>
            </c:strRef>
          </c:cat>
          <c:val>
            <c:numRef>
              <c:f>'fig 4'!$C$7:$C$15</c:f>
              <c:numCache>
                <c:formatCode>###0.0</c:formatCode>
                <c:ptCount val="9"/>
                <c:pt idx="0">
                  <c:v>49.5</c:v>
                </c:pt>
                <c:pt idx="1">
                  <c:v>48.779323315282603</c:v>
                </c:pt>
                <c:pt idx="2">
                  <c:v>43.490618435910299</c:v>
                </c:pt>
                <c:pt idx="3">
                  <c:v>38.847165471329198</c:v>
                </c:pt>
                <c:pt idx="4">
                  <c:v>35.318843197110702</c:v>
                </c:pt>
                <c:pt idx="5">
                  <c:v>34.561375284280103</c:v>
                </c:pt>
                <c:pt idx="6">
                  <c:v>33.9726468853463</c:v>
                </c:pt>
                <c:pt idx="7">
                  <c:v>31.961386806405201</c:v>
                </c:pt>
                <c:pt idx="8">
                  <c:v>30.090281176324101</c:v>
                </c:pt>
              </c:numCache>
            </c:numRef>
          </c:val>
          <c:extLst>
            <c:ext xmlns:c16="http://schemas.microsoft.com/office/drawing/2014/chart" uri="{C3380CC4-5D6E-409C-BE32-E72D297353CC}">
              <c16:uniqueId val="{00000002-0B34-45D2-9ED1-3778F4A78D57}"/>
            </c:ext>
          </c:extLst>
        </c:ser>
        <c:dLbls>
          <c:dLblPos val="outEnd"/>
          <c:showLegendKey val="0"/>
          <c:showVal val="1"/>
          <c:showCatName val="0"/>
          <c:showSerName val="0"/>
          <c:showPercent val="0"/>
          <c:showBubbleSize val="0"/>
        </c:dLbls>
        <c:gapWidth val="182"/>
        <c:axId val="489732328"/>
        <c:axId val="489731672"/>
      </c:barChart>
      <c:catAx>
        <c:axId val="48973232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31672"/>
        <c:crosses val="autoZero"/>
        <c:auto val="1"/>
        <c:lblAlgn val="ctr"/>
        <c:lblOffset val="100"/>
        <c:noMultiLvlLbl val="0"/>
      </c:catAx>
      <c:valAx>
        <c:axId val="489731672"/>
        <c:scaling>
          <c:orientation val="minMax"/>
        </c:scaling>
        <c:delete val="0"/>
        <c:axPos val="b"/>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32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satisfaction!$H$5:$H$8</c:f>
              <c:strCache>
                <c:ptCount val="4"/>
                <c:pt idx="0">
                  <c:v>Stream A </c:v>
                </c:pt>
                <c:pt idx="1">
                  <c:v>Stream B</c:v>
                </c:pt>
                <c:pt idx="2">
                  <c:v>Stream C </c:v>
                </c:pt>
                <c:pt idx="3">
                  <c:v>All job seekers</c:v>
                </c:pt>
              </c:strCache>
            </c:strRef>
          </c:cat>
          <c:val>
            <c:numRef>
              <c:f>satisfaction!$I$5:$I$8</c:f>
              <c:numCache>
                <c:formatCode>0.0%</c:formatCode>
                <c:ptCount val="4"/>
                <c:pt idx="0">
                  <c:v>0.52400000000000002</c:v>
                </c:pt>
                <c:pt idx="1">
                  <c:v>0.63</c:v>
                </c:pt>
                <c:pt idx="2">
                  <c:v>0.61499999999999999</c:v>
                </c:pt>
                <c:pt idx="3">
                  <c:v>0.56899999999999995</c:v>
                </c:pt>
              </c:numCache>
            </c:numRef>
          </c:val>
          <c:extLst>
            <c:ext xmlns:c16="http://schemas.microsoft.com/office/drawing/2014/chart" uri="{C3380CC4-5D6E-409C-BE32-E72D297353CC}">
              <c16:uniqueId val="{00000000-9164-41E0-BF8C-CF864F10D687}"/>
            </c:ext>
          </c:extLst>
        </c:ser>
        <c:dLbls>
          <c:showLegendKey val="0"/>
          <c:showVal val="0"/>
          <c:showCatName val="0"/>
          <c:showSerName val="0"/>
          <c:showPercent val="0"/>
          <c:showBubbleSize val="0"/>
        </c:dLbls>
        <c:gapWidth val="100"/>
        <c:axId val="625310352"/>
        <c:axId val="625309040"/>
      </c:barChart>
      <c:catAx>
        <c:axId val="6253103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5309040"/>
        <c:crosses val="autoZero"/>
        <c:auto val="1"/>
        <c:lblAlgn val="ctr"/>
        <c:lblOffset val="100"/>
        <c:noMultiLvlLbl val="0"/>
      </c:catAx>
      <c:valAx>
        <c:axId val="625309040"/>
        <c:scaling>
          <c:orientation val="minMax"/>
        </c:scaling>
        <c:delete val="1"/>
        <c:axPos val="l"/>
        <c:numFmt formatCode="0.0%" sourceLinked="1"/>
        <c:majorTickMark val="none"/>
        <c:minorTickMark val="none"/>
        <c:tickLblPos val="nextTo"/>
        <c:crossAx val="62531035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1"/>
          <c:h val="0.90123056870265705"/>
        </c:manualLayout>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satisfaction!$H$26:$H$29</c:f>
              <c:strCache>
                <c:ptCount val="4"/>
                <c:pt idx="0">
                  <c:v>Stream A </c:v>
                </c:pt>
                <c:pt idx="1">
                  <c:v>Stream B</c:v>
                </c:pt>
                <c:pt idx="2">
                  <c:v>Stream C </c:v>
                </c:pt>
                <c:pt idx="3">
                  <c:v>All job seekers</c:v>
                </c:pt>
              </c:strCache>
            </c:strRef>
          </c:cat>
          <c:val>
            <c:numRef>
              <c:f>satisfaction!$I$26:$I$29</c:f>
              <c:numCache>
                <c:formatCode>0.0%</c:formatCode>
                <c:ptCount val="4"/>
                <c:pt idx="0">
                  <c:v>0.35299999999999998</c:v>
                </c:pt>
                <c:pt idx="1">
                  <c:v>0.48399999999999999</c:v>
                </c:pt>
                <c:pt idx="2">
                  <c:v>0.434</c:v>
                </c:pt>
                <c:pt idx="3">
                  <c:v>0.40600000000000003</c:v>
                </c:pt>
              </c:numCache>
            </c:numRef>
          </c:val>
          <c:extLst>
            <c:ext xmlns:c16="http://schemas.microsoft.com/office/drawing/2014/chart" uri="{C3380CC4-5D6E-409C-BE32-E72D297353CC}">
              <c16:uniqueId val="{00000000-3A3A-48D1-9737-8830393D9570}"/>
            </c:ext>
          </c:extLst>
        </c:ser>
        <c:dLbls>
          <c:showLegendKey val="0"/>
          <c:showVal val="0"/>
          <c:showCatName val="0"/>
          <c:showSerName val="0"/>
          <c:showPercent val="0"/>
          <c:showBubbleSize val="0"/>
        </c:dLbls>
        <c:gapWidth val="100"/>
        <c:axId val="637644720"/>
        <c:axId val="625310680"/>
      </c:barChart>
      <c:catAx>
        <c:axId val="6376447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25310680"/>
        <c:crosses val="autoZero"/>
        <c:auto val="1"/>
        <c:lblAlgn val="ctr"/>
        <c:lblOffset val="100"/>
        <c:noMultiLvlLbl val="0"/>
      </c:catAx>
      <c:valAx>
        <c:axId val="625310680"/>
        <c:scaling>
          <c:orientation val="minMax"/>
        </c:scaling>
        <c:delete val="1"/>
        <c:axPos val="l"/>
        <c:numFmt formatCode="0.0%" sourceLinked="1"/>
        <c:majorTickMark val="none"/>
        <c:minorTickMark val="none"/>
        <c:tickLblPos val="nextTo"/>
        <c:crossAx val="63764472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277578068264344"/>
          <c:y val="1.2126736111111111E-2"/>
          <c:w val="0.59823432573886848"/>
          <c:h val="0.9573643410852713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'Figure G.1'!$A$4:$A$22</c:f>
              <c:strCache>
                <c:ptCount val="19"/>
                <c:pt idx="0">
                  <c:v>Manufacturing</c:v>
                </c:pt>
                <c:pt idx="1">
                  <c:v>Agriculture, Forestry and Fishing</c:v>
                </c:pt>
                <c:pt idx="2">
                  <c:v>Wholesale Trade</c:v>
                </c:pt>
                <c:pt idx="3">
                  <c:v>Information Media and Telecommunications</c:v>
                </c:pt>
                <c:pt idx="4">
                  <c:v>Other Services</c:v>
                </c:pt>
                <c:pt idx="5">
                  <c:v>Electricity, Gas, Water and Waste Services</c:v>
                </c:pt>
                <c:pt idx="6">
                  <c:v>Rental, Hiring and Real Estate Services</c:v>
                </c:pt>
                <c:pt idx="7">
                  <c:v>Arts and Recreation Services</c:v>
                </c:pt>
                <c:pt idx="8">
                  <c:v>Financial and Insurance Services</c:v>
                </c:pt>
                <c:pt idx="9">
                  <c:v>Administrative and Support Services</c:v>
                </c:pt>
                <c:pt idx="10">
                  <c:v>Mining</c:v>
                </c:pt>
                <c:pt idx="11">
                  <c:v>Transport, Postal and Warehousing</c:v>
                </c:pt>
                <c:pt idx="12">
                  <c:v>Public Administration and Safety</c:v>
                </c:pt>
                <c:pt idx="13">
                  <c:v>Accommodation and Food Services</c:v>
                </c:pt>
                <c:pt idx="14">
                  <c:v>Retail Trade</c:v>
                </c:pt>
                <c:pt idx="15">
                  <c:v>Education and Training</c:v>
                </c:pt>
                <c:pt idx="16">
                  <c:v>Professional, Scientific and Technical Services</c:v>
                </c:pt>
                <c:pt idx="17">
                  <c:v>Construction</c:v>
                </c:pt>
                <c:pt idx="18">
                  <c:v>Health Care and Social Assistance</c:v>
                </c:pt>
              </c:strCache>
            </c:strRef>
          </c:cat>
          <c:val>
            <c:numRef>
              <c:f>'Figure G.1'!$B$4:$B$22</c:f>
              <c:numCache>
                <c:formatCode>0.0</c:formatCode>
                <c:ptCount val="19"/>
                <c:pt idx="0">
                  <c:v>-111.84919349999996</c:v>
                </c:pt>
                <c:pt idx="1">
                  <c:v>-86.353024600000026</c:v>
                </c:pt>
                <c:pt idx="2">
                  <c:v>-58.071833699999956</c:v>
                </c:pt>
                <c:pt idx="3">
                  <c:v>41.031078600000001</c:v>
                </c:pt>
                <c:pt idx="4">
                  <c:v>67.518347600000027</c:v>
                </c:pt>
                <c:pt idx="5">
                  <c:v>71.953103900000002</c:v>
                </c:pt>
                <c:pt idx="6">
                  <c:v>88.217304600000006</c:v>
                </c:pt>
                <c:pt idx="7">
                  <c:v>121.88567510000001</c:v>
                </c:pt>
                <c:pt idx="8">
                  <c:v>126.32094319999999</c:v>
                </c:pt>
                <c:pt idx="9">
                  <c:v>135.67543070000005</c:v>
                </c:pt>
                <c:pt idx="10">
                  <c:v>148.69737229999998</c:v>
                </c:pt>
                <c:pt idx="11">
                  <c:v>198.19559880000003</c:v>
                </c:pt>
                <c:pt idx="12">
                  <c:v>305.19818779999997</c:v>
                </c:pt>
                <c:pt idx="13">
                  <c:v>327.28753989999996</c:v>
                </c:pt>
                <c:pt idx="14">
                  <c:v>342.33414459999995</c:v>
                </c:pt>
                <c:pt idx="15">
                  <c:v>408.966273</c:v>
                </c:pt>
                <c:pt idx="16">
                  <c:v>493.61986400000001</c:v>
                </c:pt>
                <c:pt idx="17">
                  <c:v>571.31018150000011</c:v>
                </c:pt>
                <c:pt idx="18">
                  <c:v>883.07679689999998</c:v>
                </c:pt>
              </c:numCache>
            </c:numRef>
          </c:val>
          <c:extLst>
            <c:ext xmlns:c16="http://schemas.microsoft.com/office/drawing/2014/chart" uri="{C3380CC4-5D6E-409C-BE32-E72D297353CC}">
              <c16:uniqueId val="{00000000-1B7F-4229-8250-C0108E47FBDB}"/>
            </c:ext>
          </c:extLst>
        </c:ser>
        <c:dLbls>
          <c:showLegendKey val="0"/>
          <c:showVal val="0"/>
          <c:showCatName val="0"/>
          <c:showSerName val="0"/>
          <c:showPercent val="0"/>
          <c:showBubbleSize val="0"/>
        </c:dLbls>
        <c:gapWidth val="100"/>
        <c:axId val="856782216"/>
        <c:axId val="856778608"/>
      </c:barChart>
      <c:catAx>
        <c:axId val="856782216"/>
        <c:scaling>
          <c:orientation val="minMax"/>
        </c:scaling>
        <c:delete val="0"/>
        <c:axPos val="l"/>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56778608"/>
        <c:crosses val="autoZero"/>
        <c:auto val="1"/>
        <c:lblAlgn val="ctr"/>
        <c:lblOffset val="500"/>
        <c:noMultiLvlLbl val="0"/>
      </c:catAx>
      <c:valAx>
        <c:axId val="856778608"/>
        <c:scaling>
          <c:orientation val="minMax"/>
          <c:max val="1000"/>
          <c:min val="-300"/>
        </c:scaling>
        <c:delete val="0"/>
        <c:axPos val="b"/>
        <c:numFmt formatCode="0" sourceLinked="0"/>
        <c:majorTickMark val="none"/>
        <c:minorTickMark val="none"/>
        <c:tickLblPos val="none"/>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782216"/>
        <c:crosses val="autoZero"/>
        <c:crossBetween val="between"/>
        <c:majorUnit val="2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599658522752958E-2"/>
          <c:y val="0.1024698184030424"/>
          <c:w val="0.83462370511211992"/>
          <c:h val="0.70500449430122614"/>
        </c:manualLayout>
      </c:layout>
      <c:barChart>
        <c:barDir val="col"/>
        <c:grouping val="clustered"/>
        <c:varyColors val="0"/>
        <c:ser>
          <c:idx val="1"/>
          <c:order val="0"/>
          <c:tx>
            <c:strRef>
              <c:f>'pg 32'!$B$3</c:f>
              <c:strCache>
                <c:ptCount val="1"/>
                <c:pt idx="0">
                  <c:v>Unemployment rate - left axis (%)</c:v>
                </c:pt>
              </c:strCache>
            </c:strRef>
          </c:tx>
          <c:spPr>
            <a:solidFill>
              <a:srgbClr val="41C8F4"/>
            </a:solidFill>
            <a:ln>
              <a:solidFill>
                <a:schemeClr val="tx1"/>
              </a:solidFill>
            </a:ln>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'pg 32'!$A$4:$A$9</c:f>
              <c:strCache>
                <c:ptCount val="6"/>
                <c:pt idx="0">
                  <c:v>Bachelor degree or higher</c:v>
                </c:pt>
                <c:pt idx="1">
                  <c:v>Advanced Diploma/Diploma</c:v>
                </c:pt>
                <c:pt idx="2">
                  <c:v>Certificate III or IV</c:v>
                </c:pt>
                <c:pt idx="3">
                  <c:v>Year 12 or equivalent</c:v>
                </c:pt>
                <c:pt idx="4">
                  <c:v>Year 11</c:v>
                </c:pt>
                <c:pt idx="5">
                  <c:v>Year 10 or lower</c:v>
                </c:pt>
              </c:strCache>
            </c:strRef>
          </c:cat>
          <c:val>
            <c:numRef>
              <c:f>'pg 32'!$B$4:$B$9</c:f>
              <c:numCache>
                <c:formatCode>0.0</c:formatCode>
                <c:ptCount val="6"/>
                <c:pt idx="0">
                  <c:v>3.1540504648074368</c:v>
                </c:pt>
                <c:pt idx="1">
                  <c:v>3.970599378646662</c:v>
                </c:pt>
                <c:pt idx="2">
                  <c:v>4.442404406481999</c:v>
                </c:pt>
                <c:pt idx="3">
                  <c:v>6.9761342774718074</c:v>
                </c:pt>
                <c:pt idx="4">
                  <c:v>10.422728050658909</c:v>
                </c:pt>
                <c:pt idx="5">
                  <c:v>10.819539765845782</c:v>
                </c:pt>
              </c:numCache>
            </c:numRef>
          </c:val>
          <c:extLst>
            <c:ext xmlns:c16="http://schemas.microsoft.com/office/drawing/2014/chart" uri="{C3380CC4-5D6E-409C-BE32-E72D297353CC}">
              <c16:uniqueId val="{00000000-0497-473A-8054-FA189EF0E98D}"/>
            </c:ext>
          </c:extLst>
        </c:ser>
        <c:dLbls>
          <c:showLegendKey val="0"/>
          <c:showVal val="0"/>
          <c:showCatName val="0"/>
          <c:showSerName val="0"/>
          <c:showPercent val="0"/>
          <c:showBubbleSize val="0"/>
        </c:dLbls>
        <c:gapWidth val="150"/>
        <c:axId val="123971456"/>
        <c:axId val="123972992"/>
      </c:barChart>
      <c:lineChart>
        <c:grouping val="standard"/>
        <c:varyColors val="0"/>
        <c:ser>
          <c:idx val="0"/>
          <c:order val="1"/>
          <c:tx>
            <c:strRef>
              <c:f>'pg 32'!$C$3</c:f>
              <c:strCache>
                <c:ptCount val="1"/>
                <c:pt idx="0">
                  <c:v>Participation rate - right axis (%)</c:v>
                </c:pt>
              </c:strCache>
            </c:strRef>
          </c:tx>
          <c:spPr>
            <a:ln>
              <a:noFill/>
            </a:ln>
          </c:spPr>
          <c:marker>
            <c:symbol val="dash"/>
            <c:size val="26"/>
            <c:spPr>
              <a:solidFill>
                <a:schemeClr val="bg1">
                  <a:lumMod val="50000"/>
                </a:schemeClr>
              </a:solidFill>
              <a:ln>
                <a:solidFill>
                  <a:schemeClr val="tx1"/>
                </a:solidFill>
              </a:ln>
            </c:spPr>
          </c:marker>
          <c:dLbls>
            <c:dLbl>
              <c:idx val="0"/>
              <c:layout>
                <c:manualLayout>
                  <c:x val="-6.3588939795836352E-2"/>
                  <c:y val="-7.300909090909091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497-473A-8054-FA189EF0E98D}"/>
                </c:ext>
              </c:extLst>
            </c:dLbl>
            <c:dLbl>
              <c:idx val="1"/>
              <c:layout>
                <c:manualLayout>
                  <c:x val="-6.6140985451330278E-2"/>
                  <c:y val="-7.942323232323232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497-473A-8054-FA189EF0E98D}"/>
                </c:ext>
              </c:extLst>
            </c:dLbl>
            <c:dLbl>
              <c:idx val="2"/>
              <c:layout>
                <c:manualLayout>
                  <c:x val="-6.1036894140342371E-2"/>
                  <c:y val="-6.65949494949494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497-473A-8054-FA189EF0E98D}"/>
                </c:ext>
              </c:extLst>
            </c:dLbl>
            <c:dLbl>
              <c:idx val="3"/>
              <c:layout>
                <c:manualLayout>
                  <c:x val="-6.6589301503094611E-2"/>
                  <c:y val="-6.65949494949494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497-473A-8054-FA189EF0E98D}"/>
                </c:ext>
              </c:extLst>
            </c:dLbl>
            <c:dLbl>
              <c:idx val="4"/>
              <c:layout>
                <c:manualLayout>
                  <c:x val="-6.3588939795836352E-2"/>
                  <c:y val="-7.942323232323232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497-473A-8054-FA189EF0E98D}"/>
                </c:ext>
              </c:extLst>
            </c:dLbl>
            <c:dLbl>
              <c:idx val="5"/>
              <c:layout>
                <c:manualLayout>
                  <c:x val="-6.6140985451330278E-2"/>
                  <c:y val="-6.6594949494949499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497-473A-8054-FA189EF0E98D}"/>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'[2]Page 34'!$A$4:$A$9</c:f>
              <c:strCache>
                <c:ptCount val="6"/>
                <c:pt idx="0">
                  <c:v>Bachelor degree or higher</c:v>
                </c:pt>
                <c:pt idx="1">
                  <c:v>Advanced Diploma and Diploma</c:v>
                </c:pt>
                <c:pt idx="2">
                  <c:v>Certificate III and IV</c:v>
                </c:pt>
                <c:pt idx="3">
                  <c:v>Year 12 or equivalent</c:v>
                </c:pt>
                <c:pt idx="4">
                  <c:v>Year 11</c:v>
                </c:pt>
                <c:pt idx="5">
                  <c:v>Year 10 or below</c:v>
                </c:pt>
              </c:strCache>
            </c:strRef>
          </c:cat>
          <c:val>
            <c:numRef>
              <c:f>'pg 32'!$C$4:$C$9</c:f>
              <c:numCache>
                <c:formatCode>0.0</c:formatCode>
                <c:ptCount val="6"/>
                <c:pt idx="0">
                  <c:v>87.156657614744233</c:v>
                </c:pt>
                <c:pt idx="1">
                  <c:v>84.579888482984046</c:v>
                </c:pt>
                <c:pt idx="2">
                  <c:v>85.42689579923622</c:v>
                </c:pt>
                <c:pt idx="3">
                  <c:v>75.880597014925357</c:v>
                </c:pt>
                <c:pt idx="4">
                  <c:v>64.936652589464316</c:v>
                </c:pt>
                <c:pt idx="5">
                  <c:v>55.853282723890409</c:v>
                </c:pt>
              </c:numCache>
            </c:numRef>
          </c:val>
          <c:smooth val="0"/>
          <c:extLst>
            <c:ext xmlns:c16="http://schemas.microsoft.com/office/drawing/2014/chart" uri="{C3380CC4-5D6E-409C-BE32-E72D297353CC}">
              <c16:uniqueId val="{00000007-0497-473A-8054-FA189EF0E98D}"/>
            </c:ext>
          </c:extLst>
        </c:ser>
        <c:dLbls>
          <c:showLegendKey val="0"/>
          <c:showVal val="0"/>
          <c:showCatName val="0"/>
          <c:showSerName val="0"/>
          <c:showPercent val="0"/>
          <c:showBubbleSize val="0"/>
        </c:dLbls>
        <c:marker val="1"/>
        <c:smooth val="0"/>
        <c:axId val="123988608"/>
        <c:axId val="123987072"/>
      </c:lineChart>
      <c:catAx>
        <c:axId val="123971456"/>
        <c:scaling>
          <c:orientation val="minMax"/>
        </c:scaling>
        <c:delete val="0"/>
        <c:axPos val="b"/>
        <c:numFmt formatCode="General" sourceLinked="0"/>
        <c:majorTickMark val="in"/>
        <c:minorTickMark val="none"/>
        <c:tickLblPos val="nextTo"/>
        <c:spPr>
          <a:ln>
            <a:solidFill>
              <a:schemeClr val="tx1"/>
            </a:solidFill>
          </a:ln>
        </c:spPr>
        <c:crossAx val="123972992"/>
        <c:crosses val="autoZero"/>
        <c:auto val="1"/>
        <c:lblAlgn val="ctr"/>
        <c:lblOffset val="100"/>
        <c:noMultiLvlLbl val="0"/>
      </c:catAx>
      <c:valAx>
        <c:axId val="123972992"/>
        <c:scaling>
          <c:orientation val="minMax"/>
          <c:max val="25"/>
          <c:min val="0"/>
        </c:scaling>
        <c:delete val="0"/>
        <c:axPos val="l"/>
        <c:title>
          <c:tx>
            <c:rich>
              <a:bodyPr/>
              <a:lstStyle/>
              <a:p>
                <a:pPr>
                  <a:defRPr b="0"/>
                </a:pPr>
                <a:r>
                  <a:rPr lang="en-AU" b="0"/>
                  <a:t>Unemployment</a:t>
                </a:r>
                <a:r>
                  <a:rPr lang="en-AU" b="0" baseline="0"/>
                  <a:t> rate (%)</a:t>
                </a:r>
                <a:endParaRPr lang="en-AU" b="0"/>
              </a:p>
            </c:rich>
          </c:tx>
          <c:layout/>
          <c:overlay val="0"/>
        </c:title>
        <c:numFmt formatCode="0" sourceLinked="0"/>
        <c:majorTickMark val="in"/>
        <c:minorTickMark val="none"/>
        <c:tickLblPos val="nextTo"/>
        <c:spPr>
          <a:ln>
            <a:solidFill>
              <a:schemeClr val="tx1"/>
            </a:solidFill>
          </a:ln>
        </c:spPr>
        <c:crossAx val="123971456"/>
        <c:crosses val="autoZero"/>
        <c:crossBetween val="between"/>
        <c:majorUnit val="5"/>
      </c:valAx>
      <c:valAx>
        <c:axId val="123987072"/>
        <c:scaling>
          <c:orientation val="minMax"/>
          <c:max val="100"/>
        </c:scaling>
        <c:delete val="0"/>
        <c:axPos val="r"/>
        <c:title>
          <c:tx>
            <c:rich>
              <a:bodyPr rot="5400000" vert="horz"/>
              <a:lstStyle/>
              <a:p>
                <a:pPr>
                  <a:defRPr b="0"/>
                </a:pPr>
                <a:r>
                  <a:rPr lang="en-AU" b="0"/>
                  <a:t>Participation</a:t>
                </a:r>
                <a:r>
                  <a:rPr lang="en-AU" b="0" baseline="0"/>
                  <a:t> rate (%)</a:t>
                </a:r>
                <a:endParaRPr lang="en-AU" b="0"/>
              </a:p>
            </c:rich>
          </c:tx>
          <c:layout/>
          <c:overlay val="0"/>
        </c:title>
        <c:numFmt formatCode="0" sourceLinked="0"/>
        <c:majorTickMark val="in"/>
        <c:minorTickMark val="none"/>
        <c:tickLblPos val="nextTo"/>
        <c:spPr>
          <a:ln>
            <a:solidFill>
              <a:schemeClr val="tx1"/>
            </a:solidFill>
          </a:ln>
        </c:spPr>
        <c:crossAx val="123988608"/>
        <c:crosses val="max"/>
        <c:crossBetween val="between"/>
      </c:valAx>
      <c:catAx>
        <c:axId val="123988608"/>
        <c:scaling>
          <c:orientation val="minMax"/>
        </c:scaling>
        <c:delete val="1"/>
        <c:axPos val="b"/>
        <c:numFmt formatCode="General" sourceLinked="1"/>
        <c:majorTickMark val="out"/>
        <c:minorTickMark val="none"/>
        <c:tickLblPos val="nextTo"/>
        <c:crossAx val="123987072"/>
        <c:crosses val="autoZero"/>
        <c:auto val="1"/>
        <c:lblAlgn val="ctr"/>
        <c:lblOffset val="100"/>
        <c:noMultiLvlLbl val="0"/>
      </c:catAx>
    </c:plotArea>
    <c:legend>
      <c:legendPos val="t"/>
      <c:layout>
        <c:manualLayout>
          <c:xMode val="edge"/>
          <c:yMode val="edge"/>
          <c:x val="9.9717830004205435E-2"/>
          <c:y val="0"/>
          <c:w val="0.77102941419472271"/>
          <c:h val="8.7457575757575762E-2"/>
        </c:manualLayout>
      </c:layout>
      <c:overlay val="0"/>
    </c:legend>
    <c:plotVisOnly val="1"/>
    <c:dispBlanksAs val="gap"/>
    <c:showDLblsOverMax val="0"/>
  </c:chart>
  <c:spPr>
    <a:ln>
      <a:noFill/>
    </a:ln>
  </c:spPr>
  <c:txPr>
    <a:bodyPr/>
    <a:lstStyle/>
    <a:p>
      <a:pPr>
        <a:defRPr sz="800"/>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756619534575756E-2"/>
          <c:y val="6.9389014395484699E-2"/>
          <c:w val="0.88523323508314211"/>
          <c:h val="0.73719299015199702"/>
        </c:manualLayout>
      </c:layout>
      <c:barChart>
        <c:barDir val="col"/>
        <c:grouping val="clustered"/>
        <c:varyColors val="0"/>
        <c:ser>
          <c:idx val="0"/>
          <c:order val="0"/>
          <c:tx>
            <c:strRef>
              <c:f>'[Chart in Microsoft Word]Sheet1'!$B$36</c:f>
              <c:strCache>
                <c:ptCount val="1"/>
                <c:pt idx="0">
                  <c:v>%</c:v>
                </c:pt>
              </c:strCache>
            </c:strRef>
          </c:tx>
          <c:spPr>
            <a:solidFill>
              <a:srgbClr val="1F497D">
                <a:lumMod val="50000"/>
              </a:srgbClr>
            </a:solidFill>
            <a:ln>
              <a:noFill/>
            </a:ln>
            <a:effectLst/>
          </c:spPr>
          <c:invertIfNegative val="0"/>
          <c:dPt>
            <c:idx val="0"/>
            <c:invertIfNegative val="0"/>
            <c:bubble3D val="0"/>
            <c:spPr>
              <a:solidFill>
                <a:srgbClr val="59B487"/>
              </a:solidFill>
              <a:ln>
                <a:noFill/>
              </a:ln>
              <a:effectLst/>
            </c:spPr>
            <c:extLst>
              <c:ext xmlns:c16="http://schemas.microsoft.com/office/drawing/2014/chart" uri="{C3380CC4-5D6E-409C-BE32-E72D297353CC}">
                <c16:uniqueId val="{00000001-6B42-4C35-B57F-46C7A746BBEA}"/>
              </c:ext>
            </c:extLst>
          </c:dPt>
          <c:dPt>
            <c:idx val="1"/>
            <c:invertIfNegative val="0"/>
            <c:bubble3D val="0"/>
            <c:spPr>
              <a:solidFill>
                <a:srgbClr val="59B487"/>
              </a:solidFill>
              <a:ln>
                <a:noFill/>
              </a:ln>
              <a:effectLst/>
            </c:spPr>
            <c:extLst>
              <c:ext xmlns:c16="http://schemas.microsoft.com/office/drawing/2014/chart" uri="{C3380CC4-5D6E-409C-BE32-E72D297353CC}">
                <c16:uniqueId val="{00000003-6B42-4C35-B57F-46C7A746BBEA}"/>
              </c:ext>
            </c:extLst>
          </c:dPt>
          <c:dPt>
            <c:idx val="2"/>
            <c:invertIfNegative val="0"/>
            <c:bubble3D val="0"/>
            <c:spPr>
              <a:solidFill>
                <a:srgbClr val="59B487"/>
              </a:solidFill>
              <a:ln>
                <a:noFill/>
              </a:ln>
              <a:effectLst/>
            </c:spPr>
            <c:extLst>
              <c:ext xmlns:c16="http://schemas.microsoft.com/office/drawing/2014/chart" uri="{C3380CC4-5D6E-409C-BE32-E72D297353CC}">
                <c16:uniqueId val="{00000005-6B42-4C35-B57F-46C7A746BBE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Microsoft Word]Sheet1'!$A$37:$A$46</c:f>
              <c:strCache>
                <c:ptCount val="10"/>
                <c:pt idx="0">
                  <c:v>Recruitment websites / job boards</c:v>
                </c:pt>
                <c:pt idx="1">
                  <c:v>Company websites</c:v>
                </c:pt>
                <c:pt idx="2">
                  <c:v>Social media</c:v>
                </c:pt>
                <c:pt idx="3">
                  <c:v>Word of mouth</c:v>
                </c:pt>
                <c:pt idx="4">
                  <c:v>Recruitment agencies / labour hire firms</c:v>
                </c:pt>
                <c:pt idx="5">
                  <c:v>Newspaper</c:v>
                </c:pt>
                <c:pt idx="6">
                  <c:v>Approached by job seeker</c:v>
                </c:pt>
                <c:pt idx="7">
                  <c:v>Advertised / promoted within business</c:v>
                </c:pt>
                <c:pt idx="8">
                  <c:v>Government employment services</c:v>
                </c:pt>
                <c:pt idx="9">
                  <c:v>Sign in window</c:v>
                </c:pt>
              </c:strCache>
            </c:strRef>
          </c:cat>
          <c:val>
            <c:numRef>
              <c:f>'[Chart in Microsoft Word]Sheet1'!$B$37:$B$46</c:f>
              <c:numCache>
                <c:formatCode>0%</c:formatCode>
                <c:ptCount val="10"/>
                <c:pt idx="0">
                  <c:v>0.49</c:v>
                </c:pt>
                <c:pt idx="1">
                  <c:v>0.13</c:v>
                </c:pt>
                <c:pt idx="2">
                  <c:v>0.09</c:v>
                </c:pt>
                <c:pt idx="3">
                  <c:v>0.26</c:v>
                </c:pt>
                <c:pt idx="4">
                  <c:v>0.11</c:v>
                </c:pt>
                <c:pt idx="5">
                  <c:v>0.11</c:v>
                </c:pt>
                <c:pt idx="6">
                  <c:v>0.11</c:v>
                </c:pt>
                <c:pt idx="7">
                  <c:v>0.08</c:v>
                </c:pt>
                <c:pt idx="8">
                  <c:v>0.04</c:v>
                </c:pt>
                <c:pt idx="9">
                  <c:v>0.04</c:v>
                </c:pt>
              </c:numCache>
            </c:numRef>
          </c:val>
          <c:extLst>
            <c:ext xmlns:c16="http://schemas.microsoft.com/office/drawing/2014/chart" uri="{C3380CC4-5D6E-409C-BE32-E72D297353CC}">
              <c16:uniqueId val="{00000006-6B42-4C35-B57F-46C7A746BBEA}"/>
            </c:ext>
          </c:extLst>
        </c:ser>
        <c:dLbls>
          <c:showLegendKey val="0"/>
          <c:showVal val="0"/>
          <c:showCatName val="0"/>
          <c:showSerName val="0"/>
          <c:showPercent val="0"/>
          <c:showBubbleSize val="0"/>
        </c:dLbls>
        <c:gapWidth val="150"/>
        <c:overlap val="-27"/>
        <c:axId val="448290648"/>
        <c:axId val="448287040"/>
      </c:barChart>
      <c:catAx>
        <c:axId val="448290648"/>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8287040"/>
        <c:crosses val="autoZero"/>
        <c:auto val="1"/>
        <c:lblAlgn val="ctr"/>
        <c:lblOffset val="100"/>
        <c:noMultiLvlLbl val="0"/>
      </c:catAx>
      <c:valAx>
        <c:axId val="44828704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 of employers' most recent vacancies</a:t>
                </a:r>
              </a:p>
            </c:rich>
          </c:tx>
          <c:layout>
            <c:manualLayout>
              <c:xMode val="edge"/>
              <c:yMode val="edge"/>
              <c:x val="1.0471180904708844E-2"/>
              <c:y val="0.1861282799260120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2906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userShapes r:id="rId5"/>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65034722222222E-2"/>
          <c:y val="3.0809368191721132E-2"/>
          <c:w val="0.91069930555555556"/>
          <c:h val="0.88604248366013083"/>
        </c:manualLayout>
      </c:layout>
      <c:lineChart>
        <c:grouping val="standard"/>
        <c:varyColors val="0"/>
        <c:ser>
          <c:idx val="0"/>
          <c:order val="0"/>
          <c:tx>
            <c:strRef>
              <c:f>'Figure G.4'!$A$4</c:f>
              <c:strCache>
                <c:ptCount val="1"/>
                <c:pt idx="0">
                  <c:v>Non-routine cognitive</c:v>
                </c:pt>
              </c:strCache>
            </c:strRef>
          </c:tx>
          <c:spPr>
            <a:ln w="28575" cap="rnd">
              <a:solidFill>
                <a:schemeClr val="accent1"/>
              </a:solidFill>
              <a:round/>
            </a:ln>
            <a:effectLst/>
          </c:spPr>
          <c:marker>
            <c:symbol val="none"/>
          </c:marker>
          <c:cat>
            <c:numRef>
              <c:f>'Figure G.4'!$B$3:$DR$3</c:f>
              <c:numCache>
                <c:formatCode>mmm\-yyyy</c:formatCode>
                <c:ptCount val="121"/>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numCache>
            </c:numRef>
          </c:cat>
          <c:val>
            <c:numRef>
              <c:f>'Figure G.4'!$B$4:$DR$4</c:f>
              <c:numCache>
                <c:formatCode>0.0</c:formatCode>
                <c:ptCount val="121"/>
                <c:pt idx="0">
                  <c:v>27.25790417120913</c:v>
                </c:pt>
                <c:pt idx="1">
                  <c:v>27.478641526771735</c:v>
                </c:pt>
                <c:pt idx="2">
                  <c:v>27.667065327841428</c:v>
                </c:pt>
                <c:pt idx="3">
                  <c:v>27.750452120647552</c:v>
                </c:pt>
                <c:pt idx="4">
                  <c:v>27.736631577365291</c:v>
                </c:pt>
                <c:pt idx="5">
                  <c:v>27.721182661666578</c:v>
                </c:pt>
                <c:pt idx="6">
                  <c:v>27.758871536356512</c:v>
                </c:pt>
                <c:pt idx="7">
                  <c:v>27.846571333562629</c:v>
                </c:pt>
                <c:pt idx="8">
                  <c:v>27.869513518115202</c:v>
                </c:pt>
                <c:pt idx="9">
                  <c:v>27.795618169345719</c:v>
                </c:pt>
                <c:pt idx="10">
                  <c:v>27.671124557116812</c:v>
                </c:pt>
                <c:pt idx="11">
                  <c:v>27.574886688214477</c:v>
                </c:pt>
                <c:pt idx="12">
                  <c:v>27.63851930857102</c:v>
                </c:pt>
                <c:pt idx="13">
                  <c:v>27.829085224362593</c:v>
                </c:pt>
                <c:pt idx="14">
                  <c:v>28.062237755876961</c:v>
                </c:pt>
                <c:pt idx="15">
                  <c:v>28.237961634290841</c:v>
                </c:pt>
                <c:pt idx="16">
                  <c:v>28.36625183393075</c:v>
                </c:pt>
                <c:pt idx="17">
                  <c:v>28.553329716440828</c:v>
                </c:pt>
                <c:pt idx="18">
                  <c:v>28.825901328781832</c:v>
                </c:pt>
                <c:pt idx="19">
                  <c:v>29.086976429676003</c:v>
                </c:pt>
                <c:pt idx="20">
                  <c:v>29.226782925696465</c:v>
                </c:pt>
                <c:pt idx="21">
                  <c:v>29.232994828626225</c:v>
                </c:pt>
                <c:pt idx="22">
                  <c:v>29.235818341426224</c:v>
                </c:pt>
                <c:pt idx="23">
                  <c:v>29.326677741389595</c:v>
                </c:pt>
                <c:pt idx="24">
                  <c:v>29.483082912907605</c:v>
                </c:pt>
                <c:pt idx="25">
                  <c:v>29.579490697547872</c:v>
                </c:pt>
                <c:pt idx="26">
                  <c:v>29.60784046013643</c:v>
                </c:pt>
                <c:pt idx="27">
                  <c:v>29.626098561615816</c:v>
                </c:pt>
                <c:pt idx="28">
                  <c:v>29.625272095756323</c:v>
                </c:pt>
                <c:pt idx="29">
                  <c:v>29.540658035317595</c:v>
                </c:pt>
                <c:pt idx="30">
                  <c:v>29.391413888816846</c:v>
                </c:pt>
                <c:pt idx="31">
                  <c:v>29.28349009153775</c:v>
                </c:pt>
                <c:pt idx="32">
                  <c:v>29.202494385951493</c:v>
                </c:pt>
                <c:pt idx="33">
                  <c:v>29.145135792201405</c:v>
                </c:pt>
                <c:pt idx="34">
                  <c:v>29.075811241814659</c:v>
                </c:pt>
                <c:pt idx="35">
                  <c:v>29.04992037145287</c:v>
                </c:pt>
                <c:pt idx="36">
                  <c:v>29.196706646375802</c:v>
                </c:pt>
                <c:pt idx="37">
                  <c:v>29.396121430544671</c:v>
                </c:pt>
                <c:pt idx="38">
                  <c:v>29.48694999076077</c:v>
                </c:pt>
                <c:pt idx="39">
                  <c:v>29.409491617135135</c:v>
                </c:pt>
                <c:pt idx="40">
                  <c:v>29.20246358260933</c:v>
                </c:pt>
                <c:pt idx="41">
                  <c:v>29.106845734305097</c:v>
                </c:pt>
                <c:pt idx="42">
                  <c:v>29.193886841479543</c:v>
                </c:pt>
                <c:pt idx="43">
                  <c:v>29.346979002763334</c:v>
                </c:pt>
                <c:pt idx="44">
                  <c:v>29.424707218215605</c:v>
                </c:pt>
                <c:pt idx="45">
                  <c:v>29.427797859613118</c:v>
                </c:pt>
                <c:pt idx="46">
                  <c:v>29.475347075216963</c:v>
                </c:pt>
                <c:pt idx="47">
                  <c:v>29.648370818686075</c:v>
                </c:pt>
                <c:pt idx="48">
                  <c:v>29.907523531159391</c:v>
                </c:pt>
                <c:pt idx="49">
                  <c:v>30.064458390633288</c:v>
                </c:pt>
                <c:pt idx="50">
                  <c:v>30.056571761719997</c:v>
                </c:pt>
                <c:pt idx="51">
                  <c:v>30.010615730790473</c:v>
                </c:pt>
                <c:pt idx="52">
                  <c:v>30.06568065680354</c:v>
                </c:pt>
                <c:pt idx="53">
                  <c:v>30.25820601545799</c:v>
                </c:pt>
                <c:pt idx="54">
                  <c:v>30.443869895470161</c:v>
                </c:pt>
                <c:pt idx="55">
                  <c:v>30.524610280276139</c:v>
                </c:pt>
                <c:pt idx="56">
                  <c:v>30.57085415120893</c:v>
                </c:pt>
                <c:pt idx="57">
                  <c:v>30.718635348846135</c:v>
                </c:pt>
                <c:pt idx="58">
                  <c:v>30.998731789887774</c:v>
                </c:pt>
                <c:pt idx="59">
                  <c:v>31.357365370668472</c:v>
                </c:pt>
                <c:pt idx="60">
                  <c:v>31.666074360374711</c:v>
                </c:pt>
                <c:pt idx="61">
                  <c:v>31.860940347851997</c:v>
                </c:pt>
                <c:pt idx="62">
                  <c:v>31.938649888776382</c:v>
                </c:pt>
                <c:pt idx="63">
                  <c:v>31.851971861091847</c:v>
                </c:pt>
                <c:pt idx="64">
                  <c:v>31.636522688567325</c:v>
                </c:pt>
                <c:pt idx="65">
                  <c:v>31.427213220603701</c:v>
                </c:pt>
                <c:pt idx="66">
                  <c:v>31.317557783063844</c:v>
                </c:pt>
                <c:pt idx="67">
                  <c:v>31.392734283211237</c:v>
                </c:pt>
                <c:pt idx="68">
                  <c:v>31.603646434047754</c:v>
                </c:pt>
                <c:pt idx="69">
                  <c:v>31.843008815547368</c:v>
                </c:pt>
                <c:pt idx="70">
                  <c:v>32.058632689759001</c:v>
                </c:pt>
                <c:pt idx="71">
                  <c:v>32.186989011562162</c:v>
                </c:pt>
                <c:pt idx="72">
                  <c:v>32.238850756023389</c:v>
                </c:pt>
                <c:pt idx="73">
                  <c:v>32.26029222316086</c:v>
                </c:pt>
                <c:pt idx="74">
                  <c:v>32.320329499121961</c:v>
                </c:pt>
                <c:pt idx="75">
                  <c:v>32.401655403468851</c:v>
                </c:pt>
                <c:pt idx="76">
                  <c:v>32.564602737034946</c:v>
                </c:pt>
                <c:pt idx="77">
                  <c:v>32.797977525043358</c:v>
                </c:pt>
                <c:pt idx="78">
                  <c:v>32.94936475425169</c:v>
                </c:pt>
                <c:pt idx="79">
                  <c:v>32.984217955313483</c:v>
                </c:pt>
                <c:pt idx="80">
                  <c:v>32.885027121954678</c:v>
                </c:pt>
                <c:pt idx="81">
                  <c:v>32.768719496219958</c:v>
                </c:pt>
                <c:pt idx="82">
                  <c:v>32.814066870037713</c:v>
                </c:pt>
                <c:pt idx="83">
                  <c:v>33.007275331386204</c:v>
                </c:pt>
                <c:pt idx="84">
                  <c:v>33.279386343147181</c:v>
                </c:pt>
                <c:pt idx="85">
                  <c:v>33.497698109770127</c:v>
                </c:pt>
                <c:pt idx="86">
                  <c:v>33.593505602273041</c:v>
                </c:pt>
                <c:pt idx="87">
                  <c:v>33.660622439698557</c:v>
                </c:pt>
                <c:pt idx="88">
                  <c:v>33.689487777365606</c:v>
                </c:pt>
                <c:pt idx="89">
                  <c:v>33.639720249041822</c:v>
                </c:pt>
                <c:pt idx="90">
                  <c:v>33.61167799496716</c:v>
                </c:pt>
                <c:pt idx="91">
                  <c:v>33.800915481523866</c:v>
                </c:pt>
                <c:pt idx="92">
                  <c:v>34.292547251708058</c:v>
                </c:pt>
                <c:pt idx="93">
                  <c:v>34.792977758984577</c:v>
                </c:pt>
                <c:pt idx="94">
                  <c:v>35.022281287775684</c:v>
                </c:pt>
                <c:pt idx="95">
                  <c:v>34.901147746387515</c:v>
                </c:pt>
                <c:pt idx="96">
                  <c:v>34.629185201475039</c:v>
                </c:pt>
                <c:pt idx="97">
                  <c:v>34.480936450288247</c:v>
                </c:pt>
                <c:pt idx="98">
                  <c:v>34.500830711737592</c:v>
                </c:pt>
                <c:pt idx="99">
                  <c:v>34.544678691443217</c:v>
                </c:pt>
                <c:pt idx="100">
                  <c:v>34.581659187756777</c:v>
                </c:pt>
                <c:pt idx="101">
                  <c:v>34.707046013267558</c:v>
                </c:pt>
                <c:pt idx="102">
                  <c:v>34.932766036475407</c:v>
                </c:pt>
                <c:pt idx="103">
                  <c:v>35.085714103929554</c:v>
                </c:pt>
                <c:pt idx="104">
                  <c:v>34.987362538598951</c:v>
                </c:pt>
                <c:pt idx="105">
                  <c:v>34.809027914370141</c:v>
                </c:pt>
                <c:pt idx="106">
                  <c:v>34.743177156689434</c:v>
                </c:pt>
                <c:pt idx="107">
                  <c:v>34.824626351257344</c:v>
                </c:pt>
                <c:pt idx="108">
                  <c:v>34.950706051580248</c:v>
                </c:pt>
                <c:pt idx="109">
                  <c:v>35.026931303815203</c:v>
                </c:pt>
                <c:pt idx="110">
                  <c:v>35.075442643014085</c:v>
                </c:pt>
                <c:pt idx="111">
                  <c:v>35.213168193246972</c:v>
                </c:pt>
                <c:pt idx="112">
                  <c:v>35.43017027265666</c:v>
                </c:pt>
                <c:pt idx="113">
                  <c:v>35.655385166876137</c:v>
                </c:pt>
                <c:pt idx="114">
                  <c:v>35.82362682828979</c:v>
                </c:pt>
                <c:pt idx="115">
                  <c:v>35.916990834061536</c:v>
                </c:pt>
                <c:pt idx="116">
                  <c:v>35.942257266885505</c:v>
                </c:pt>
                <c:pt idx="117">
                  <c:v>35.853934819009368</c:v>
                </c:pt>
                <c:pt idx="118">
                  <c:v>35.740188684004373</c:v>
                </c:pt>
                <c:pt idx="119">
                  <c:v>35.759583394917556</c:v>
                </c:pt>
                <c:pt idx="120">
                  <c:v>35.982238170584488</c:v>
                </c:pt>
              </c:numCache>
            </c:numRef>
          </c:val>
          <c:smooth val="0"/>
          <c:extLst>
            <c:ext xmlns:c16="http://schemas.microsoft.com/office/drawing/2014/chart" uri="{C3380CC4-5D6E-409C-BE32-E72D297353CC}">
              <c16:uniqueId val="{00000000-A39F-4CEF-9269-F6AC24675032}"/>
            </c:ext>
          </c:extLst>
        </c:ser>
        <c:ser>
          <c:idx val="2"/>
          <c:order val="2"/>
          <c:tx>
            <c:strRef>
              <c:f>'Figure G.4'!$A$6</c:f>
              <c:strCache>
                <c:ptCount val="1"/>
                <c:pt idx="0">
                  <c:v>Routine cognitive</c:v>
                </c:pt>
              </c:strCache>
            </c:strRef>
          </c:tx>
          <c:spPr>
            <a:ln w="28575" cap="rnd">
              <a:solidFill>
                <a:schemeClr val="accent3"/>
              </a:solidFill>
              <a:round/>
            </a:ln>
            <a:effectLst/>
          </c:spPr>
          <c:marker>
            <c:symbol val="none"/>
          </c:marker>
          <c:cat>
            <c:numRef>
              <c:f>'Figure G.4'!$B$3:$DR$3</c:f>
              <c:numCache>
                <c:formatCode>mmm\-yyyy</c:formatCode>
                <c:ptCount val="121"/>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numCache>
            </c:numRef>
          </c:cat>
          <c:val>
            <c:numRef>
              <c:f>'Figure G.4'!$B$6:$DR$6</c:f>
              <c:numCache>
                <c:formatCode>0.0</c:formatCode>
                <c:ptCount val="121"/>
                <c:pt idx="0">
                  <c:v>26.959852791648387</c:v>
                </c:pt>
                <c:pt idx="1">
                  <c:v>26.917745173761769</c:v>
                </c:pt>
                <c:pt idx="2">
                  <c:v>26.947408970520737</c:v>
                </c:pt>
                <c:pt idx="3">
                  <c:v>27.005783462533312</c:v>
                </c:pt>
                <c:pt idx="4">
                  <c:v>27.070380717369989</c:v>
                </c:pt>
                <c:pt idx="5">
                  <c:v>27.088594817840477</c:v>
                </c:pt>
                <c:pt idx="6">
                  <c:v>27.03119055304256</c:v>
                </c:pt>
                <c:pt idx="7">
                  <c:v>26.88717706913447</c:v>
                </c:pt>
                <c:pt idx="8">
                  <c:v>26.738287621563707</c:v>
                </c:pt>
                <c:pt idx="9">
                  <c:v>26.66443476696773</c:v>
                </c:pt>
                <c:pt idx="10">
                  <c:v>26.727126843857402</c:v>
                </c:pt>
                <c:pt idx="11">
                  <c:v>26.91900202129484</c:v>
                </c:pt>
                <c:pt idx="12">
                  <c:v>27.096876157413501</c:v>
                </c:pt>
                <c:pt idx="13">
                  <c:v>27.187061809717182</c:v>
                </c:pt>
                <c:pt idx="14">
                  <c:v>27.137780310910209</c:v>
                </c:pt>
                <c:pt idx="15">
                  <c:v>27.056084826949384</c:v>
                </c:pt>
                <c:pt idx="16">
                  <c:v>27.063707255648929</c:v>
                </c:pt>
                <c:pt idx="17">
                  <c:v>27.093427440081737</c:v>
                </c:pt>
                <c:pt idx="18">
                  <c:v>27.105138300763521</c:v>
                </c:pt>
                <c:pt idx="19">
                  <c:v>27.084487010004903</c:v>
                </c:pt>
                <c:pt idx="20">
                  <c:v>27.047225257132091</c:v>
                </c:pt>
                <c:pt idx="21">
                  <c:v>27.051202326094099</c:v>
                </c:pt>
                <c:pt idx="22">
                  <c:v>27.051206844328128</c:v>
                </c:pt>
                <c:pt idx="23">
                  <c:v>27.018632471620315</c:v>
                </c:pt>
                <c:pt idx="24">
                  <c:v>27.004446640917823</c:v>
                </c:pt>
                <c:pt idx="25">
                  <c:v>27.036707176841773</c:v>
                </c:pt>
                <c:pt idx="26">
                  <c:v>27.081563804902022</c:v>
                </c:pt>
                <c:pt idx="27">
                  <c:v>27.079825697123589</c:v>
                </c:pt>
                <c:pt idx="28">
                  <c:v>27.011999725186836</c:v>
                </c:pt>
                <c:pt idx="29">
                  <c:v>26.99142330671328</c:v>
                </c:pt>
                <c:pt idx="30">
                  <c:v>27.121687206374379</c:v>
                </c:pt>
                <c:pt idx="31">
                  <c:v>27.309730319065977</c:v>
                </c:pt>
                <c:pt idx="32">
                  <c:v>27.442866243890467</c:v>
                </c:pt>
                <c:pt idx="33">
                  <c:v>27.441074946949978</c:v>
                </c:pt>
                <c:pt idx="34">
                  <c:v>27.351547009384436</c:v>
                </c:pt>
                <c:pt idx="35">
                  <c:v>27.257810021253547</c:v>
                </c:pt>
                <c:pt idx="36">
                  <c:v>27.193500917264789</c:v>
                </c:pt>
                <c:pt idx="37">
                  <c:v>27.234276922184282</c:v>
                </c:pt>
                <c:pt idx="38">
                  <c:v>27.326295179932902</c:v>
                </c:pt>
                <c:pt idx="39">
                  <c:v>27.359532916092849</c:v>
                </c:pt>
                <c:pt idx="40">
                  <c:v>27.295868700091159</c:v>
                </c:pt>
                <c:pt idx="41">
                  <c:v>27.128984348949519</c:v>
                </c:pt>
                <c:pt idx="42">
                  <c:v>26.970576434264572</c:v>
                </c:pt>
                <c:pt idx="43">
                  <c:v>26.941281403929235</c:v>
                </c:pt>
                <c:pt idx="44">
                  <c:v>27.072972189437778</c:v>
                </c:pt>
                <c:pt idx="45">
                  <c:v>27.271497364689868</c:v>
                </c:pt>
                <c:pt idx="46">
                  <c:v>27.354434783219837</c:v>
                </c:pt>
                <c:pt idx="47">
                  <c:v>27.246800126003951</c:v>
                </c:pt>
                <c:pt idx="48">
                  <c:v>27.039878975767458</c:v>
                </c:pt>
                <c:pt idx="49">
                  <c:v>26.917127129489565</c:v>
                </c:pt>
                <c:pt idx="50">
                  <c:v>26.945564775513208</c:v>
                </c:pt>
                <c:pt idx="51">
                  <c:v>27.032501164482486</c:v>
                </c:pt>
                <c:pt idx="52">
                  <c:v>27.034360908661093</c:v>
                </c:pt>
                <c:pt idx="53">
                  <c:v>26.92325957295914</c:v>
                </c:pt>
                <c:pt idx="54">
                  <c:v>26.876435085163713</c:v>
                </c:pt>
                <c:pt idx="55">
                  <c:v>27.000328816899611</c:v>
                </c:pt>
                <c:pt idx="56">
                  <c:v>27.238736955812868</c:v>
                </c:pt>
                <c:pt idx="57">
                  <c:v>27.375123891329789</c:v>
                </c:pt>
                <c:pt idx="58">
                  <c:v>27.290316441390104</c:v>
                </c:pt>
                <c:pt idx="59">
                  <c:v>27.031078818182603</c:v>
                </c:pt>
                <c:pt idx="60">
                  <c:v>26.739997333761373</c:v>
                </c:pt>
                <c:pt idx="61">
                  <c:v>26.537323997234445</c:v>
                </c:pt>
                <c:pt idx="62">
                  <c:v>26.47041931080124</c:v>
                </c:pt>
                <c:pt idx="63">
                  <c:v>26.558024661603348</c:v>
                </c:pt>
                <c:pt idx="64">
                  <c:v>26.761935415521066</c:v>
                </c:pt>
                <c:pt idx="65">
                  <c:v>26.956871964553741</c:v>
                </c:pt>
                <c:pt idx="66">
                  <c:v>27.044684460762841</c:v>
                </c:pt>
                <c:pt idx="67">
                  <c:v>26.985157004101058</c:v>
                </c:pt>
                <c:pt idx="68">
                  <c:v>26.786014003815684</c:v>
                </c:pt>
                <c:pt idx="69">
                  <c:v>26.514687992306673</c:v>
                </c:pt>
                <c:pt idx="70">
                  <c:v>26.216641120991991</c:v>
                </c:pt>
                <c:pt idx="71">
                  <c:v>26.007147440441621</c:v>
                </c:pt>
                <c:pt idx="72">
                  <c:v>25.949142134527715</c:v>
                </c:pt>
                <c:pt idx="73">
                  <c:v>26.021606209852049</c:v>
                </c:pt>
                <c:pt idx="74">
                  <c:v>26.141973480553286</c:v>
                </c:pt>
                <c:pt idx="75">
                  <c:v>26.227451570181099</c:v>
                </c:pt>
                <c:pt idx="76">
                  <c:v>26.208903152989059</c:v>
                </c:pt>
                <c:pt idx="77">
                  <c:v>26.108547734539577</c:v>
                </c:pt>
                <c:pt idx="78">
                  <c:v>25.990325974666156</c:v>
                </c:pt>
                <c:pt idx="79">
                  <c:v>25.843416917836048</c:v>
                </c:pt>
                <c:pt idx="80">
                  <c:v>25.655470919176704</c:v>
                </c:pt>
                <c:pt idx="81">
                  <c:v>25.45362261726374</c:v>
                </c:pt>
                <c:pt idx="82">
                  <c:v>25.268015988016106</c:v>
                </c:pt>
                <c:pt idx="83">
                  <c:v>25.139731115611308</c:v>
                </c:pt>
                <c:pt idx="84">
                  <c:v>25.07213772336555</c:v>
                </c:pt>
                <c:pt idx="85">
                  <c:v>24.992662802003341</c:v>
                </c:pt>
                <c:pt idx="86">
                  <c:v>24.901004891772416</c:v>
                </c:pt>
                <c:pt idx="87">
                  <c:v>24.794449496099279</c:v>
                </c:pt>
                <c:pt idx="88">
                  <c:v>24.727930509953662</c:v>
                </c:pt>
                <c:pt idx="89">
                  <c:v>24.793439325628245</c:v>
                </c:pt>
                <c:pt idx="90">
                  <c:v>24.902757522533783</c:v>
                </c:pt>
                <c:pt idx="91">
                  <c:v>24.89310912924072</c:v>
                </c:pt>
                <c:pt idx="92">
                  <c:v>24.709615120962894</c:v>
                </c:pt>
                <c:pt idx="93">
                  <c:v>24.470996915214048</c:v>
                </c:pt>
                <c:pt idx="94">
                  <c:v>24.337363768715754</c:v>
                </c:pt>
                <c:pt idx="95">
                  <c:v>24.379080720056258</c:v>
                </c:pt>
                <c:pt idx="96">
                  <c:v>24.475419445087311</c:v>
                </c:pt>
                <c:pt idx="97">
                  <c:v>24.526206218035721</c:v>
                </c:pt>
                <c:pt idx="98">
                  <c:v>24.49327491875453</c:v>
                </c:pt>
                <c:pt idx="99">
                  <c:v>24.44438262395839</c:v>
                </c:pt>
                <c:pt idx="100">
                  <c:v>24.411318843643716</c:v>
                </c:pt>
                <c:pt idx="101">
                  <c:v>24.336505759010503</c:v>
                </c:pt>
                <c:pt idx="102">
                  <c:v>24.202986008935891</c:v>
                </c:pt>
                <c:pt idx="103">
                  <c:v>24.107464008477088</c:v>
                </c:pt>
                <c:pt idx="104">
                  <c:v>24.114262287352648</c:v>
                </c:pt>
                <c:pt idx="105">
                  <c:v>24.169222130757561</c:v>
                </c:pt>
                <c:pt idx="106">
                  <c:v>24.215177100850024</c:v>
                </c:pt>
                <c:pt idx="107">
                  <c:v>24.204942419655051</c:v>
                </c:pt>
                <c:pt idx="108">
                  <c:v>24.141725721905416</c:v>
                </c:pt>
                <c:pt idx="109">
                  <c:v>24.068207416575298</c:v>
                </c:pt>
                <c:pt idx="110">
                  <c:v>24.00305035873896</c:v>
                </c:pt>
                <c:pt idx="111">
                  <c:v>23.914643134874826</c:v>
                </c:pt>
                <c:pt idx="112">
                  <c:v>23.781370655212953</c:v>
                </c:pt>
                <c:pt idx="113">
                  <c:v>23.621931048854407</c:v>
                </c:pt>
                <c:pt idx="114">
                  <c:v>23.510701328128469</c:v>
                </c:pt>
                <c:pt idx="115">
                  <c:v>23.477471722453856</c:v>
                </c:pt>
                <c:pt idx="116">
                  <c:v>23.534977668927308</c:v>
                </c:pt>
                <c:pt idx="117">
                  <c:v>23.671092247449117</c:v>
                </c:pt>
                <c:pt idx="118">
                  <c:v>23.780558798143311</c:v>
                </c:pt>
                <c:pt idx="119">
                  <c:v>23.702514570516495</c:v>
                </c:pt>
                <c:pt idx="120">
                  <c:v>23.41838446507662</c:v>
                </c:pt>
              </c:numCache>
            </c:numRef>
          </c:val>
          <c:smooth val="0"/>
          <c:extLst>
            <c:ext xmlns:c16="http://schemas.microsoft.com/office/drawing/2014/chart" uri="{C3380CC4-5D6E-409C-BE32-E72D297353CC}">
              <c16:uniqueId val="{00000001-A39F-4CEF-9269-F6AC24675032}"/>
            </c:ext>
          </c:extLst>
        </c:ser>
        <c:ser>
          <c:idx val="3"/>
          <c:order val="3"/>
          <c:tx>
            <c:strRef>
              <c:f>'Figure G.4'!$A$7</c:f>
              <c:strCache>
                <c:ptCount val="1"/>
                <c:pt idx="0">
                  <c:v>Routine manual</c:v>
                </c:pt>
              </c:strCache>
            </c:strRef>
          </c:tx>
          <c:spPr>
            <a:ln w="28575" cap="rnd">
              <a:solidFill>
                <a:schemeClr val="accent4"/>
              </a:solidFill>
              <a:round/>
            </a:ln>
            <a:effectLst/>
          </c:spPr>
          <c:marker>
            <c:symbol val="none"/>
          </c:marker>
          <c:cat>
            <c:numRef>
              <c:f>'Figure G.4'!$B$3:$DR$3</c:f>
              <c:numCache>
                <c:formatCode>mmm\-yyyy</c:formatCode>
                <c:ptCount val="121"/>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numCache>
            </c:numRef>
          </c:cat>
          <c:val>
            <c:numRef>
              <c:f>'Figure G.4'!$B$7:$DR$7</c:f>
              <c:numCache>
                <c:formatCode>0.0</c:formatCode>
                <c:ptCount val="121"/>
                <c:pt idx="0">
                  <c:v>40.263854617994319</c:v>
                </c:pt>
                <c:pt idx="1">
                  <c:v>40.100359009922151</c:v>
                </c:pt>
                <c:pt idx="2">
                  <c:v>39.901229079973518</c:v>
                </c:pt>
                <c:pt idx="3">
                  <c:v>39.717887913957654</c:v>
                </c:pt>
                <c:pt idx="4">
                  <c:v>39.615445268389507</c:v>
                </c:pt>
                <c:pt idx="5">
                  <c:v>39.561715468948165</c:v>
                </c:pt>
                <c:pt idx="6">
                  <c:v>39.519546667764629</c:v>
                </c:pt>
                <c:pt idx="7">
                  <c:v>39.484029226775824</c:v>
                </c:pt>
                <c:pt idx="8">
                  <c:v>39.510093683581502</c:v>
                </c:pt>
                <c:pt idx="9">
                  <c:v>39.614221397697072</c:v>
                </c:pt>
                <c:pt idx="10">
                  <c:v>39.720543541225013</c:v>
                </c:pt>
                <c:pt idx="11">
                  <c:v>39.705980806775358</c:v>
                </c:pt>
                <c:pt idx="12">
                  <c:v>39.480666046478412</c:v>
                </c:pt>
                <c:pt idx="13">
                  <c:v>39.104058217175243</c:v>
                </c:pt>
                <c:pt idx="14">
                  <c:v>38.747320039283039</c:v>
                </c:pt>
                <c:pt idx="15">
                  <c:v>38.514010772663717</c:v>
                </c:pt>
                <c:pt idx="16">
                  <c:v>38.34501137385152</c:v>
                </c:pt>
                <c:pt idx="17">
                  <c:v>38.148034997823061</c:v>
                </c:pt>
                <c:pt idx="18">
                  <c:v>37.855188613729538</c:v>
                </c:pt>
                <c:pt idx="19">
                  <c:v>37.553170089260959</c:v>
                </c:pt>
                <c:pt idx="20">
                  <c:v>37.34788641760688</c:v>
                </c:pt>
                <c:pt idx="21">
                  <c:v>37.233291750625661</c:v>
                </c:pt>
                <c:pt idx="22">
                  <c:v>37.14594536838716</c:v>
                </c:pt>
                <c:pt idx="23">
                  <c:v>37.009489410023818</c:v>
                </c:pt>
                <c:pt idx="24">
                  <c:v>36.824606278917052</c:v>
                </c:pt>
                <c:pt idx="25">
                  <c:v>36.707688891626752</c:v>
                </c:pt>
                <c:pt idx="26">
                  <c:v>36.70529385513823</c:v>
                </c:pt>
                <c:pt idx="27">
                  <c:v>36.77271693864845</c:v>
                </c:pt>
                <c:pt idx="28">
                  <c:v>36.859159529318212</c:v>
                </c:pt>
                <c:pt idx="29">
                  <c:v>36.87929322345245</c:v>
                </c:pt>
                <c:pt idx="30">
                  <c:v>36.782429155069664</c:v>
                </c:pt>
                <c:pt idx="31">
                  <c:v>36.623750408953732</c:v>
                </c:pt>
                <c:pt idx="32">
                  <c:v>36.534964222624062</c:v>
                </c:pt>
                <c:pt idx="33">
                  <c:v>36.55529889977894</c:v>
                </c:pt>
                <c:pt idx="34">
                  <c:v>36.623193153924866</c:v>
                </c:pt>
                <c:pt idx="35">
                  <c:v>36.617042690616152</c:v>
                </c:pt>
                <c:pt idx="36">
                  <c:v>36.471997307800343</c:v>
                </c:pt>
                <c:pt idx="37">
                  <c:v>36.278190495423836</c:v>
                </c:pt>
                <c:pt idx="38">
                  <c:v>36.159532271829896</c:v>
                </c:pt>
                <c:pt idx="39">
                  <c:v>36.149612657305596</c:v>
                </c:pt>
                <c:pt idx="40">
                  <c:v>36.193996253822952</c:v>
                </c:pt>
                <c:pt idx="41">
                  <c:v>36.174126840889102</c:v>
                </c:pt>
                <c:pt idx="42">
                  <c:v>36.046840878205678</c:v>
                </c:pt>
                <c:pt idx="43">
                  <c:v>35.8395411168583</c:v>
                </c:pt>
                <c:pt idx="44">
                  <c:v>35.620315324982869</c:v>
                </c:pt>
                <c:pt idx="45">
                  <c:v>35.440548019503346</c:v>
                </c:pt>
                <c:pt idx="46">
                  <c:v>35.330776439675574</c:v>
                </c:pt>
                <c:pt idx="47">
                  <c:v>35.272339924024351</c:v>
                </c:pt>
                <c:pt idx="48">
                  <c:v>35.173360669050112</c:v>
                </c:pt>
                <c:pt idx="49">
                  <c:v>35.034643299416643</c:v>
                </c:pt>
                <c:pt idx="50">
                  <c:v>34.928548550606855</c:v>
                </c:pt>
                <c:pt idx="51">
                  <c:v>34.899496364587549</c:v>
                </c:pt>
                <c:pt idx="52">
                  <c:v>34.954062591758998</c:v>
                </c:pt>
                <c:pt idx="53">
                  <c:v>34.965241535785765</c:v>
                </c:pt>
                <c:pt idx="54">
                  <c:v>34.813713989961535</c:v>
                </c:pt>
                <c:pt idx="55">
                  <c:v>34.530663157267099</c:v>
                </c:pt>
                <c:pt idx="56">
                  <c:v>34.16738133863992</c:v>
                </c:pt>
                <c:pt idx="57">
                  <c:v>33.836253354109722</c:v>
                </c:pt>
                <c:pt idx="58">
                  <c:v>33.593281775507641</c:v>
                </c:pt>
                <c:pt idx="59">
                  <c:v>33.422759173015343</c:v>
                </c:pt>
                <c:pt idx="60">
                  <c:v>33.343360572903798</c:v>
                </c:pt>
                <c:pt idx="61">
                  <c:v>33.319629290363793</c:v>
                </c:pt>
                <c:pt idx="62">
                  <c:v>33.314655021446143</c:v>
                </c:pt>
                <c:pt idx="63">
                  <c:v>33.305190984297099</c:v>
                </c:pt>
                <c:pt idx="64">
                  <c:v>33.256814522434183</c:v>
                </c:pt>
                <c:pt idx="65">
                  <c:v>33.20561499935976</c:v>
                </c:pt>
                <c:pt idx="66">
                  <c:v>33.199286078859728</c:v>
                </c:pt>
                <c:pt idx="67">
                  <c:v>33.210028899004477</c:v>
                </c:pt>
                <c:pt idx="68">
                  <c:v>33.215926398712433</c:v>
                </c:pt>
                <c:pt idx="69">
                  <c:v>33.205176340844361</c:v>
                </c:pt>
                <c:pt idx="70">
                  <c:v>33.217438018185838</c:v>
                </c:pt>
                <c:pt idx="71">
                  <c:v>33.242183370244554</c:v>
                </c:pt>
                <c:pt idx="72">
                  <c:v>33.252531540604735</c:v>
                </c:pt>
                <c:pt idx="73">
                  <c:v>33.224255766731673</c:v>
                </c:pt>
                <c:pt idx="74">
                  <c:v>33.074809655872109</c:v>
                </c:pt>
                <c:pt idx="75">
                  <c:v>32.853048457508493</c:v>
                </c:pt>
                <c:pt idx="76">
                  <c:v>32.607929798130691</c:v>
                </c:pt>
                <c:pt idx="77">
                  <c:v>32.426713933516709</c:v>
                </c:pt>
                <c:pt idx="78">
                  <c:v>32.438566665262165</c:v>
                </c:pt>
                <c:pt idx="79">
                  <c:v>32.623346199558547</c:v>
                </c:pt>
                <c:pt idx="80">
                  <c:v>32.894429197622991</c:v>
                </c:pt>
                <c:pt idx="81">
                  <c:v>33.096711173555207</c:v>
                </c:pt>
                <c:pt idx="82">
                  <c:v>33.126023162654604</c:v>
                </c:pt>
                <c:pt idx="83">
                  <c:v>33.079851035583211</c:v>
                </c:pt>
                <c:pt idx="84">
                  <c:v>33.018074057382066</c:v>
                </c:pt>
                <c:pt idx="85">
                  <c:v>32.984055869550723</c:v>
                </c:pt>
                <c:pt idx="86">
                  <c:v>32.968028906756032</c:v>
                </c:pt>
                <c:pt idx="87">
                  <c:v>32.934798583308414</c:v>
                </c:pt>
                <c:pt idx="88">
                  <c:v>32.877149063980966</c:v>
                </c:pt>
                <c:pt idx="89">
                  <c:v>32.722504779474008</c:v>
                </c:pt>
                <c:pt idx="90">
                  <c:v>32.453602726994013</c:v>
                </c:pt>
                <c:pt idx="91">
                  <c:v>32.084035369473135</c:v>
                </c:pt>
                <c:pt idx="92">
                  <c:v>31.694996487347421</c:v>
                </c:pt>
                <c:pt idx="93">
                  <c:v>31.460580325570337</c:v>
                </c:pt>
                <c:pt idx="94">
                  <c:v>31.416525368384612</c:v>
                </c:pt>
                <c:pt idx="95">
                  <c:v>31.459813023940903</c:v>
                </c:pt>
                <c:pt idx="96">
                  <c:v>31.533091254802365</c:v>
                </c:pt>
                <c:pt idx="97">
                  <c:v>31.588121297193965</c:v>
                </c:pt>
                <c:pt idx="98">
                  <c:v>31.6015135701182</c:v>
                </c:pt>
                <c:pt idx="99">
                  <c:v>31.560470952621717</c:v>
                </c:pt>
                <c:pt idx="100">
                  <c:v>31.458789718931307</c:v>
                </c:pt>
                <c:pt idx="101">
                  <c:v>31.333674202778251</c:v>
                </c:pt>
                <c:pt idx="102">
                  <c:v>31.274167896946221</c:v>
                </c:pt>
                <c:pt idx="103">
                  <c:v>31.288127470509618</c:v>
                </c:pt>
                <c:pt idx="104">
                  <c:v>31.364582107812584</c:v>
                </c:pt>
                <c:pt idx="105">
                  <c:v>31.380710076459</c:v>
                </c:pt>
                <c:pt idx="106">
                  <c:v>31.264570031760623</c:v>
                </c:pt>
                <c:pt idx="107">
                  <c:v>31.107647355886019</c:v>
                </c:pt>
                <c:pt idx="108">
                  <c:v>31.000875832742668</c:v>
                </c:pt>
                <c:pt idx="109">
                  <c:v>30.931255902099846</c:v>
                </c:pt>
                <c:pt idx="110">
                  <c:v>30.883201842403096</c:v>
                </c:pt>
                <c:pt idx="111">
                  <c:v>30.854427800450342</c:v>
                </c:pt>
                <c:pt idx="112">
                  <c:v>30.83463678139951</c:v>
                </c:pt>
                <c:pt idx="113">
                  <c:v>30.812158664768184</c:v>
                </c:pt>
                <c:pt idx="114">
                  <c:v>30.727490581679923</c:v>
                </c:pt>
                <c:pt idx="115">
                  <c:v>30.545800484570663</c:v>
                </c:pt>
                <c:pt idx="116">
                  <c:v>30.304682942766213</c:v>
                </c:pt>
                <c:pt idx="117">
                  <c:v>30.08649365418178</c:v>
                </c:pt>
                <c:pt idx="118">
                  <c:v>29.948768288891774</c:v>
                </c:pt>
                <c:pt idx="119">
                  <c:v>29.957808260832969</c:v>
                </c:pt>
                <c:pt idx="120">
                  <c:v>30.053212013560604</c:v>
                </c:pt>
              </c:numCache>
            </c:numRef>
          </c:val>
          <c:smooth val="0"/>
          <c:extLst>
            <c:ext xmlns:c16="http://schemas.microsoft.com/office/drawing/2014/chart" uri="{C3380CC4-5D6E-409C-BE32-E72D297353CC}">
              <c16:uniqueId val="{00000002-A39F-4CEF-9269-F6AC24675032}"/>
            </c:ext>
          </c:extLst>
        </c:ser>
        <c:dLbls>
          <c:showLegendKey val="0"/>
          <c:showVal val="0"/>
          <c:showCatName val="0"/>
          <c:showSerName val="0"/>
          <c:showPercent val="0"/>
          <c:showBubbleSize val="0"/>
        </c:dLbls>
        <c:marker val="1"/>
        <c:smooth val="0"/>
        <c:axId val="498705240"/>
        <c:axId val="498705568"/>
      </c:lineChart>
      <c:lineChart>
        <c:grouping val="standard"/>
        <c:varyColors val="0"/>
        <c:ser>
          <c:idx val="1"/>
          <c:order val="1"/>
          <c:tx>
            <c:strRef>
              <c:f>'Figure G.4'!$A$5</c:f>
              <c:strCache>
                <c:ptCount val="1"/>
                <c:pt idx="0">
                  <c:v>Non-routine manual</c:v>
                </c:pt>
              </c:strCache>
            </c:strRef>
          </c:tx>
          <c:spPr>
            <a:ln w="28575" cap="rnd">
              <a:solidFill>
                <a:schemeClr val="accent2"/>
              </a:solidFill>
              <a:round/>
            </a:ln>
            <a:effectLst/>
          </c:spPr>
          <c:marker>
            <c:symbol val="none"/>
          </c:marker>
          <c:cat>
            <c:numRef>
              <c:f>'Figure G.4'!$B$3:$DR$3</c:f>
              <c:numCache>
                <c:formatCode>mmm\-yyyy</c:formatCode>
                <c:ptCount val="121"/>
                <c:pt idx="0">
                  <c:v>31625</c:v>
                </c:pt>
                <c:pt idx="1">
                  <c:v>31717</c:v>
                </c:pt>
                <c:pt idx="2">
                  <c:v>31809</c:v>
                </c:pt>
                <c:pt idx="3">
                  <c:v>31898</c:v>
                </c:pt>
                <c:pt idx="4">
                  <c:v>31990</c:v>
                </c:pt>
                <c:pt idx="5">
                  <c:v>32082</c:v>
                </c:pt>
                <c:pt idx="6">
                  <c:v>32174</c:v>
                </c:pt>
                <c:pt idx="7">
                  <c:v>32264</c:v>
                </c:pt>
                <c:pt idx="8">
                  <c:v>32356</c:v>
                </c:pt>
                <c:pt idx="9">
                  <c:v>32448</c:v>
                </c:pt>
                <c:pt idx="10">
                  <c:v>32540</c:v>
                </c:pt>
                <c:pt idx="11">
                  <c:v>32629</c:v>
                </c:pt>
                <c:pt idx="12">
                  <c:v>32721</c:v>
                </c:pt>
                <c:pt idx="13">
                  <c:v>32813</c:v>
                </c:pt>
                <c:pt idx="14">
                  <c:v>32905</c:v>
                </c:pt>
                <c:pt idx="15">
                  <c:v>32994</c:v>
                </c:pt>
                <c:pt idx="16">
                  <c:v>33086</c:v>
                </c:pt>
                <c:pt idx="17">
                  <c:v>33178</c:v>
                </c:pt>
                <c:pt idx="18">
                  <c:v>33270</c:v>
                </c:pt>
                <c:pt idx="19">
                  <c:v>33359</c:v>
                </c:pt>
                <c:pt idx="20">
                  <c:v>33451</c:v>
                </c:pt>
                <c:pt idx="21">
                  <c:v>33543</c:v>
                </c:pt>
                <c:pt idx="22">
                  <c:v>33635</c:v>
                </c:pt>
                <c:pt idx="23">
                  <c:v>33725</c:v>
                </c:pt>
                <c:pt idx="24">
                  <c:v>33817</c:v>
                </c:pt>
                <c:pt idx="25">
                  <c:v>33909</c:v>
                </c:pt>
                <c:pt idx="26">
                  <c:v>34001</c:v>
                </c:pt>
                <c:pt idx="27">
                  <c:v>34090</c:v>
                </c:pt>
                <c:pt idx="28">
                  <c:v>34182</c:v>
                </c:pt>
                <c:pt idx="29">
                  <c:v>34274</c:v>
                </c:pt>
                <c:pt idx="30">
                  <c:v>34366</c:v>
                </c:pt>
                <c:pt idx="31">
                  <c:v>34455</c:v>
                </c:pt>
                <c:pt idx="32">
                  <c:v>34547</c:v>
                </c:pt>
                <c:pt idx="33">
                  <c:v>34639</c:v>
                </c:pt>
                <c:pt idx="34">
                  <c:v>34731</c:v>
                </c:pt>
                <c:pt idx="35">
                  <c:v>34820</c:v>
                </c:pt>
                <c:pt idx="36">
                  <c:v>34912</c:v>
                </c:pt>
                <c:pt idx="37">
                  <c:v>35004</c:v>
                </c:pt>
                <c:pt idx="38">
                  <c:v>35096</c:v>
                </c:pt>
                <c:pt idx="39">
                  <c:v>35186</c:v>
                </c:pt>
                <c:pt idx="40">
                  <c:v>35278</c:v>
                </c:pt>
                <c:pt idx="41">
                  <c:v>35370</c:v>
                </c:pt>
                <c:pt idx="42">
                  <c:v>35462</c:v>
                </c:pt>
                <c:pt idx="43">
                  <c:v>35551</c:v>
                </c:pt>
                <c:pt idx="44">
                  <c:v>35643</c:v>
                </c:pt>
                <c:pt idx="45">
                  <c:v>35735</c:v>
                </c:pt>
                <c:pt idx="46">
                  <c:v>35827</c:v>
                </c:pt>
                <c:pt idx="47">
                  <c:v>35916</c:v>
                </c:pt>
                <c:pt idx="48">
                  <c:v>36008</c:v>
                </c:pt>
                <c:pt idx="49">
                  <c:v>36100</c:v>
                </c:pt>
                <c:pt idx="50">
                  <c:v>36192</c:v>
                </c:pt>
                <c:pt idx="51">
                  <c:v>36281</c:v>
                </c:pt>
                <c:pt idx="52">
                  <c:v>36373</c:v>
                </c:pt>
                <c:pt idx="53">
                  <c:v>36465</c:v>
                </c:pt>
                <c:pt idx="54">
                  <c:v>36557</c:v>
                </c:pt>
                <c:pt idx="55">
                  <c:v>36647</c:v>
                </c:pt>
                <c:pt idx="56">
                  <c:v>36739</c:v>
                </c:pt>
                <c:pt idx="57">
                  <c:v>36831</c:v>
                </c:pt>
                <c:pt idx="58">
                  <c:v>36923</c:v>
                </c:pt>
                <c:pt idx="59">
                  <c:v>37012</c:v>
                </c:pt>
                <c:pt idx="60">
                  <c:v>37104</c:v>
                </c:pt>
                <c:pt idx="61">
                  <c:v>37196</c:v>
                </c:pt>
                <c:pt idx="62">
                  <c:v>37288</c:v>
                </c:pt>
                <c:pt idx="63">
                  <c:v>37377</c:v>
                </c:pt>
                <c:pt idx="64">
                  <c:v>37469</c:v>
                </c:pt>
                <c:pt idx="65">
                  <c:v>37561</c:v>
                </c:pt>
                <c:pt idx="66">
                  <c:v>37653</c:v>
                </c:pt>
                <c:pt idx="67">
                  <c:v>37742</c:v>
                </c:pt>
                <c:pt idx="68">
                  <c:v>37834</c:v>
                </c:pt>
                <c:pt idx="69">
                  <c:v>37926</c:v>
                </c:pt>
                <c:pt idx="70">
                  <c:v>38018</c:v>
                </c:pt>
                <c:pt idx="71">
                  <c:v>38108</c:v>
                </c:pt>
                <c:pt idx="72">
                  <c:v>38200</c:v>
                </c:pt>
                <c:pt idx="73">
                  <c:v>38292</c:v>
                </c:pt>
                <c:pt idx="74">
                  <c:v>38384</c:v>
                </c:pt>
                <c:pt idx="75">
                  <c:v>38473</c:v>
                </c:pt>
                <c:pt idx="76">
                  <c:v>38565</c:v>
                </c:pt>
                <c:pt idx="77">
                  <c:v>38657</c:v>
                </c:pt>
                <c:pt idx="78">
                  <c:v>38749</c:v>
                </c:pt>
                <c:pt idx="79">
                  <c:v>38838</c:v>
                </c:pt>
                <c:pt idx="80">
                  <c:v>38930</c:v>
                </c:pt>
                <c:pt idx="81">
                  <c:v>39022</c:v>
                </c:pt>
                <c:pt idx="82">
                  <c:v>39114</c:v>
                </c:pt>
                <c:pt idx="83">
                  <c:v>39203</c:v>
                </c:pt>
                <c:pt idx="84">
                  <c:v>39295</c:v>
                </c:pt>
                <c:pt idx="85">
                  <c:v>39387</c:v>
                </c:pt>
                <c:pt idx="86">
                  <c:v>39479</c:v>
                </c:pt>
                <c:pt idx="87">
                  <c:v>39569</c:v>
                </c:pt>
                <c:pt idx="88">
                  <c:v>39661</c:v>
                </c:pt>
                <c:pt idx="89">
                  <c:v>39753</c:v>
                </c:pt>
                <c:pt idx="90">
                  <c:v>39845</c:v>
                </c:pt>
                <c:pt idx="91">
                  <c:v>39934</c:v>
                </c:pt>
                <c:pt idx="92">
                  <c:v>40026</c:v>
                </c:pt>
                <c:pt idx="93">
                  <c:v>40118</c:v>
                </c:pt>
                <c:pt idx="94">
                  <c:v>40210</c:v>
                </c:pt>
                <c:pt idx="95">
                  <c:v>40299</c:v>
                </c:pt>
                <c:pt idx="96">
                  <c:v>40391</c:v>
                </c:pt>
                <c:pt idx="97">
                  <c:v>40483</c:v>
                </c:pt>
                <c:pt idx="98">
                  <c:v>40575</c:v>
                </c:pt>
                <c:pt idx="99">
                  <c:v>40664</c:v>
                </c:pt>
                <c:pt idx="100">
                  <c:v>40756</c:v>
                </c:pt>
                <c:pt idx="101">
                  <c:v>40848</c:v>
                </c:pt>
                <c:pt idx="102">
                  <c:v>40940</c:v>
                </c:pt>
                <c:pt idx="103">
                  <c:v>41030</c:v>
                </c:pt>
                <c:pt idx="104">
                  <c:v>41122</c:v>
                </c:pt>
                <c:pt idx="105">
                  <c:v>41214</c:v>
                </c:pt>
                <c:pt idx="106">
                  <c:v>41306</c:v>
                </c:pt>
                <c:pt idx="107">
                  <c:v>41395</c:v>
                </c:pt>
                <c:pt idx="108">
                  <c:v>41487</c:v>
                </c:pt>
                <c:pt idx="109">
                  <c:v>41579</c:v>
                </c:pt>
                <c:pt idx="110">
                  <c:v>41671</c:v>
                </c:pt>
                <c:pt idx="111">
                  <c:v>41760</c:v>
                </c:pt>
                <c:pt idx="112">
                  <c:v>41852</c:v>
                </c:pt>
                <c:pt idx="113">
                  <c:v>41944</c:v>
                </c:pt>
                <c:pt idx="114">
                  <c:v>42036</c:v>
                </c:pt>
                <c:pt idx="115">
                  <c:v>42125</c:v>
                </c:pt>
                <c:pt idx="116">
                  <c:v>42217</c:v>
                </c:pt>
                <c:pt idx="117">
                  <c:v>42309</c:v>
                </c:pt>
                <c:pt idx="118">
                  <c:v>42401</c:v>
                </c:pt>
                <c:pt idx="119">
                  <c:v>42491</c:v>
                </c:pt>
                <c:pt idx="120">
                  <c:v>42583</c:v>
                </c:pt>
              </c:numCache>
            </c:numRef>
          </c:cat>
          <c:val>
            <c:numRef>
              <c:f>'Figure G.4'!$B$5:$DR$5</c:f>
              <c:numCache>
                <c:formatCode>0.0</c:formatCode>
                <c:ptCount val="121"/>
                <c:pt idx="0">
                  <c:v>5.5183884191481685</c:v>
                </c:pt>
                <c:pt idx="1">
                  <c:v>5.5032542895443468</c:v>
                </c:pt>
                <c:pt idx="2">
                  <c:v>5.4842966216643356</c:v>
                </c:pt>
                <c:pt idx="3">
                  <c:v>5.5258765028614922</c:v>
                </c:pt>
                <c:pt idx="4">
                  <c:v>5.5775424368752144</c:v>
                </c:pt>
                <c:pt idx="5">
                  <c:v>5.628507051544795</c:v>
                </c:pt>
                <c:pt idx="6">
                  <c:v>5.6903912428362826</c:v>
                </c:pt>
                <c:pt idx="7">
                  <c:v>5.7822223705270854</c:v>
                </c:pt>
                <c:pt idx="8">
                  <c:v>5.8821051767396009</c:v>
                </c:pt>
                <c:pt idx="9">
                  <c:v>5.9257256659894733</c:v>
                </c:pt>
                <c:pt idx="10">
                  <c:v>5.8812050578007726</c:v>
                </c:pt>
                <c:pt idx="11">
                  <c:v>5.8001304837153249</c:v>
                </c:pt>
                <c:pt idx="12">
                  <c:v>5.783938487537081</c:v>
                </c:pt>
                <c:pt idx="13">
                  <c:v>5.8797947487449802</c:v>
                </c:pt>
                <c:pt idx="14">
                  <c:v>6.052661893929808</c:v>
                </c:pt>
                <c:pt idx="15">
                  <c:v>6.1919427660960809</c:v>
                </c:pt>
                <c:pt idx="16">
                  <c:v>6.2250295365687984</c:v>
                </c:pt>
                <c:pt idx="17">
                  <c:v>6.2052078456543809</c:v>
                </c:pt>
                <c:pt idx="18">
                  <c:v>6.2137717567250883</c:v>
                </c:pt>
                <c:pt idx="19">
                  <c:v>6.2753664710581454</c:v>
                </c:pt>
                <c:pt idx="20">
                  <c:v>6.3781053995645669</c:v>
                </c:pt>
                <c:pt idx="21">
                  <c:v>6.4825110946540185</c:v>
                </c:pt>
                <c:pt idx="22">
                  <c:v>6.5670294458584895</c:v>
                </c:pt>
                <c:pt idx="23">
                  <c:v>6.645200376966276</c:v>
                </c:pt>
                <c:pt idx="24">
                  <c:v>6.6878641672575236</c:v>
                </c:pt>
                <c:pt idx="25">
                  <c:v>6.6761132339836156</c:v>
                </c:pt>
                <c:pt idx="26">
                  <c:v>6.605301879823319</c:v>
                </c:pt>
                <c:pt idx="27">
                  <c:v>6.521358802612137</c:v>
                </c:pt>
                <c:pt idx="28">
                  <c:v>6.5035686497386376</c:v>
                </c:pt>
                <c:pt idx="29">
                  <c:v>6.5886254345166817</c:v>
                </c:pt>
                <c:pt idx="30">
                  <c:v>6.7044697497391086</c:v>
                </c:pt>
                <c:pt idx="31">
                  <c:v>6.7830291804425515</c:v>
                </c:pt>
                <c:pt idx="32">
                  <c:v>6.819675147533971</c:v>
                </c:pt>
                <c:pt idx="33">
                  <c:v>6.8584903610696868</c:v>
                </c:pt>
                <c:pt idx="34">
                  <c:v>6.9494485948760412</c:v>
                </c:pt>
                <c:pt idx="35">
                  <c:v>7.0752269166774369</c:v>
                </c:pt>
                <c:pt idx="36">
                  <c:v>7.1377951285590475</c:v>
                </c:pt>
                <c:pt idx="37">
                  <c:v>7.0914111518472156</c:v>
                </c:pt>
                <c:pt idx="38">
                  <c:v>7.0272225574764313</c:v>
                </c:pt>
                <c:pt idx="39">
                  <c:v>7.0813628094664223</c:v>
                </c:pt>
                <c:pt idx="40">
                  <c:v>7.30767146347657</c:v>
                </c:pt>
                <c:pt idx="41">
                  <c:v>7.5900430758562676</c:v>
                </c:pt>
                <c:pt idx="42">
                  <c:v>7.7886958460501976</c:v>
                </c:pt>
                <c:pt idx="43">
                  <c:v>7.8721984764491255</c:v>
                </c:pt>
                <c:pt idx="44">
                  <c:v>7.882005267363736</c:v>
                </c:pt>
                <c:pt idx="45">
                  <c:v>7.86015675619368</c:v>
                </c:pt>
                <c:pt idx="46">
                  <c:v>7.839441701887619</c:v>
                </c:pt>
                <c:pt idx="47">
                  <c:v>7.8324891312856231</c:v>
                </c:pt>
                <c:pt idx="48">
                  <c:v>7.8792368240230424</c:v>
                </c:pt>
                <c:pt idx="49">
                  <c:v>7.9837711804604865</c:v>
                </c:pt>
                <c:pt idx="50">
                  <c:v>8.0693149121599603</c:v>
                </c:pt>
                <c:pt idx="51">
                  <c:v>8.057386740139469</c:v>
                </c:pt>
                <c:pt idx="52">
                  <c:v>7.9458958427763768</c:v>
                </c:pt>
                <c:pt idx="53">
                  <c:v>7.8532928757970968</c:v>
                </c:pt>
                <c:pt idx="54">
                  <c:v>7.865981029404578</c:v>
                </c:pt>
                <c:pt idx="55">
                  <c:v>7.9443977455571471</c:v>
                </c:pt>
                <c:pt idx="56">
                  <c:v>8.0230275543382952</c:v>
                </c:pt>
                <c:pt idx="57">
                  <c:v>8.0699874057143468</c:v>
                </c:pt>
                <c:pt idx="58">
                  <c:v>8.1176699932144611</c:v>
                </c:pt>
                <c:pt idx="59">
                  <c:v>8.1887966381335726</c:v>
                </c:pt>
                <c:pt idx="60">
                  <c:v>8.2505677329601372</c:v>
                </c:pt>
                <c:pt idx="61">
                  <c:v>8.2821063645497528</c:v>
                </c:pt>
                <c:pt idx="62">
                  <c:v>8.2762757789762524</c:v>
                </c:pt>
                <c:pt idx="63">
                  <c:v>8.2848124930077116</c:v>
                </c:pt>
                <c:pt idx="64">
                  <c:v>8.3447273734774292</c:v>
                </c:pt>
                <c:pt idx="65">
                  <c:v>8.4102998154827979</c:v>
                </c:pt>
                <c:pt idx="66">
                  <c:v>8.4384716773135811</c:v>
                </c:pt>
                <c:pt idx="67">
                  <c:v>8.4120798136832242</c:v>
                </c:pt>
                <c:pt idx="68">
                  <c:v>8.3944131634241419</c:v>
                </c:pt>
                <c:pt idx="69">
                  <c:v>8.4371268513016027</c:v>
                </c:pt>
                <c:pt idx="70">
                  <c:v>8.5072881710631574</c:v>
                </c:pt>
                <c:pt idx="71">
                  <c:v>8.5636801777516656</c:v>
                </c:pt>
                <c:pt idx="72">
                  <c:v>8.5594755688441637</c:v>
                </c:pt>
                <c:pt idx="73">
                  <c:v>8.493845800255416</c:v>
                </c:pt>
                <c:pt idx="74">
                  <c:v>8.4628873644526443</c:v>
                </c:pt>
                <c:pt idx="75">
                  <c:v>8.5178445688415501</c:v>
                </c:pt>
                <c:pt idx="76">
                  <c:v>8.6185643118453079</c:v>
                </c:pt>
                <c:pt idx="77">
                  <c:v>8.666760806900351</c:v>
                </c:pt>
                <c:pt idx="78">
                  <c:v>8.6217426058199926</c:v>
                </c:pt>
                <c:pt idx="79">
                  <c:v>8.549018927291927</c:v>
                </c:pt>
                <c:pt idx="80">
                  <c:v>8.5650727612456254</c:v>
                </c:pt>
                <c:pt idx="81">
                  <c:v>8.6809467129611075</c:v>
                </c:pt>
                <c:pt idx="82">
                  <c:v>8.79189397929159</c:v>
                </c:pt>
                <c:pt idx="83">
                  <c:v>8.7731425174192701</c:v>
                </c:pt>
                <c:pt idx="84">
                  <c:v>8.6304018761052017</c:v>
                </c:pt>
                <c:pt idx="85">
                  <c:v>8.5255832186758091</c:v>
                </c:pt>
                <c:pt idx="86">
                  <c:v>8.5374605991984982</c:v>
                </c:pt>
                <c:pt idx="87">
                  <c:v>8.6101294808937485</c:v>
                </c:pt>
                <c:pt idx="88">
                  <c:v>8.7054326486997748</c:v>
                </c:pt>
                <c:pt idx="89">
                  <c:v>8.8443356458559244</c:v>
                </c:pt>
                <c:pt idx="90">
                  <c:v>9.0319617555050407</c:v>
                </c:pt>
                <c:pt idx="91">
                  <c:v>9.2219400197622914</c:v>
                </c:pt>
                <c:pt idx="92">
                  <c:v>9.302841139981636</c:v>
                </c:pt>
                <c:pt idx="93">
                  <c:v>9.2754450002310396</c:v>
                </c:pt>
                <c:pt idx="94">
                  <c:v>9.2238295751239505</c:v>
                </c:pt>
                <c:pt idx="95">
                  <c:v>9.2599585096153216</c:v>
                </c:pt>
                <c:pt idx="96">
                  <c:v>9.3623040986352848</c:v>
                </c:pt>
                <c:pt idx="97">
                  <c:v>9.4047360344820579</c:v>
                </c:pt>
                <c:pt idx="98">
                  <c:v>9.4043807993896795</c:v>
                </c:pt>
                <c:pt idx="99">
                  <c:v>9.4504677319766746</c:v>
                </c:pt>
                <c:pt idx="100">
                  <c:v>9.5482322496682013</c:v>
                </c:pt>
                <c:pt idx="101">
                  <c:v>9.6227740249436984</c:v>
                </c:pt>
                <c:pt idx="102">
                  <c:v>9.5900800576424743</c:v>
                </c:pt>
                <c:pt idx="103">
                  <c:v>9.5186944170837648</c:v>
                </c:pt>
                <c:pt idx="104">
                  <c:v>9.5337930662358161</c:v>
                </c:pt>
                <c:pt idx="105">
                  <c:v>9.6410398784132934</c:v>
                </c:pt>
                <c:pt idx="106">
                  <c:v>9.7770757106999202</c:v>
                </c:pt>
                <c:pt idx="107">
                  <c:v>9.86278387320157</c:v>
                </c:pt>
                <c:pt idx="108">
                  <c:v>9.9066923937716815</c:v>
                </c:pt>
                <c:pt idx="109">
                  <c:v>9.9736053775096458</c:v>
                </c:pt>
                <c:pt idx="110">
                  <c:v>10.038305155843863</c:v>
                </c:pt>
                <c:pt idx="111">
                  <c:v>10.017760871427877</c:v>
                </c:pt>
                <c:pt idx="112">
                  <c:v>9.9538222907308835</c:v>
                </c:pt>
                <c:pt idx="113">
                  <c:v>9.9105251195012727</c:v>
                </c:pt>
                <c:pt idx="114">
                  <c:v>9.9381812619018017</c:v>
                </c:pt>
                <c:pt idx="115">
                  <c:v>10.05973695891395</c:v>
                </c:pt>
                <c:pt idx="116">
                  <c:v>10.218082121420972</c:v>
                </c:pt>
                <c:pt idx="117">
                  <c:v>10.388479279359725</c:v>
                </c:pt>
                <c:pt idx="118">
                  <c:v>10.530484228960542</c:v>
                </c:pt>
                <c:pt idx="119">
                  <c:v>10.580093773732985</c:v>
                </c:pt>
                <c:pt idx="120">
                  <c:v>10.546165350778287</c:v>
                </c:pt>
              </c:numCache>
            </c:numRef>
          </c:val>
          <c:smooth val="0"/>
          <c:extLst>
            <c:ext xmlns:c16="http://schemas.microsoft.com/office/drawing/2014/chart" uri="{C3380CC4-5D6E-409C-BE32-E72D297353CC}">
              <c16:uniqueId val="{00000003-A39F-4CEF-9269-F6AC24675032}"/>
            </c:ext>
          </c:extLst>
        </c:ser>
        <c:dLbls>
          <c:showLegendKey val="0"/>
          <c:showVal val="0"/>
          <c:showCatName val="0"/>
          <c:showSerName val="0"/>
          <c:showPercent val="0"/>
          <c:showBubbleSize val="0"/>
        </c:dLbls>
        <c:marker val="1"/>
        <c:smooth val="0"/>
        <c:axId val="667301816"/>
        <c:axId val="667307720"/>
      </c:lineChart>
      <c:dateAx>
        <c:axId val="498705240"/>
        <c:scaling>
          <c:orientation val="minMax"/>
        </c:scaling>
        <c:delete val="0"/>
        <c:axPos val="b"/>
        <c:numFmt formatCode="yy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8705568"/>
        <c:crosses val="autoZero"/>
        <c:auto val="1"/>
        <c:lblOffset val="100"/>
        <c:baseTimeUnit val="months"/>
        <c:majorUnit val="5"/>
        <c:majorTimeUnit val="years"/>
      </c:dateAx>
      <c:valAx>
        <c:axId val="498705568"/>
        <c:scaling>
          <c:orientation val="minMax"/>
          <c:max val="50"/>
        </c:scaling>
        <c:delete val="0"/>
        <c:axPos val="l"/>
        <c:majorGridlines>
          <c:spPr>
            <a:ln w="9525" cap="flat" cmpd="sng" algn="ctr">
              <a:noFill/>
              <a:round/>
            </a:ln>
            <a:effectLst/>
          </c:spPr>
        </c:majorGridlines>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8705240"/>
        <c:crosses val="autoZero"/>
        <c:crossBetween val="midCat"/>
        <c:majorUnit val="10"/>
      </c:valAx>
      <c:valAx>
        <c:axId val="667307720"/>
        <c:scaling>
          <c:orientation val="minMax"/>
          <c:max val="50"/>
        </c:scaling>
        <c:delete val="0"/>
        <c:axPos val="r"/>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67301816"/>
        <c:crosses val="max"/>
        <c:crossBetween val="between"/>
        <c:majorUnit val="10"/>
      </c:valAx>
      <c:dateAx>
        <c:axId val="667301816"/>
        <c:scaling>
          <c:orientation val="minMax"/>
        </c:scaling>
        <c:delete val="1"/>
        <c:axPos val="b"/>
        <c:numFmt formatCode="mmm\-yyyy" sourceLinked="1"/>
        <c:majorTickMark val="out"/>
        <c:minorTickMark val="none"/>
        <c:tickLblPos val="nextTo"/>
        <c:crossAx val="667307720"/>
        <c:crosses val="autoZero"/>
        <c:auto val="1"/>
        <c:lblOffset val="100"/>
        <c:baseTimeUnit val="months"/>
      </c:dateAx>
      <c:spPr>
        <a:noFill/>
        <a:ln>
          <a:noFill/>
        </a:ln>
        <a:effectLst/>
      </c:spPr>
    </c:plotArea>
    <c:legend>
      <c:legendPos val="r"/>
      <c:layout>
        <c:manualLayout>
          <c:xMode val="edge"/>
          <c:yMode val="edge"/>
          <c:x val="5.5910416666666664E-2"/>
          <c:y val="2.8246187363834439E-3"/>
          <c:w val="0.89999236111111114"/>
          <c:h val="0.122782135076252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65859509496796"/>
          <c:y val="0.18371203599550057"/>
          <c:w val="0.56942680552027769"/>
          <c:h val="0.6877492586154003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A2A-4A1D-9EF7-33401787EF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A2A-4A1D-9EF7-33401787EF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2A-4A1D-9EF7-33401787EFA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A2A-4A1D-9EF7-33401787EFA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A2A-4A1D-9EF7-33401787EFA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A2A-4A1D-9EF7-33401787EFA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A2A-4A1D-9EF7-33401787EFA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A2A-4A1D-9EF7-33401787EFA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A2A-4A1D-9EF7-33401787EFA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A2A-4A1D-9EF7-33401787EFAB}"/>
              </c:ext>
            </c:extLst>
          </c:dPt>
          <c:dLbls>
            <c:dLbl>
              <c:idx val="0"/>
              <c:layout>
                <c:manualLayout>
                  <c:x val="4.1673051738097953E-2"/>
                  <c:y val="0.10699183435403908"/>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A2A-4A1D-9EF7-33401787EFAB}"/>
                </c:ext>
              </c:extLst>
            </c:dLbl>
            <c:dLbl>
              <c:idx val="1"/>
              <c:layout>
                <c:manualLayout>
                  <c:x val="-9.7191883272655429E-3"/>
                  <c:y val="0.12811466748474623"/>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A2A-4A1D-9EF7-33401787EFAB}"/>
                </c:ext>
              </c:extLst>
            </c:dLbl>
            <c:dLbl>
              <c:idx val="2"/>
              <c:layout>
                <c:manualLayout>
                  <c:x val="-6.5696102503316187E-2"/>
                  <c:y val="4.0331322221086E-2"/>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A2A-4A1D-9EF7-33401787EFAB}"/>
                </c:ext>
              </c:extLst>
            </c:dLbl>
            <c:dLbl>
              <c:idx val="3"/>
              <c:layout>
                <c:manualLayout>
                  <c:x val="7.1433409533485731E-2"/>
                  <c:y val="4.0331492654327297E-2"/>
                </c:manualLayout>
              </c:layout>
              <c:showLegendKey val="0"/>
              <c:showVal val="1"/>
              <c:showCatName val="1"/>
              <c:showSerName val="0"/>
              <c:showPercent val="0"/>
              <c:showBubbleSize val="0"/>
              <c:extLst>
                <c:ext xmlns:c15="http://schemas.microsoft.com/office/drawing/2012/chart" uri="{CE6537A1-D6FC-4f65-9D91-7224C49458BB}">
                  <c15:layout>
                    <c:manualLayout>
                      <c:w val="0.24372759856630824"/>
                      <c:h val="9.7532467532467512E-2"/>
                    </c:manualLayout>
                  </c15:layout>
                </c:ext>
                <c:ext xmlns:c16="http://schemas.microsoft.com/office/drawing/2014/chart" uri="{C3380CC4-5D6E-409C-BE32-E72D297353CC}">
                  <c16:uniqueId val="{00000007-5A2A-4A1D-9EF7-33401787EFAB}"/>
                </c:ext>
              </c:extLst>
            </c:dLbl>
            <c:dLbl>
              <c:idx val="4"/>
              <c:layout>
                <c:manualLayout>
                  <c:x val="-1.0752688172043012E-2"/>
                  <c:y val="0.11077444864846439"/>
                </c:manualLayout>
              </c:layout>
              <c:showLegendKey val="0"/>
              <c:showVal val="1"/>
              <c:showCatName val="1"/>
              <c:showSerName val="0"/>
              <c:showPercent val="0"/>
              <c:showBubbleSize val="0"/>
              <c:extLst>
                <c:ext xmlns:c15="http://schemas.microsoft.com/office/drawing/2012/chart" uri="{CE6537A1-D6FC-4f65-9D91-7224C49458BB}">
                  <c15:layout>
                    <c:manualLayout>
                      <c:w val="0.2661290322580645"/>
                      <c:h val="0.1396103896103896"/>
                    </c:manualLayout>
                  </c15:layout>
                </c:ext>
                <c:ext xmlns:c16="http://schemas.microsoft.com/office/drawing/2014/chart" uri="{C3380CC4-5D6E-409C-BE32-E72D297353CC}">
                  <c16:uniqueId val="{00000009-5A2A-4A1D-9EF7-33401787EFAB}"/>
                </c:ext>
              </c:extLst>
            </c:dLbl>
            <c:dLbl>
              <c:idx val="5"/>
              <c:layout>
                <c:manualLayout>
                  <c:x val="1.845878136200717E-3"/>
                  <c:y val="5.0771380850121006E-2"/>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5A2A-4A1D-9EF7-33401787EFAB}"/>
                </c:ext>
              </c:extLst>
            </c:dLbl>
            <c:dLbl>
              <c:idx val="6"/>
              <c:layout>
                <c:manualLayout>
                  <c:x val="-3.3945756780402452E-2"/>
                  <c:y val="8.5011419027167065E-2"/>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5A2A-4A1D-9EF7-33401787EFAB}"/>
                </c:ext>
              </c:extLst>
            </c:dLbl>
            <c:dLbl>
              <c:idx val="9"/>
              <c:layout>
                <c:manualLayout>
                  <c:x val="0.15786461474924329"/>
                  <c:y val="-1.3440507436570428E-2"/>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5A2A-4A1D-9EF7-33401787EFA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'[projections charts.xlsx]pg 30'!$A$4:$A$13</c:f>
              <c:strCache>
                <c:ptCount val="10"/>
                <c:pt idx="0">
                  <c:v>Health Care &amp; Social Assistance</c:v>
                </c:pt>
                <c:pt idx="1">
                  <c:v>Professional, Scientific &amp; Technical Services</c:v>
                </c:pt>
                <c:pt idx="2">
                  <c:v>Construction</c:v>
                </c:pt>
                <c:pt idx="3">
                  <c:v>Education &amp; Training</c:v>
                </c:pt>
                <c:pt idx="4">
                  <c:v>Accommodation &amp; Food Services</c:v>
                </c:pt>
                <c:pt idx="5">
                  <c:v>Public Administration &amp; Safety</c:v>
                </c:pt>
                <c:pt idx="6">
                  <c:v>Retail Trade</c:v>
                </c:pt>
                <c:pt idx="7">
                  <c:v>Transport, Postal &amp; Warehousing</c:v>
                </c:pt>
                <c:pt idx="8">
                  <c:v>Administrative &amp; Support Services</c:v>
                </c:pt>
                <c:pt idx="9">
                  <c:v>Other</c:v>
                </c:pt>
              </c:strCache>
            </c:strRef>
          </c:cat>
          <c:val>
            <c:numRef>
              <c:f>'[projections charts.xlsx]pg 30'!$C$4:$C$13</c:f>
              <c:numCache>
                <c:formatCode>0%</c:formatCode>
                <c:ptCount val="10"/>
                <c:pt idx="0">
                  <c:v>0.25</c:v>
                </c:pt>
                <c:pt idx="1">
                  <c:v>0.13</c:v>
                </c:pt>
                <c:pt idx="2">
                  <c:v>0.12</c:v>
                </c:pt>
                <c:pt idx="3">
                  <c:v>0.12</c:v>
                </c:pt>
                <c:pt idx="4">
                  <c:v>0.1</c:v>
                </c:pt>
                <c:pt idx="5">
                  <c:v>0.08</c:v>
                </c:pt>
                <c:pt idx="6">
                  <c:v>0.05</c:v>
                </c:pt>
                <c:pt idx="7">
                  <c:v>0.04</c:v>
                </c:pt>
                <c:pt idx="8">
                  <c:v>0.03</c:v>
                </c:pt>
                <c:pt idx="9">
                  <c:v>7.999999999999996E-2</c:v>
                </c:pt>
              </c:numCache>
            </c:numRef>
          </c:val>
          <c:extLst>
            <c:ext xmlns:c16="http://schemas.microsoft.com/office/drawing/2014/chart" uri="{C3380CC4-5D6E-409C-BE32-E72D297353CC}">
              <c16:uniqueId val="{00000014-5A2A-4A1D-9EF7-33401787EFA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84758522831706"/>
          <c:y val="0.16446070711749267"/>
          <c:w val="0.63165280810486935"/>
          <c:h val="0.6632354485101128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1E-43A1-8ED3-5E663518B3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1E-43A1-8ED3-5E663518B3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1E-43A1-8ED3-5E663518B3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1E-43A1-8ED3-5E663518B3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1E-43A1-8ED3-5E663518B31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A1E-43A1-8ED3-5E663518B31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A1E-43A1-8ED3-5E663518B31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A1E-43A1-8ED3-5E663518B318}"/>
              </c:ext>
            </c:extLst>
          </c:dPt>
          <c:dLbls>
            <c:dLbl>
              <c:idx val="0"/>
              <c:layout>
                <c:manualLayout>
                  <c:x val="-4.1083099906629457E-2"/>
                  <c:y val="-0.11915979620194531"/>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0A1E-43A1-8ED3-5E663518B318}"/>
                </c:ext>
              </c:extLst>
            </c:dLbl>
            <c:dLbl>
              <c:idx val="1"/>
              <c:layout>
                <c:manualLayout>
                  <c:x val="-6.9711938181639833E-3"/>
                  <c:y val="-6.0924810869231018E-3"/>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layout>
                    <c:manualLayout>
                      <c:w val="0.3805246083370013"/>
                      <c:h val="0.10178446811795583"/>
                    </c:manualLayout>
                  </c15:layout>
                </c:ext>
                <c:ext xmlns:c16="http://schemas.microsoft.com/office/drawing/2014/chart" uri="{C3380CC4-5D6E-409C-BE32-E72D297353CC}">
                  <c16:uniqueId val="{00000003-0A1E-43A1-8ED3-5E663518B318}"/>
                </c:ext>
              </c:extLst>
            </c:dLbl>
            <c:dLbl>
              <c:idx val="2"/>
              <c:layout>
                <c:manualLayout>
                  <c:x val="1.8931981328420906E-2"/>
                  <c:y val="0.20587962962962947"/>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0A1E-43A1-8ED3-5E663518B318}"/>
                </c:ext>
              </c:extLst>
            </c:dLbl>
            <c:dLbl>
              <c:idx val="3"/>
              <c:layout>
                <c:manualLayout>
                  <c:x val="0"/>
                  <c:y val="-2.651752354485101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0A1E-43A1-8ED3-5E663518B318}"/>
                </c:ext>
              </c:extLst>
            </c:dLbl>
            <c:dLbl>
              <c:idx val="4"/>
              <c:layout>
                <c:manualLayout>
                  <c:x val="-1.3271870427961211E-2"/>
                  <c:y val="5.2903504708970199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9-0A1E-43A1-8ED3-5E663518B318}"/>
                </c:ext>
              </c:extLst>
            </c:dLbl>
            <c:dLbl>
              <c:idx val="5"/>
              <c:layout>
                <c:manualLayout>
                  <c:x val="-8.7557878794562449E-2"/>
                  <c:y val="6.9334259688127217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B-0A1E-43A1-8ED3-5E663518B318}"/>
                </c:ext>
              </c:extLst>
            </c:dLbl>
            <c:dLbl>
              <c:idx val="6"/>
              <c:layout>
                <c:manualLayout>
                  <c:x val="-8.1376298550916423E-2"/>
                  <c:y val="4.9019607843137254E-3"/>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D-0A1E-43A1-8ED3-5E663518B318}"/>
                </c:ext>
              </c:extLst>
            </c:dLbl>
            <c:dLbl>
              <c:idx val="7"/>
              <c:layout>
                <c:manualLayout>
                  <c:x val="0.27633428174419372"/>
                  <c:y val="5.5011579434923576E-3"/>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extLst>
                <c:ext xmlns:c15="http://schemas.microsoft.com/office/drawing/2012/chart" uri="{CE6537A1-D6FC-4f65-9D91-7224C49458BB}">
                  <c15:layout>
                    <c:manualLayout>
                      <c:w val="0.39089026915113873"/>
                      <c:h val="0.12923544851011268"/>
                    </c:manualLayout>
                  </c15:layout>
                </c:ext>
                <c:ext xmlns:c16="http://schemas.microsoft.com/office/drawing/2014/chart" uri="{C3380CC4-5D6E-409C-BE32-E72D297353CC}">
                  <c16:uniqueId val="{0000000F-0A1E-43A1-8ED3-5E663518B3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'[projections charts.xlsx]pg 31'!$A$4:$A$11</c:f>
              <c:strCache>
                <c:ptCount val="8"/>
                <c:pt idx="0">
                  <c:v>Professionals</c:v>
                </c:pt>
                <c:pt idx="1">
                  <c:v>Community and Personal Service Workers</c:v>
                </c:pt>
                <c:pt idx="2">
                  <c:v>Managers</c:v>
                </c:pt>
                <c:pt idx="3">
                  <c:v>Technicians and Trades Workers</c:v>
                </c:pt>
                <c:pt idx="4">
                  <c:v>Labourers</c:v>
                </c:pt>
                <c:pt idx="5">
                  <c:v>Sales Workers</c:v>
                </c:pt>
                <c:pt idx="6">
                  <c:v>Machinery Operators and Drivers</c:v>
                </c:pt>
                <c:pt idx="7">
                  <c:v>Clerical and Administrative Workers</c:v>
                </c:pt>
              </c:strCache>
            </c:strRef>
          </c:cat>
          <c:val>
            <c:numRef>
              <c:f>'[projections charts.xlsx]pg 31'!$C$4:$C$11</c:f>
              <c:numCache>
                <c:formatCode>0%</c:formatCode>
                <c:ptCount val="8"/>
                <c:pt idx="0">
                  <c:v>0.36</c:v>
                </c:pt>
                <c:pt idx="1">
                  <c:v>0.26</c:v>
                </c:pt>
                <c:pt idx="2">
                  <c:v>0.13</c:v>
                </c:pt>
                <c:pt idx="3">
                  <c:v>0.09</c:v>
                </c:pt>
                <c:pt idx="4">
                  <c:v>7.0000000000000007E-2</c:v>
                </c:pt>
                <c:pt idx="5">
                  <c:v>0.04</c:v>
                </c:pt>
                <c:pt idx="6">
                  <c:v>0.03</c:v>
                </c:pt>
                <c:pt idx="7">
                  <c:v>0.02</c:v>
                </c:pt>
              </c:numCache>
            </c:numRef>
          </c:val>
          <c:extLst>
            <c:ext xmlns:c16="http://schemas.microsoft.com/office/drawing/2014/chart" uri="{C3380CC4-5D6E-409C-BE32-E72D297353CC}">
              <c16:uniqueId val="{00000010-0A1E-43A1-8ED3-5E663518B318}"/>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2-0A1E-43A1-8ED3-5E663518B3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4-0A1E-43A1-8ED3-5E663518B3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6-0A1E-43A1-8ED3-5E663518B3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8-0A1E-43A1-8ED3-5E663518B3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A-0A1E-43A1-8ED3-5E663518B31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C-0A1E-43A1-8ED3-5E663518B31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E-0A1E-43A1-8ED3-5E663518B31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0-0A1E-43A1-8ED3-5E663518B318}"/>
              </c:ext>
            </c:extLst>
          </c:dPt>
          <c:cat>
            <c:strRef>
              <c:f>'[projections charts.xlsx]pg 31'!$A$4:$A$11</c:f>
              <c:strCache>
                <c:ptCount val="8"/>
                <c:pt idx="0">
                  <c:v>Professionals</c:v>
                </c:pt>
                <c:pt idx="1">
                  <c:v>Community and Personal Service Workers</c:v>
                </c:pt>
                <c:pt idx="2">
                  <c:v>Managers</c:v>
                </c:pt>
                <c:pt idx="3">
                  <c:v>Technicians and Trades Workers</c:v>
                </c:pt>
                <c:pt idx="4">
                  <c:v>Labourers</c:v>
                </c:pt>
                <c:pt idx="5">
                  <c:v>Sales Workers</c:v>
                </c:pt>
                <c:pt idx="6">
                  <c:v>Machinery Operators and Drivers</c:v>
                </c:pt>
                <c:pt idx="7">
                  <c:v>Clerical and Administrative Workers</c:v>
                </c:pt>
              </c:strCache>
            </c:strRef>
          </c:cat>
          <c:val>
            <c:numRef>
              <c:f>'[projections charts.xlsx]pg 31'!$C$4:$C$11</c:f>
              <c:numCache>
                <c:formatCode>0%</c:formatCode>
                <c:ptCount val="8"/>
                <c:pt idx="0">
                  <c:v>0.36</c:v>
                </c:pt>
                <c:pt idx="1">
                  <c:v>0.26</c:v>
                </c:pt>
                <c:pt idx="2">
                  <c:v>0.13</c:v>
                </c:pt>
                <c:pt idx="3">
                  <c:v>0.09</c:v>
                </c:pt>
                <c:pt idx="4">
                  <c:v>7.0000000000000007E-2</c:v>
                </c:pt>
                <c:pt idx="5">
                  <c:v>0.04</c:v>
                </c:pt>
                <c:pt idx="6">
                  <c:v>0.03</c:v>
                </c:pt>
                <c:pt idx="7">
                  <c:v>0.02</c:v>
                </c:pt>
              </c:numCache>
            </c:numRef>
          </c:val>
          <c:extLst>
            <c:ext xmlns:c16="http://schemas.microsoft.com/office/drawing/2014/chart" uri="{C3380CC4-5D6E-409C-BE32-E72D297353CC}">
              <c16:uniqueId val="{00000021-0A1E-43A1-8ED3-5E663518B31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253472222222221E-2"/>
          <c:y val="9.7013888888888886E-2"/>
          <c:w val="0.95149305555555552"/>
          <c:h val="0.64832361111111114"/>
        </c:manualLayout>
      </c:layout>
      <c:barChart>
        <c:barDir val="bar"/>
        <c:grouping val="stacked"/>
        <c:varyColors val="0"/>
        <c:ser>
          <c:idx val="0"/>
          <c:order val="0"/>
          <c:tx>
            <c:strRef>
              <c:f>'Figure 2'!$B$4</c:f>
              <c:strCache>
                <c:ptCount val="1"/>
                <c:pt idx="0">
                  <c:v>Under 24 years</c:v>
                </c:pt>
              </c:strCache>
            </c:strRef>
          </c:tx>
          <c:spPr>
            <a:solidFill>
              <a:srgbClr val="41C8F4"/>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2'!$D$4</c:f>
              <c:numCache>
                <c:formatCode>0.0"%"</c:formatCode>
                <c:ptCount val="1"/>
                <c:pt idx="0">
                  <c:v>18.725103149395945</c:v>
                </c:pt>
              </c:numCache>
            </c:numRef>
          </c:val>
          <c:extLst>
            <c:ext xmlns:c16="http://schemas.microsoft.com/office/drawing/2014/chart" uri="{C3380CC4-5D6E-409C-BE32-E72D297353CC}">
              <c16:uniqueId val="{00000000-0D92-4976-A046-62A304A65B0A}"/>
            </c:ext>
          </c:extLst>
        </c:ser>
        <c:ser>
          <c:idx val="1"/>
          <c:order val="1"/>
          <c:tx>
            <c:strRef>
              <c:f>'Figure 2'!$B$5</c:f>
              <c:strCache>
                <c:ptCount val="1"/>
                <c:pt idx="0">
                  <c:v>25 - 29 years</c:v>
                </c:pt>
              </c:strCache>
            </c:strRef>
          </c:tx>
          <c:spPr>
            <a:solidFill>
              <a:srgbClr val="72BC95"/>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2'!$D$5</c:f>
              <c:numCache>
                <c:formatCode>0.0"%"</c:formatCode>
                <c:ptCount val="1"/>
                <c:pt idx="0">
                  <c:v>11.055388999376651</c:v>
                </c:pt>
              </c:numCache>
            </c:numRef>
          </c:val>
          <c:extLst>
            <c:ext xmlns:c16="http://schemas.microsoft.com/office/drawing/2014/chart" uri="{C3380CC4-5D6E-409C-BE32-E72D297353CC}">
              <c16:uniqueId val="{00000001-0D92-4976-A046-62A304A65B0A}"/>
            </c:ext>
          </c:extLst>
        </c:ser>
        <c:ser>
          <c:idx val="2"/>
          <c:order val="2"/>
          <c:tx>
            <c:strRef>
              <c:f>'Figure 2'!$B$6</c:f>
              <c:strCache>
                <c:ptCount val="1"/>
                <c:pt idx="0">
                  <c:v>30 - 39 years</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2'!$D$6</c:f>
              <c:numCache>
                <c:formatCode>0.0"%"</c:formatCode>
                <c:ptCount val="1"/>
                <c:pt idx="0">
                  <c:v>20.543352429576419</c:v>
                </c:pt>
              </c:numCache>
            </c:numRef>
          </c:val>
          <c:extLst>
            <c:ext xmlns:c16="http://schemas.microsoft.com/office/drawing/2014/chart" uri="{C3380CC4-5D6E-409C-BE32-E72D297353CC}">
              <c16:uniqueId val="{00000002-0D92-4976-A046-62A304A65B0A}"/>
            </c:ext>
          </c:extLst>
        </c:ser>
        <c:ser>
          <c:idx val="3"/>
          <c:order val="3"/>
          <c:tx>
            <c:strRef>
              <c:f>'Figure 2'!$B$7</c:f>
              <c:strCache>
                <c:ptCount val="1"/>
                <c:pt idx="0">
                  <c:v>40 - 49 years</c:v>
                </c:pt>
              </c:strCache>
            </c:strRef>
          </c:tx>
          <c:spPr>
            <a:solidFill>
              <a:srgbClr val="99CCFF"/>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2'!$D$7</c:f>
              <c:numCache>
                <c:formatCode>0.0"%"</c:formatCode>
                <c:ptCount val="1"/>
                <c:pt idx="0">
                  <c:v>22.035234052658137</c:v>
                </c:pt>
              </c:numCache>
            </c:numRef>
          </c:val>
          <c:extLst>
            <c:ext xmlns:c16="http://schemas.microsoft.com/office/drawing/2014/chart" uri="{C3380CC4-5D6E-409C-BE32-E72D297353CC}">
              <c16:uniqueId val="{00000003-0D92-4976-A046-62A304A65B0A}"/>
            </c:ext>
          </c:extLst>
        </c:ser>
        <c:ser>
          <c:idx val="4"/>
          <c:order val="4"/>
          <c:tx>
            <c:strRef>
              <c:f>'Figure 2'!$B$8</c:f>
              <c:strCache>
                <c:ptCount val="1"/>
                <c:pt idx="0">
                  <c:v>50 - 59 years</c:v>
                </c:pt>
              </c:strCache>
            </c:strRef>
          </c:tx>
          <c:spPr>
            <a:solidFill>
              <a:srgbClr val="8AC6A4"/>
            </a:solidFill>
            <a:ln>
              <a:solidFill>
                <a:schemeClr val="tx1"/>
              </a:solidFill>
            </a:ln>
            <a:effectLst/>
          </c:spPr>
          <c:invertIfNegative val="0"/>
          <c:dPt>
            <c:idx val="0"/>
            <c:invertIfNegative val="0"/>
            <c:bubble3D val="0"/>
            <c:spPr>
              <a:solidFill>
                <a:schemeClr val="accent5"/>
              </a:solidFill>
              <a:ln>
                <a:solidFill>
                  <a:schemeClr val="tx1"/>
                </a:solidFill>
              </a:ln>
              <a:effectLst/>
            </c:spPr>
            <c:extLst>
              <c:ext xmlns:c16="http://schemas.microsoft.com/office/drawing/2014/chart" uri="{C3380CC4-5D6E-409C-BE32-E72D297353CC}">
                <c16:uniqueId val="{00000000-F23D-479E-BBAA-76F8194163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2'!$D$8</c:f>
              <c:numCache>
                <c:formatCode>0.0"%"</c:formatCode>
                <c:ptCount val="1"/>
                <c:pt idx="0">
                  <c:v>16.911306361126776</c:v>
                </c:pt>
              </c:numCache>
            </c:numRef>
          </c:val>
          <c:extLst>
            <c:ext xmlns:c16="http://schemas.microsoft.com/office/drawing/2014/chart" uri="{C3380CC4-5D6E-409C-BE32-E72D297353CC}">
              <c16:uniqueId val="{00000004-0D92-4976-A046-62A304A65B0A}"/>
            </c:ext>
          </c:extLst>
        </c:ser>
        <c:ser>
          <c:idx val="5"/>
          <c:order val="5"/>
          <c:tx>
            <c:strRef>
              <c:f>'Figure 2'!$B$9</c:f>
              <c:strCache>
                <c:ptCount val="1"/>
                <c:pt idx="0">
                  <c:v>60 years and over</c:v>
                </c:pt>
              </c:strCache>
            </c:strRef>
          </c:tx>
          <c:spPr>
            <a:solidFill>
              <a:srgbClr val="8092BB"/>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2'!$D$9</c:f>
              <c:numCache>
                <c:formatCode>0.0"%"</c:formatCode>
                <c:ptCount val="1"/>
                <c:pt idx="0">
                  <c:v>10.729615007866069</c:v>
                </c:pt>
              </c:numCache>
            </c:numRef>
          </c:val>
          <c:extLst>
            <c:ext xmlns:c16="http://schemas.microsoft.com/office/drawing/2014/chart" uri="{C3380CC4-5D6E-409C-BE32-E72D297353CC}">
              <c16:uniqueId val="{00000005-0D92-4976-A046-62A304A65B0A}"/>
            </c:ext>
          </c:extLst>
        </c:ser>
        <c:dLbls>
          <c:dLblPos val="ctr"/>
          <c:showLegendKey val="0"/>
          <c:showVal val="1"/>
          <c:showCatName val="0"/>
          <c:showSerName val="0"/>
          <c:showPercent val="0"/>
          <c:showBubbleSize val="0"/>
        </c:dLbls>
        <c:gapWidth val="0"/>
        <c:overlap val="100"/>
        <c:axId val="518951464"/>
        <c:axId val="518950480"/>
      </c:barChart>
      <c:catAx>
        <c:axId val="518951464"/>
        <c:scaling>
          <c:orientation val="minMax"/>
        </c:scaling>
        <c:delete val="1"/>
        <c:axPos val="l"/>
        <c:numFmt formatCode="General" sourceLinked="1"/>
        <c:majorTickMark val="none"/>
        <c:minorTickMark val="none"/>
        <c:tickLblPos val="nextTo"/>
        <c:crossAx val="518950480"/>
        <c:crosses val="autoZero"/>
        <c:auto val="1"/>
        <c:lblAlgn val="ctr"/>
        <c:lblOffset val="100"/>
        <c:noMultiLvlLbl val="0"/>
      </c:catAx>
      <c:valAx>
        <c:axId val="518950480"/>
        <c:scaling>
          <c:orientation val="minMax"/>
          <c:max val="100"/>
        </c:scaling>
        <c:delete val="0"/>
        <c:axPos val="b"/>
        <c:numFmt formatCode="0.0&quot;%&quot;" sourceLinked="1"/>
        <c:majorTickMark val="none"/>
        <c:minorTickMark val="none"/>
        <c:tickLblPos val="none"/>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951464"/>
        <c:crosses val="autoZero"/>
        <c:crossBetween val="between"/>
      </c:valAx>
    </c:plotArea>
    <c:legend>
      <c:legendPos val="b"/>
      <c:layout>
        <c:manualLayout>
          <c:xMode val="edge"/>
          <c:yMode val="edge"/>
          <c:x val="0"/>
          <c:y val="0.7835854166666667"/>
          <c:w val="0.98197309711286085"/>
          <c:h val="0.20495972222222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ln>
      <a:noFill/>
    </a:ln>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'Figure 3'!$B$5</c:f>
              <c:strCache>
                <c:ptCount val="1"/>
                <c:pt idx="0">
                  <c:v>Under 12 months</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3'!$D$5</c:f>
              <c:numCache>
                <c:formatCode>0.0"%"</c:formatCode>
                <c:ptCount val="1"/>
                <c:pt idx="0">
                  <c:v>35.085042595505946</c:v>
                </c:pt>
              </c:numCache>
            </c:numRef>
          </c:val>
          <c:extLst>
            <c:ext xmlns:c16="http://schemas.microsoft.com/office/drawing/2014/chart" uri="{C3380CC4-5D6E-409C-BE32-E72D297353CC}">
              <c16:uniqueId val="{00000000-1920-4A44-A6C1-DAE9E1F67D20}"/>
            </c:ext>
          </c:extLst>
        </c:ser>
        <c:ser>
          <c:idx val="1"/>
          <c:order val="1"/>
          <c:tx>
            <c:strRef>
              <c:f>'Figure 3'!$B$6</c:f>
              <c:strCache>
                <c:ptCount val="1"/>
                <c:pt idx="0">
                  <c:v>12 - 23 mths</c:v>
                </c:pt>
              </c:strCache>
            </c:strRef>
          </c:tx>
          <c:spPr>
            <a:solidFill>
              <a:schemeClr val="accent2"/>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3'!$D$6</c:f>
              <c:numCache>
                <c:formatCode>0.0"%"</c:formatCode>
                <c:ptCount val="1"/>
                <c:pt idx="0">
                  <c:v>19.671702929739681</c:v>
                </c:pt>
              </c:numCache>
            </c:numRef>
          </c:val>
          <c:extLst>
            <c:ext xmlns:c16="http://schemas.microsoft.com/office/drawing/2014/chart" uri="{C3380CC4-5D6E-409C-BE32-E72D297353CC}">
              <c16:uniqueId val="{00000001-1920-4A44-A6C1-DAE9E1F67D20}"/>
            </c:ext>
          </c:extLst>
        </c:ser>
        <c:ser>
          <c:idx val="2"/>
          <c:order val="2"/>
          <c:tx>
            <c:strRef>
              <c:f>'Figure 3'!$B$7</c:f>
              <c:strCache>
                <c:ptCount val="1"/>
                <c:pt idx="0">
                  <c:v>24 - 59 mths</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3'!$D$7</c:f>
              <c:numCache>
                <c:formatCode>0.0"%"</c:formatCode>
                <c:ptCount val="1"/>
                <c:pt idx="0">
                  <c:v>26.097687672534057</c:v>
                </c:pt>
              </c:numCache>
            </c:numRef>
          </c:val>
          <c:extLst>
            <c:ext xmlns:c16="http://schemas.microsoft.com/office/drawing/2014/chart" uri="{C3380CC4-5D6E-409C-BE32-E72D297353CC}">
              <c16:uniqueId val="{00000002-1920-4A44-A6C1-DAE9E1F67D20}"/>
            </c:ext>
          </c:extLst>
        </c:ser>
        <c:ser>
          <c:idx val="3"/>
          <c:order val="3"/>
          <c:tx>
            <c:strRef>
              <c:f>'Figure 3'!$B$8</c:f>
              <c:strCache>
                <c:ptCount val="1"/>
                <c:pt idx="0">
                  <c:v>60 months or more</c:v>
                </c:pt>
              </c:strCache>
            </c:strRef>
          </c:tx>
          <c:spPr>
            <a:solidFill>
              <a:schemeClr val="accent4"/>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'Figure 3'!$D$8</c:f>
              <c:numCache>
                <c:formatCode>0.0"%"</c:formatCode>
                <c:ptCount val="1"/>
                <c:pt idx="0">
                  <c:v>19.145566802220308</c:v>
                </c:pt>
              </c:numCache>
            </c:numRef>
          </c:val>
          <c:extLst>
            <c:ext xmlns:c16="http://schemas.microsoft.com/office/drawing/2014/chart" uri="{C3380CC4-5D6E-409C-BE32-E72D297353CC}">
              <c16:uniqueId val="{00000003-1920-4A44-A6C1-DAE9E1F67D20}"/>
            </c:ext>
          </c:extLst>
        </c:ser>
        <c:dLbls>
          <c:dLblPos val="ctr"/>
          <c:showLegendKey val="0"/>
          <c:showVal val="1"/>
          <c:showCatName val="0"/>
          <c:showSerName val="0"/>
          <c:showPercent val="0"/>
          <c:showBubbleSize val="0"/>
        </c:dLbls>
        <c:gapWidth val="0"/>
        <c:overlap val="100"/>
        <c:axId val="518951464"/>
        <c:axId val="518950480"/>
      </c:barChart>
      <c:catAx>
        <c:axId val="518951464"/>
        <c:scaling>
          <c:orientation val="minMax"/>
        </c:scaling>
        <c:delete val="1"/>
        <c:axPos val="l"/>
        <c:numFmt formatCode="General" sourceLinked="1"/>
        <c:majorTickMark val="none"/>
        <c:minorTickMark val="none"/>
        <c:tickLblPos val="nextTo"/>
        <c:crossAx val="518950480"/>
        <c:crosses val="autoZero"/>
        <c:auto val="1"/>
        <c:lblAlgn val="ctr"/>
        <c:lblOffset val="100"/>
        <c:noMultiLvlLbl val="0"/>
      </c:catAx>
      <c:valAx>
        <c:axId val="518950480"/>
        <c:scaling>
          <c:orientation val="minMax"/>
          <c:max val="100"/>
        </c:scaling>
        <c:delete val="0"/>
        <c:axPos val="b"/>
        <c:numFmt formatCode="0.0&quot;%&quot;" sourceLinked="1"/>
        <c:majorTickMark val="none"/>
        <c:minorTickMark val="none"/>
        <c:tickLblPos val="none"/>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951464"/>
        <c:crosses val="autoZero"/>
        <c:crossBetween val="between"/>
      </c:valAx>
    </c:plotArea>
    <c:legend>
      <c:legendPos val="b"/>
      <c:layout>
        <c:manualLayout>
          <c:xMode val="edge"/>
          <c:yMode val="edge"/>
          <c:x val="0"/>
          <c:y val="0.84330763888888893"/>
          <c:w val="0.98197309711286085"/>
          <c:h val="0.14523749999999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ln>
      <a:noFill/>
    </a:ln>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1"/>
          <c:h val="0.8612543796857929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Sheet1!$A$31:$A$33</c:f>
              <c:strCache>
                <c:ptCount val="3"/>
                <c:pt idx="0">
                  <c:v>Stream A</c:v>
                </c:pt>
                <c:pt idx="1">
                  <c:v>Stream B</c:v>
                </c:pt>
                <c:pt idx="2">
                  <c:v>Stream C</c:v>
                </c:pt>
              </c:strCache>
            </c:strRef>
          </c:cat>
          <c:val>
            <c:numRef>
              <c:f>Sheet1!$B$31:$B$33</c:f>
              <c:numCache>
                <c:formatCode>0.0%</c:formatCode>
                <c:ptCount val="3"/>
                <c:pt idx="0">
                  <c:v>0.40195529246118561</c:v>
                </c:pt>
                <c:pt idx="1">
                  <c:v>0.80126802388088592</c:v>
                </c:pt>
                <c:pt idx="2">
                  <c:v>0.88394123012182013</c:v>
                </c:pt>
              </c:numCache>
            </c:numRef>
          </c:val>
          <c:extLst>
            <c:ext xmlns:c16="http://schemas.microsoft.com/office/drawing/2014/chart" uri="{C3380CC4-5D6E-409C-BE32-E72D297353CC}">
              <c16:uniqueId val="{00000000-4101-4532-9AFD-D76AF35E9786}"/>
            </c:ext>
          </c:extLst>
        </c:ser>
        <c:dLbls>
          <c:showLegendKey val="0"/>
          <c:showVal val="0"/>
          <c:showCatName val="0"/>
          <c:showSerName val="0"/>
          <c:showPercent val="0"/>
          <c:showBubbleSize val="0"/>
        </c:dLbls>
        <c:gapWidth val="219"/>
        <c:overlap val="-27"/>
        <c:axId val="506140272"/>
        <c:axId val="506134696"/>
      </c:barChart>
      <c:catAx>
        <c:axId val="5061402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06134696"/>
        <c:crosses val="autoZero"/>
        <c:auto val="1"/>
        <c:lblAlgn val="ctr"/>
        <c:lblOffset val="100"/>
        <c:noMultiLvlLbl val="0"/>
      </c:catAx>
      <c:valAx>
        <c:axId val="506134696"/>
        <c:scaling>
          <c:orientation val="minMax"/>
        </c:scaling>
        <c:delete val="1"/>
        <c:axPos val="l"/>
        <c:numFmt formatCode="0.0%" sourceLinked="1"/>
        <c:majorTickMark val="none"/>
        <c:minorTickMark val="none"/>
        <c:tickLblPos val="nextTo"/>
        <c:crossAx val="506140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71665633177726E-2"/>
          <c:y val="4.1725930231377301E-2"/>
          <c:w val="0.8480666736865915"/>
          <c:h val="0.77490309249775535"/>
        </c:manualLayout>
      </c:layout>
      <c:barChart>
        <c:barDir val="col"/>
        <c:grouping val="clustered"/>
        <c:varyColors val="0"/>
        <c:ser>
          <c:idx val="0"/>
          <c:order val="0"/>
          <c:tx>
            <c:strRef>
              <c:f>'total LTU'!$B$1</c:f>
              <c:strCache>
                <c:ptCount val="1"/>
                <c:pt idx="0">
                  <c:v>LTU Caseload (LHS)</c:v>
                </c:pt>
              </c:strCache>
            </c:strRef>
          </c:tx>
          <c:spPr>
            <a:solidFill>
              <a:schemeClr val="accent1"/>
            </a:solidFill>
            <a:ln>
              <a:noFill/>
            </a:ln>
            <a:effectLst/>
          </c:spPr>
          <c:invertIfNegative val="0"/>
          <c:cat>
            <c:numRef>
              <c:f>'total LTU'!$A$2:$A$35</c:f>
              <c:numCache>
                <c:formatCode>m/d/yyyy</c:formatCode>
                <c:ptCount val="34"/>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numCache>
            </c:numRef>
          </c:cat>
          <c:val>
            <c:numRef>
              <c:f>'total LTU'!$B$2:$B$36</c:f>
              <c:numCache>
                <c:formatCode>#,##0</c:formatCode>
                <c:ptCount val="35"/>
                <c:pt idx="0">
                  <c:v>463921</c:v>
                </c:pt>
                <c:pt idx="1">
                  <c:v>459147</c:v>
                </c:pt>
                <c:pt idx="2">
                  <c:v>458446</c:v>
                </c:pt>
                <c:pt idx="3">
                  <c:v>458421</c:v>
                </c:pt>
                <c:pt idx="4">
                  <c:v>458180</c:v>
                </c:pt>
                <c:pt idx="5">
                  <c:v>458560</c:v>
                </c:pt>
                <c:pt idx="6">
                  <c:v>468191</c:v>
                </c:pt>
                <c:pt idx="7">
                  <c:v>471751</c:v>
                </c:pt>
                <c:pt idx="8">
                  <c:v>466882</c:v>
                </c:pt>
                <c:pt idx="9">
                  <c:v>466576</c:v>
                </c:pt>
                <c:pt idx="10">
                  <c:v>462251</c:v>
                </c:pt>
                <c:pt idx="11">
                  <c:v>458611</c:v>
                </c:pt>
                <c:pt idx="12">
                  <c:v>457274</c:v>
                </c:pt>
                <c:pt idx="13">
                  <c:v>454369</c:v>
                </c:pt>
                <c:pt idx="14">
                  <c:v>451350</c:v>
                </c:pt>
                <c:pt idx="15">
                  <c:v>448862</c:v>
                </c:pt>
                <c:pt idx="16">
                  <c:v>447948</c:v>
                </c:pt>
                <c:pt idx="17">
                  <c:v>446871</c:v>
                </c:pt>
                <c:pt idx="18">
                  <c:v>452272</c:v>
                </c:pt>
                <c:pt idx="19">
                  <c:v>453846</c:v>
                </c:pt>
                <c:pt idx="20">
                  <c:v>452813</c:v>
                </c:pt>
                <c:pt idx="21">
                  <c:v>453116</c:v>
                </c:pt>
                <c:pt idx="22">
                  <c:v>454260</c:v>
                </c:pt>
                <c:pt idx="23">
                  <c:v>453344</c:v>
                </c:pt>
                <c:pt idx="24">
                  <c:v>451541</c:v>
                </c:pt>
                <c:pt idx="25">
                  <c:v>451333</c:v>
                </c:pt>
                <c:pt idx="26">
                  <c:v>450371</c:v>
                </c:pt>
                <c:pt idx="27">
                  <c:v>448701</c:v>
                </c:pt>
                <c:pt idx="28">
                  <c:v>448975</c:v>
                </c:pt>
                <c:pt idx="29">
                  <c:v>449156</c:v>
                </c:pt>
                <c:pt idx="30">
                  <c:v>456461</c:v>
                </c:pt>
                <c:pt idx="31">
                  <c:v>453862</c:v>
                </c:pt>
                <c:pt idx="32">
                  <c:v>450173</c:v>
                </c:pt>
                <c:pt idx="33">
                  <c:v>444316</c:v>
                </c:pt>
                <c:pt idx="34">
                  <c:v>437384</c:v>
                </c:pt>
              </c:numCache>
            </c:numRef>
          </c:val>
          <c:extLst>
            <c:ext xmlns:c16="http://schemas.microsoft.com/office/drawing/2014/chart" uri="{C3380CC4-5D6E-409C-BE32-E72D297353CC}">
              <c16:uniqueId val="{00000000-54FB-41E3-9444-620089F258E2}"/>
            </c:ext>
          </c:extLst>
        </c:ser>
        <c:dLbls>
          <c:showLegendKey val="0"/>
          <c:showVal val="0"/>
          <c:showCatName val="0"/>
          <c:showSerName val="0"/>
          <c:showPercent val="0"/>
          <c:showBubbleSize val="0"/>
        </c:dLbls>
        <c:gapWidth val="219"/>
        <c:overlap val="-27"/>
        <c:axId val="446693576"/>
        <c:axId val="446695216"/>
      </c:barChart>
      <c:lineChart>
        <c:grouping val="standard"/>
        <c:varyColors val="0"/>
        <c:ser>
          <c:idx val="1"/>
          <c:order val="1"/>
          <c:tx>
            <c:strRef>
              <c:f>'total LTU'!$C$1</c:f>
              <c:strCache>
                <c:ptCount val="1"/>
                <c:pt idx="0">
                  <c:v>LTU % of Total Caseload (RHS)</c:v>
                </c:pt>
              </c:strCache>
            </c:strRef>
          </c:tx>
          <c:spPr>
            <a:ln w="28575" cap="rnd">
              <a:solidFill>
                <a:schemeClr val="accent6">
                  <a:lumMod val="75000"/>
                </a:schemeClr>
              </a:solidFill>
              <a:round/>
            </a:ln>
            <a:effectLst/>
          </c:spPr>
          <c:marker>
            <c:symbol val="none"/>
          </c:marker>
          <c:cat>
            <c:numRef>
              <c:f>'total LTU'!$A$2:$A$36</c:f>
              <c:numCache>
                <c:formatCode>m/d/yyyy</c:formatCode>
                <c:ptCount val="35"/>
                <c:pt idx="0">
                  <c:v>42216</c:v>
                </c:pt>
                <c:pt idx="1">
                  <c:v>42247</c:v>
                </c:pt>
                <c:pt idx="2">
                  <c:v>42277</c:v>
                </c:pt>
                <c:pt idx="3">
                  <c:v>42308</c:v>
                </c:pt>
                <c:pt idx="4">
                  <c:v>42338</c:v>
                </c:pt>
                <c:pt idx="5">
                  <c:v>42369</c:v>
                </c:pt>
                <c:pt idx="6">
                  <c:v>42400</c:v>
                </c:pt>
                <c:pt idx="7">
                  <c:v>42429</c:v>
                </c:pt>
                <c:pt idx="8">
                  <c:v>42460</c:v>
                </c:pt>
                <c:pt idx="9">
                  <c:v>42490</c:v>
                </c:pt>
                <c:pt idx="10">
                  <c:v>42521</c:v>
                </c:pt>
                <c:pt idx="11">
                  <c:v>42551</c:v>
                </c:pt>
                <c:pt idx="12">
                  <c:v>42582</c:v>
                </c:pt>
                <c:pt idx="13">
                  <c:v>42613</c:v>
                </c:pt>
                <c:pt idx="14">
                  <c:v>42643</c:v>
                </c:pt>
                <c:pt idx="15">
                  <c:v>42674</c:v>
                </c:pt>
                <c:pt idx="16">
                  <c:v>42704</c:v>
                </c:pt>
                <c:pt idx="17">
                  <c:v>42735</c:v>
                </c:pt>
                <c:pt idx="18">
                  <c:v>42766</c:v>
                </c:pt>
                <c:pt idx="19">
                  <c:v>42794</c:v>
                </c:pt>
                <c:pt idx="20">
                  <c:v>42825</c:v>
                </c:pt>
                <c:pt idx="21">
                  <c:v>42855</c:v>
                </c:pt>
                <c:pt idx="22">
                  <c:v>42886</c:v>
                </c:pt>
                <c:pt idx="23">
                  <c:v>42916</c:v>
                </c:pt>
                <c:pt idx="24">
                  <c:v>42947</c:v>
                </c:pt>
                <c:pt idx="25">
                  <c:v>42978</c:v>
                </c:pt>
                <c:pt idx="26">
                  <c:v>43008</c:v>
                </c:pt>
                <c:pt idx="27">
                  <c:v>43039</c:v>
                </c:pt>
                <c:pt idx="28">
                  <c:v>43069</c:v>
                </c:pt>
                <c:pt idx="29">
                  <c:v>43100</c:v>
                </c:pt>
                <c:pt idx="30">
                  <c:v>43131</c:v>
                </c:pt>
                <c:pt idx="31">
                  <c:v>43159</c:v>
                </c:pt>
                <c:pt idx="32">
                  <c:v>43190</c:v>
                </c:pt>
                <c:pt idx="33">
                  <c:v>43220</c:v>
                </c:pt>
                <c:pt idx="34">
                  <c:v>43251</c:v>
                </c:pt>
              </c:numCache>
            </c:numRef>
          </c:cat>
          <c:val>
            <c:numRef>
              <c:f>'total LTU'!$C$2:$C$36</c:f>
              <c:numCache>
                <c:formatCode>0.0%</c:formatCode>
                <c:ptCount val="35"/>
                <c:pt idx="0">
                  <c:v>0.60053876464709754</c:v>
                </c:pt>
                <c:pt idx="1">
                  <c:v>0.59732344270783189</c:v>
                </c:pt>
                <c:pt idx="2">
                  <c:v>0.60147256778351255</c:v>
                </c:pt>
                <c:pt idx="3">
                  <c:v>0.604993341946791</c:v>
                </c:pt>
                <c:pt idx="4">
                  <c:v>0.60330105141186774</c:v>
                </c:pt>
                <c:pt idx="5">
                  <c:v>0.6029051360533485</c:v>
                </c:pt>
                <c:pt idx="6">
                  <c:v>0.59854515702204636</c:v>
                </c:pt>
                <c:pt idx="7">
                  <c:v>0.5967339400800703</c:v>
                </c:pt>
                <c:pt idx="8">
                  <c:v>0.59966605443312737</c:v>
                </c:pt>
                <c:pt idx="9">
                  <c:v>0.59553871838989503</c:v>
                </c:pt>
                <c:pt idx="10">
                  <c:v>0.59363714818486768</c:v>
                </c:pt>
                <c:pt idx="11">
                  <c:v>0.59304015662298504</c:v>
                </c:pt>
                <c:pt idx="12">
                  <c:v>0.59555929492606208</c:v>
                </c:pt>
                <c:pt idx="13">
                  <c:v>0.59893992001286545</c:v>
                </c:pt>
                <c:pt idx="14">
                  <c:v>0.60065235356977931</c:v>
                </c:pt>
                <c:pt idx="15">
                  <c:v>0.60237804468898881</c:v>
                </c:pt>
                <c:pt idx="16">
                  <c:v>0.60007876948138061</c:v>
                </c:pt>
                <c:pt idx="17">
                  <c:v>0.60474762429324247</c:v>
                </c:pt>
                <c:pt idx="18">
                  <c:v>0.60193862055289149</c:v>
                </c:pt>
                <c:pt idx="19">
                  <c:v>0.60542263901765525</c:v>
                </c:pt>
                <c:pt idx="20">
                  <c:v>0.60637262188369179</c:v>
                </c:pt>
                <c:pt idx="21">
                  <c:v>0.61662194013358085</c:v>
                </c:pt>
                <c:pt idx="22">
                  <c:v>0.61456829641495059</c:v>
                </c:pt>
                <c:pt idx="23">
                  <c:v>0.61792195011578954</c:v>
                </c:pt>
                <c:pt idx="24">
                  <c:v>0.62341967452578151</c:v>
                </c:pt>
                <c:pt idx="25">
                  <c:v>0.62764815335022517</c:v>
                </c:pt>
                <c:pt idx="26">
                  <c:v>0.63036294391731973</c:v>
                </c:pt>
                <c:pt idx="27">
                  <c:v>0.62949515639138887</c:v>
                </c:pt>
                <c:pt idx="28">
                  <c:v>0.63458287633283961</c:v>
                </c:pt>
                <c:pt idx="29">
                  <c:v>0.63780546163775287</c:v>
                </c:pt>
                <c:pt idx="30">
                  <c:v>0.63048492784370924</c:v>
                </c:pt>
                <c:pt idx="31">
                  <c:v>0.6364561889643644</c:v>
                </c:pt>
                <c:pt idx="32">
                  <c:v>0.64419942473633751</c:v>
                </c:pt>
                <c:pt idx="33">
                  <c:v>0.64580720086162668</c:v>
                </c:pt>
                <c:pt idx="34">
                  <c:v>0.64914957404494045</c:v>
                </c:pt>
              </c:numCache>
            </c:numRef>
          </c:val>
          <c:smooth val="1"/>
          <c:extLst>
            <c:ext xmlns:c16="http://schemas.microsoft.com/office/drawing/2014/chart" uri="{C3380CC4-5D6E-409C-BE32-E72D297353CC}">
              <c16:uniqueId val="{00000001-54FB-41E3-9444-620089F258E2}"/>
            </c:ext>
          </c:extLst>
        </c:ser>
        <c:dLbls>
          <c:showLegendKey val="0"/>
          <c:showVal val="0"/>
          <c:showCatName val="0"/>
          <c:showSerName val="0"/>
          <c:showPercent val="0"/>
          <c:showBubbleSize val="0"/>
        </c:dLbls>
        <c:marker val="1"/>
        <c:smooth val="0"/>
        <c:axId val="446680784"/>
        <c:axId val="446679800"/>
      </c:lineChart>
      <c:valAx>
        <c:axId val="446679800"/>
        <c:scaling>
          <c:orientation val="minMax"/>
        </c:scaling>
        <c:delete val="0"/>
        <c:axPos val="r"/>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6680784"/>
        <c:crosses val="max"/>
        <c:crossBetween val="between"/>
      </c:valAx>
      <c:dateAx>
        <c:axId val="446680784"/>
        <c:scaling>
          <c:orientation val="minMax"/>
        </c:scaling>
        <c:delete val="0"/>
        <c:axPos val="b"/>
        <c:numFmt formatCode="m/d/yyyy"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crossAx val="446679800"/>
        <c:crosses val="autoZero"/>
        <c:auto val="1"/>
        <c:lblOffset val="100"/>
        <c:baseTimeUnit val="months"/>
        <c:majorUnit val="2"/>
        <c:majorTimeUnit val="months"/>
      </c:dateAx>
      <c:valAx>
        <c:axId val="446695216"/>
        <c:scaling>
          <c:orientation val="minMax"/>
          <c:min val="300000"/>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6693576"/>
        <c:crosses val="autoZero"/>
        <c:crossBetween val="between"/>
      </c:valAx>
      <c:dateAx>
        <c:axId val="446693576"/>
        <c:scaling>
          <c:orientation val="minMax"/>
        </c:scaling>
        <c:delete val="1"/>
        <c:axPos val="b"/>
        <c:numFmt formatCode="m/d/yyyy" sourceLinked="1"/>
        <c:majorTickMark val="out"/>
        <c:minorTickMark val="none"/>
        <c:tickLblPos val="nextTo"/>
        <c:crossAx val="446695216"/>
        <c:crosses val="autoZero"/>
        <c:auto val="1"/>
        <c:lblOffset val="100"/>
        <c:baseTimeUnit val="months"/>
        <c:majorUnit val="1"/>
        <c:minorUnit val="1"/>
      </c:dateAx>
      <c:spPr>
        <a:noFill/>
        <a:ln>
          <a:noFill/>
        </a:ln>
        <a:effectLst/>
      </c:spPr>
    </c:plotArea>
    <c:legend>
      <c:legendPos val="b"/>
      <c:layout>
        <c:manualLayout>
          <c:xMode val="edge"/>
          <c:yMode val="edge"/>
          <c:x val="0.22948446451622967"/>
          <c:y val="2.56042494141345E-2"/>
          <c:w val="0.54103091496920985"/>
          <c:h val="6.40118182649061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3464378103816"/>
          <c:y val="3.1413869149718207E-2"/>
          <c:w val="0.84326535621896181"/>
          <c:h val="0.77165740217292744"/>
        </c:manualLayout>
      </c:layout>
      <c:barChart>
        <c:barDir val="col"/>
        <c:grouping val="clustered"/>
        <c:varyColors val="0"/>
        <c:ser>
          <c:idx val="0"/>
          <c:order val="0"/>
          <c:spPr>
            <a:solidFill>
              <a:srgbClr val="002060"/>
            </a:solidFill>
            <a:ln>
              <a:noFill/>
            </a:ln>
            <a:effectLst/>
          </c:spPr>
          <c:invertIfNegative val="0"/>
          <c:dPt>
            <c:idx val="4"/>
            <c:invertIfNegative val="0"/>
            <c:bubble3D val="0"/>
            <c:spPr>
              <a:solidFill>
                <a:schemeClr val="accent2"/>
              </a:solidFill>
              <a:ln>
                <a:noFill/>
              </a:ln>
              <a:effectLst/>
            </c:spPr>
            <c:extLst>
              <c:ext xmlns:c16="http://schemas.microsoft.com/office/drawing/2014/chart" uri="{C3380CC4-5D6E-409C-BE32-E72D297353CC}">
                <c16:uniqueId val="{00000001-55C8-4699-A352-D32116ED02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'[Declared Earnings - by duration on caseload (002).xlsx]Analysis and summary'!$B$4:$B$8</c:f>
              <c:strCache>
                <c:ptCount val="5"/>
                <c:pt idx="0">
                  <c:v>Under 12 months</c:v>
                </c:pt>
                <c:pt idx="1">
                  <c:v>12 to 23 months</c:v>
                </c:pt>
                <c:pt idx="2">
                  <c:v>24 to 59 months</c:v>
                </c:pt>
                <c:pt idx="3">
                  <c:v>60 months or more</c:v>
                </c:pt>
                <c:pt idx="4">
                  <c:v>Average</c:v>
                </c:pt>
              </c:strCache>
            </c:strRef>
          </c:cat>
          <c:val>
            <c:numRef>
              <c:f>'[Declared Earnings - by duration on caseload (002).xlsx]Analysis and summary'!$C$4:$C$8</c:f>
              <c:numCache>
                <c:formatCode>0.0%</c:formatCode>
                <c:ptCount val="5"/>
                <c:pt idx="0">
                  <c:v>0.33186893496569492</c:v>
                </c:pt>
                <c:pt idx="1">
                  <c:v>0.3040222810116312</c:v>
                </c:pt>
                <c:pt idx="2">
                  <c:v>0.28336829331790897</c:v>
                </c:pt>
                <c:pt idx="3">
                  <c:v>0.23146620932551201</c:v>
                </c:pt>
                <c:pt idx="4">
                  <c:v>0.29569930748311396</c:v>
                </c:pt>
              </c:numCache>
            </c:numRef>
          </c:val>
          <c:extLst>
            <c:ext xmlns:c16="http://schemas.microsoft.com/office/drawing/2014/chart" uri="{C3380CC4-5D6E-409C-BE32-E72D297353CC}">
              <c16:uniqueId val="{00000002-55C8-4699-A352-D32116ED027B}"/>
            </c:ext>
          </c:extLst>
        </c:ser>
        <c:dLbls>
          <c:showLegendKey val="0"/>
          <c:showVal val="0"/>
          <c:showCatName val="0"/>
          <c:showSerName val="0"/>
          <c:showPercent val="0"/>
          <c:showBubbleSize val="0"/>
        </c:dLbls>
        <c:gapWidth val="219"/>
        <c:overlap val="-27"/>
        <c:axId val="448155408"/>
        <c:axId val="448155736"/>
      </c:barChart>
      <c:catAx>
        <c:axId val="4481554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AU" sz="900" b="0">
                    <a:solidFill>
                      <a:schemeClr val="tx1"/>
                    </a:solidFill>
                  </a:rPr>
                  <a:t>Duration on caseload </a:t>
                </a:r>
              </a:p>
            </c:rich>
          </c:tx>
          <c:layout>
            <c:manualLayout>
              <c:xMode val="edge"/>
              <c:yMode val="edge"/>
              <c:x val="0.41577119811331431"/>
              <c:y val="0.948165442641974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155736"/>
        <c:crosses val="autoZero"/>
        <c:auto val="1"/>
        <c:lblAlgn val="ctr"/>
        <c:lblOffset val="100"/>
        <c:noMultiLvlLbl val="0"/>
      </c:catAx>
      <c:valAx>
        <c:axId val="44815573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AU" sz="900" b="0">
                    <a:solidFill>
                      <a:schemeClr val="tx1"/>
                    </a:solidFill>
                  </a:rPr>
                  <a:t>Average proportion (%) of the caseload declaring earnings</a:t>
                </a:r>
              </a:p>
            </c:rich>
          </c:tx>
          <c:layout>
            <c:manualLayout>
              <c:xMode val="edge"/>
              <c:yMode val="edge"/>
              <c:x val="8.1598972790271722E-3"/>
              <c:y val="7.7983215061080344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4481554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31858571211788E-2"/>
          <c:y val="1.8753799220489351E-2"/>
          <c:w val="0.913325633546342"/>
          <c:h val="0.91910957160251894"/>
        </c:manualLayout>
      </c:layout>
      <c:barChart>
        <c:barDir val="col"/>
        <c:grouping val="clustered"/>
        <c:varyColors val="0"/>
        <c:ser>
          <c:idx val="0"/>
          <c:order val="0"/>
          <c:tx>
            <c:strRef>
              <c:f>'Fig 1'!$C$4</c:f>
              <c:strCache>
                <c:ptCount val="1"/>
                <c:pt idx="0">
                  <c:v>Placements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'Fig 1'!$B$5:$B$8</c:f>
              <c:strCache>
                <c:ptCount val="4"/>
                <c:pt idx="0">
                  <c:v>Under 12 months</c:v>
                </c:pt>
                <c:pt idx="1">
                  <c:v>12 to 23 months</c:v>
                </c:pt>
                <c:pt idx="2">
                  <c:v>24 to 59 months</c:v>
                </c:pt>
                <c:pt idx="3">
                  <c:v>60 months or more</c:v>
                </c:pt>
              </c:strCache>
            </c:strRef>
          </c:cat>
          <c:val>
            <c:numRef>
              <c:f>'Fig 1'!$C$5:$C$8</c:f>
              <c:numCache>
                <c:formatCode>#,##0</c:formatCode>
                <c:ptCount val="4"/>
                <c:pt idx="0">
                  <c:v>507700</c:v>
                </c:pt>
                <c:pt idx="1">
                  <c:v>219860</c:v>
                </c:pt>
                <c:pt idx="2">
                  <c:v>232870</c:v>
                </c:pt>
                <c:pt idx="3">
                  <c:v>93930</c:v>
                </c:pt>
              </c:numCache>
            </c:numRef>
          </c:val>
          <c:extLst>
            <c:ext xmlns:c16="http://schemas.microsoft.com/office/drawing/2014/chart" uri="{C3380CC4-5D6E-409C-BE32-E72D297353CC}">
              <c16:uniqueId val="{00000000-3DE8-4DE8-A3BC-6C3B92CE80CC}"/>
            </c:ext>
          </c:extLst>
        </c:ser>
        <c:ser>
          <c:idx val="1"/>
          <c:order val="1"/>
          <c:tx>
            <c:strRef>
              <c:f>'Fig 1'!$D$4</c:f>
              <c:strCache>
                <c:ptCount val="1"/>
                <c:pt idx="0">
                  <c:v>4-Week Outcomes</c:v>
                </c:pt>
              </c:strCache>
            </c:strRef>
          </c:tx>
          <c:spPr>
            <a:solidFill>
              <a:schemeClr val="accent2"/>
            </a:solidFill>
            <a:ln>
              <a:noFill/>
            </a:ln>
            <a:effectLst/>
          </c:spPr>
          <c:invertIfNegative val="0"/>
          <c:dLbls>
            <c:dLbl>
              <c:idx val="0"/>
              <c:layout>
                <c:manualLayout>
                  <c:x val="1.2858880035424358E-2"/>
                  <c:y val="3.410697989944018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DE8-4DE8-A3BC-6C3B92CE80CC}"/>
                </c:ext>
              </c:extLst>
            </c:dLbl>
            <c:dLbl>
              <c:idx val="1"/>
              <c:layout>
                <c:manualLayout>
                  <c:x val="1.0715733362853553E-2"/>
                  <c:y val="-1.023209396983224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DE8-4DE8-A3BC-6C3B92CE80CC}"/>
                </c:ext>
              </c:extLst>
            </c:dLbl>
            <c:dLbl>
              <c:idx val="2"/>
              <c:layout>
                <c:manualLayout>
                  <c:x val="1.4997976667039045E-2"/>
                  <c:y val="-1.670758609058276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DE8-4DE8-A3BC-6C3B92CE80CC}"/>
                </c:ext>
              </c:extLst>
            </c:dLbl>
            <c:dLbl>
              <c:idx val="3"/>
              <c:layout>
                <c:manualLayout>
                  <c:x val="6.4294400177121788E-3"/>
                  <c:y val="-1.70534899497204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DE8-4DE8-A3BC-6C3B92CE8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1'!$B$5:$B$8</c:f>
              <c:strCache>
                <c:ptCount val="4"/>
                <c:pt idx="0">
                  <c:v>Under 12 months</c:v>
                </c:pt>
                <c:pt idx="1">
                  <c:v>12 to 23 months</c:v>
                </c:pt>
                <c:pt idx="2">
                  <c:v>24 to 59 months</c:v>
                </c:pt>
                <c:pt idx="3">
                  <c:v>60 months or more</c:v>
                </c:pt>
              </c:strCache>
            </c:strRef>
          </c:cat>
          <c:val>
            <c:numRef>
              <c:f>'Fig 1'!$D$5:$D$8</c:f>
              <c:numCache>
                <c:formatCode>#,##0</c:formatCode>
                <c:ptCount val="4"/>
                <c:pt idx="0">
                  <c:v>256620</c:v>
                </c:pt>
                <c:pt idx="1">
                  <c:v>125180</c:v>
                </c:pt>
                <c:pt idx="2">
                  <c:v>125440</c:v>
                </c:pt>
                <c:pt idx="3">
                  <c:v>45590</c:v>
                </c:pt>
              </c:numCache>
            </c:numRef>
          </c:val>
          <c:extLst>
            <c:ext xmlns:c16="http://schemas.microsoft.com/office/drawing/2014/chart" uri="{C3380CC4-5D6E-409C-BE32-E72D297353CC}">
              <c16:uniqueId val="{00000005-3DE8-4DE8-A3BC-6C3B92CE80CC}"/>
            </c:ext>
          </c:extLst>
        </c:ser>
        <c:ser>
          <c:idx val="2"/>
          <c:order val="2"/>
          <c:tx>
            <c:strRef>
              <c:f>'Fig 1'!$E$4</c:f>
              <c:strCache>
                <c:ptCount val="1"/>
                <c:pt idx="0">
                  <c:v>12-Week Outcomes</c:v>
                </c:pt>
              </c:strCache>
            </c:strRef>
          </c:tx>
          <c:spPr>
            <a:solidFill>
              <a:schemeClr val="accent3"/>
            </a:solidFill>
            <a:ln>
              <a:noFill/>
            </a:ln>
            <a:effectLst/>
          </c:spPr>
          <c:invertIfNegative val="0"/>
          <c:dLbls>
            <c:dLbl>
              <c:idx val="0"/>
              <c:layout>
                <c:manualLayout>
                  <c:x val="1.5002026707995084E-2"/>
                  <c:y val="6.821395979888161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DE8-4DE8-A3BC-6C3B92CE80CC}"/>
                </c:ext>
              </c:extLst>
            </c:dLbl>
            <c:dLbl>
              <c:idx val="1"/>
              <c:layout>
                <c:manualLayout>
                  <c:x val="1.2858880035424279E-2"/>
                  <c:y val="1.023209396983211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DE8-4DE8-A3BC-6C3B92CE80CC}"/>
                </c:ext>
              </c:extLst>
            </c:dLbl>
            <c:dLbl>
              <c:idx val="2"/>
              <c:layout>
                <c:manualLayout>
                  <c:x val="1.4997321906802356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DE8-4DE8-A3BC-6C3B92CE80CC}"/>
                </c:ext>
              </c:extLst>
            </c:dLbl>
            <c:dLbl>
              <c:idx val="3"/>
              <c:layout>
                <c:manualLayout>
                  <c:x val="1.0715733362853475E-2"/>
                  <c:y val="-1.2505748162325034E-1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DE8-4DE8-A3BC-6C3B92CE8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1'!$B$5:$B$8</c:f>
              <c:strCache>
                <c:ptCount val="4"/>
                <c:pt idx="0">
                  <c:v>Under 12 months</c:v>
                </c:pt>
                <c:pt idx="1">
                  <c:v>12 to 23 months</c:v>
                </c:pt>
                <c:pt idx="2">
                  <c:v>24 to 59 months</c:v>
                </c:pt>
                <c:pt idx="3">
                  <c:v>60 months or more</c:v>
                </c:pt>
              </c:strCache>
            </c:strRef>
          </c:cat>
          <c:val>
            <c:numRef>
              <c:f>'Fig 1'!$E$5:$E$8</c:f>
              <c:numCache>
                <c:formatCode>#,##0</c:formatCode>
                <c:ptCount val="4"/>
                <c:pt idx="0">
                  <c:v>222410</c:v>
                </c:pt>
                <c:pt idx="1">
                  <c:v>104680</c:v>
                </c:pt>
                <c:pt idx="2">
                  <c:v>101760</c:v>
                </c:pt>
                <c:pt idx="3">
                  <c:v>35100</c:v>
                </c:pt>
              </c:numCache>
            </c:numRef>
          </c:val>
          <c:extLst>
            <c:ext xmlns:c16="http://schemas.microsoft.com/office/drawing/2014/chart" uri="{C3380CC4-5D6E-409C-BE32-E72D297353CC}">
              <c16:uniqueId val="{0000000A-3DE8-4DE8-A3BC-6C3B92CE80CC}"/>
            </c:ext>
          </c:extLst>
        </c:ser>
        <c:ser>
          <c:idx val="3"/>
          <c:order val="3"/>
          <c:tx>
            <c:strRef>
              <c:f>'Fig 1'!$F$4</c:f>
              <c:strCache>
                <c:ptCount val="1"/>
                <c:pt idx="0">
                  <c:v>26-Week Outcomes</c:v>
                </c:pt>
              </c:strCache>
            </c:strRef>
          </c:tx>
          <c:spPr>
            <a:solidFill>
              <a:schemeClr val="accent6">
                <a:lumMod val="40000"/>
                <a:lumOff val="60000"/>
              </a:schemeClr>
            </a:solidFill>
            <a:ln>
              <a:noFill/>
            </a:ln>
            <a:effectLst/>
          </c:spPr>
          <c:invertIfNegative val="0"/>
          <c:dLbls>
            <c:dLbl>
              <c:idx val="0"/>
              <c:layout>
                <c:manualLayout>
                  <c:x val="1.7145173380565811E-2"/>
                  <c:y val="3.4106979899440806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3DE8-4DE8-A3BC-6C3B92CE80CC}"/>
                </c:ext>
              </c:extLst>
            </c:dLbl>
            <c:dLbl>
              <c:idx val="1"/>
              <c:layout>
                <c:manualLayout>
                  <c:x val="1.0715733362853632E-2"/>
                  <c:y val="6.8213959798880362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3DE8-4DE8-A3BC-6C3B92CE80CC}"/>
                </c:ext>
              </c:extLst>
            </c:dLbl>
            <c:dLbl>
              <c:idx val="2"/>
              <c:layout>
                <c:manualLayout>
                  <c:x val="8.5698982324584113E-3"/>
                  <c:y val="6.7681895093061363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3DE8-4DE8-A3BC-6C3B92CE80CC}"/>
                </c:ext>
              </c:extLst>
            </c:dLbl>
            <c:dLbl>
              <c:idx val="3"/>
              <c:layout>
                <c:manualLayout>
                  <c:x val="8.5725866902827477E-3"/>
                  <c:y val="6.8213959798881611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3DE8-4DE8-A3BC-6C3B92CE8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1'!$B$5:$B$8</c:f>
              <c:strCache>
                <c:ptCount val="4"/>
                <c:pt idx="0">
                  <c:v>Under 12 months</c:v>
                </c:pt>
                <c:pt idx="1">
                  <c:v>12 to 23 months</c:v>
                </c:pt>
                <c:pt idx="2">
                  <c:v>24 to 59 months</c:v>
                </c:pt>
                <c:pt idx="3">
                  <c:v>60 months or more</c:v>
                </c:pt>
              </c:strCache>
            </c:strRef>
          </c:cat>
          <c:val>
            <c:numRef>
              <c:f>'Fig 1'!$F$5:$F$8</c:f>
              <c:numCache>
                <c:formatCode>#,##0</c:formatCode>
                <c:ptCount val="4"/>
                <c:pt idx="0">
                  <c:v>149530</c:v>
                </c:pt>
                <c:pt idx="1">
                  <c:v>64460</c:v>
                </c:pt>
                <c:pt idx="2">
                  <c:v>58170</c:v>
                </c:pt>
                <c:pt idx="3">
                  <c:v>17570</c:v>
                </c:pt>
              </c:numCache>
            </c:numRef>
          </c:val>
          <c:extLst>
            <c:ext xmlns:c16="http://schemas.microsoft.com/office/drawing/2014/chart" uri="{C3380CC4-5D6E-409C-BE32-E72D297353CC}">
              <c16:uniqueId val="{0000000F-3DE8-4DE8-A3BC-6C3B92CE80CC}"/>
            </c:ext>
          </c:extLst>
        </c:ser>
        <c:dLbls>
          <c:dLblPos val="outEnd"/>
          <c:showLegendKey val="0"/>
          <c:showVal val="1"/>
          <c:showCatName val="0"/>
          <c:showSerName val="0"/>
          <c:showPercent val="0"/>
          <c:showBubbleSize val="0"/>
        </c:dLbls>
        <c:gapWidth val="100"/>
        <c:axId val="379568592"/>
        <c:axId val="379569576"/>
      </c:barChart>
      <c:catAx>
        <c:axId val="3795685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569576"/>
        <c:crosses val="autoZero"/>
        <c:auto val="1"/>
        <c:lblAlgn val="ctr"/>
        <c:lblOffset val="100"/>
        <c:noMultiLvlLbl val="0"/>
      </c:catAx>
      <c:valAx>
        <c:axId val="379569576"/>
        <c:scaling>
          <c:orientation val="minMax"/>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568592"/>
        <c:crosses val="autoZero"/>
        <c:crossBetween val="between"/>
      </c:valAx>
      <c:spPr>
        <a:noFill/>
        <a:ln>
          <a:noFill/>
        </a:ln>
        <a:effectLst/>
      </c:spPr>
    </c:plotArea>
    <c:legend>
      <c:legendPos val="b"/>
      <c:layout>
        <c:manualLayout>
          <c:xMode val="edge"/>
          <c:yMode val="edge"/>
          <c:x val="0.17824888027421928"/>
          <c:y val="2.3766158226914032E-2"/>
          <c:w val="0.78169143629137294"/>
          <c:h val="8.28328515164931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050931924648649E-2"/>
          <c:y val="5.3396755439699739E-2"/>
          <c:w val="0.89531327571395347"/>
          <c:h val="0.74103249039262586"/>
        </c:manualLayout>
      </c:layout>
      <c:lineChart>
        <c:grouping val="standard"/>
        <c:varyColors val="0"/>
        <c:ser>
          <c:idx val="0"/>
          <c:order val="0"/>
          <c:tx>
            <c:strRef>
              <c:f>Sheet1!$H$2</c:f>
              <c:strCache>
                <c:ptCount val="1"/>
                <c:pt idx="0">
                  <c:v>All</c:v>
                </c:pt>
              </c:strCache>
            </c:strRef>
          </c:tx>
          <c:spPr>
            <a:ln w="28575" cap="rnd">
              <a:solidFill>
                <a:schemeClr val="accent1"/>
              </a:solidFill>
              <a:round/>
            </a:ln>
            <a:effectLst/>
          </c:spPr>
          <c:marker>
            <c:symbol val="none"/>
          </c:marker>
          <c:cat>
            <c:numRef>
              <c:f>Sheet1!$G$3:$G$70</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Sheet1!$H$3:$H$70</c:f>
              <c:numCache>
                <c:formatCode>General</c:formatCode>
                <c:ptCount val="68"/>
                <c:pt idx="1">
                  <c:v>5.9899999999999949</c:v>
                </c:pt>
                <c:pt idx="2">
                  <c:v>10.240000000000006</c:v>
                </c:pt>
                <c:pt idx="3">
                  <c:v>12.329999999999997</c:v>
                </c:pt>
                <c:pt idx="4">
                  <c:v>14.790000000000003</c:v>
                </c:pt>
                <c:pt idx="5">
                  <c:v>17.459999999999997</c:v>
                </c:pt>
                <c:pt idx="6">
                  <c:v>20.320000000000004</c:v>
                </c:pt>
                <c:pt idx="7">
                  <c:v>23.270000000000003</c:v>
                </c:pt>
                <c:pt idx="8">
                  <c:v>26.290000000000003</c:v>
                </c:pt>
                <c:pt idx="9">
                  <c:v>29.300000000000004</c:v>
                </c:pt>
                <c:pt idx="10">
                  <c:v>32.099999999999994</c:v>
                </c:pt>
                <c:pt idx="11">
                  <c:v>34.79</c:v>
                </c:pt>
                <c:pt idx="12">
                  <c:v>37.31</c:v>
                </c:pt>
                <c:pt idx="13">
                  <c:v>39.72</c:v>
                </c:pt>
                <c:pt idx="14">
                  <c:v>41.93</c:v>
                </c:pt>
                <c:pt idx="15">
                  <c:v>44.110000000000007</c:v>
                </c:pt>
                <c:pt idx="16">
                  <c:v>46.14</c:v>
                </c:pt>
                <c:pt idx="17">
                  <c:v>48.040000000000006</c:v>
                </c:pt>
                <c:pt idx="18">
                  <c:v>49.839999999999996</c:v>
                </c:pt>
                <c:pt idx="19">
                  <c:v>51.53</c:v>
                </c:pt>
                <c:pt idx="20">
                  <c:v>53.13</c:v>
                </c:pt>
                <c:pt idx="21">
                  <c:v>54.61</c:v>
                </c:pt>
                <c:pt idx="22">
                  <c:v>56.010000000000005</c:v>
                </c:pt>
                <c:pt idx="23">
                  <c:v>57.309999999999995</c:v>
                </c:pt>
                <c:pt idx="24">
                  <c:v>58.589999999999996</c:v>
                </c:pt>
                <c:pt idx="25">
                  <c:v>59.78</c:v>
                </c:pt>
                <c:pt idx="26">
                  <c:v>60.94</c:v>
                </c:pt>
                <c:pt idx="27">
                  <c:v>62.050000000000004</c:v>
                </c:pt>
                <c:pt idx="28">
                  <c:v>63.149999999999991</c:v>
                </c:pt>
                <c:pt idx="29">
                  <c:v>64.19</c:v>
                </c:pt>
                <c:pt idx="30">
                  <c:v>65.210000000000008</c:v>
                </c:pt>
                <c:pt idx="31">
                  <c:v>66.19</c:v>
                </c:pt>
                <c:pt idx="32">
                  <c:v>67.13</c:v>
                </c:pt>
                <c:pt idx="33">
                  <c:v>68.070000000000007</c:v>
                </c:pt>
                <c:pt idx="34">
                  <c:v>68.930000000000007</c:v>
                </c:pt>
                <c:pt idx="35">
                  <c:v>69.8</c:v>
                </c:pt>
                <c:pt idx="36">
                  <c:v>70.569999999999993</c:v>
                </c:pt>
                <c:pt idx="37">
                  <c:v>71.33</c:v>
                </c:pt>
                <c:pt idx="38">
                  <c:v>72.070000000000007</c:v>
                </c:pt>
                <c:pt idx="39">
                  <c:v>72.8</c:v>
                </c:pt>
                <c:pt idx="40">
                  <c:v>73.459999999999994</c:v>
                </c:pt>
                <c:pt idx="41">
                  <c:v>74.14</c:v>
                </c:pt>
                <c:pt idx="42">
                  <c:v>74.75</c:v>
                </c:pt>
                <c:pt idx="43">
                  <c:v>75.38</c:v>
                </c:pt>
                <c:pt idx="44">
                  <c:v>76</c:v>
                </c:pt>
                <c:pt idx="45">
                  <c:v>76.570000000000007</c:v>
                </c:pt>
                <c:pt idx="46">
                  <c:v>77.13</c:v>
                </c:pt>
                <c:pt idx="47">
                  <c:v>77.649999999999991</c:v>
                </c:pt>
                <c:pt idx="48">
                  <c:v>78.14</c:v>
                </c:pt>
                <c:pt idx="49">
                  <c:v>78.649999999999991</c:v>
                </c:pt>
                <c:pt idx="50">
                  <c:v>79.2</c:v>
                </c:pt>
                <c:pt idx="51">
                  <c:v>79.899999999999991</c:v>
                </c:pt>
                <c:pt idx="52">
                  <c:v>80.540000000000006</c:v>
                </c:pt>
                <c:pt idx="53">
                  <c:v>80.97999999999999</c:v>
                </c:pt>
                <c:pt idx="54">
                  <c:v>81.38</c:v>
                </c:pt>
                <c:pt idx="55">
                  <c:v>81.820000000000007</c:v>
                </c:pt>
                <c:pt idx="56">
                  <c:v>82.22</c:v>
                </c:pt>
                <c:pt idx="57">
                  <c:v>82.64</c:v>
                </c:pt>
                <c:pt idx="58">
                  <c:v>83</c:v>
                </c:pt>
                <c:pt idx="59">
                  <c:v>83.38</c:v>
                </c:pt>
                <c:pt idx="60">
                  <c:v>83.77</c:v>
                </c:pt>
                <c:pt idx="61">
                  <c:v>84.14</c:v>
                </c:pt>
                <c:pt idx="62">
                  <c:v>84.49</c:v>
                </c:pt>
                <c:pt idx="63">
                  <c:v>84.78</c:v>
                </c:pt>
                <c:pt idx="64">
                  <c:v>85.11999999999999</c:v>
                </c:pt>
                <c:pt idx="65">
                  <c:v>85.43</c:v>
                </c:pt>
                <c:pt idx="66">
                  <c:v>85.63000000000001</c:v>
                </c:pt>
                <c:pt idx="67">
                  <c:v>85.72999999999999</c:v>
                </c:pt>
              </c:numCache>
            </c:numRef>
          </c:val>
          <c:smooth val="0"/>
          <c:extLst>
            <c:ext xmlns:c16="http://schemas.microsoft.com/office/drawing/2014/chart" uri="{C3380CC4-5D6E-409C-BE32-E72D297353CC}">
              <c16:uniqueId val="{00000000-74A9-4535-92C0-C2501A0F9AFE}"/>
            </c:ext>
          </c:extLst>
        </c:ser>
        <c:ser>
          <c:idx val="1"/>
          <c:order val="1"/>
          <c:tx>
            <c:strRef>
              <c:f>Sheet1!$I$2</c:f>
              <c:strCache>
                <c:ptCount val="1"/>
                <c:pt idx="0">
                  <c:v>Stream A</c:v>
                </c:pt>
              </c:strCache>
            </c:strRef>
          </c:tx>
          <c:spPr>
            <a:ln w="28575" cap="rnd">
              <a:solidFill>
                <a:schemeClr val="accent2"/>
              </a:solidFill>
              <a:round/>
            </a:ln>
            <a:effectLst/>
          </c:spPr>
          <c:marker>
            <c:symbol val="none"/>
          </c:marker>
          <c:cat>
            <c:numRef>
              <c:f>Sheet1!$G$3:$G$70</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Sheet1!$I$3:$I$70</c:f>
              <c:numCache>
                <c:formatCode>General</c:formatCode>
                <c:ptCount val="68"/>
                <c:pt idx="1">
                  <c:v>7.2699999999999987</c:v>
                </c:pt>
                <c:pt idx="2">
                  <c:v>12.219999999999997</c:v>
                </c:pt>
                <c:pt idx="3">
                  <c:v>14.380000000000004</c:v>
                </c:pt>
                <c:pt idx="4">
                  <c:v>17.010000000000002</c:v>
                </c:pt>
                <c:pt idx="5">
                  <c:v>19.899999999999995</c:v>
                </c:pt>
                <c:pt idx="6">
                  <c:v>23.019999999999996</c:v>
                </c:pt>
                <c:pt idx="7">
                  <c:v>26.249999999999996</c:v>
                </c:pt>
                <c:pt idx="8">
                  <c:v>29.62</c:v>
                </c:pt>
                <c:pt idx="9">
                  <c:v>32.950000000000003</c:v>
                </c:pt>
                <c:pt idx="10">
                  <c:v>36.029999999999994</c:v>
                </c:pt>
                <c:pt idx="11">
                  <c:v>38.970000000000006</c:v>
                </c:pt>
                <c:pt idx="12">
                  <c:v>41.7</c:v>
                </c:pt>
                <c:pt idx="13">
                  <c:v>44.320000000000007</c:v>
                </c:pt>
                <c:pt idx="14">
                  <c:v>46.68</c:v>
                </c:pt>
                <c:pt idx="15">
                  <c:v>49.029999999999994</c:v>
                </c:pt>
                <c:pt idx="16">
                  <c:v>51.190000000000005</c:v>
                </c:pt>
                <c:pt idx="17">
                  <c:v>53.22</c:v>
                </c:pt>
                <c:pt idx="18">
                  <c:v>55.109999999999992</c:v>
                </c:pt>
                <c:pt idx="19">
                  <c:v>56.889999999999993</c:v>
                </c:pt>
                <c:pt idx="20">
                  <c:v>58.539999999999992</c:v>
                </c:pt>
                <c:pt idx="21">
                  <c:v>60.089999999999996</c:v>
                </c:pt>
                <c:pt idx="22">
                  <c:v>61.529999999999994</c:v>
                </c:pt>
                <c:pt idx="23">
                  <c:v>62.870000000000005</c:v>
                </c:pt>
                <c:pt idx="24">
                  <c:v>64.19</c:v>
                </c:pt>
                <c:pt idx="25">
                  <c:v>65.38</c:v>
                </c:pt>
                <c:pt idx="26">
                  <c:v>66.55</c:v>
                </c:pt>
                <c:pt idx="27">
                  <c:v>67.67</c:v>
                </c:pt>
                <c:pt idx="28">
                  <c:v>68.77</c:v>
                </c:pt>
                <c:pt idx="29">
                  <c:v>69.809999999999988</c:v>
                </c:pt>
                <c:pt idx="30">
                  <c:v>70.81</c:v>
                </c:pt>
                <c:pt idx="31">
                  <c:v>71.78</c:v>
                </c:pt>
                <c:pt idx="32">
                  <c:v>72.7</c:v>
                </c:pt>
                <c:pt idx="33">
                  <c:v>73.61</c:v>
                </c:pt>
                <c:pt idx="34">
                  <c:v>74.449999999999989</c:v>
                </c:pt>
                <c:pt idx="35">
                  <c:v>75.27000000000001</c:v>
                </c:pt>
                <c:pt idx="36">
                  <c:v>76.010000000000005</c:v>
                </c:pt>
                <c:pt idx="37">
                  <c:v>76.73</c:v>
                </c:pt>
                <c:pt idx="38">
                  <c:v>77.459999999999994</c:v>
                </c:pt>
                <c:pt idx="39">
                  <c:v>78.14</c:v>
                </c:pt>
                <c:pt idx="40">
                  <c:v>78.759999999999991</c:v>
                </c:pt>
                <c:pt idx="41">
                  <c:v>79.400000000000006</c:v>
                </c:pt>
                <c:pt idx="42">
                  <c:v>79.959999999999994</c:v>
                </c:pt>
                <c:pt idx="43">
                  <c:v>80.55</c:v>
                </c:pt>
                <c:pt idx="44">
                  <c:v>81.13</c:v>
                </c:pt>
                <c:pt idx="45">
                  <c:v>81.66</c:v>
                </c:pt>
                <c:pt idx="46">
                  <c:v>82.16</c:v>
                </c:pt>
                <c:pt idx="47">
                  <c:v>82.64</c:v>
                </c:pt>
                <c:pt idx="48">
                  <c:v>83.08</c:v>
                </c:pt>
                <c:pt idx="49">
                  <c:v>83.54</c:v>
                </c:pt>
                <c:pt idx="50">
                  <c:v>83.98</c:v>
                </c:pt>
                <c:pt idx="51">
                  <c:v>84.43</c:v>
                </c:pt>
                <c:pt idx="52">
                  <c:v>84.88</c:v>
                </c:pt>
                <c:pt idx="53">
                  <c:v>85.26</c:v>
                </c:pt>
                <c:pt idx="54">
                  <c:v>85.61</c:v>
                </c:pt>
                <c:pt idx="55">
                  <c:v>85.99</c:v>
                </c:pt>
                <c:pt idx="56">
                  <c:v>86.33</c:v>
                </c:pt>
                <c:pt idx="57">
                  <c:v>86.68</c:v>
                </c:pt>
                <c:pt idx="58">
                  <c:v>86.99</c:v>
                </c:pt>
                <c:pt idx="59">
                  <c:v>87.33</c:v>
                </c:pt>
                <c:pt idx="60">
                  <c:v>87.660000000000011</c:v>
                </c:pt>
                <c:pt idx="61">
                  <c:v>87.99</c:v>
                </c:pt>
                <c:pt idx="62">
                  <c:v>88.3</c:v>
                </c:pt>
                <c:pt idx="63">
                  <c:v>88.55</c:v>
                </c:pt>
                <c:pt idx="64">
                  <c:v>88.82</c:v>
                </c:pt>
                <c:pt idx="65">
                  <c:v>89.11</c:v>
                </c:pt>
                <c:pt idx="66">
                  <c:v>89.27000000000001</c:v>
                </c:pt>
                <c:pt idx="67">
                  <c:v>89.36999999999999</c:v>
                </c:pt>
              </c:numCache>
            </c:numRef>
          </c:val>
          <c:smooth val="0"/>
          <c:extLst>
            <c:ext xmlns:c16="http://schemas.microsoft.com/office/drawing/2014/chart" uri="{C3380CC4-5D6E-409C-BE32-E72D297353CC}">
              <c16:uniqueId val="{00000001-74A9-4535-92C0-C2501A0F9AFE}"/>
            </c:ext>
          </c:extLst>
        </c:ser>
        <c:ser>
          <c:idx val="2"/>
          <c:order val="2"/>
          <c:tx>
            <c:strRef>
              <c:f>Sheet1!$J$2</c:f>
              <c:strCache>
                <c:ptCount val="1"/>
                <c:pt idx="0">
                  <c:v>Stream B</c:v>
                </c:pt>
              </c:strCache>
            </c:strRef>
          </c:tx>
          <c:spPr>
            <a:ln w="28575" cap="rnd">
              <a:solidFill>
                <a:schemeClr val="accent3"/>
              </a:solidFill>
              <a:round/>
            </a:ln>
            <a:effectLst/>
          </c:spPr>
          <c:marker>
            <c:symbol val="none"/>
          </c:marker>
          <c:cat>
            <c:numRef>
              <c:f>Sheet1!$G$3:$G$70</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Sheet1!$J$3:$J$70</c:f>
              <c:numCache>
                <c:formatCode>General</c:formatCode>
                <c:ptCount val="68"/>
                <c:pt idx="1">
                  <c:v>2.3199999999999998</c:v>
                </c:pt>
                <c:pt idx="2">
                  <c:v>4.6599999999999975</c:v>
                </c:pt>
                <c:pt idx="3">
                  <c:v>6.6799999999999971</c:v>
                </c:pt>
                <c:pt idx="4">
                  <c:v>8.8500000000000014</c:v>
                </c:pt>
                <c:pt idx="5">
                  <c:v>10.960000000000003</c:v>
                </c:pt>
                <c:pt idx="6">
                  <c:v>13.129999999999997</c:v>
                </c:pt>
                <c:pt idx="7">
                  <c:v>15.280000000000005</c:v>
                </c:pt>
                <c:pt idx="8">
                  <c:v>17.34</c:v>
                </c:pt>
                <c:pt idx="9">
                  <c:v>19.440000000000001</c:v>
                </c:pt>
                <c:pt idx="10">
                  <c:v>21.47</c:v>
                </c:pt>
                <c:pt idx="11">
                  <c:v>23.440000000000005</c:v>
                </c:pt>
                <c:pt idx="12">
                  <c:v>25.4</c:v>
                </c:pt>
                <c:pt idx="13">
                  <c:v>27.249999999999996</c:v>
                </c:pt>
                <c:pt idx="14">
                  <c:v>28.990000000000006</c:v>
                </c:pt>
                <c:pt idx="15">
                  <c:v>30.720000000000002</c:v>
                </c:pt>
                <c:pt idx="16">
                  <c:v>32.340000000000003</c:v>
                </c:pt>
                <c:pt idx="17">
                  <c:v>33.869999999999997</c:v>
                </c:pt>
                <c:pt idx="18">
                  <c:v>35.39</c:v>
                </c:pt>
                <c:pt idx="19">
                  <c:v>36.799999999999997</c:v>
                </c:pt>
                <c:pt idx="20">
                  <c:v>38.229999999999997</c:v>
                </c:pt>
                <c:pt idx="21">
                  <c:v>39.5</c:v>
                </c:pt>
                <c:pt idx="22">
                  <c:v>40.729999999999997</c:v>
                </c:pt>
                <c:pt idx="23">
                  <c:v>41.92</c:v>
                </c:pt>
                <c:pt idx="24">
                  <c:v>43.05</c:v>
                </c:pt>
                <c:pt idx="25">
                  <c:v>44.19</c:v>
                </c:pt>
                <c:pt idx="26">
                  <c:v>45.3</c:v>
                </c:pt>
                <c:pt idx="27">
                  <c:v>46.35</c:v>
                </c:pt>
                <c:pt idx="28">
                  <c:v>47.419999999999995</c:v>
                </c:pt>
                <c:pt idx="29">
                  <c:v>48.4</c:v>
                </c:pt>
                <c:pt idx="30">
                  <c:v>49.419999999999995</c:v>
                </c:pt>
                <c:pt idx="31">
                  <c:v>50.43</c:v>
                </c:pt>
                <c:pt idx="32">
                  <c:v>51.39</c:v>
                </c:pt>
                <c:pt idx="33">
                  <c:v>52.38</c:v>
                </c:pt>
                <c:pt idx="34">
                  <c:v>53.279999999999994</c:v>
                </c:pt>
                <c:pt idx="35">
                  <c:v>54.22</c:v>
                </c:pt>
                <c:pt idx="36">
                  <c:v>55.05</c:v>
                </c:pt>
                <c:pt idx="37">
                  <c:v>55.87</c:v>
                </c:pt>
                <c:pt idx="38">
                  <c:v>56.63</c:v>
                </c:pt>
                <c:pt idx="39">
                  <c:v>57.46</c:v>
                </c:pt>
                <c:pt idx="40">
                  <c:v>58.20000000000001</c:v>
                </c:pt>
                <c:pt idx="41">
                  <c:v>58.96</c:v>
                </c:pt>
                <c:pt idx="42">
                  <c:v>59.68</c:v>
                </c:pt>
                <c:pt idx="43">
                  <c:v>60.36</c:v>
                </c:pt>
                <c:pt idx="44">
                  <c:v>61.11</c:v>
                </c:pt>
                <c:pt idx="45">
                  <c:v>61.749999999999993</c:v>
                </c:pt>
                <c:pt idx="46">
                  <c:v>62.4</c:v>
                </c:pt>
                <c:pt idx="47">
                  <c:v>63.040000000000006</c:v>
                </c:pt>
                <c:pt idx="48">
                  <c:v>63.62</c:v>
                </c:pt>
                <c:pt idx="49">
                  <c:v>64.28</c:v>
                </c:pt>
                <c:pt idx="50">
                  <c:v>65.149999999999991</c:v>
                </c:pt>
                <c:pt idx="51">
                  <c:v>66.849999999999994</c:v>
                </c:pt>
                <c:pt idx="52">
                  <c:v>68.179999999999993</c:v>
                </c:pt>
                <c:pt idx="53">
                  <c:v>68.75</c:v>
                </c:pt>
                <c:pt idx="54">
                  <c:v>69.27</c:v>
                </c:pt>
                <c:pt idx="55">
                  <c:v>69.83</c:v>
                </c:pt>
                <c:pt idx="56">
                  <c:v>70.399999999999991</c:v>
                </c:pt>
                <c:pt idx="57">
                  <c:v>71</c:v>
                </c:pt>
                <c:pt idx="58">
                  <c:v>71.540000000000006</c:v>
                </c:pt>
                <c:pt idx="59">
                  <c:v>72.009999999999991</c:v>
                </c:pt>
                <c:pt idx="60">
                  <c:v>72.540000000000006</c:v>
                </c:pt>
                <c:pt idx="61">
                  <c:v>73</c:v>
                </c:pt>
                <c:pt idx="62">
                  <c:v>73.429999999999993</c:v>
                </c:pt>
                <c:pt idx="63">
                  <c:v>73.83</c:v>
                </c:pt>
                <c:pt idx="64">
                  <c:v>74.400000000000006</c:v>
                </c:pt>
                <c:pt idx="65">
                  <c:v>74.75</c:v>
                </c:pt>
                <c:pt idx="66">
                  <c:v>75.03</c:v>
                </c:pt>
                <c:pt idx="67">
                  <c:v>75.14</c:v>
                </c:pt>
              </c:numCache>
            </c:numRef>
          </c:val>
          <c:smooth val="0"/>
          <c:extLst>
            <c:ext xmlns:c16="http://schemas.microsoft.com/office/drawing/2014/chart" uri="{C3380CC4-5D6E-409C-BE32-E72D297353CC}">
              <c16:uniqueId val="{00000002-74A9-4535-92C0-C2501A0F9AFE}"/>
            </c:ext>
          </c:extLst>
        </c:ser>
        <c:ser>
          <c:idx val="3"/>
          <c:order val="3"/>
          <c:tx>
            <c:strRef>
              <c:f>Sheet1!$K$2</c:f>
              <c:strCache>
                <c:ptCount val="1"/>
                <c:pt idx="0">
                  <c:v>Stream C</c:v>
                </c:pt>
              </c:strCache>
            </c:strRef>
          </c:tx>
          <c:spPr>
            <a:ln w="28575" cap="rnd">
              <a:solidFill>
                <a:schemeClr val="accent4">
                  <a:lumMod val="75000"/>
                </a:schemeClr>
              </a:solidFill>
              <a:round/>
            </a:ln>
            <a:effectLst/>
          </c:spPr>
          <c:marker>
            <c:symbol val="none"/>
          </c:marker>
          <c:cat>
            <c:numRef>
              <c:f>Sheet1!$G$3:$G$70</c:f>
              <c:numCache>
                <c:formatCode>General</c:formatCode>
                <c:ptCount val="68"/>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numCache>
            </c:numRef>
          </c:cat>
          <c:val>
            <c:numRef>
              <c:f>Sheet1!$K$3:$K$70</c:f>
              <c:numCache>
                <c:formatCode>General</c:formatCode>
                <c:ptCount val="68"/>
                <c:pt idx="1">
                  <c:v>0.9000000000000008</c:v>
                </c:pt>
                <c:pt idx="2">
                  <c:v>1.8399999999999972</c:v>
                </c:pt>
                <c:pt idx="3">
                  <c:v>2.9200000000000004</c:v>
                </c:pt>
                <c:pt idx="4">
                  <c:v>4.03</c:v>
                </c:pt>
                <c:pt idx="5">
                  <c:v>5.3000000000000043</c:v>
                </c:pt>
                <c:pt idx="6">
                  <c:v>6.899999999999995</c:v>
                </c:pt>
                <c:pt idx="7">
                  <c:v>8.6300000000000043</c:v>
                </c:pt>
                <c:pt idx="8">
                  <c:v>10.150000000000004</c:v>
                </c:pt>
                <c:pt idx="9">
                  <c:v>11.790000000000001</c:v>
                </c:pt>
                <c:pt idx="10">
                  <c:v>13.360000000000005</c:v>
                </c:pt>
                <c:pt idx="11">
                  <c:v>14.93</c:v>
                </c:pt>
                <c:pt idx="12">
                  <c:v>16.53</c:v>
                </c:pt>
                <c:pt idx="13">
                  <c:v>18.020000000000003</c:v>
                </c:pt>
                <c:pt idx="14">
                  <c:v>19.66</c:v>
                </c:pt>
                <c:pt idx="15">
                  <c:v>21.230000000000004</c:v>
                </c:pt>
                <c:pt idx="16">
                  <c:v>22.68</c:v>
                </c:pt>
                <c:pt idx="17">
                  <c:v>24.19</c:v>
                </c:pt>
                <c:pt idx="18">
                  <c:v>25.529999999999998</c:v>
                </c:pt>
                <c:pt idx="19">
                  <c:v>26.939999999999998</c:v>
                </c:pt>
                <c:pt idx="20">
                  <c:v>28.349999999999998</c:v>
                </c:pt>
                <c:pt idx="21">
                  <c:v>29.630000000000003</c:v>
                </c:pt>
                <c:pt idx="22">
                  <c:v>30.820000000000004</c:v>
                </c:pt>
                <c:pt idx="23">
                  <c:v>32.020000000000003</c:v>
                </c:pt>
                <c:pt idx="24">
                  <c:v>33.25</c:v>
                </c:pt>
                <c:pt idx="25">
                  <c:v>34.51</c:v>
                </c:pt>
                <c:pt idx="26">
                  <c:v>35.650000000000006</c:v>
                </c:pt>
                <c:pt idx="27">
                  <c:v>36.870000000000005</c:v>
                </c:pt>
                <c:pt idx="28">
                  <c:v>38.019999999999996</c:v>
                </c:pt>
                <c:pt idx="29">
                  <c:v>39.17</c:v>
                </c:pt>
                <c:pt idx="30">
                  <c:v>40.349999999999994</c:v>
                </c:pt>
                <c:pt idx="31">
                  <c:v>41.459999999999994</c:v>
                </c:pt>
                <c:pt idx="32">
                  <c:v>42.510000000000005</c:v>
                </c:pt>
                <c:pt idx="33">
                  <c:v>43.63</c:v>
                </c:pt>
                <c:pt idx="34">
                  <c:v>44.610000000000007</c:v>
                </c:pt>
                <c:pt idx="35">
                  <c:v>45.769999999999996</c:v>
                </c:pt>
                <c:pt idx="36">
                  <c:v>46.8</c:v>
                </c:pt>
                <c:pt idx="37">
                  <c:v>47.8</c:v>
                </c:pt>
                <c:pt idx="38">
                  <c:v>48.760000000000005</c:v>
                </c:pt>
                <c:pt idx="39">
                  <c:v>49.79</c:v>
                </c:pt>
                <c:pt idx="40">
                  <c:v>50.59</c:v>
                </c:pt>
                <c:pt idx="41">
                  <c:v>51.53</c:v>
                </c:pt>
                <c:pt idx="42">
                  <c:v>52.51</c:v>
                </c:pt>
                <c:pt idx="43">
                  <c:v>53.410000000000004</c:v>
                </c:pt>
                <c:pt idx="44">
                  <c:v>54.099999999999994</c:v>
                </c:pt>
                <c:pt idx="45">
                  <c:v>55.099999999999994</c:v>
                </c:pt>
                <c:pt idx="46">
                  <c:v>55.96</c:v>
                </c:pt>
                <c:pt idx="47">
                  <c:v>56.719999999999992</c:v>
                </c:pt>
                <c:pt idx="48">
                  <c:v>57.36</c:v>
                </c:pt>
                <c:pt idx="49">
                  <c:v>58.210000000000008</c:v>
                </c:pt>
                <c:pt idx="50">
                  <c:v>58.98</c:v>
                </c:pt>
                <c:pt idx="51">
                  <c:v>59.830000000000005</c:v>
                </c:pt>
                <c:pt idx="52">
                  <c:v>60.589999999999996</c:v>
                </c:pt>
                <c:pt idx="53">
                  <c:v>61.480000000000004</c:v>
                </c:pt>
                <c:pt idx="54">
                  <c:v>62.33</c:v>
                </c:pt>
                <c:pt idx="55">
                  <c:v>63.030000000000008</c:v>
                </c:pt>
                <c:pt idx="56">
                  <c:v>63.83</c:v>
                </c:pt>
                <c:pt idx="57">
                  <c:v>64.45</c:v>
                </c:pt>
                <c:pt idx="58">
                  <c:v>65.050000000000011</c:v>
                </c:pt>
                <c:pt idx="59">
                  <c:v>65.660000000000011</c:v>
                </c:pt>
                <c:pt idx="60">
                  <c:v>66.33</c:v>
                </c:pt>
                <c:pt idx="61">
                  <c:v>66.92</c:v>
                </c:pt>
                <c:pt idx="62">
                  <c:v>67.589999999999989</c:v>
                </c:pt>
                <c:pt idx="63">
                  <c:v>68.11</c:v>
                </c:pt>
                <c:pt idx="64">
                  <c:v>68.52000000000001</c:v>
                </c:pt>
                <c:pt idx="65">
                  <c:v>69.14</c:v>
                </c:pt>
                <c:pt idx="66">
                  <c:v>69.540000000000006</c:v>
                </c:pt>
                <c:pt idx="67">
                  <c:v>69.710000000000008</c:v>
                </c:pt>
              </c:numCache>
            </c:numRef>
          </c:val>
          <c:smooth val="0"/>
          <c:extLst>
            <c:ext xmlns:c16="http://schemas.microsoft.com/office/drawing/2014/chart" uri="{C3380CC4-5D6E-409C-BE32-E72D297353CC}">
              <c16:uniqueId val="{00000003-74A9-4535-92C0-C2501A0F9AFE}"/>
            </c:ext>
          </c:extLst>
        </c:ser>
        <c:dLbls>
          <c:showLegendKey val="0"/>
          <c:showVal val="0"/>
          <c:showCatName val="0"/>
          <c:showSerName val="0"/>
          <c:showPercent val="0"/>
          <c:showBubbleSize val="0"/>
        </c:dLbls>
        <c:smooth val="0"/>
        <c:axId val="373393936"/>
        <c:axId val="373392296"/>
      </c:lineChart>
      <c:catAx>
        <c:axId val="373393936"/>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Fortnights</a:t>
                </a:r>
                <a:r>
                  <a:rPr lang="en-US" sz="1100" b="1" baseline="0"/>
                  <a:t> from commencement</a:t>
                </a:r>
                <a:endParaRPr lang="en-US" sz="1100" b="1"/>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92296"/>
        <c:crosses val="autoZero"/>
        <c:auto val="1"/>
        <c:lblAlgn val="ctr"/>
        <c:lblOffset val="100"/>
        <c:tickLblSkip val="6"/>
        <c:noMultiLvlLbl val="0"/>
      </c:catAx>
      <c:valAx>
        <c:axId val="373392296"/>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Exit rates (%)</a:t>
                </a:r>
              </a:p>
            </c:rich>
          </c:tx>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93936"/>
        <c:crossesAt val="1"/>
        <c:crossBetween val="between"/>
      </c:valAx>
      <c:spPr>
        <a:noFill/>
        <a:ln>
          <a:noFill/>
        </a:ln>
        <a:effectLst/>
      </c:spPr>
    </c:plotArea>
    <c:legend>
      <c:legendPos val="r"/>
      <c:layout>
        <c:manualLayout>
          <c:xMode val="edge"/>
          <c:yMode val="edge"/>
          <c:x val="0.7013468941382327"/>
          <c:y val="0.45506816856226306"/>
          <c:w val="0.17643088363954507"/>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770934629929769E-2"/>
          <c:y val="0"/>
          <c:w val="0.95245813074014052"/>
          <c:h val="0.84497366400628471"/>
        </c:manualLayout>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outcomes!$B$34:$B$40</c:f>
              <c:strCache>
                <c:ptCount val="7"/>
                <c:pt idx="0">
                  <c:v>jobactive June 2016</c:v>
                </c:pt>
                <c:pt idx="1">
                  <c:v>jobactive September 2016</c:v>
                </c:pt>
                <c:pt idx="2">
                  <c:v>jobactive December 2016</c:v>
                </c:pt>
                <c:pt idx="3">
                  <c:v>jobactive March 2017</c:v>
                </c:pt>
                <c:pt idx="4">
                  <c:v>jobactive June 2017</c:v>
                </c:pt>
                <c:pt idx="5">
                  <c:v>jobactive September 2017</c:v>
                </c:pt>
                <c:pt idx="6">
                  <c:v>joactive December 2017</c:v>
                </c:pt>
              </c:strCache>
            </c:strRef>
          </c:cat>
          <c:val>
            <c:numRef>
              <c:f>outcomes!$C$34:$C$40</c:f>
              <c:numCache>
                <c:formatCode>0.0%</c:formatCode>
                <c:ptCount val="7"/>
                <c:pt idx="0">
                  <c:v>0.48</c:v>
                </c:pt>
                <c:pt idx="1">
                  <c:v>0.48100000000000004</c:v>
                </c:pt>
                <c:pt idx="2">
                  <c:v>0.48499999999999999</c:v>
                </c:pt>
                <c:pt idx="3">
                  <c:v>0.48700000000000004</c:v>
                </c:pt>
                <c:pt idx="4">
                  <c:v>0.48899999999999999</c:v>
                </c:pt>
                <c:pt idx="5">
                  <c:v>0.49299999999999999</c:v>
                </c:pt>
                <c:pt idx="6">
                  <c:v>0.495</c:v>
                </c:pt>
              </c:numCache>
            </c:numRef>
          </c:val>
          <c:extLst>
            <c:ext xmlns:c16="http://schemas.microsoft.com/office/drawing/2014/chart" uri="{C3380CC4-5D6E-409C-BE32-E72D297353CC}">
              <c16:uniqueId val="{00000000-7379-4DC5-98F5-3022A5B4F4EB}"/>
            </c:ext>
          </c:extLst>
        </c:ser>
        <c:dLbls>
          <c:showLegendKey val="0"/>
          <c:showVal val="0"/>
          <c:showCatName val="0"/>
          <c:showSerName val="0"/>
          <c:showPercent val="0"/>
          <c:showBubbleSize val="0"/>
        </c:dLbls>
        <c:gapWidth val="95"/>
        <c:axId val="351876792"/>
        <c:axId val="351878760"/>
      </c:barChart>
      <c:catAx>
        <c:axId val="3518767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78760"/>
        <c:crosses val="autoZero"/>
        <c:auto val="1"/>
        <c:lblAlgn val="ctr"/>
        <c:lblOffset val="100"/>
        <c:noMultiLvlLbl val="0"/>
      </c:catAx>
      <c:valAx>
        <c:axId val="351878760"/>
        <c:scaling>
          <c:orientation val="minMax"/>
          <c:max val="0.55000000000000004"/>
          <c:min val="0.35000000000000003"/>
        </c:scaling>
        <c:delete val="1"/>
        <c:axPos val="l"/>
        <c:numFmt formatCode="0.0%" sourceLinked="1"/>
        <c:majorTickMark val="out"/>
        <c:minorTickMark val="none"/>
        <c:tickLblPos val="nextTo"/>
        <c:crossAx val="3518767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2993C2-588D-4506-987A-CC9DC073F849}" type="doc">
      <dgm:prSet loTypeId="urn:microsoft.com/office/officeart/2005/8/layout/lProcess2" loCatId="list" qsTypeId="urn:microsoft.com/office/officeart/2005/8/quickstyle/simple2" qsCatId="simple" csTypeId="urn:microsoft.com/office/officeart/2005/8/colors/accent5_1" csCatId="accent5" phldr="1"/>
      <dgm:spPr/>
      <dgm:t>
        <a:bodyPr/>
        <a:lstStyle/>
        <a:p>
          <a:endParaRPr lang="en-US"/>
        </a:p>
      </dgm:t>
    </dgm:pt>
    <dgm:pt modelId="{3B86CD60-2297-4AAD-8886-BB3BD87C8475}">
      <dgm:prSet phldrT="[Text]" custT="1"/>
      <dgm:spPr/>
      <dgm:t>
        <a:bodyPr/>
        <a:lstStyle/>
        <a:p>
          <a:pPr>
            <a:spcBef>
              <a:spcPts val="600"/>
            </a:spcBef>
            <a:spcAft>
              <a:spcPts val="0"/>
            </a:spcAft>
          </a:pPr>
          <a:r>
            <a:rPr lang="en-US" sz="1100" b="0"/>
            <a:t> </a:t>
          </a:r>
          <a:br>
            <a:rPr lang="en-US" sz="1100" b="0"/>
          </a:br>
          <a:r>
            <a:rPr lang="en-US" sz="1100" b="0"/>
            <a:t>Current caseload</a:t>
          </a:r>
        </a:p>
      </dgm:t>
    </dgm:pt>
    <dgm:pt modelId="{8AD85A90-9D19-457C-AF65-ED6190E9513E}" type="parTrans" cxnId="{9544DA7E-AB62-430F-9485-6F750A9DD51E}">
      <dgm:prSet/>
      <dgm:spPr/>
      <dgm:t>
        <a:bodyPr/>
        <a:lstStyle/>
        <a:p>
          <a:endParaRPr lang="en-US" sz="1100" b="0"/>
        </a:p>
      </dgm:t>
    </dgm:pt>
    <dgm:pt modelId="{6FDD441E-A7A7-4B42-B003-27D1B6785B30}" type="sibTrans" cxnId="{9544DA7E-AB62-430F-9485-6F750A9DD51E}">
      <dgm:prSet/>
      <dgm:spPr/>
      <dgm:t>
        <a:bodyPr/>
        <a:lstStyle/>
        <a:p>
          <a:endParaRPr lang="en-US" sz="1100" b="0"/>
        </a:p>
      </dgm:t>
    </dgm:pt>
    <dgm:pt modelId="{FBD7B4DC-24B6-4A51-AEFE-1C95190836F7}">
      <dgm:prSet phldrT="[Text]" custT="1"/>
      <dgm:spPr/>
      <dgm:t>
        <a:bodyPr/>
        <a:lstStyle/>
        <a:p>
          <a:r>
            <a:rPr lang="en-US" sz="1100" b="0"/>
            <a:t/>
          </a:r>
          <a:br>
            <a:rPr lang="en-US" sz="1100" b="0"/>
          </a:br>
          <a:r>
            <a:rPr lang="en-US" sz="1100" b="0"/>
            <a:t>Stream A</a:t>
          </a:r>
        </a:p>
      </dgm:t>
    </dgm:pt>
    <dgm:pt modelId="{56D3EF43-BFBF-4894-AD83-FBE4CB393163}" type="parTrans" cxnId="{AE463DAA-075B-469E-9E10-280A66AB83CB}">
      <dgm:prSet/>
      <dgm:spPr/>
      <dgm:t>
        <a:bodyPr/>
        <a:lstStyle/>
        <a:p>
          <a:endParaRPr lang="en-US" sz="1100" b="0"/>
        </a:p>
      </dgm:t>
    </dgm:pt>
    <dgm:pt modelId="{3DE2D4BE-CF14-4C6B-AFBB-91F911BB2016}" type="sibTrans" cxnId="{AE463DAA-075B-469E-9E10-280A66AB83CB}">
      <dgm:prSet/>
      <dgm:spPr/>
      <dgm:t>
        <a:bodyPr/>
        <a:lstStyle/>
        <a:p>
          <a:endParaRPr lang="en-US" sz="1100" b="0"/>
        </a:p>
      </dgm:t>
    </dgm:pt>
    <dgm:pt modelId="{96B8EDA6-BEF5-4B8B-B018-84A8F9FEC103}">
      <dgm:prSet phldrT="[Text]" custT="1"/>
      <dgm:spPr/>
      <dgm:t>
        <a:bodyPr/>
        <a:lstStyle/>
        <a:p>
          <a:r>
            <a:rPr lang="en-US" sz="1100" b="0" i="0"/>
            <a:t/>
          </a:r>
          <a:br>
            <a:rPr lang="en-US" sz="1100" b="0" i="0"/>
          </a:br>
          <a:r>
            <a:rPr lang="en-US" sz="1100" b="0" i="0"/>
            <a:t>Stream B</a:t>
          </a:r>
        </a:p>
      </dgm:t>
    </dgm:pt>
    <dgm:pt modelId="{76A13CDD-2F3E-4E48-922F-677562C04B60}" type="parTrans" cxnId="{9CC36CAA-8526-405A-9BED-767214356295}">
      <dgm:prSet/>
      <dgm:spPr/>
      <dgm:t>
        <a:bodyPr/>
        <a:lstStyle/>
        <a:p>
          <a:endParaRPr lang="en-US" sz="1100" b="0"/>
        </a:p>
      </dgm:t>
    </dgm:pt>
    <dgm:pt modelId="{031930D4-E57E-49B5-A9E9-7706609888A7}" type="sibTrans" cxnId="{9CC36CAA-8526-405A-9BED-767214356295}">
      <dgm:prSet/>
      <dgm:spPr/>
      <dgm:t>
        <a:bodyPr/>
        <a:lstStyle/>
        <a:p>
          <a:endParaRPr lang="en-US" sz="1100" b="0"/>
        </a:p>
      </dgm:t>
    </dgm:pt>
    <dgm:pt modelId="{97BA5B62-5B41-41BF-B7C7-BC6C5DD2B139}">
      <dgm:prSet phldrT="[Text]" custT="1"/>
      <dgm:spPr/>
      <dgm:t>
        <a:bodyPr/>
        <a:lstStyle/>
        <a:p>
          <a:r>
            <a:rPr lang="en-US" sz="1100" b="0"/>
            <a:t/>
          </a:r>
          <a:br>
            <a:rPr lang="en-US" sz="1100" b="0"/>
          </a:br>
          <a:r>
            <a:rPr lang="en-US" sz="1100" b="0"/>
            <a:t>Stream C</a:t>
          </a:r>
        </a:p>
      </dgm:t>
    </dgm:pt>
    <dgm:pt modelId="{6514D22E-9C09-437F-A23D-20970FC5101E}" type="parTrans" cxnId="{8EE5DB71-D0EF-4F03-B1F3-E8681CA7B5F5}">
      <dgm:prSet/>
      <dgm:spPr/>
      <dgm:t>
        <a:bodyPr/>
        <a:lstStyle/>
        <a:p>
          <a:endParaRPr lang="en-US" sz="1100" b="0"/>
        </a:p>
      </dgm:t>
    </dgm:pt>
    <dgm:pt modelId="{35E8D681-E3B6-4762-96F6-D07BCF4886A2}" type="sibTrans" cxnId="{8EE5DB71-D0EF-4F03-B1F3-E8681CA7B5F5}">
      <dgm:prSet/>
      <dgm:spPr/>
      <dgm:t>
        <a:bodyPr/>
        <a:lstStyle/>
        <a:p>
          <a:endParaRPr lang="en-US" sz="1100" b="0"/>
        </a:p>
      </dgm:t>
    </dgm:pt>
    <dgm:pt modelId="{7682DCAC-B606-45FE-9CA6-544DD24F93D4}">
      <dgm:prSet phldrT="[Text]" custT="1"/>
      <dgm:spPr/>
      <dgm:t>
        <a:bodyPr/>
        <a:lstStyle/>
        <a:p>
          <a:r>
            <a:rPr lang="en-US" sz="1100" b="0"/>
            <a:t>673,780</a:t>
          </a:r>
        </a:p>
      </dgm:t>
    </dgm:pt>
    <dgm:pt modelId="{1ECAAE55-F22A-461B-B6AE-2937DC60EC9D}" type="parTrans" cxnId="{E7BA7944-0367-4F02-8585-6B47300D1657}">
      <dgm:prSet/>
      <dgm:spPr/>
      <dgm:t>
        <a:bodyPr/>
        <a:lstStyle/>
        <a:p>
          <a:endParaRPr lang="en-US" sz="1100" b="0"/>
        </a:p>
      </dgm:t>
    </dgm:pt>
    <dgm:pt modelId="{0A522C6B-F710-4821-B793-65E92E63329C}" type="sibTrans" cxnId="{E7BA7944-0367-4F02-8585-6B47300D1657}">
      <dgm:prSet/>
      <dgm:spPr/>
      <dgm:t>
        <a:bodyPr/>
        <a:lstStyle/>
        <a:p>
          <a:endParaRPr lang="en-US" sz="1100" b="0"/>
        </a:p>
      </dgm:t>
    </dgm:pt>
    <dgm:pt modelId="{DC5ECFE0-47BD-47B3-A94E-60A5EBB0443C}">
      <dgm:prSet phldrT="[Text]" custT="1"/>
      <dgm:spPr/>
      <dgm:t>
        <a:bodyPr/>
        <a:lstStyle/>
        <a:p>
          <a:r>
            <a:rPr lang="en-US" sz="1100" b="0"/>
            <a:t>39.2% </a:t>
          </a:r>
        </a:p>
      </dgm:t>
    </dgm:pt>
    <dgm:pt modelId="{FFD96008-8CB8-4118-A9E6-32A8D4491206}" type="parTrans" cxnId="{332CCBBE-7F34-4C9C-A269-A4AF9B961C05}">
      <dgm:prSet/>
      <dgm:spPr/>
      <dgm:t>
        <a:bodyPr/>
        <a:lstStyle/>
        <a:p>
          <a:endParaRPr lang="en-US" sz="1100" b="0"/>
        </a:p>
      </dgm:t>
    </dgm:pt>
    <dgm:pt modelId="{8D0CD6A3-D208-432C-8D6A-6F8722EF2DF3}" type="sibTrans" cxnId="{332CCBBE-7F34-4C9C-A269-A4AF9B961C05}">
      <dgm:prSet/>
      <dgm:spPr/>
      <dgm:t>
        <a:bodyPr/>
        <a:lstStyle/>
        <a:p>
          <a:endParaRPr lang="en-US" sz="1100" b="0"/>
        </a:p>
      </dgm:t>
    </dgm:pt>
    <dgm:pt modelId="{519024C6-5ADA-4FC2-BDFA-7669E1106D75}">
      <dgm:prSet phldrT="[Text]" custT="1"/>
      <dgm:spPr/>
      <dgm:t>
        <a:bodyPr/>
        <a:lstStyle/>
        <a:p>
          <a:r>
            <a:rPr lang="en-US" sz="1100" b="0"/>
            <a:t>42.9%</a:t>
          </a:r>
        </a:p>
      </dgm:t>
    </dgm:pt>
    <dgm:pt modelId="{5D3E0FDD-D7FE-43F3-9083-40C40E4A9DE6}" type="parTrans" cxnId="{B18737A0-DAB3-470D-894C-C831DE7C87AE}">
      <dgm:prSet/>
      <dgm:spPr/>
      <dgm:t>
        <a:bodyPr/>
        <a:lstStyle/>
        <a:p>
          <a:endParaRPr lang="en-US" sz="1100" b="0"/>
        </a:p>
      </dgm:t>
    </dgm:pt>
    <dgm:pt modelId="{539481A3-907C-4C47-843B-1749FECFD2E5}" type="sibTrans" cxnId="{B18737A0-DAB3-470D-894C-C831DE7C87AE}">
      <dgm:prSet/>
      <dgm:spPr/>
      <dgm:t>
        <a:bodyPr/>
        <a:lstStyle/>
        <a:p>
          <a:endParaRPr lang="en-US" sz="1100" b="0"/>
        </a:p>
      </dgm:t>
    </dgm:pt>
    <dgm:pt modelId="{7BEBE37C-3532-4390-96A7-F872F88A9C71}">
      <dgm:prSet phldrT="[Text]" custT="1"/>
      <dgm:spPr/>
      <dgm:t>
        <a:bodyPr/>
        <a:lstStyle/>
        <a:p>
          <a:r>
            <a:rPr lang="en-US" sz="1100" b="0"/>
            <a:t>16.4%</a:t>
          </a:r>
        </a:p>
      </dgm:t>
    </dgm:pt>
    <dgm:pt modelId="{A9C278A0-5950-4474-9441-126DACB39064}" type="parTrans" cxnId="{57DA2AD9-4B02-4B11-B7EB-B857C404D86F}">
      <dgm:prSet/>
      <dgm:spPr/>
      <dgm:t>
        <a:bodyPr/>
        <a:lstStyle/>
        <a:p>
          <a:endParaRPr lang="en-US" sz="1100" b="0"/>
        </a:p>
      </dgm:t>
    </dgm:pt>
    <dgm:pt modelId="{EA0D5E4D-F8A6-4AB5-AC1A-920420BECD6C}" type="sibTrans" cxnId="{57DA2AD9-4B02-4B11-B7EB-B857C404D86F}">
      <dgm:prSet/>
      <dgm:spPr/>
      <dgm:t>
        <a:bodyPr/>
        <a:lstStyle/>
        <a:p>
          <a:endParaRPr lang="en-US" sz="1100" b="0"/>
        </a:p>
      </dgm:t>
    </dgm:pt>
    <dgm:pt modelId="{01A96F0C-F83D-40C4-8273-96A72983FE02}" type="pres">
      <dgm:prSet presAssocID="{DB2993C2-588D-4506-987A-CC9DC073F849}" presName="theList" presStyleCnt="0">
        <dgm:presLayoutVars>
          <dgm:dir/>
          <dgm:animLvl val="lvl"/>
          <dgm:resizeHandles val="exact"/>
        </dgm:presLayoutVars>
      </dgm:prSet>
      <dgm:spPr/>
      <dgm:t>
        <a:bodyPr/>
        <a:lstStyle/>
        <a:p>
          <a:endParaRPr lang="en-US"/>
        </a:p>
      </dgm:t>
    </dgm:pt>
    <dgm:pt modelId="{D3BEBBAA-C6BC-4C4E-8091-48204A825166}" type="pres">
      <dgm:prSet presAssocID="{3B86CD60-2297-4AAD-8886-BB3BD87C8475}" presName="compNode" presStyleCnt="0"/>
      <dgm:spPr/>
    </dgm:pt>
    <dgm:pt modelId="{BCC2C4D8-3298-4DE4-A840-1E199D5C9710}" type="pres">
      <dgm:prSet presAssocID="{3B86CD60-2297-4AAD-8886-BB3BD87C8475}" presName="aNode" presStyleLbl="bgShp" presStyleIdx="0" presStyleCnt="4" custLinFactNeighborX="-8203" custLinFactNeighborY="-5645"/>
      <dgm:spPr/>
      <dgm:t>
        <a:bodyPr/>
        <a:lstStyle/>
        <a:p>
          <a:endParaRPr lang="en-US"/>
        </a:p>
      </dgm:t>
    </dgm:pt>
    <dgm:pt modelId="{726AD83A-7018-4C4E-93F0-7F279B6C9EC6}" type="pres">
      <dgm:prSet presAssocID="{3B86CD60-2297-4AAD-8886-BB3BD87C8475}" presName="textNode" presStyleLbl="bgShp" presStyleIdx="0" presStyleCnt="4"/>
      <dgm:spPr/>
      <dgm:t>
        <a:bodyPr/>
        <a:lstStyle/>
        <a:p>
          <a:endParaRPr lang="en-US"/>
        </a:p>
      </dgm:t>
    </dgm:pt>
    <dgm:pt modelId="{9397AE2B-F0DF-45FD-B526-2F405443F0F1}" type="pres">
      <dgm:prSet presAssocID="{3B86CD60-2297-4AAD-8886-BB3BD87C8475}" presName="compChildNode" presStyleCnt="0"/>
      <dgm:spPr/>
    </dgm:pt>
    <dgm:pt modelId="{70EA7049-DE6F-4F5E-B7CB-FAFE73FD7798}" type="pres">
      <dgm:prSet presAssocID="{3B86CD60-2297-4AAD-8886-BB3BD87C8475}" presName="theInnerList" presStyleCnt="0"/>
      <dgm:spPr/>
    </dgm:pt>
    <dgm:pt modelId="{4E880F78-3140-4A98-BAEA-8587D22FDC53}" type="pres">
      <dgm:prSet presAssocID="{7682DCAC-B606-45FE-9CA6-544DD24F93D4}" presName="childNode" presStyleLbl="node1" presStyleIdx="0" presStyleCnt="4" custScaleY="59889" custLinFactNeighborY="11166">
        <dgm:presLayoutVars>
          <dgm:bulletEnabled val="1"/>
        </dgm:presLayoutVars>
      </dgm:prSet>
      <dgm:spPr/>
      <dgm:t>
        <a:bodyPr/>
        <a:lstStyle/>
        <a:p>
          <a:endParaRPr lang="en-US"/>
        </a:p>
      </dgm:t>
    </dgm:pt>
    <dgm:pt modelId="{D7797F72-0266-4154-B79C-602B991158B1}" type="pres">
      <dgm:prSet presAssocID="{3B86CD60-2297-4AAD-8886-BB3BD87C8475}" presName="aSpace" presStyleCnt="0"/>
      <dgm:spPr/>
    </dgm:pt>
    <dgm:pt modelId="{C0A04D4F-AD03-4718-A3EE-53D2475F0485}" type="pres">
      <dgm:prSet presAssocID="{FBD7B4DC-24B6-4A51-AEFE-1C95190836F7}" presName="compNode" presStyleCnt="0"/>
      <dgm:spPr/>
    </dgm:pt>
    <dgm:pt modelId="{94FD932A-CBA2-4E37-9F95-DD24C7915E3F}" type="pres">
      <dgm:prSet presAssocID="{FBD7B4DC-24B6-4A51-AEFE-1C95190836F7}" presName="aNode" presStyleLbl="bgShp" presStyleIdx="1" presStyleCnt="4"/>
      <dgm:spPr/>
      <dgm:t>
        <a:bodyPr/>
        <a:lstStyle/>
        <a:p>
          <a:endParaRPr lang="en-US"/>
        </a:p>
      </dgm:t>
    </dgm:pt>
    <dgm:pt modelId="{9436093D-8EAB-488B-9A5B-C7D74B7E9056}" type="pres">
      <dgm:prSet presAssocID="{FBD7B4DC-24B6-4A51-AEFE-1C95190836F7}" presName="textNode" presStyleLbl="bgShp" presStyleIdx="1" presStyleCnt="4"/>
      <dgm:spPr/>
      <dgm:t>
        <a:bodyPr/>
        <a:lstStyle/>
        <a:p>
          <a:endParaRPr lang="en-US"/>
        </a:p>
      </dgm:t>
    </dgm:pt>
    <dgm:pt modelId="{F45B73A4-B71E-4917-9214-8DC2012A98E7}" type="pres">
      <dgm:prSet presAssocID="{FBD7B4DC-24B6-4A51-AEFE-1C95190836F7}" presName="compChildNode" presStyleCnt="0"/>
      <dgm:spPr/>
    </dgm:pt>
    <dgm:pt modelId="{C7AFA68C-C338-40FE-BCE2-878F298A1FD8}" type="pres">
      <dgm:prSet presAssocID="{FBD7B4DC-24B6-4A51-AEFE-1C95190836F7}" presName="theInnerList" presStyleCnt="0"/>
      <dgm:spPr/>
    </dgm:pt>
    <dgm:pt modelId="{EE049198-67F7-47B3-A4E6-A00A37B45A92}" type="pres">
      <dgm:prSet presAssocID="{DC5ECFE0-47BD-47B3-A94E-60A5EBB0443C}" presName="childNode" presStyleLbl="node1" presStyleIdx="1" presStyleCnt="4" custScaleY="59889" custLinFactNeighborY="11166">
        <dgm:presLayoutVars>
          <dgm:bulletEnabled val="1"/>
        </dgm:presLayoutVars>
      </dgm:prSet>
      <dgm:spPr/>
      <dgm:t>
        <a:bodyPr/>
        <a:lstStyle/>
        <a:p>
          <a:endParaRPr lang="en-US"/>
        </a:p>
      </dgm:t>
    </dgm:pt>
    <dgm:pt modelId="{A10AF995-31B0-41E9-89CA-33259698FA7C}" type="pres">
      <dgm:prSet presAssocID="{FBD7B4DC-24B6-4A51-AEFE-1C95190836F7}" presName="aSpace" presStyleCnt="0"/>
      <dgm:spPr/>
    </dgm:pt>
    <dgm:pt modelId="{E069DBDE-E26D-4BCB-B0CC-CF776026CE87}" type="pres">
      <dgm:prSet presAssocID="{96B8EDA6-BEF5-4B8B-B018-84A8F9FEC103}" presName="compNode" presStyleCnt="0"/>
      <dgm:spPr/>
    </dgm:pt>
    <dgm:pt modelId="{870F47EA-0468-4592-98DA-9BE359694F1D}" type="pres">
      <dgm:prSet presAssocID="{96B8EDA6-BEF5-4B8B-B018-84A8F9FEC103}" presName="aNode" presStyleLbl="bgShp" presStyleIdx="2" presStyleCnt="4"/>
      <dgm:spPr/>
      <dgm:t>
        <a:bodyPr/>
        <a:lstStyle/>
        <a:p>
          <a:endParaRPr lang="en-US"/>
        </a:p>
      </dgm:t>
    </dgm:pt>
    <dgm:pt modelId="{41E213A0-4E4C-470E-8BD1-9B7226EC6498}" type="pres">
      <dgm:prSet presAssocID="{96B8EDA6-BEF5-4B8B-B018-84A8F9FEC103}" presName="textNode" presStyleLbl="bgShp" presStyleIdx="2" presStyleCnt="4"/>
      <dgm:spPr/>
      <dgm:t>
        <a:bodyPr/>
        <a:lstStyle/>
        <a:p>
          <a:endParaRPr lang="en-US"/>
        </a:p>
      </dgm:t>
    </dgm:pt>
    <dgm:pt modelId="{479BDADC-8FA6-4859-947C-8E8F9B2EE7E0}" type="pres">
      <dgm:prSet presAssocID="{96B8EDA6-BEF5-4B8B-B018-84A8F9FEC103}" presName="compChildNode" presStyleCnt="0"/>
      <dgm:spPr/>
    </dgm:pt>
    <dgm:pt modelId="{3BA1591E-F398-4617-BFC1-8E9E5A9F677E}" type="pres">
      <dgm:prSet presAssocID="{96B8EDA6-BEF5-4B8B-B018-84A8F9FEC103}" presName="theInnerList" presStyleCnt="0"/>
      <dgm:spPr/>
    </dgm:pt>
    <dgm:pt modelId="{16A82D63-6D51-411B-B7D5-715A3B65E448}" type="pres">
      <dgm:prSet presAssocID="{519024C6-5ADA-4FC2-BDFA-7669E1106D75}" presName="childNode" presStyleLbl="node1" presStyleIdx="2" presStyleCnt="4" custScaleY="59889" custLinFactNeighborY="11166">
        <dgm:presLayoutVars>
          <dgm:bulletEnabled val="1"/>
        </dgm:presLayoutVars>
      </dgm:prSet>
      <dgm:spPr/>
      <dgm:t>
        <a:bodyPr/>
        <a:lstStyle/>
        <a:p>
          <a:endParaRPr lang="en-US"/>
        </a:p>
      </dgm:t>
    </dgm:pt>
    <dgm:pt modelId="{1E73EDB0-8924-4C76-8F51-5F43945605CF}" type="pres">
      <dgm:prSet presAssocID="{96B8EDA6-BEF5-4B8B-B018-84A8F9FEC103}" presName="aSpace" presStyleCnt="0"/>
      <dgm:spPr/>
    </dgm:pt>
    <dgm:pt modelId="{DE3F7A9A-F4CB-4C91-AA78-B6AB6D3FA25B}" type="pres">
      <dgm:prSet presAssocID="{97BA5B62-5B41-41BF-B7C7-BC6C5DD2B139}" presName="compNode" presStyleCnt="0"/>
      <dgm:spPr/>
    </dgm:pt>
    <dgm:pt modelId="{43B04073-3D9D-42C5-9CAF-9B2FB189B038}" type="pres">
      <dgm:prSet presAssocID="{97BA5B62-5B41-41BF-B7C7-BC6C5DD2B139}" presName="aNode" presStyleLbl="bgShp" presStyleIdx="3" presStyleCnt="4"/>
      <dgm:spPr/>
      <dgm:t>
        <a:bodyPr/>
        <a:lstStyle/>
        <a:p>
          <a:endParaRPr lang="en-US"/>
        </a:p>
      </dgm:t>
    </dgm:pt>
    <dgm:pt modelId="{473A4345-6909-4F32-8F7C-240D6914D2D5}" type="pres">
      <dgm:prSet presAssocID="{97BA5B62-5B41-41BF-B7C7-BC6C5DD2B139}" presName="textNode" presStyleLbl="bgShp" presStyleIdx="3" presStyleCnt="4"/>
      <dgm:spPr/>
      <dgm:t>
        <a:bodyPr/>
        <a:lstStyle/>
        <a:p>
          <a:endParaRPr lang="en-US"/>
        </a:p>
      </dgm:t>
    </dgm:pt>
    <dgm:pt modelId="{E7213867-E422-4044-BCA7-061E36C97494}" type="pres">
      <dgm:prSet presAssocID="{97BA5B62-5B41-41BF-B7C7-BC6C5DD2B139}" presName="compChildNode" presStyleCnt="0"/>
      <dgm:spPr/>
    </dgm:pt>
    <dgm:pt modelId="{742AEEA9-F5CA-4570-B407-0DF5F62649C1}" type="pres">
      <dgm:prSet presAssocID="{97BA5B62-5B41-41BF-B7C7-BC6C5DD2B139}" presName="theInnerList" presStyleCnt="0"/>
      <dgm:spPr/>
    </dgm:pt>
    <dgm:pt modelId="{11BA0751-CC05-4837-A43D-935C1388AD1E}" type="pres">
      <dgm:prSet presAssocID="{7BEBE37C-3532-4390-96A7-F872F88A9C71}" presName="childNode" presStyleLbl="node1" presStyleIdx="3" presStyleCnt="4" custScaleY="59889" custLinFactNeighborY="11166">
        <dgm:presLayoutVars>
          <dgm:bulletEnabled val="1"/>
        </dgm:presLayoutVars>
      </dgm:prSet>
      <dgm:spPr/>
      <dgm:t>
        <a:bodyPr/>
        <a:lstStyle/>
        <a:p>
          <a:endParaRPr lang="en-US"/>
        </a:p>
      </dgm:t>
    </dgm:pt>
  </dgm:ptLst>
  <dgm:cxnLst>
    <dgm:cxn modelId="{332CCBBE-7F34-4C9C-A269-A4AF9B961C05}" srcId="{FBD7B4DC-24B6-4A51-AEFE-1C95190836F7}" destId="{DC5ECFE0-47BD-47B3-A94E-60A5EBB0443C}" srcOrd="0" destOrd="0" parTransId="{FFD96008-8CB8-4118-A9E6-32A8D4491206}" sibTransId="{8D0CD6A3-D208-432C-8D6A-6F8722EF2DF3}"/>
    <dgm:cxn modelId="{35FABFBA-2D8D-45F7-9487-065527110F65}" type="presOf" srcId="{97BA5B62-5B41-41BF-B7C7-BC6C5DD2B139}" destId="{43B04073-3D9D-42C5-9CAF-9B2FB189B038}" srcOrd="0" destOrd="0" presId="urn:microsoft.com/office/officeart/2005/8/layout/lProcess2"/>
    <dgm:cxn modelId="{C10FAE27-EF44-4AEB-A7DB-1A30A0F11636}" type="presOf" srcId="{519024C6-5ADA-4FC2-BDFA-7669E1106D75}" destId="{16A82D63-6D51-411B-B7D5-715A3B65E448}" srcOrd="0" destOrd="0" presId="urn:microsoft.com/office/officeart/2005/8/layout/lProcess2"/>
    <dgm:cxn modelId="{F842A160-0F97-4B94-B03A-59242CD9C4B7}" type="presOf" srcId="{97BA5B62-5B41-41BF-B7C7-BC6C5DD2B139}" destId="{473A4345-6909-4F32-8F7C-240D6914D2D5}" srcOrd="1" destOrd="0" presId="urn:microsoft.com/office/officeart/2005/8/layout/lProcess2"/>
    <dgm:cxn modelId="{02CA7D1F-E055-4896-9F83-54C5606E8959}" type="presOf" srcId="{3B86CD60-2297-4AAD-8886-BB3BD87C8475}" destId="{726AD83A-7018-4C4E-93F0-7F279B6C9EC6}" srcOrd="1" destOrd="0" presId="urn:microsoft.com/office/officeart/2005/8/layout/lProcess2"/>
    <dgm:cxn modelId="{74390625-6CB0-4BDA-834A-8D03075A9EBE}" type="presOf" srcId="{96B8EDA6-BEF5-4B8B-B018-84A8F9FEC103}" destId="{870F47EA-0468-4592-98DA-9BE359694F1D}" srcOrd="0" destOrd="0" presId="urn:microsoft.com/office/officeart/2005/8/layout/lProcess2"/>
    <dgm:cxn modelId="{9544DA7E-AB62-430F-9485-6F750A9DD51E}" srcId="{DB2993C2-588D-4506-987A-CC9DC073F849}" destId="{3B86CD60-2297-4AAD-8886-BB3BD87C8475}" srcOrd="0" destOrd="0" parTransId="{8AD85A90-9D19-457C-AF65-ED6190E9513E}" sibTransId="{6FDD441E-A7A7-4B42-B003-27D1B6785B30}"/>
    <dgm:cxn modelId="{AE463DAA-075B-469E-9E10-280A66AB83CB}" srcId="{DB2993C2-588D-4506-987A-CC9DC073F849}" destId="{FBD7B4DC-24B6-4A51-AEFE-1C95190836F7}" srcOrd="1" destOrd="0" parTransId="{56D3EF43-BFBF-4894-AD83-FBE4CB393163}" sibTransId="{3DE2D4BE-CF14-4C6B-AFBB-91F911BB2016}"/>
    <dgm:cxn modelId="{6A34B92C-4ADE-4B8A-89D9-712955CFA0DA}" type="presOf" srcId="{7682DCAC-B606-45FE-9CA6-544DD24F93D4}" destId="{4E880F78-3140-4A98-BAEA-8587D22FDC53}" srcOrd="0" destOrd="0" presId="urn:microsoft.com/office/officeart/2005/8/layout/lProcess2"/>
    <dgm:cxn modelId="{9CC36CAA-8526-405A-9BED-767214356295}" srcId="{DB2993C2-588D-4506-987A-CC9DC073F849}" destId="{96B8EDA6-BEF5-4B8B-B018-84A8F9FEC103}" srcOrd="2" destOrd="0" parTransId="{76A13CDD-2F3E-4E48-922F-677562C04B60}" sibTransId="{031930D4-E57E-49B5-A9E9-7706609888A7}"/>
    <dgm:cxn modelId="{F0BCE961-C2E4-4341-A8DF-FD978D57CDC4}" type="presOf" srcId="{3B86CD60-2297-4AAD-8886-BB3BD87C8475}" destId="{BCC2C4D8-3298-4DE4-A840-1E199D5C9710}" srcOrd="0" destOrd="0" presId="urn:microsoft.com/office/officeart/2005/8/layout/lProcess2"/>
    <dgm:cxn modelId="{86017EC2-6117-4A21-9CCE-16D94F4AADFC}" type="presOf" srcId="{DB2993C2-588D-4506-987A-CC9DC073F849}" destId="{01A96F0C-F83D-40C4-8273-96A72983FE02}" srcOrd="0" destOrd="0" presId="urn:microsoft.com/office/officeart/2005/8/layout/lProcess2"/>
    <dgm:cxn modelId="{7E98BFB3-09DA-4967-8D66-AEF38CA5B836}" type="presOf" srcId="{7BEBE37C-3532-4390-96A7-F872F88A9C71}" destId="{11BA0751-CC05-4837-A43D-935C1388AD1E}" srcOrd="0" destOrd="0" presId="urn:microsoft.com/office/officeart/2005/8/layout/lProcess2"/>
    <dgm:cxn modelId="{8637F521-4397-4BA4-90DD-3034E34ED488}" type="presOf" srcId="{FBD7B4DC-24B6-4A51-AEFE-1C95190836F7}" destId="{94FD932A-CBA2-4E37-9F95-DD24C7915E3F}" srcOrd="0" destOrd="0" presId="urn:microsoft.com/office/officeart/2005/8/layout/lProcess2"/>
    <dgm:cxn modelId="{B753E16A-137F-4541-B9E9-65530056D8A6}" type="presOf" srcId="{DC5ECFE0-47BD-47B3-A94E-60A5EBB0443C}" destId="{EE049198-67F7-47B3-A4E6-A00A37B45A92}" srcOrd="0" destOrd="0" presId="urn:microsoft.com/office/officeart/2005/8/layout/lProcess2"/>
    <dgm:cxn modelId="{57DA2AD9-4B02-4B11-B7EB-B857C404D86F}" srcId="{97BA5B62-5B41-41BF-B7C7-BC6C5DD2B139}" destId="{7BEBE37C-3532-4390-96A7-F872F88A9C71}" srcOrd="0" destOrd="0" parTransId="{A9C278A0-5950-4474-9441-126DACB39064}" sibTransId="{EA0D5E4D-F8A6-4AB5-AC1A-920420BECD6C}"/>
    <dgm:cxn modelId="{E7BA7944-0367-4F02-8585-6B47300D1657}" srcId="{3B86CD60-2297-4AAD-8886-BB3BD87C8475}" destId="{7682DCAC-B606-45FE-9CA6-544DD24F93D4}" srcOrd="0" destOrd="0" parTransId="{1ECAAE55-F22A-461B-B6AE-2937DC60EC9D}" sibTransId="{0A522C6B-F710-4821-B793-65E92E63329C}"/>
    <dgm:cxn modelId="{B18737A0-DAB3-470D-894C-C831DE7C87AE}" srcId="{96B8EDA6-BEF5-4B8B-B018-84A8F9FEC103}" destId="{519024C6-5ADA-4FC2-BDFA-7669E1106D75}" srcOrd="0" destOrd="0" parTransId="{5D3E0FDD-D7FE-43F3-9083-40C40E4A9DE6}" sibTransId="{539481A3-907C-4C47-843B-1749FECFD2E5}"/>
    <dgm:cxn modelId="{62BFD844-9B5E-44A5-859D-A30BBB1E10B4}" type="presOf" srcId="{FBD7B4DC-24B6-4A51-AEFE-1C95190836F7}" destId="{9436093D-8EAB-488B-9A5B-C7D74B7E9056}" srcOrd="1" destOrd="0" presId="urn:microsoft.com/office/officeart/2005/8/layout/lProcess2"/>
    <dgm:cxn modelId="{8EE5DB71-D0EF-4F03-B1F3-E8681CA7B5F5}" srcId="{DB2993C2-588D-4506-987A-CC9DC073F849}" destId="{97BA5B62-5B41-41BF-B7C7-BC6C5DD2B139}" srcOrd="3" destOrd="0" parTransId="{6514D22E-9C09-437F-A23D-20970FC5101E}" sibTransId="{35E8D681-E3B6-4762-96F6-D07BCF4886A2}"/>
    <dgm:cxn modelId="{72CCB2AA-956B-4FCE-986D-DEB3A579D08A}" type="presOf" srcId="{96B8EDA6-BEF5-4B8B-B018-84A8F9FEC103}" destId="{41E213A0-4E4C-470E-8BD1-9B7226EC6498}" srcOrd="1" destOrd="0" presId="urn:microsoft.com/office/officeart/2005/8/layout/lProcess2"/>
    <dgm:cxn modelId="{3CB70CF4-5171-4729-A2EE-8DDC08DF507A}" type="presParOf" srcId="{01A96F0C-F83D-40C4-8273-96A72983FE02}" destId="{D3BEBBAA-C6BC-4C4E-8091-48204A825166}" srcOrd="0" destOrd="0" presId="urn:microsoft.com/office/officeart/2005/8/layout/lProcess2"/>
    <dgm:cxn modelId="{13F82114-3806-477E-B2C3-5DD524D209D8}" type="presParOf" srcId="{D3BEBBAA-C6BC-4C4E-8091-48204A825166}" destId="{BCC2C4D8-3298-4DE4-A840-1E199D5C9710}" srcOrd="0" destOrd="0" presId="urn:microsoft.com/office/officeart/2005/8/layout/lProcess2"/>
    <dgm:cxn modelId="{A77F0CE2-3596-42D2-A104-9CDFBDB673E2}" type="presParOf" srcId="{D3BEBBAA-C6BC-4C4E-8091-48204A825166}" destId="{726AD83A-7018-4C4E-93F0-7F279B6C9EC6}" srcOrd="1" destOrd="0" presId="urn:microsoft.com/office/officeart/2005/8/layout/lProcess2"/>
    <dgm:cxn modelId="{F9666966-EDF3-4365-9AB6-F77917850A85}" type="presParOf" srcId="{D3BEBBAA-C6BC-4C4E-8091-48204A825166}" destId="{9397AE2B-F0DF-45FD-B526-2F405443F0F1}" srcOrd="2" destOrd="0" presId="urn:microsoft.com/office/officeart/2005/8/layout/lProcess2"/>
    <dgm:cxn modelId="{749E11A2-ABF8-4F0F-AB00-9F6FD8FECE38}" type="presParOf" srcId="{9397AE2B-F0DF-45FD-B526-2F405443F0F1}" destId="{70EA7049-DE6F-4F5E-B7CB-FAFE73FD7798}" srcOrd="0" destOrd="0" presId="urn:microsoft.com/office/officeart/2005/8/layout/lProcess2"/>
    <dgm:cxn modelId="{A7E8949F-2E3A-42A8-B0AA-FDA7BFBD0CA8}" type="presParOf" srcId="{70EA7049-DE6F-4F5E-B7CB-FAFE73FD7798}" destId="{4E880F78-3140-4A98-BAEA-8587D22FDC53}" srcOrd="0" destOrd="0" presId="urn:microsoft.com/office/officeart/2005/8/layout/lProcess2"/>
    <dgm:cxn modelId="{4B65EDEF-03AF-47CC-A058-43F8697FDEDA}" type="presParOf" srcId="{01A96F0C-F83D-40C4-8273-96A72983FE02}" destId="{D7797F72-0266-4154-B79C-602B991158B1}" srcOrd="1" destOrd="0" presId="urn:microsoft.com/office/officeart/2005/8/layout/lProcess2"/>
    <dgm:cxn modelId="{54F9B506-B5FB-4A6C-A15B-BB25FEC7C7C1}" type="presParOf" srcId="{01A96F0C-F83D-40C4-8273-96A72983FE02}" destId="{C0A04D4F-AD03-4718-A3EE-53D2475F0485}" srcOrd="2" destOrd="0" presId="urn:microsoft.com/office/officeart/2005/8/layout/lProcess2"/>
    <dgm:cxn modelId="{4C761F85-C6D0-47E3-9BCC-EE6AFA7D5922}" type="presParOf" srcId="{C0A04D4F-AD03-4718-A3EE-53D2475F0485}" destId="{94FD932A-CBA2-4E37-9F95-DD24C7915E3F}" srcOrd="0" destOrd="0" presId="urn:microsoft.com/office/officeart/2005/8/layout/lProcess2"/>
    <dgm:cxn modelId="{E9AE8637-2347-410E-933D-6FBE8BF353C5}" type="presParOf" srcId="{C0A04D4F-AD03-4718-A3EE-53D2475F0485}" destId="{9436093D-8EAB-488B-9A5B-C7D74B7E9056}" srcOrd="1" destOrd="0" presId="urn:microsoft.com/office/officeart/2005/8/layout/lProcess2"/>
    <dgm:cxn modelId="{5C597360-79D6-40E5-8FBA-516F2EE3D168}" type="presParOf" srcId="{C0A04D4F-AD03-4718-A3EE-53D2475F0485}" destId="{F45B73A4-B71E-4917-9214-8DC2012A98E7}" srcOrd="2" destOrd="0" presId="urn:microsoft.com/office/officeart/2005/8/layout/lProcess2"/>
    <dgm:cxn modelId="{5EBB3800-0C43-48F0-B648-70171472D78E}" type="presParOf" srcId="{F45B73A4-B71E-4917-9214-8DC2012A98E7}" destId="{C7AFA68C-C338-40FE-BCE2-878F298A1FD8}" srcOrd="0" destOrd="0" presId="urn:microsoft.com/office/officeart/2005/8/layout/lProcess2"/>
    <dgm:cxn modelId="{9ACD2985-5ED5-4A3F-A13D-E98C282110D0}" type="presParOf" srcId="{C7AFA68C-C338-40FE-BCE2-878F298A1FD8}" destId="{EE049198-67F7-47B3-A4E6-A00A37B45A92}" srcOrd="0" destOrd="0" presId="urn:microsoft.com/office/officeart/2005/8/layout/lProcess2"/>
    <dgm:cxn modelId="{D17FDAF5-58D7-450B-A24A-BA05564E543D}" type="presParOf" srcId="{01A96F0C-F83D-40C4-8273-96A72983FE02}" destId="{A10AF995-31B0-41E9-89CA-33259698FA7C}" srcOrd="3" destOrd="0" presId="urn:microsoft.com/office/officeart/2005/8/layout/lProcess2"/>
    <dgm:cxn modelId="{701637A4-0B9C-4A01-A1DC-124100F39AC2}" type="presParOf" srcId="{01A96F0C-F83D-40C4-8273-96A72983FE02}" destId="{E069DBDE-E26D-4BCB-B0CC-CF776026CE87}" srcOrd="4" destOrd="0" presId="urn:microsoft.com/office/officeart/2005/8/layout/lProcess2"/>
    <dgm:cxn modelId="{2B63D37C-4C27-4A59-B194-11B47DA9A14C}" type="presParOf" srcId="{E069DBDE-E26D-4BCB-B0CC-CF776026CE87}" destId="{870F47EA-0468-4592-98DA-9BE359694F1D}" srcOrd="0" destOrd="0" presId="urn:microsoft.com/office/officeart/2005/8/layout/lProcess2"/>
    <dgm:cxn modelId="{497DC124-F083-46D0-8693-11671D5B6893}" type="presParOf" srcId="{E069DBDE-E26D-4BCB-B0CC-CF776026CE87}" destId="{41E213A0-4E4C-470E-8BD1-9B7226EC6498}" srcOrd="1" destOrd="0" presId="urn:microsoft.com/office/officeart/2005/8/layout/lProcess2"/>
    <dgm:cxn modelId="{4BB38C79-0A22-4934-B26D-B26D516DB794}" type="presParOf" srcId="{E069DBDE-E26D-4BCB-B0CC-CF776026CE87}" destId="{479BDADC-8FA6-4859-947C-8E8F9B2EE7E0}" srcOrd="2" destOrd="0" presId="urn:microsoft.com/office/officeart/2005/8/layout/lProcess2"/>
    <dgm:cxn modelId="{325F6178-73CC-4A7A-9EF8-FE1F4C884E69}" type="presParOf" srcId="{479BDADC-8FA6-4859-947C-8E8F9B2EE7E0}" destId="{3BA1591E-F398-4617-BFC1-8E9E5A9F677E}" srcOrd="0" destOrd="0" presId="urn:microsoft.com/office/officeart/2005/8/layout/lProcess2"/>
    <dgm:cxn modelId="{F5CCCE52-C937-475A-9535-CBD9C79D8720}" type="presParOf" srcId="{3BA1591E-F398-4617-BFC1-8E9E5A9F677E}" destId="{16A82D63-6D51-411B-B7D5-715A3B65E448}" srcOrd="0" destOrd="0" presId="urn:microsoft.com/office/officeart/2005/8/layout/lProcess2"/>
    <dgm:cxn modelId="{4D216B41-E3CB-4814-A4D0-3A1E3E6E57B3}" type="presParOf" srcId="{01A96F0C-F83D-40C4-8273-96A72983FE02}" destId="{1E73EDB0-8924-4C76-8F51-5F43945605CF}" srcOrd="5" destOrd="0" presId="urn:microsoft.com/office/officeart/2005/8/layout/lProcess2"/>
    <dgm:cxn modelId="{CD28E701-6CEC-426D-8462-299F16461DB6}" type="presParOf" srcId="{01A96F0C-F83D-40C4-8273-96A72983FE02}" destId="{DE3F7A9A-F4CB-4C91-AA78-B6AB6D3FA25B}" srcOrd="6" destOrd="0" presId="urn:microsoft.com/office/officeart/2005/8/layout/lProcess2"/>
    <dgm:cxn modelId="{DFFBE66D-B002-42D8-830E-32C7AD486102}" type="presParOf" srcId="{DE3F7A9A-F4CB-4C91-AA78-B6AB6D3FA25B}" destId="{43B04073-3D9D-42C5-9CAF-9B2FB189B038}" srcOrd="0" destOrd="0" presId="urn:microsoft.com/office/officeart/2005/8/layout/lProcess2"/>
    <dgm:cxn modelId="{4A9436D8-64C8-4B4C-862F-8882560EE8E5}" type="presParOf" srcId="{DE3F7A9A-F4CB-4C91-AA78-B6AB6D3FA25B}" destId="{473A4345-6909-4F32-8F7C-240D6914D2D5}" srcOrd="1" destOrd="0" presId="urn:microsoft.com/office/officeart/2005/8/layout/lProcess2"/>
    <dgm:cxn modelId="{B6166622-4328-4A19-A0CC-38D83F720058}" type="presParOf" srcId="{DE3F7A9A-F4CB-4C91-AA78-B6AB6D3FA25B}" destId="{E7213867-E422-4044-BCA7-061E36C97494}" srcOrd="2" destOrd="0" presId="urn:microsoft.com/office/officeart/2005/8/layout/lProcess2"/>
    <dgm:cxn modelId="{43F43685-A36F-4938-A997-C55B9351812C}" type="presParOf" srcId="{E7213867-E422-4044-BCA7-061E36C97494}" destId="{742AEEA9-F5CA-4570-B407-0DF5F62649C1}" srcOrd="0" destOrd="0" presId="urn:microsoft.com/office/officeart/2005/8/layout/lProcess2"/>
    <dgm:cxn modelId="{936DCA19-E738-4BF7-9FF6-2D569318A942}" type="presParOf" srcId="{742AEEA9-F5CA-4570-B407-0DF5F62649C1}" destId="{11BA0751-CC05-4837-A43D-935C1388AD1E}" srcOrd="0"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2993C2-588D-4506-987A-CC9DC073F849}" type="doc">
      <dgm:prSet loTypeId="urn:microsoft.com/office/officeart/2005/8/layout/lProcess2" loCatId="list" qsTypeId="urn:microsoft.com/office/officeart/2005/8/quickstyle/simple2" qsCatId="simple" csTypeId="urn:microsoft.com/office/officeart/2005/8/colors/accent4_1" csCatId="accent4" phldr="1"/>
      <dgm:spPr/>
      <dgm:t>
        <a:bodyPr/>
        <a:lstStyle/>
        <a:p>
          <a:endParaRPr lang="en-US"/>
        </a:p>
      </dgm:t>
    </dgm:pt>
    <dgm:pt modelId="{3B86CD60-2297-4AAD-8886-BB3BD87C8475}">
      <dgm:prSet phldrT="[Text]" custT="1"/>
      <dgm:spPr/>
      <dgm:t>
        <a:bodyPr/>
        <a:lstStyle/>
        <a:p>
          <a:pPr>
            <a:spcBef>
              <a:spcPts val="600"/>
            </a:spcBef>
            <a:spcAft>
              <a:spcPts val="0"/>
            </a:spcAft>
          </a:pPr>
          <a:r>
            <a:rPr lang="en-US" sz="1100" b="0"/>
            <a:t> </a:t>
          </a:r>
          <a:br>
            <a:rPr lang="en-US" sz="1100" b="0"/>
          </a:br>
          <a:r>
            <a:rPr lang="en-US" sz="1100" b="0"/>
            <a:t>Female</a:t>
          </a:r>
        </a:p>
      </dgm:t>
    </dgm:pt>
    <dgm:pt modelId="{8AD85A90-9D19-457C-AF65-ED6190E9513E}" type="parTrans" cxnId="{9544DA7E-AB62-430F-9485-6F750A9DD51E}">
      <dgm:prSet/>
      <dgm:spPr/>
      <dgm:t>
        <a:bodyPr/>
        <a:lstStyle/>
        <a:p>
          <a:endParaRPr lang="en-US" sz="1100" b="0"/>
        </a:p>
      </dgm:t>
    </dgm:pt>
    <dgm:pt modelId="{6FDD441E-A7A7-4B42-B003-27D1B6785B30}" type="sibTrans" cxnId="{9544DA7E-AB62-430F-9485-6F750A9DD51E}">
      <dgm:prSet/>
      <dgm:spPr/>
      <dgm:t>
        <a:bodyPr/>
        <a:lstStyle/>
        <a:p>
          <a:endParaRPr lang="en-US" sz="1100" b="0"/>
        </a:p>
      </dgm:t>
    </dgm:pt>
    <dgm:pt modelId="{FBD7B4DC-24B6-4A51-AEFE-1C95190836F7}">
      <dgm:prSet phldrT="[Text]" custT="1"/>
      <dgm:spPr>
        <a:solidFill>
          <a:schemeClr val="accent4">
            <a:lumMod val="20000"/>
            <a:lumOff val="80000"/>
          </a:schemeClr>
        </a:solidFill>
      </dgm:spPr>
      <dgm:t>
        <a:bodyPr/>
        <a:lstStyle/>
        <a:p>
          <a:r>
            <a:rPr lang="en-US" sz="1100" b="0"/>
            <a:t/>
          </a:r>
          <a:br>
            <a:rPr lang="en-US" sz="1100" b="0"/>
          </a:br>
          <a:r>
            <a:rPr lang="en-US" sz="1100" b="0"/>
            <a:t>Regional</a:t>
          </a:r>
        </a:p>
      </dgm:t>
    </dgm:pt>
    <dgm:pt modelId="{56D3EF43-BFBF-4894-AD83-FBE4CB393163}" type="parTrans" cxnId="{AE463DAA-075B-469E-9E10-280A66AB83CB}">
      <dgm:prSet/>
      <dgm:spPr/>
      <dgm:t>
        <a:bodyPr/>
        <a:lstStyle/>
        <a:p>
          <a:endParaRPr lang="en-US" sz="1100" b="0"/>
        </a:p>
      </dgm:t>
    </dgm:pt>
    <dgm:pt modelId="{3DE2D4BE-CF14-4C6B-AFBB-91F911BB2016}" type="sibTrans" cxnId="{AE463DAA-075B-469E-9E10-280A66AB83CB}">
      <dgm:prSet/>
      <dgm:spPr/>
      <dgm:t>
        <a:bodyPr/>
        <a:lstStyle/>
        <a:p>
          <a:endParaRPr lang="en-US" sz="1100" b="0"/>
        </a:p>
      </dgm:t>
    </dgm:pt>
    <dgm:pt modelId="{7682DCAC-B606-45FE-9CA6-544DD24F93D4}">
      <dgm:prSet phldrT="[Text]" custT="1"/>
      <dgm:spPr/>
      <dgm:t>
        <a:bodyPr/>
        <a:lstStyle/>
        <a:p>
          <a:r>
            <a:rPr lang="en-US" sz="1100" b="0"/>
            <a:t>51.1%</a:t>
          </a:r>
        </a:p>
      </dgm:t>
    </dgm:pt>
    <dgm:pt modelId="{1ECAAE55-F22A-461B-B6AE-2937DC60EC9D}" type="parTrans" cxnId="{E7BA7944-0367-4F02-8585-6B47300D1657}">
      <dgm:prSet/>
      <dgm:spPr/>
      <dgm:t>
        <a:bodyPr/>
        <a:lstStyle/>
        <a:p>
          <a:endParaRPr lang="en-US" sz="1100" b="0"/>
        </a:p>
      </dgm:t>
    </dgm:pt>
    <dgm:pt modelId="{0A522C6B-F710-4821-B793-65E92E63329C}" type="sibTrans" cxnId="{E7BA7944-0367-4F02-8585-6B47300D1657}">
      <dgm:prSet/>
      <dgm:spPr/>
      <dgm:t>
        <a:bodyPr/>
        <a:lstStyle/>
        <a:p>
          <a:endParaRPr lang="en-US" sz="1100" b="0"/>
        </a:p>
      </dgm:t>
    </dgm:pt>
    <dgm:pt modelId="{DC5ECFE0-47BD-47B3-A94E-60A5EBB0443C}">
      <dgm:prSet phldrT="[Text]" custT="1"/>
      <dgm:spPr>
        <a:ln>
          <a:solidFill>
            <a:schemeClr val="accent4"/>
          </a:solidFill>
        </a:ln>
      </dgm:spPr>
      <dgm:t>
        <a:bodyPr/>
        <a:lstStyle/>
        <a:p>
          <a:r>
            <a:rPr lang="en-US" sz="1100" b="0"/>
            <a:t>35.2% </a:t>
          </a:r>
        </a:p>
      </dgm:t>
    </dgm:pt>
    <dgm:pt modelId="{FFD96008-8CB8-4118-A9E6-32A8D4491206}" type="parTrans" cxnId="{332CCBBE-7F34-4C9C-A269-A4AF9B961C05}">
      <dgm:prSet/>
      <dgm:spPr/>
      <dgm:t>
        <a:bodyPr/>
        <a:lstStyle/>
        <a:p>
          <a:endParaRPr lang="en-US" sz="1100" b="0"/>
        </a:p>
      </dgm:t>
    </dgm:pt>
    <dgm:pt modelId="{8D0CD6A3-D208-432C-8D6A-6F8722EF2DF3}" type="sibTrans" cxnId="{332CCBBE-7F34-4C9C-A269-A4AF9B961C05}">
      <dgm:prSet/>
      <dgm:spPr/>
      <dgm:t>
        <a:bodyPr/>
        <a:lstStyle/>
        <a:p>
          <a:endParaRPr lang="en-US" sz="1100" b="0"/>
        </a:p>
      </dgm:t>
    </dgm:pt>
    <dgm:pt modelId="{01A96F0C-F83D-40C4-8273-96A72983FE02}" type="pres">
      <dgm:prSet presAssocID="{DB2993C2-588D-4506-987A-CC9DC073F849}" presName="theList" presStyleCnt="0">
        <dgm:presLayoutVars>
          <dgm:dir/>
          <dgm:animLvl val="lvl"/>
          <dgm:resizeHandles val="exact"/>
        </dgm:presLayoutVars>
      </dgm:prSet>
      <dgm:spPr/>
      <dgm:t>
        <a:bodyPr/>
        <a:lstStyle/>
        <a:p>
          <a:endParaRPr lang="en-US"/>
        </a:p>
      </dgm:t>
    </dgm:pt>
    <dgm:pt modelId="{D3BEBBAA-C6BC-4C4E-8091-48204A825166}" type="pres">
      <dgm:prSet presAssocID="{3B86CD60-2297-4AAD-8886-BB3BD87C8475}" presName="compNode" presStyleCnt="0"/>
      <dgm:spPr/>
      <dgm:t>
        <a:bodyPr/>
        <a:lstStyle/>
        <a:p>
          <a:endParaRPr lang="en-US"/>
        </a:p>
      </dgm:t>
    </dgm:pt>
    <dgm:pt modelId="{BCC2C4D8-3298-4DE4-A840-1E199D5C9710}" type="pres">
      <dgm:prSet presAssocID="{3B86CD60-2297-4AAD-8886-BB3BD87C8475}" presName="aNode" presStyleLbl="bgShp" presStyleIdx="0" presStyleCnt="2" custLinFactNeighborX="-104" custLinFactNeighborY="6394"/>
      <dgm:spPr/>
      <dgm:t>
        <a:bodyPr/>
        <a:lstStyle/>
        <a:p>
          <a:endParaRPr lang="en-US"/>
        </a:p>
      </dgm:t>
    </dgm:pt>
    <dgm:pt modelId="{726AD83A-7018-4C4E-93F0-7F279B6C9EC6}" type="pres">
      <dgm:prSet presAssocID="{3B86CD60-2297-4AAD-8886-BB3BD87C8475}" presName="textNode" presStyleLbl="bgShp" presStyleIdx="0" presStyleCnt="2"/>
      <dgm:spPr/>
      <dgm:t>
        <a:bodyPr/>
        <a:lstStyle/>
        <a:p>
          <a:endParaRPr lang="en-US"/>
        </a:p>
      </dgm:t>
    </dgm:pt>
    <dgm:pt modelId="{9397AE2B-F0DF-45FD-B526-2F405443F0F1}" type="pres">
      <dgm:prSet presAssocID="{3B86CD60-2297-4AAD-8886-BB3BD87C8475}" presName="compChildNode" presStyleCnt="0"/>
      <dgm:spPr/>
      <dgm:t>
        <a:bodyPr/>
        <a:lstStyle/>
        <a:p>
          <a:endParaRPr lang="en-US"/>
        </a:p>
      </dgm:t>
    </dgm:pt>
    <dgm:pt modelId="{70EA7049-DE6F-4F5E-B7CB-FAFE73FD7798}" type="pres">
      <dgm:prSet presAssocID="{3B86CD60-2297-4AAD-8886-BB3BD87C8475}" presName="theInnerList" presStyleCnt="0"/>
      <dgm:spPr/>
      <dgm:t>
        <a:bodyPr/>
        <a:lstStyle/>
        <a:p>
          <a:endParaRPr lang="en-US"/>
        </a:p>
      </dgm:t>
    </dgm:pt>
    <dgm:pt modelId="{4E880F78-3140-4A98-BAEA-8587D22FDC53}" type="pres">
      <dgm:prSet presAssocID="{7682DCAC-B606-45FE-9CA6-544DD24F93D4}" presName="childNode" presStyleLbl="node1" presStyleIdx="0" presStyleCnt="2" custScaleY="59889" custLinFactNeighborY="11166">
        <dgm:presLayoutVars>
          <dgm:bulletEnabled val="1"/>
        </dgm:presLayoutVars>
      </dgm:prSet>
      <dgm:spPr/>
      <dgm:t>
        <a:bodyPr/>
        <a:lstStyle/>
        <a:p>
          <a:endParaRPr lang="en-US"/>
        </a:p>
      </dgm:t>
    </dgm:pt>
    <dgm:pt modelId="{D7797F72-0266-4154-B79C-602B991158B1}" type="pres">
      <dgm:prSet presAssocID="{3B86CD60-2297-4AAD-8886-BB3BD87C8475}" presName="aSpace" presStyleCnt="0"/>
      <dgm:spPr/>
      <dgm:t>
        <a:bodyPr/>
        <a:lstStyle/>
        <a:p>
          <a:endParaRPr lang="en-US"/>
        </a:p>
      </dgm:t>
    </dgm:pt>
    <dgm:pt modelId="{C0A04D4F-AD03-4718-A3EE-53D2475F0485}" type="pres">
      <dgm:prSet presAssocID="{FBD7B4DC-24B6-4A51-AEFE-1C95190836F7}" presName="compNode" presStyleCnt="0"/>
      <dgm:spPr/>
      <dgm:t>
        <a:bodyPr/>
        <a:lstStyle/>
        <a:p>
          <a:endParaRPr lang="en-US"/>
        </a:p>
      </dgm:t>
    </dgm:pt>
    <dgm:pt modelId="{94FD932A-CBA2-4E37-9F95-DD24C7915E3F}" type="pres">
      <dgm:prSet presAssocID="{FBD7B4DC-24B6-4A51-AEFE-1C95190836F7}" presName="aNode" presStyleLbl="bgShp" presStyleIdx="1" presStyleCnt="2" custLinFactX="142506" custLinFactY="235806" custLinFactNeighborX="200000" custLinFactNeighborY="300000"/>
      <dgm:spPr/>
      <dgm:t>
        <a:bodyPr/>
        <a:lstStyle/>
        <a:p>
          <a:endParaRPr lang="en-US"/>
        </a:p>
      </dgm:t>
    </dgm:pt>
    <dgm:pt modelId="{9436093D-8EAB-488B-9A5B-C7D74B7E9056}" type="pres">
      <dgm:prSet presAssocID="{FBD7B4DC-24B6-4A51-AEFE-1C95190836F7}" presName="textNode" presStyleLbl="bgShp" presStyleIdx="1" presStyleCnt="2"/>
      <dgm:spPr/>
      <dgm:t>
        <a:bodyPr/>
        <a:lstStyle/>
        <a:p>
          <a:endParaRPr lang="en-US"/>
        </a:p>
      </dgm:t>
    </dgm:pt>
    <dgm:pt modelId="{F45B73A4-B71E-4917-9214-8DC2012A98E7}" type="pres">
      <dgm:prSet presAssocID="{FBD7B4DC-24B6-4A51-AEFE-1C95190836F7}" presName="compChildNode" presStyleCnt="0"/>
      <dgm:spPr/>
      <dgm:t>
        <a:bodyPr/>
        <a:lstStyle/>
        <a:p>
          <a:endParaRPr lang="en-US"/>
        </a:p>
      </dgm:t>
    </dgm:pt>
    <dgm:pt modelId="{C7AFA68C-C338-40FE-BCE2-878F298A1FD8}" type="pres">
      <dgm:prSet presAssocID="{FBD7B4DC-24B6-4A51-AEFE-1C95190836F7}" presName="theInnerList" presStyleCnt="0"/>
      <dgm:spPr/>
      <dgm:t>
        <a:bodyPr/>
        <a:lstStyle/>
        <a:p>
          <a:endParaRPr lang="en-US"/>
        </a:p>
      </dgm:t>
    </dgm:pt>
    <dgm:pt modelId="{EE049198-67F7-47B3-A4E6-A00A37B45A92}" type="pres">
      <dgm:prSet presAssocID="{DC5ECFE0-47BD-47B3-A94E-60A5EBB0443C}" presName="childNode" presStyleLbl="node1" presStyleIdx="1" presStyleCnt="2" custScaleY="59889" custLinFactNeighborY="11166">
        <dgm:presLayoutVars>
          <dgm:bulletEnabled val="1"/>
        </dgm:presLayoutVars>
      </dgm:prSet>
      <dgm:spPr/>
      <dgm:t>
        <a:bodyPr/>
        <a:lstStyle/>
        <a:p>
          <a:endParaRPr lang="en-US"/>
        </a:p>
      </dgm:t>
    </dgm:pt>
  </dgm:ptLst>
  <dgm:cxnLst>
    <dgm:cxn modelId="{62BFD844-9B5E-44A5-859D-A30BBB1E10B4}" type="presOf" srcId="{FBD7B4DC-24B6-4A51-AEFE-1C95190836F7}" destId="{9436093D-8EAB-488B-9A5B-C7D74B7E9056}" srcOrd="1" destOrd="0" presId="urn:microsoft.com/office/officeart/2005/8/layout/lProcess2"/>
    <dgm:cxn modelId="{F0BCE961-C2E4-4341-A8DF-FD978D57CDC4}" type="presOf" srcId="{3B86CD60-2297-4AAD-8886-BB3BD87C8475}" destId="{BCC2C4D8-3298-4DE4-A840-1E199D5C9710}" srcOrd="0" destOrd="0" presId="urn:microsoft.com/office/officeart/2005/8/layout/lProcess2"/>
    <dgm:cxn modelId="{AE463DAA-075B-469E-9E10-280A66AB83CB}" srcId="{DB2993C2-588D-4506-987A-CC9DC073F849}" destId="{FBD7B4DC-24B6-4A51-AEFE-1C95190836F7}" srcOrd="1" destOrd="0" parTransId="{56D3EF43-BFBF-4894-AD83-FBE4CB393163}" sibTransId="{3DE2D4BE-CF14-4C6B-AFBB-91F911BB2016}"/>
    <dgm:cxn modelId="{E7BA7944-0367-4F02-8585-6B47300D1657}" srcId="{3B86CD60-2297-4AAD-8886-BB3BD87C8475}" destId="{7682DCAC-B606-45FE-9CA6-544DD24F93D4}" srcOrd="0" destOrd="0" parTransId="{1ECAAE55-F22A-461B-B6AE-2937DC60EC9D}" sibTransId="{0A522C6B-F710-4821-B793-65E92E63329C}"/>
    <dgm:cxn modelId="{02CA7D1F-E055-4896-9F83-54C5606E8959}" type="presOf" srcId="{3B86CD60-2297-4AAD-8886-BB3BD87C8475}" destId="{726AD83A-7018-4C4E-93F0-7F279B6C9EC6}" srcOrd="1" destOrd="0" presId="urn:microsoft.com/office/officeart/2005/8/layout/lProcess2"/>
    <dgm:cxn modelId="{9544DA7E-AB62-430F-9485-6F750A9DD51E}" srcId="{DB2993C2-588D-4506-987A-CC9DC073F849}" destId="{3B86CD60-2297-4AAD-8886-BB3BD87C8475}" srcOrd="0" destOrd="0" parTransId="{8AD85A90-9D19-457C-AF65-ED6190E9513E}" sibTransId="{6FDD441E-A7A7-4B42-B003-27D1B6785B30}"/>
    <dgm:cxn modelId="{6A34B92C-4ADE-4B8A-89D9-712955CFA0DA}" type="presOf" srcId="{7682DCAC-B606-45FE-9CA6-544DD24F93D4}" destId="{4E880F78-3140-4A98-BAEA-8587D22FDC53}" srcOrd="0" destOrd="0" presId="urn:microsoft.com/office/officeart/2005/8/layout/lProcess2"/>
    <dgm:cxn modelId="{8637F521-4397-4BA4-90DD-3034E34ED488}" type="presOf" srcId="{FBD7B4DC-24B6-4A51-AEFE-1C95190836F7}" destId="{94FD932A-CBA2-4E37-9F95-DD24C7915E3F}" srcOrd="0" destOrd="0" presId="urn:microsoft.com/office/officeart/2005/8/layout/lProcess2"/>
    <dgm:cxn modelId="{332CCBBE-7F34-4C9C-A269-A4AF9B961C05}" srcId="{FBD7B4DC-24B6-4A51-AEFE-1C95190836F7}" destId="{DC5ECFE0-47BD-47B3-A94E-60A5EBB0443C}" srcOrd="0" destOrd="0" parTransId="{FFD96008-8CB8-4118-A9E6-32A8D4491206}" sibTransId="{8D0CD6A3-D208-432C-8D6A-6F8722EF2DF3}"/>
    <dgm:cxn modelId="{B753E16A-137F-4541-B9E9-65530056D8A6}" type="presOf" srcId="{DC5ECFE0-47BD-47B3-A94E-60A5EBB0443C}" destId="{EE049198-67F7-47B3-A4E6-A00A37B45A92}" srcOrd="0" destOrd="0" presId="urn:microsoft.com/office/officeart/2005/8/layout/lProcess2"/>
    <dgm:cxn modelId="{86017EC2-6117-4A21-9CCE-16D94F4AADFC}" type="presOf" srcId="{DB2993C2-588D-4506-987A-CC9DC073F849}" destId="{01A96F0C-F83D-40C4-8273-96A72983FE02}" srcOrd="0" destOrd="0" presId="urn:microsoft.com/office/officeart/2005/8/layout/lProcess2"/>
    <dgm:cxn modelId="{3CB70CF4-5171-4729-A2EE-8DDC08DF507A}" type="presParOf" srcId="{01A96F0C-F83D-40C4-8273-96A72983FE02}" destId="{D3BEBBAA-C6BC-4C4E-8091-48204A825166}" srcOrd="0" destOrd="0" presId="urn:microsoft.com/office/officeart/2005/8/layout/lProcess2"/>
    <dgm:cxn modelId="{13F82114-3806-477E-B2C3-5DD524D209D8}" type="presParOf" srcId="{D3BEBBAA-C6BC-4C4E-8091-48204A825166}" destId="{BCC2C4D8-3298-4DE4-A840-1E199D5C9710}" srcOrd="0" destOrd="0" presId="urn:microsoft.com/office/officeart/2005/8/layout/lProcess2"/>
    <dgm:cxn modelId="{A77F0CE2-3596-42D2-A104-9CDFBDB673E2}" type="presParOf" srcId="{D3BEBBAA-C6BC-4C4E-8091-48204A825166}" destId="{726AD83A-7018-4C4E-93F0-7F279B6C9EC6}" srcOrd="1" destOrd="0" presId="urn:microsoft.com/office/officeart/2005/8/layout/lProcess2"/>
    <dgm:cxn modelId="{F9666966-EDF3-4365-9AB6-F77917850A85}" type="presParOf" srcId="{D3BEBBAA-C6BC-4C4E-8091-48204A825166}" destId="{9397AE2B-F0DF-45FD-B526-2F405443F0F1}" srcOrd="2" destOrd="0" presId="urn:microsoft.com/office/officeart/2005/8/layout/lProcess2"/>
    <dgm:cxn modelId="{749E11A2-ABF8-4F0F-AB00-9F6FD8FECE38}" type="presParOf" srcId="{9397AE2B-F0DF-45FD-B526-2F405443F0F1}" destId="{70EA7049-DE6F-4F5E-B7CB-FAFE73FD7798}" srcOrd="0" destOrd="0" presId="urn:microsoft.com/office/officeart/2005/8/layout/lProcess2"/>
    <dgm:cxn modelId="{A7E8949F-2E3A-42A8-B0AA-FDA7BFBD0CA8}" type="presParOf" srcId="{70EA7049-DE6F-4F5E-B7CB-FAFE73FD7798}" destId="{4E880F78-3140-4A98-BAEA-8587D22FDC53}" srcOrd="0" destOrd="0" presId="urn:microsoft.com/office/officeart/2005/8/layout/lProcess2"/>
    <dgm:cxn modelId="{4B65EDEF-03AF-47CC-A058-43F8697FDEDA}" type="presParOf" srcId="{01A96F0C-F83D-40C4-8273-96A72983FE02}" destId="{D7797F72-0266-4154-B79C-602B991158B1}" srcOrd="1" destOrd="0" presId="urn:microsoft.com/office/officeart/2005/8/layout/lProcess2"/>
    <dgm:cxn modelId="{54F9B506-B5FB-4A6C-A15B-BB25FEC7C7C1}" type="presParOf" srcId="{01A96F0C-F83D-40C4-8273-96A72983FE02}" destId="{C0A04D4F-AD03-4718-A3EE-53D2475F0485}" srcOrd="2" destOrd="0" presId="urn:microsoft.com/office/officeart/2005/8/layout/lProcess2"/>
    <dgm:cxn modelId="{4C761F85-C6D0-47E3-9BCC-EE6AFA7D5922}" type="presParOf" srcId="{C0A04D4F-AD03-4718-A3EE-53D2475F0485}" destId="{94FD932A-CBA2-4E37-9F95-DD24C7915E3F}" srcOrd="0" destOrd="0" presId="urn:microsoft.com/office/officeart/2005/8/layout/lProcess2"/>
    <dgm:cxn modelId="{E9AE8637-2347-410E-933D-6FBE8BF353C5}" type="presParOf" srcId="{C0A04D4F-AD03-4718-A3EE-53D2475F0485}" destId="{9436093D-8EAB-488B-9A5B-C7D74B7E9056}" srcOrd="1" destOrd="0" presId="urn:microsoft.com/office/officeart/2005/8/layout/lProcess2"/>
    <dgm:cxn modelId="{5C597360-79D6-40E5-8FBA-516F2EE3D168}" type="presParOf" srcId="{C0A04D4F-AD03-4718-A3EE-53D2475F0485}" destId="{F45B73A4-B71E-4917-9214-8DC2012A98E7}" srcOrd="2" destOrd="0" presId="urn:microsoft.com/office/officeart/2005/8/layout/lProcess2"/>
    <dgm:cxn modelId="{5EBB3800-0C43-48F0-B648-70171472D78E}" type="presParOf" srcId="{F45B73A4-B71E-4917-9214-8DC2012A98E7}" destId="{C7AFA68C-C338-40FE-BCE2-878F298A1FD8}" srcOrd="0" destOrd="0" presId="urn:microsoft.com/office/officeart/2005/8/layout/lProcess2"/>
    <dgm:cxn modelId="{9ACD2985-5ED5-4A3F-A13D-E98C282110D0}" type="presParOf" srcId="{C7AFA68C-C338-40FE-BCE2-878F298A1FD8}" destId="{EE049198-67F7-47B3-A4E6-A00A37B45A92}" srcOrd="0" destOrd="0" presId="urn:microsoft.com/office/officeart/2005/8/layout/l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2993C2-588D-4506-987A-CC9DC073F849}" type="doc">
      <dgm:prSet loTypeId="urn:microsoft.com/office/officeart/2005/8/layout/lProcess2" loCatId="list" qsTypeId="urn:microsoft.com/office/officeart/2005/8/quickstyle/simple2" qsCatId="simple" csTypeId="urn:microsoft.com/office/officeart/2005/8/colors/accent5_1" csCatId="accent5" phldr="1"/>
      <dgm:spPr/>
      <dgm:t>
        <a:bodyPr/>
        <a:lstStyle/>
        <a:p>
          <a:endParaRPr lang="en-US"/>
        </a:p>
      </dgm:t>
    </dgm:pt>
    <dgm:pt modelId="{3B86CD60-2297-4AAD-8886-BB3BD87C8475}">
      <dgm:prSet phldrT="[Text]" custT="1"/>
      <dgm:spPr/>
      <dgm:t>
        <a:bodyPr/>
        <a:lstStyle/>
        <a:p>
          <a:pPr>
            <a:spcBef>
              <a:spcPts val="600"/>
            </a:spcBef>
            <a:spcAft>
              <a:spcPts val="0"/>
            </a:spcAft>
          </a:pPr>
          <a:r>
            <a:rPr lang="en-US" sz="1100" b="0"/>
            <a:t> </a:t>
          </a:r>
          <a:br>
            <a:rPr lang="en-US" sz="1100" b="0"/>
          </a:br>
          <a:r>
            <a:rPr lang="en-US" sz="1100" b="0"/>
            <a:t>Job Placements </a:t>
          </a:r>
        </a:p>
      </dgm:t>
    </dgm:pt>
    <dgm:pt modelId="{8AD85A90-9D19-457C-AF65-ED6190E9513E}" type="parTrans" cxnId="{9544DA7E-AB62-430F-9485-6F750A9DD51E}">
      <dgm:prSet/>
      <dgm:spPr/>
      <dgm:t>
        <a:bodyPr/>
        <a:lstStyle/>
        <a:p>
          <a:endParaRPr lang="en-US" sz="1100" b="0"/>
        </a:p>
      </dgm:t>
    </dgm:pt>
    <dgm:pt modelId="{6FDD441E-A7A7-4B42-B003-27D1B6785B30}" type="sibTrans" cxnId="{9544DA7E-AB62-430F-9485-6F750A9DD51E}">
      <dgm:prSet/>
      <dgm:spPr/>
      <dgm:t>
        <a:bodyPr/>
        <a:lstStyle/>
        <a:p>
          <a:endParaRPr lang="en-US" sz="1100" b="0"/>
        </a:p>
      </dgm:t>
    </dgm:pt>
    <dgm:pt modelId="{7682DCAC-B606-45FE-9CA6-544DD24F93D4}">
      <dgm:prSet phldrT="[Text]" custT="1"/>
      <dgm:spPr/>
      <dgm:t>
        <a:bodyPr/>
        <a:lstStyle/>
        <a:p>
          <a:r>
            <a:rPr lang="en-US" sz="1100" b="0"/>
            <a:t>1,054,360</a:t>
          </a:r>
        </a:p>
      </dgm:t>
    </dgm:pt>
    <dgm:pt modelId="{1ECAAE55-F22A-461B-B6AE-2937DC60EC9D}" type="parTrans" cxnId="{E7BA7944-0367-4F02-8585-6B47300D1657}">
      <dgm:prSet/>
      <dgm:spPr/>
      <dgm:t>
        <a:bodyPr/>
        <a:lstStyle/>
        <a:p>
          <a:endParaRPr lang="en-US" sz="1100" b="0"/>
        </a:p>
      </dgm:t>
    </dgm:pt>
    <dgm:pt modelId="{0A522C6B-F710-4821-B793-65E92E63329C}" type="sibTrans" cxnId="{E7BA7944-0367-4F02-8585-6B47300D1657}">
      <dgm:prSet/>
      <dgm:spPr/>
      <dgm:t>
        <a:bodyPr/>
        <a:lstStyle/>
        <a:p>
          <a:endParaRPr lang="en-US" sz="1100" b="0"/>
        </a:p>
      </dgm:t>
    </dgm:pt>
    <dgm:pt modelId="{DC5ECFE0-47BD-47B3-A94E-60A5EBB0443C}">
      <dgm:prSet phldrT="[Text]" custT="1"/>
      <dgm:spPr/>
      <dgm:t>
        <a:bodyPr/>
        <a:lstStyle/>
        <a:p>
          <a:r>
            <a:rPr lang="en-US" sz="1100" b="0"/>
            <a:t>1,095</a:t>
          </a:r>
        </a:p>
      </dgm:t>
    </dgm:pt>
    <dgm:pt modelId="{FFD96008-8CB8-4118-A9E6-32A8D4491206}" type="parTrans" cxnId="{332CCBBE-7F34-4C9C-A269-A4AF9B961C05}">
      <dgm:prSet/>
      <dgm:spPr/>
      <dgm:t>
        <a:bodyPr/>
        <a:lstStyle/>
        <a:p>
          <a:endParaRPr lang="en-US" sz="1100" b="0"/>
        </a:p>
      </dgm:t>
    </dgm:pt>
    <dgm:pt modelId="{8D0CD6A3-D208-432C-8D6A-6F8722EF2DF3}" type="sibTrans" cxnId="{332CCBBE-7F34-4C9C-A269-A4AF9B961C05}">
      <dgm:prSet/>
      <dgm:spPr/>
      <dgm:t>
        <a:bodyPr/>
        <a:lstStyle/>
        <a:p>
          <a:endParaRPr lang="en-US" sz="1100" b="0"/>
        </a:p>
      </dgm:t>
    </dgm:pt>
    <dgm:pt modelId="{FBD7B4DC-24B6-4A51-AEFE-1C95190836F7}">
      <dgm:prSet phldrT="[Text]" custT="1"/>
      <dgm:spPr/>
      <dgm:t>
        <a:bodyPr/>
        <a:lstStyle/>
        <a:p>
          <a:r>
            <a:rPr lang="en-US" sz="1100" b="0"/>
            <a:t/>
          </a:r>
          <a:br>
            <a:rPr lang="en-US" sz="1100" b="0"/>
          </a:br>
          <a:r>
            <a:rPr lang="en-US" sz="1100" b="0"/>
            <a:t>Placements per Calendar Day</a:t>
          </a:r>
        </a:p>
      </dgm:t>
    </dgm:pt>
    <dgm:pt modelId="{3DE2D4BE-CF14-4C6B-AFBB-91F911BB2016}" type="sibTrans" cxnId="{AE463DAA-075B-469E-9E10-280A66AB83CB}">
      <dgm:prSet/>
      <dgm:spPr/>
      <dgm:t>
        <a:bodyPr/>
        <a:lstStyle/>
        <a:p>
          <a:endParaRPr lang="en-US" sz="1100" b="0"/>
        </a:p>
      </dgm:t>
    </dgm:pt>
    <dgm:pt modelId="{56D3EF43-BFBF-4894-AD83-FBE4CB393163}" type="parTrans" cxnId="{AE463DAA-075B-469E-9E10-280A66AB83CB}">
      <dgm:prSet/>
      <dgm:spPr/>
      <dgm:t>
        <a:bodyPr/>
        <a:lstStyle/>
        <a:p>
          <a:endParaRPr lang="en-US" sz="1100" b="0"/>
        </a:p>
      </dgm:t>
    </dgm:pt>
    <dgm:pt modelId="{01A96F0C-F83D-40C4-8273-96A72983FE02}" type="pres">
      <dgm:prSet presAssocID="{DB2993C2-588D-4506-987A-CC9DC073F849}" presName="theList" presStyleCnt="0">
        <dgm:presLayoutVars>
          <dgm:dir/>
          <dgm:animLvl val="lvl"/>
          <dgm:resizeHandles val="exact"/>
        </dgm:presLayoutVars>
      </dgm:prSet>
      <dgm:spPr/>
      <dgm:t>
        <a:bodyPr/>
        <a:lstStyle/>
        <a:p>
          <a:endParaRPr lang="en-US"/>
        </a:p>
      </dgm:t>
    </dgm:pt>
    <dgm:pt modelId="{D3BEBBAA-C6BC-4C4E-8091-48204A825166}" type="pres">
      <dgm:prSet presAssocID="{3B86CD60-2297-4AAD-8886-BB3BD87C8475}" presName="compNode" presStyleCnt="0"/>
      <dgm:spPr/>
      <dgm:t>
        <a:bodyPr/>
        <a:lstStyle/>
        <a:p>
          <a:endParaRPr lang="en-US"/>
        </a:p>
      </dgm:t>
    </dgm:pt>
    <dgm:pt modelId="{BCC2C4D8-3298-4DE4-A840-1E199D5C9710}" type="pres">
      <dgm:prSet presAssocID="{3B86CD60-2297-4AAD-8886-BB3BD87C8475}" presName="aNode" presStyleLbl="bgShp" presStyleIdx="0" presStyleCnt="2" custLinFactNeighborX="-8203" custLinFactNeighborY="-5645"/>
      <dgm:spPr/>
      <dgm:t>
        <a:bodyPr/>
        <a:lstStyle/>
        <a:p>
          <a:endParaRPr lang="en-US"/>
        </a:p>
      </dgm:t>
    </dgm:pt>
    <dgm:pt modelId="{726AD83A-7018-4C4E-93F0-7F279B6C9EC6}" type="pres">
      <dgm:prSet presAssocID="{3B86CD60-2297-4AAD-8886-BB3BD87C8475}" presName="textNode" presStyleLbl="bgShp" presStyleIdx="0" presStyleCnt="2"/>
      <dgm:spPr/>
      <dgm:t>
        <a:bodyPr/>
        <a:lstStyle/>
        <a:p>
          <a:endParaRPr lang="en-US"/>
        </a:p>
      </dgm:t>
    </dgm:pt>
    <dgm:pt modelId="{9397AE2B-F0DF-45FD-B526-2F405443F0F1}" type="pres">
      <dgm:prSet presAssocID="{3B86CD60-2297-4AAD-8886-BB3BD87C8475}" presName="compChildNode" presStyleCnt="0"/>
      <dgm:spPr/>
      <dgm:t>
        <a:bodyPr/>
        <a:lstStyle/>
        <a:p>
          <a:endParaRPr lang="en-US"/>
        </a:p>
      </dgm:t>
    </dgm:pt>
    <dgm:pt modelId="{70EA7049-DE6F-4F5E-B7CB-FAFE73FD7798}" type="pres">
      <dgm:prSet presAssocID="{3B86CD60-2297-4AAD-8886-BB3BD87C8475}" presName="theInnerList" presStyleCnt="0"/>
      <dgm:spPr/>
      <dgm:t>
        <a:bodyPr/>
        <a:lstStyle/>
        <a:p>
          <a:endParaRPr lang="en-US"/>
        </a:p>
      </dgm:t>
    </dgm:pt>
    <dgm:pt modelId="{4E880F78-3140-4A98-BAEA-8587D22FDC53}" type="pres">
      <dgm:prSet presAssocID="{7682DCAC-B606-45FE-9CA6-544DD24F93D4}" presName="childNode" presStyleLbl="node1" presStyleIdx="0" presStyleCnt="2" custScaleY="59889" custLinFactNeighborY="11166">
        <dgm:presLayoutVars>
          <dgm:bulletEnabled val="1"/>
        </dgm:presLayoutVars>
      </dgm:prSet>
      <dgm:spPr/>
      <dgm:t>
        <a:bodyPr/>
        <a:lstStyle/>
        <a:p>
          <a:endParaRPr lang="en-US"/>
        </a:p>
      </dgm:t>
    </dgm:pt>
    <dgm:pt modelId="{D7797F72-0266-4154-B79C-602B991158B1}" type="pres">
      <dgm:prSet presAssocID="{3B86CD60-2297-4AAD-8886-BB3BD87C8475}" presName="aSpace" presStyleCnt="0"/>
      <dgm:spPr/>
      <dgm:t>
        <a:bodyPr/>
        <a:lstStyle/>
        <a:p>
          <a:endParaRPr lang="en-US"/>
        </a:p>
      </dgm:t>
    </dgm:pt>
    <dgm:pt modelId="{C0A04D4F-AD03-4718-A3EE-53D2475F0485}" type="pres">
      <dgm:prSet presAssocID="{FBD7B4DC-24B6-4A51-AEFE-1C95190836F7}" presName="compNode" presStyleCnt="0"/>
      <dgm:spPr/>
      <dgm:t>
        <a:bodyPr/>
        <a:lstStyle/>
        <a:p>
          <a:endParaRPr lang="en-US"/>
        </a:p>
      </dgm:t>
    </dgm:pt>
    <dgm:pt modelId="{94FD932A-CBA2-4E37-9F95-DD24C7915E3F}" type="pres">
      <dgm:prSet presAssocID="{FBD7B4DC-24B6-4A51-AEFE-1C95190836F7}" presName="aNode" presStyleLbl="bgShp" presStyleIdx="1" presStyleCnt="2"/>
      <dgm:spPr/>
      <dgm:t>
        <a:bodyPr/>
        <a:lstStyle/>
        <a:p>
          <a:endParaRPr lang="en-US"/>
        </a:p>
      </dgm:t>
    </dgm:pt>
    <dgm:pt modelId="{9436093D-8EAB-488B-9A5B-C7D74B7E9056}" type="pres">
      <dgm:prSet presAssocID="{FBD7B4DC-24B6-4A51-AEFE-1C95190836F7}" presName="textNode" presStyleLbl="bgShp" presStyleIdx="1" presStyleCnt="2"/>
      <dgm:spPr/>
      <dgm:t>
        <a:bodyPr/>
        <a:lstStyle/>
        <a:p>
          <a:endParaRPr lang="en-US"/>
        </a:p>
      </dgm:t>
    </dgm:pt>
    <dgm:pt modelId="{F45B73A4-B71E-4917-9214-8DC2012A98E7}" type="pres">
      <dgm:prSet presAssocID="{FBD7B4DC-24B6-4A51-AEFE-1C95190836F7}" presName="compChildNode" presStyleCnt="0"/>
      <dgm:spPr/>
      <dgm:t>
        <a:bodyPr/>
        <a:lstStyle/>
        <a:p>
          <a:endParaRPr lang="en-US"/>
        </a:p>
      </dgm:t>
    </dgm:pt>
    <dgm:pt modelId="{C7AFA68C-C338-40FE-BCE2-878F298A1FD8}" type="pres">
      <dgm:prSet presAssocID="{FBD7B4DC-24B6-4A51-AEFE-1C95190836F7}" presName="theInnerList" presStyleCnt="0"/>
      <dgm:spPr/>
      <dgm:t>
        <a:bodyPr/>
        <a:lstStyle/>
        <a:p>
          <a:endParaRPr lang="en-US"/>
        </a:p>
      </dgm:t>
    </dgm:pt>
    <dgm:pt modelId="{EE049198-67F7-47B3-A4E6-A00A37B45A92}" type="pres">
      <dgm:prSet presAssocID="{DC5ECFE0-47BD-47B3-A94E-60A5EBB0443C}" presName="childNode" presStyleLbl="node1" presStyleIdx="1" presStyleCnt="2" custScaleY="59889" custLinFactNeighborY="11166">
        <dgm:presLayoutVars>
          <dgm:bulletEnabled val="1"/>
        </dgm:presLayoutVars>
      </dgm:prSet>
      <dgm:spPr/>
      <dgm:t>
        <a:bodyPr/>
        <a:lstStyle/>
        <a:p>
          <a:endParaRPr lang="en-US"/>
        </a:p>
      </dgm:t>
    </dgm:pt>
  </dgm:ptLst>
  <dgm:cxnLst>
    <dgm:cxn modelId="{62BFD844-9B5E-44A5-859D-A30BBB1E10B4}" type="presOf" srcId="{FBD7B4DC-24B6-4A51-AEFE-1C95190836F7}" destId="{9436093D-8EAB-488B-9A5B-C7D74B7E9056}" srcOrd="1" destOrd="0" presId="urn:microsoft.com/office/officeart/2005/8/layout/lProcess2"/>
    <dgm:cxn modelId="{F0BCE961-C2E4-4341-A8DF-FD978D57CDC4}" type="presOf" srcId="{3B86CD60-2297-4AAD-8886-BB3BD87C8475}" destId="{BCC2C4D8-3298-4DE4-A840-1E199D5C9710}" srcOrd="0" destOrd="0" presId="urn:microsoft.com/office/officeart/2005/8/layout/lProcess2"/>
    <dgm:cxn modelId="{AE463DAA-075B-469E-9E10-280A66AB83CB}" srcId="{DB2993C2-588D-4506-987A-CC9DC073F849}" destId="{FBD7B4DC-24B6-4A51-AEFE-1C95190836F7}" srcOrd="1" destOrd="0" parTransId="{56D3EF43-BFBF-4894-AD83-FBE4CB393163}" sibTransId="{3DE2D4BE-CF14-4C6B-AFBB-91F911BB2016}"/>
    <dgm:cxn modelId="{E7BA7944-0367-4F02-8585-6B47300D1657}" srcId="{3B86CD60-2297-4AAD-8886-BB3BD87C8475}" destId="{7682DCAC-B606-45FE-9CA6-544DD24F93D4}" srcOrd="0" destOrd="0" parTransId="{1ECAAE55-F22A-461B-B6AE-2937DC60EC9D}" sibTransId="{0A522C6B-F710-4821-B793-65E92E63329C}"/>
    <dgm:cxn modelId="{02CA7D1F-E055-4896-9F83-54C5606E8959}" type="presOf" srcId="{3B86CD60-2297-4AAD-8886-BB3BD87C8475}" destId="{726AD83A-7018-4C4E-93F0-7F279B6C9EC6}" srcOrd="1" destOrd="0" presId="urn:microsoft.com/office/officeart/2005/8/layout/lProcess2"/>
    <dgm:cxn modelId="{9544DA7E-AB62-430F-9485-6F750A9DD51E}" srcId="{DB2993C2-588D-4506-987A-CC9DC073F849}" destId="{3B86CD60-2297-4AAD-8886-BB3BD87C8475}" srcOrd="0" destOrd="0" parTransId="{8AD85A90-9D19-457C-AF65-ED6190E9513E}" sibTransId="{6FDD441E-A7A7-4B42-B003-27D1B6785B30}"/>
    <dgm:cxn modelId="{6A34B92C-4ADE-4B8A-89D9-712955CFA0DA}" type="presOf" srcId="{7682DCAC-B606-45FE-9CA6-544DD24F93D4}" destId="{4E880F78-3140-4A98-BAEA-8587D22FDC53}" srcOrd="0" destOrd="0" presId="urn:microsoft.com/office/officeart/2005/8/layout/lProcess2"/>
    <dgm:cxn modelId="{8637F521-4397-4BA4-90DD-3034E34ED488}" type="presOf" srcId="{FBD7B4DC-24B6-4A51-AEFE-1C95190836F7}" destId="{94FD932A-CBA2-4E37-9F95-DD24C7915E3F}" srcOrd="0" destOrd="0" presId="urn:microsoft.com/office/officeart/2005/8/layout/lProcess2"/>
    <dgm:cxn modelId="{332CCBBE-7F34-4C9C-A269-A4AF9B961C05}" srcId="{FBD7B4DC-24B6-4A51-AEFE-1C95190836F7}" destId="{DC5ECFE0-47BD-47B3-A94E-60A5EBB0443C}" srcOrd="0" destOrd="0" parTransId="{FFD96008-8CB8-4118-A9E6-32A8D4491206}" sibTransId="{8D0CD6A3-D208-432C-8D6A-6F8722EF2DF3}"/>
    <dgm:cxn modelId="{B753E16A-137F-4541-B9E9-65530056D8A6}" type="presOf" srcId="{DC5ECFE0-47BD-47B3-A94E-60A5EBB0443C}" destId="{EE049198-67F7-47B3-A4E6-A00A37B45A92}" srcOrd="0" destOrd="0" presId="urn:microsoft.com/office/officeart/2005/8/layout/lProcess2"/>
    <dgm:cxn modelId="{86017EC2-6117-4A21-9CCE-16D94F4AADFC}" type="presOf" srcId="{DB2993C2-588D-4506-987A-CC9DC073F849}" destId="{01A96F0C-F83D-40C4-8273-96A72983FE02}" srcOrd="0" destOrd="0" presId="urn:microsoft.com/office/officeart/2005/8/layout/lProcess2"/>
    <dgm:cxn modelId="{3CB70CF4-5171-4729-A2EE-8DDC08DF507A}" type="presParOf" srcId="{01A96F0C-F83D-40C4-8273-96A72983FE02}" destId="{D3BEBBAA-C6BC-4C4E-8091-48204A825166}" srcOrd="0" destOrd="0" presId="urn:microsoft.com/office/officeart/2005/8/layout/lProcess2"/>
    <dgm:cxn modelId="{13F82114-3806-477E-B2C3-5DD524D209D8}" type="presParOf" srcId="{D3BEBBAA-C6BC-4C4E-8091-48204A825166}" destId="{BCC2C4D8-3298-4DE4-A840-1E199D5C9710}" srcOrd="0" destOrd="0" presId="urn:microsoft.com/office/officeart/2005/8/layout/lProcess2"/>
    <dgm:cxn modelId="{A77F0CE2-3596-42D2-A104-9CDFBDB673E2}" type="presParOf" srcId="{D3BEBBAA-C6BC-4C4E-8091-48204A825166}" destId="{726AD83A-7018-4C4E-93F0-7F279B6C9EC6}" srcOrd="1" destOrd="0" presId="urn:microsoft.com/office/officeart/2005/8/layout/lProcess2"/>
    <dgm:cxn modelId="{F9666966-EDF3-4365-9AB6-F77917850A85}" type="presParOf" srcId="{D3BEBBAA-C6BC-4C4E-8091-48204A825166}" destId="{9397AE2B-F0DF-45FD-B526-2F405443F0F1}" srcOrd="2" destOrd="0" presId="urn:microsoft.com/office/officeart/2005/8/layout/lProcess2"/>
    <dgm:cxn modelId="{749E11A2-ABF8-4F0F-AB00-9F6FD8FECE38}" type="presParOf" srcId="{9397AE2B-F0DF-45FD-B526-2F405443F0F1}" destId="{70EA7049-DE6F-4F5E-B7CB-FAFE73FD7798}" srcOrd="0" destOrd="0" presId="urn:microsoft.com/office/officeart/2005/8/layout/lProcess2"/>
    <dgm:cxn modelId="{A7E8949F-2E3A-42A8-B0AA-FDA7BFBD0CA8}" type="presParOf" srcId="{70EA7049-DE6F-4F5E-B7CB-FAFE73FD7798}" destId="{4E880F78-3140-4A98-BAEA-8587D22FDC53}" srcOrd="0" destOrd="0" presId="urn:microsoft.com/office/officeart/2005/8/layout/lProcess2"/>
    <dgm:cxn modelId="{4B65EDEF-03AF-47CC-A058-43F8697FDEDA}" type="presParOf" srcId="{01A96F0C-F83D-40C4-8273-96A72983FE02}" destId="{D7797F72-0266-4154-B79C-602B991158B1}" srcOrd="1" destOrd="0" presId="urn:microsoft.com/office/officeart/2005/8/layout/lProcess2"/>
    <dgm:cxn modelId="{54F9B506-B5FB-4A6C-A15B-BB25FEC7C7C1}" type="presParOf" srcId="{01A96F0C-F83D-40C4-8273-96A72983FE02}" destId="{C0A04D4F-AD03-4718-A3EE-53D2475F0485}" srcOrd="2" destOrd="0" presId="urn:microsoft.com/office/officeart/2005/8/layout/lProcess2"/>
    <dgm:cxn modelId="{4C761F85-C6D0-47E3-9BCC-EE6AFA7D5922}" type="presParOf" srcId="{C0A04D4F-AD03-4718-A3EE-53D2475F0485}" destId="{94FD932A-CBA2-4E37-9F95-DD24C7915E3F}" srcOrd="0" destOrd="0" presId="urn:microsoft.com/office/officeart/2005/8/layout/lProcess2"/>
    <dgm:cxn modelId="{E9AE8637-2347-410E-933D-6FBE8BF353C5}" type="presParOf" srcId="{C0A04D4F-AD03-4718-A3EE-53D2475F0485}" destId="{9436093D-8EAB-488B-9A5B-C7D74B7E9056}" srcOrd="1" destOrd="0" presId="urn:microsoft.com/office/officeart/2005/8/layout/lProcess2"/>
    <dgm:cxn modelId="{5C597360-79D6-40E5-8FBA-516F2EE3D168}" type="presParOf" srcId="{C0A04D4F-AD03-4718-A3EE-53D2475F0485}" destId="{F45B73A4-B71E-4917-9214-8DC2012A98E7}" srcOrd="2" destOrd="0" presId="urn:microsoft.com/office/officeart/2005/8/layout/lProcess2"/>
    <dgm:cxn modelId="{5EBB3800-0C43-48F0-B648-70171472D78E}" type="presParOf" srcId="{F45B73A4-B71E-4917-9214-8DC2012A98E7}" destId="{C7AFA68C-C338-40FE-BCE2-878F298A1FD8}" srcOrd="0" destOrd="0" presId="urn:microsoft.com/office/officeart/2005/8/layout/lProcess2"/>
    <dgm:cxn modelId="{9ACD2985-5ED5-4A3F-A13D-E98C282110D0}" type="presParOf" srcId="{C7AFA68C-C338-40FE-BCE2-878F298A1FD8}" destId="{EE049198-67F7-47B3-A4E6-A00A37B45A92}" srcOrd="0"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B2993C2-588D-4506-987A-CC9DC073F849}" type="doc">
      <dgm:prSet loTypeId="urn:microsoft.com/office/officeart/2005/8/layout/lProcess2" loCatId="list" qsTypeId="urn:microsoft.com/office/officeart/2005/8/quickstyle/simple2" qsCatId="simple" csTypeId="urn:microsoft.com/office/officeart/2005/8/colors/accent4_1" csCatId="accent4" phldr="1"/>
      <dgm:spPr/>
      <dgm:t>
        <a:bodyPr/>
        <a:lstStyle/>
        <a:p>
          <a:endParaRPr lang="en-US"/>
        </a:p>
      </dgm:t>
    </dgm:pt>
    <dgm:pt modelId="{96B8EDA6-BEF5-4B8B-B018-84A8F9FEC103}">
      <dgm:prSet phldrT="[Text]" custT="1"/>
      <dgm:spPr/>
      <dgm:t>
        <a:bodyPr/>
        <a:lstStyle/>
        <a:p>
          <a:r>
            <a:rPr lang="en-US" sz="1100" b="0" i="0"/>
            <a:t/>
          </a:r>
          <a:br>
            <a:rPr lang="en-US" sz="1100" b="0" i="0"/>
          </a:br>
          <a:r>
            <a:rPr lang="en-US" sz="1100" b="0" i="0"/>
            <a:t>12-week Outcomes</a:t>
          </a:r>
        </a:p>
      </dgm:t>
    </dgm:pt>
    <dgm:pt modelId="{76A13CDD-2F3E-4E48-922F-677562C04B60}" type="parTrans" cxnId="{9CC36CAA-8526-405A-9BED-767214356295}">
      <dgm:prSet/>
      <dgm:spPr/>
      <dgm:t>
        <a:bodyPr/>
        <a:lstStyle/>
        <a:p>
          <a:endParaRPr lang="en-US" sz="1100" b="0"/>
        </a:p>
      </dgm:t>
    </dgm:pt>
    <dgm:pt modelId="{031930D4-E57E-49B5-A9E9-7706609888A7}" type="sibTrans" cxnId="{9CC36CAA-8526-405A-9BED-767214356295}">
      <dgm:prSet/>
      <dgm:spPr/>
      <dgm:t>
        <a:bodyPr/>
        <a:lstStyle/>
        <a:p>
          <a:endParaRPr lang="en-US" sz="1100" b="0"/>
        </a:p>
      </dgm:t>
    </dgm:pt>
    <dgm:pt modelId="{97BA5B62-5B41-41BF-B7C7-BC6C5DD2B139}">
      <dgm:prSet phldrT="[Text]" custT="1"/>
      <dgm:spPr/>
      <dgm:t>
        <a:bodyPr/>
        <a:lstStyle/>
        <a:p>
          <a:r>
            <a:rPr lang="en-US" sz="1100" b="0"/>
            <a:t/>
          </a:r>
          <a:br>
            <a:rPr lang="en-US" sz="1100" b="0"/>
          </a:br>
          <a:r>
            <a:rPr lang="en-US" sz="1100" b="0"/>
            <a:t>26-week Outcomes</a:t>
          </a:r>
        </a:p>
      </dgm:t>
    </dgm:pt>
    <dgm:pt modelId="{6514D22E-9C09-437F-A23D-20970FC5101E}" type="parTrans" cxnId="{8EE5DB71-D0EF-4F03-B1F3-E8681CA7B5F5}">
      <dgm:prSet/>
      <dgm:spPr/>
      <dgm:t>
        <a:bodyPr/>
        <a:lstStyle/>
        <a:p>
          <a:endParaRPr lang="en-US" sz="1100" b="0"/>
        </a:p>
      </dgm:t>
    </dgm:pt>
    <dgm:pt modelId="{35E8D681-E3B6-4762-96F6-D07BCF4886A2}" type="sibTrans" cxnId="{8EE5DB71-D0EF-4F03-B1F3-E8681CA7B5F5}">
      <dgm:prSet/>
      <dgm:spPr/>
      <dgm:t>
        <a:bodyPr/>
        <a:lstStyle/>
        <a:p>
          <a:endParaRPr lang="en-US" sz="1100" b="0"/>
        </a:p>
      </dgm:t>
    </dgm:pt>
    <dgm:pt modelId="{7682DCAC-B606-45FE-9CA6-544DD24F93D4}">
      <dgm:prSet phldrT="[Text]" custT="1"/>
      <dgm:spPr/>
      <dgm:t>
        <a:bodyPr/>
        <a:lstStyle/>
        <a:p>
          <a:r>
            <a:rPr lang="en-US" sz="1100" b="0"/>
            <a:t/>
          </a:r>
          <a:br>
            <a:rPr lang="en-US" sz="1100" b="0"/>
          </a:br>
          <a:r>
            <a:rPr lang="en-US" sz="1100" b="0"/>
            <a:t>4-week Outcomes</a:t>
          </a:r>
        </a:p>
      </dgm:t>
    </dgm:pt>
    <dgm:pt modelId="{1ECAAE55-F22A-461B-B6AE-2937DC60EC9D}" type="parTrans" cxnId="{E7BA7944-0367-4F02-8585-6B47300D1657}">
      <dgm:prSet/>
      <dgm:spPr/>
      <dgm:t>
        <a:bodyPr/>
        <a:lstStyle/>
        <a:p>
          <a:endParaRPr lang="en-US" sz="1100" b="0"/>
        </a:p>
      </dgm:t>
    </dgm:pt>
    <dgm:pt modelId="{0A522C6B-F710-4821-B793-65E92E63329C}" type="sibTrans" cxnId="{E7BA7944-0367-4F02-8585-6B47300D1657}">
      <dgm:prSet/>
      <dgm:spPr/>
      <dgm:t>
        <a:bodyPr/>
        <a:lstStyle/>
        <a:p>
          <a:endParaRPr lang="en-US" sz="1100" b="0"/>
        </a:p>
      </dgm:t>
    </dgm:pt>
    <dgm:pt modelId="{DC5ECFE0-47BD-47B3-A94E-60A5EBB0443C}">
      <dgm:prSet phldrT="[Text]" custT="1"/>
      <dgm:spPr/>
      <dgm:t>
        <a:bodyPr/>
        <a:lstStyle/>
        <a:p>
          <a:r>
            <a:rPr lang="en-US" sz="1100" b="0"/>
            <a:t>552,820 </a:t>
          </a:r>
        </a:p>
      </dgm:t>
    </dgm:pt>
    <dgm:pt modelId="{FFD96008-8CB8-4118-A9E6-32A8D4491206}" type="parTrans" cxnId="{332CCBBE-7F34-4C9C-A269-A4AF9B961C05}">
      <dgm:prSet/>
      <dgm:spPr/>
      <dgm:t>
        <a:bodyPr/>
        <a:lstStyle/>
        <a:p>
          <a:endParaRPr lang="en-US" sz="1100" b="0"/>
        </a:p>
      </dgm:t>
    </dgm:pt>
    <dgm:pt modelId="{8D0CD6A3-D208-432C-8D6A-6F8722EF2DF3}" type="sibTrans" cxnId="{332CCBBE-7F34-4C9C-A269-A4AF9B961C05}">
      <dgm:prSet/>
      <dgm:spPr/>
      <dgm:t>
        <a:bodyPr/>
        <a:lstStyle/>
        <a:p>
          <a:endParaRPr lang="en-US" sz="1100" b="0"/>
        </a:p>
      </dgm:t>
    </dgm:pt>
    <dgm:pt modelId="{519024C6-5ADA-4FC2-BDFA-7669E1106D75}">
      <dgm:prSet phldrT="[Text]" custT="1"/>
      <dgm:spPr/>
      <dgm:t>
        <a:bodyPr/>
        <a:lstStyle/>
        <a:p>
          <a:r>
            <a:rPr lang="en-US" sz="1100" b="0"/>
            <a:t>463,950</a:t>
          </a:r>
        </a:p>
      </dgm:t>
    </dgm:pt>
    <dgm:pt modelId="{5D3E0FDD-D7FE-43F3-9083-40C40E4A9DE6}" type="parTrans" cxnId="{B18737A0-DAB3-470D-894C-C831DE7C87AE}">
      <dgm:prSet/>
      <dgm:spPr/>
      <dgm:t>
        <a:bodyPr/>
        <a:lstStyle/>
        <a:p>
          <a:endParaRPr lang="en-US" sz="1100" b="0"/>
        </a:p>
      </dgm:t>
    </dgm:pt>
    <dgm:pt modelId="{539481A3-907C-4C47-843B-1749FECFD2E5}" type="sibTrans" cxnId="{B18737A0-DAB3-470D-894C-C831DE7C87AE}">
      <dgm:prSet/>
      <dgm:spPr/>
      <dgm:t>
        <a:bodyPr/>
        <a:lstStyle/>
        <a:p>
          <a:endParaRPr lang="en-US" sz="1100" b="0"/>
        </a:p>
      </dgm:t>
    </dgm:pt>
    <dgm:pt modelId="{7BEBE37C-3532-4390-96A7-F872F88A9C71}">
      <dgm:prSet phldrT="[Text]" custT="1"/>
      <dgm:spPr/>
      <dgm:t>
        <a:bodyPr/>
        <a:lstStyle/>
        <a:p>
          <a:r>
            <a:rPr lang="en-US" sz="1100" b="0"/>
            <a:t>289,740</a:t>
          </a:r>
        </a:p>
      </dgm:t>
    </dgm:pt>
    <dgm:pt modelId="{A9C278A0-5950-4474-9441-126DACB39064}" type="parTrans" cxnId="{57DA2AD9-4B02-4B11-B7EB-B857C404D86F}">
      <dgm:prSet/>
      <dgm:spPr/>
      <dgm:t>
        <a:bodyPr/>
        <a:lstStyle/>
        <a:p>
          <a:endParaRPr lang="en-US" sz="1100" b="0"/>
        </a:p>
      </dgm:t>
    </dgm:pt>
    <dgm:pt modelId="{EA0D5E4D-F8A6-4AB5-AC1A-920420BECD6C}" type="sibTrans" cxnId="{57DA2AD9-4B02-4B11-B7EB-B857C404D86F}">
      <dgm:prSet/>
      <dgm:spPr/>
      <dgm:t>
        <a:bodyPr/>
        <a:lstStyle/>
        <a:p>
          <a:endParaRPr lang="en-US" sz="1100" b="0"/>
        </a:p>
      </dgm:t>
    </dgm:pt>
    <dgm:pt modelId="{01A96F0C-F83D-40C4-8273-96A72983FE02}" type="pres">
      <dgm:prSet presAssocID="{DB2993C2-588D-4506-987A-CC9DC073F849}" presName="theList" presStyleCnt="0">
        <dgm:presLayoutVars>
          <dgm:dir/>
          <dgm:animLvl val="lvl"/>
          <dgm:resizeHandles val="exact"/>
        </dgm:presLayoutVars>
      </dgm:prSet>
      <dgm:spPr/>
      <dgm:t>
        <a:bodyPr/>
        <a:lstStyle/>
        <a:p>
          <a:endParaRPr lang="en-US"/>
        </a:p>
      </dgm:t>
    </dgm:pt>
    <dgm:pt modelId="{C108CB12-DA59-414A-A545-5D81D12198B4}" type="pres">
      <dgm:prSet presAssocID="{7682DCAC-B606-45FE-9CA6-544DD24F93D4}" presName="compNode" presStyleCnt="0"/>
      <dgm:spPr/>
      <dgm:t>
        <a:bodyPr/>
        <a:lstStyle/>
        <a:p>
          <a:endParaRPr lang="en-US"/>
        </a:p>
      </dgm:t>
    </dgm:pt>
    <dgm:pt modelId="{1A24B7EE-B1B6-483D-AC1F-9BED48CCEB8F}" type="pres">
      <dgm:prSet presAssocID="{7682DCAC-B606-45FE-9CA6-544DD24F93D4}" presName="aNode" presStyleLbl="bgShp" presStyleIdx="0" presStyleCnt="3"/>
      <dgm:spPr/>
      <dgm:t>
        <a:bodyPr/>
        <a:lstStyle/>
        <a:p>
          <a:endParaRPr lang="en-US"/>
        </a:p>
      </dgm:t>
    </dgm:pt>
    <dgm:pt modelId="{5993969B-D606-43F5-9DC3-629D88DEB674}" type="pres">
      <dgm:prSet presAssocID="{7682DCAC-B606-45FE-9CA6-544DD24F93D4}" presName="textNode" presStyleLbl="bgShp" presStyleIdx="0" presStyleCnt="3"/>
      <dgm:spPr/>
      <dgm:t>
        <a:bodyPr/>
        <a:lstStyle/>
        <a:p>
          <a:endParaRPr lang="en-US"/>
        </a:p>
      </dgm:t>
    </dgm:pt>
    <dgm:pt modelId="{FE5975A3-F8A0-46FA-A939-F656D63BB25D}" type="pres">
      <dgm:prSet presAssocID="{7682DCAC-B606-45FE-9CA6-544DD24F93D4}" presName="compChildNode" presStyleCnt="0"/>
      <dgm:spPr/>
      <dgm:t>
        <a:bodyPr/>
        <a:lstStyle/>
        <a:p>
          <a:endParaRPr lang="en-US"/>
        </a:p>
      </dgm:t>
    </dgm:pt>
    <dgm:pt modelId="{E41D23A3-8F24-49F4-99FE-BFCC5C8AD188}" type="pres">
      <dgm:prSet presAssocID="{7682DCAC-B606-45FE-9CA6-544DD24F93D4}" presName="theInnerList" presStyleCnt="0"/>
      <dgm:spPr/>
      <dgm:t>
        <a:bodyPr/>
        <a:lstStyle/>
        <a:p>
          <a:endParaRPr lang="en-US"/>
        </a:p>
      </dgm:t>
    </dgm:pt>
    <dgm:pt modelId="{EE049198-67F7-47B3-A4E6-A00A37B45A92}" type="pres">
      <dgm:prSet presAssocID="{DC5ECFE0-47BD-47B3-A94E-60A5EBB0443C}" presName="childNode" presStyleLbl="node1" presStyleIdx="0" presStyleCnt="3" custScaleY="59889" custLinFactNeighborY="11166">
        <dgm:presLayoutVars>
          <dgm:bulletEnabled val="1"/>
        </dgm:presLayoutVars>
      </dgm:prSet>
      <dgm:spPr/>
      <dgm:t>
        <a:bodyPr/>
        <a:lstStyle/>
        <a:p>
          <a:endParaRPr lang="en-US"/>
        </a:p>
      </dgm:t>
    </dgm:pt>
    <dgm:pt modelId="{BD0CB102-B04C-47A3-B71C-C8DAF3D8591A}" type="pres">
      <dgm:prSet presAssocID="{7682DCAC-B606-45FE-9CA6-544DD24F93D4}" presName="aSpace" presStyleCnt="0"/>
      <dgm:spPr/>
      <dgm:t>
        <a:bodyPr/>
        <a:lstStyle/>
        <a:p>
          <a:endParaRPr lang="en-US"/>
        </a:p>
      </dgm:t>
    </dgm:pt>
    <dgm:pt modelId="{E069DBDE-E26D-4BCB-B0CC-CF776026CE87}" type="pres">
      <dgm:prSet presAssocID="{96B8EDA6-BEF5-4B8B-B018-84A8F9FEC103}" presName="compNode" presStyleCnt="0"/>
      <dgm:spPr/>
      <dgm:t>
        <a:bodyPr/>
        <a:lstStyle/>
        <a:p>
          <a:endParaRPr lang="en-US"/>
        </a:p>
      </dgm:t>
    </dgm:pt>
    <dgm:pt modelId="{870F47EA-0468-4592-98DA-9BE359694F1D}" type="pres">
      <dgm:prSet presAssocID="{96B8EDA6-BEF5-4B8B-B018-84A8F9FEC103}" presName="aNode" presStyleLbl="bgShp" presStyleIdx="1" presStyleCnt="3"/>
      <dgm:spPr/>
      <dgm:t>
        <a:bodyPr/>
        <a:lstStyle/>
        <a:p>
          <a:endParaRPr lang="en-US"/>
        </a:p>
      </dgm:t>
    </dgm:pt>
    <dgm:pt modelId="{41E213A0-4E4C-470E-8BD1-9B7226EC6498}" type="pres">
      <dgm:prSet presAssocID="{96B8EDA6-BEF5-4B8B-B018-84A8F9FEC103}" presName="textNode" presStyleLbl="bgShp" presStyleIdx="1" presStyleCnt="3"/>
      <dgm:spPr/>
      <dgm:t>
        <a:bodyPr/>
        <a:lstStyle/>
        <a:p>
          <a:endParaRPr lang="en-US"/>
        </a:p>
      </dgm:t>
    </dgm:pt>
    <dgm:pt modelId="{479BDADC-8FA6-4859-947C-8E8F9B2EE7E0}" type="pres">
      <dgm:prSet presAssocID="{96B8EDA6-BEF5-4B8B-B018-84A8F9FEC103}" presName="compChildNode" presStyleCnt="0"/>
      <dgm:spPr/>
      <dgm:t>
        <a:bodyPr/>
        <a:lstStyle/>
        <a:p>
          <a:endParaRPr lang="en-US"/>
        </a:p>
      </dgm:t>
    </dgm:pt>
    <dgm:pt modelId="{3BA1591E-F398-4617-BFC1-8E9E5A9F677E}" type="pres">
      <dgm:prSet presAssocID="{96B8EDA6-BEF5-4B8B-B018-84A8F9FEC103}" presName="theInnerList" presStyleCnt="0"/>
      <dgm:spPr/>
      <dgm:t>
        <a:bodyPr/>
        <a:lstStyle/>
        <a:p>
          <a:endParaRPr lang="en-US"/>
        </a:p>
      </dgm:t>
    </dgm:pt>
    <dgm:pt modelId="{16A82D63-6D51-411B-B7D5-715A3B65E448}" type="pres">
      <dgm:prSet presAssocID="{519024C6-5ADA-4FC2-BDFA-7669E1106D75}" presName="childNode" presStyleLbl="node1" presStyleIdx="1" presStyleCnt="3" custScaleY="59889" custLinFactNeighborY="11166">
        <dgm:presLayoutVars>
          <dgm:bulletEnabled val="1"/>
        </dgm:presLayoutVars>
      </dgm:prSet>
      <dgm:spPr/>
      <dgm:t>
        <a:bodyPr/>
        <a:lstStyle/>
        <a:p>
          <a:endParaRPr lang="en-US"/>
        </a:p>
      </dgm:t>
    </dgm:pt>
    <dgm:pt modelId="{1E73EDB0-8924-4C76-8F51-5F43945605CF}" type="pres">
      <dgm:prSet presAssocID="{96B8EDA6-BEF5-4B8B-B018-84A8F9FEC103}" presName="aSpace" presStyleCnt="0"/>
      <dgm:spPr/>
      <dgm:t>
        <a:bodyPr/>
        <a:lstStyle/>
        <a:p>
          <a:endParaRPr lang="en-US"/>
        </a:p>
      </dgm:t>
    </dgm:pt>
    <dgm:pt modelId="{DE3F7A9A-F4CB-4C91-AA78-B6AB6D3FA25B}" type="pres">
      <dgm:prSet presAssocID="{97BA5B62-5B41-41BF-B7C7-BC6C5DD2B139}" presName="compNode" presStyleCnt="0"/>
      <dgm:spPr/>
      <dgm:t>
        <a:bodyPr/>
        <a:lstStyle/>
        <a:p>
          <a:endParaRPr lang="en-US"/>
        </a:p>
      </dgm:t>
    </dgm:pt>
    <dgm:pt modelId="{43B04073-3D9D-42C5-9CAF-9B2FB189B038}" type="pres">
      <dgm:prSet presAssocID="{97BA5B62-5B41-41BF-B7C7-BC6C5DD2B139}" presName="aNode" presStyleLbl="bgShp" presStyleIdx="2" presStyleCnt="3"/>
      <dgm:spPr/>
      <dgm:t>
        <a:bodyPr/>
        <a:lstStyle/>
        <a:p>
          <a:endParaRPr lang="en-US"/>
        </a:p>
      </dgm:t>
    </dgm:pt>
    <dgm:pt modelId="{473A4345-6909-4F32-8F7C-240D6914D2D5}" type="pres">
      <dgm:prSet presAssocID="{97BA5B62-5B41-41BF-B7C7-BC6C5DD2B139}" presName="textNode" presStyleLbl="bgShp" presStyleIdx="2" presStyleCnt="3"/>
      <dgm:spPr/>
      <dgm:t>
        <a:bodyPr/>
        <a:lstStyle/>
        <a:p>
          <a:endParaRPr lang="en-US"/>
        </a:p>
      </dgm:t>
    </dgm:pt>
    <dgm:pt modelId="{E7213867-E422-4044-BCA7-061E36C97494}" type="pres">
      <dgm:prSet presAssocID="{97BA5B62-5B41-41BF-B7C7-BC6C5DD2B139}" presName="compChildNode" presStyleCnt="0"/>
      <dgm:spPr/>
      <dgm:t>
        <a:bodyPr/>
        <a:lstStyle/>
        <a:p>
          <a:endParaRPr lang="en-US"/>
        </a:p>
      </dgm:t>
    </dgm:pt>
    <dgm:pt modelId="{742AEEA9-F5CA-4570-B407-0DF5F62649C1}" type="pres">
      <dgm:prSet presAssocID="{97BA5B62-5B41-41BF-B7C7-BC6C5DD2B139}" presName="theInnerList" presStyleCnt="0"/>
      <dgm:spPr/>
      <dgm:t>
        <a:bodyPr/>
        <a:lstStyle/>
        <a:p>
          <a:endParaRPr lang="en-US"/>
        </a:p>
      </dgm:t>
    </dgm:pt>
    <dgm:pt modelId="{11BA0751-CC05-4837-A43D-935C1388AD1E}" type="pres">
      <dgm:prSet presAssocID="{7BEBE37C-3532-4390-96A7-F872F88A9C71}" presName="childNode" presStyleLbl="node1" presStyleIdx="2" presStyleCnt="3" custScaleY="59889" custLinFactNeighborY="11166">
        <dgm:presLayoutVars>
          <dgm:bulletEnabled val="1"/>
        </dgm:presLayoutVars>
      </dgm:prSet>
      <dgm:spPr/>
      <dgm:t>
        <a:bodyPr/>
        <a:lstStyle/>
        <a:p>
          <a:endParaRPr lang="en-US"/>
        </a:p>
      </dgm:t>
    </dgm:pt>
  </dgm:ptLst>
  <dgm:cxnLst>
    <dgm:cxn modelId="{9CC36CAA-8526-405A-9BED-767214356295}" srcId="{DB2993C2-588D-4506-987A-CC9DC073F849}" destId="{96B8EDA6-BEF5-4B8B-B018-84A8F9FEC103}" srcOrd="1" destOrd="0" parTransId="{76A13CDD-2F3E-4E48-922F-677562C04B60}" sibTransId="{031930D4-E57E-49B5-A9E9-7706609888A7}"/>
    <dgm:cxn modelId="{57DA2AD9-4B02-4B11-B7EB-B857C404D86F}" srcId="{97BA5B62-5B41-41BF-B7C7-BC6C5DD2B139}" destId="{7BEBE37C-3532-4390-96A7-F872F88A9C71}" srcOrd="0" destOrd="0" parTransId="{A9C278A0-5950-4474-9441-126DACB39064}" sibTransId="{EA0D5E4D-F8A6-4AB5-AC1A-920420BECD6C}"/>
    <dgm:cxn modelId="{17E4F445-198C-4867-AC10-4926B77686E1}" type="presOf" srcId="{7682DCAC-B606-45FE-9CA6-544DD24F93D4}" destId="{1A24B7EE-B1B6-483D-AC1F-9BED48CCEB8F}" srcOrd="0" destOrd="0" presId="urn:microsoft.com/office/officeart/2005/8/layout/lProcess2"/>
    <dgm:cxn modelId="{E7BA7944-0367-4F02-8585-6B47300D1657}" srcId="{DB2993C2-588D-4506-987A-CC9DC073F849}" destId="{7682DCAC-B606-45FE-9CA6-544DD24F93D4}" srcOrd="0" destOrd="0" parTransId="{1ECAAE55-F22A-461B-B6AE-2937DC60EC9D}" sibTransId="{0A522C6B-F710-4821-B793-65E92E63329C}"/>
    <dgm:cxn modelId="{74390625-6CB0-4BDA-834A-8D03075A9EBE}" type="presOf" srcId="{96B8EDA6-BEF5-4B8B-B018-84A8F9FEC103}" destId="{870F47EA-0468-4592-98DA-9BE359694F1D}" srcOrd="0" destOrd="0" presId="urn:microsoft.com/office/officeart/2005/8/layout/lProcess2"/>
    <dgm:cxn modelId="{C10FAE27-EF44-4AEB-A7DB-1A30A0F11636}" type="presOf" srcId="{519024C6-5ADA-4FC2-BDFA-7669E1106D75}" destId="{16A82D63-6D51-411B-B7D5-715A3B65E448}" srcOrd="0" destOrd="0" presId="urn:microsoft.com/office/officeart/2005/8/layout/lProcess2"/>
    <dgm:cxn modelId="{8EE5DB71-D0EF-4F03-B1F3-E8681CA7B5F5}" srcId="{DB2993C2-588D-4506-987A-CC9DC073F849}" destId="{97BA5B62-5B41-41BF-B7C7-BC6C5DD2B139}" srcOrd="2" destOrd="0" parTransId="{6514D22E-9C09-437F-A23D-20970FC5101E}" sibTransId="{35E8D681-E3B6-4762-96F6-D07BCF4886A2}"/>
    <dgm:cxn modelId="{72CCB2AA-956B-4FCE-986D-DEB3A579D08A}" type="presOf" srcId="{96B8EDA6-BEF5-4B8B-B018-84A8F9FEC103}" destId="{41E213A0-4E4C-470E-8BD1-9B7226EC6498}" srcOrd="1" destOrd="0" presId="urn:microsoft.com/office/officeart/2005/8/layout/lProcess2"/>
    <dgm:cxn modelId="{A337C9B1-F296-4224-BF8C-2CA302FBD45A}" type="presOf" srcId="{7682DCAC-B606-45FE-9CA6-544DD24F93D4}" destId="{5993969B-D606-43F5-9DC3-629D88DEB674}" srcOrd="1" destOrd="0" presId="urn:microsoft.com/office/officeart/2005/8/layout/lProcess2"/>
    <dgm:cxn modelId="{332CCBBE-7F34-4C9C-A269-A4AF9B961C05}" srcId="{7682DCAC-B606-45FE-9CA6-544DD24F93D4}" destId="{DC5ECFE0-47BD-47B3-A94E-60A5EBB0443C}" srcOrd="0" destOrd="0" parTransId="{FFD96008-8CB8-4118-A9E6-32A8D4491206}" sibTransId="{8D0CD6A3-D208-432C-8D6A-6F8722EF2DF3}"/>
    <dgm:cxn modelId="{F842A160-0F97-4B94-B03A-59242CD9C4B7}" type="presOf" srcId="{97BA5B62-5B41-41BF-B7C7-BC6C5DD2B139}" destId="{473A4345-6909-4F32-8F7C-240D6914D2D5}" srcOrd="1" destOrd="0" presId="urn:microsoft.com/office/officeart/2005/8/layout/lProcess2"/>
    <dgm:cxn modelId="{2372594E-08F8-4145-8322-0AF5E9A89F53}" type="presOf" srcId="{DC5ECFE0-47BD-47B3-A94E-60A5EBB0443C}" destId="{EE049198-67F7-47B3-A4E6-A00A37B45A92}" srcOrd="0" destOrd="0" presId="urn:microsoft.com/office/officeart/2005/8/layout/lProcess2"/>
    <dgm:cxn modelId="{B18737A0-DAB3-470D-894C-C831DE7C87AE}" srcId="{96B8EDA6-BEF5-4B8B-B018-84A8F9FEC103}" destId="{519024C6-5ADA-4FC2-BDFA-7669E1106D75}" srcOrd="0" destOrd="0" parTransId="{5D3E0FDD-D7FE-43F3-9083-40C40E4A9DE6}" sibTransId="{539481A3-907C-4C47-843B-1749FECFD2E5}"/>
    <dgm:cxn modelId="{86017EC2-6117-4A21-9CCE-16D94F4AADFC}" type="presOf" srcId="{DB2993C2-588D-4506-987A-CC9DC073F849}" destId="{01A96F0C-F83D-40C4-8273-96A72983FE02}" srcOrd="0" destOrd="0" presId="urn:microsoft.com/office/officeart/2005/8/layout/lProcess2"/>
    <dgm:cxn modelId="{35FABFBA-2D8D-45F7-9487-065527110F65}" type="presOf" srcId="{97BA5B62-5B41-41BF-B7C7-BC6C5DD2B139}" destId="{43B04073-3D9D-42C5-9CAF-9B2FB189B038}" srcOrd="0" destOrd="0" presId="urn:microsoft.com/office/officeart/2005/8/layout/lProcess2"/>
    <dgm:cxn modelId="{7E98BFB3-09DA-4967-8D66-AEF38CA5B836}" type="presOf" srcId="{7BEBE37C-3532-4390-96A7-F872F88A9C71}" destId="{11BA0751-CC05-4837-A43D-935C1388AD1E}" srcOrd="0" destOrd="0" presId="urn:microsoft.com/office/officeart/2005/8/layout/lProcess2"/>
    <dgm:cxn modelId="{33D0F69C-2FA3-4EA3-AF9B-187FB92FBD97}" type="presParOf" srcId="{01A96F0C-F83D-40C4-8273-96A72983FE02}" destId="{C108CB12-DA59-414A-A545-5D81D12198B4}" srcOrd="0" destOrd="0" presId="urn:microsoft.com/office/officeart/2005/8/layout/lProcess2"/>
    <dgm:cxn modelId="{90D213C0-61A6-447A-BA9C-E6FC9207C71A}" type="presParOf" srcId="{C108CB12-DA59-414A-A545-5D81D12198B4}" destId="{1A24B7EE-B1B6-483D-AC1F-9BED48CCEB8F}" srcOrd="0" destOrd="0" presId="urn:microsoft.com/office/officeart/2005/8/layout/lProcess2"/>
    <dgm:cxn modelId="{8082196C-410C-4EBB-B44D-B0F53A4AB1E2}" type="presParOf" srcId="{C108CB12-DA59-414A-A545-5D81D12198B4}" destId="{5993969B-D606-43F5-9DC3-629D88DEB674}" srcOrd="1" destOrd="0" presId="urn:microsoft.com/office/officeart/2005/8/layout/lProcess2"/>
    <dgm:cxn modelId="{4D7BDA7C-14E8-4508-A946-B4CDC6E8C401}" type="presParOf" srcId="{C108CB12-DA59-414A-A545-5D81D12198B4}" destId="{FE5975A3-F8A0-46FA-A939-F656D63BB25D}" srcOrd="2" destOrd="0" presId="urn:microsoft.com/office/officeart/2005/8/layout/lProcess2"/>
    <dgm:cxn modelId="{7EAF560C-DFC3-49E0-BE38-3705491580B1}" type="presParOf" srcId="{FE5975A3-F8A0-46FA-A939-F656D63BB25D}" destId="{E41D23A3-8F24-49F4-99FE-BFCC5C8AD188}" srcOrd="0" destOrd="0" presId="urn:microsoft.com/office/officeart/2005/8/layout/lProcess2"/>
    <dgm:cxn modelId="{BE0439EB-8E71-4FCD-B4C2-F0D961C3377B}" type="presParOf" srcId="{E41D23A3-8F24-49F4-99FE-BFCC5C8AD188}" destId="{EE049198-67F7-47B3-A4E6-A00A37B45A92}" srcOrd="0" destOrd="0" presId="urn:microsoft.com/office/officeart/2005/8/layout/lProcess2"/>
    <dgm:cxn modelId="{862EF538-599F-4CAE-BC44-1E847CE21929}" type="presParOf" srcId="{01A96F0C-F83D-40C4-8273-96A72983FE02}" destId="{BD0CB102-B04C-47A3-B71C-C8DAF3D8591A}" srcOrd="1" destOrd="0" presId="urn:microsoft.com/office/officeart/2005/8/layout/lProcess2"/>
    <dgm:cxn modelId="{701637A4-0B9C-4A01-A1DC-124100F39AC2}" type="presParOf" srcId="{01A96F0C-F83D-40C4-8273-96A72983FE02}" destId="{E069DBDE-E26D-4BCB-B0CC-CF776026CE87}" srcOrd="2" destOrd="0" presId="urn:microsoft.com/office/officeart/2005/8/layout/lProcess2"/>
    <dgm:cxn modelId="{2B63D37C-4C27-4A59-B194-11B47DA9A14C}" type="presParOf" srcId="{E069DBDE-E26D-4BCB-B0CC-CF776026CE87}" destId="{870F47EA-0468-4592-98DA-9BE359694F1D}" srcOrd="0" destOrd="0" presId="urn:microsoft.com/office/officeart/2005/8/layout/lProcess2"/>
    <dgm:cxn modelId="{497DC124-F083-46D0-8693-11671D5B6893}" type="presParOf" srcId="{E069DBDE-E26D-4BCB-B0CC-CF776026CE87}" destId="{41E213A0-4E4C-470E-8BD1-9B7226EC6498}" srcOrd="1" destOrd="0" presId="urn:microsoft.com/office/officeart/2005/8/layout/lProcess2"/>
    <dgm:cxn modelId="{4BB38C79-0A22-4934-B26D-B26D516DB794}" type="presParOf" srcId="{E069DBDE-E26D-4BCB-B0CC-CF776026CE87}" destId="{479BDADC-8FA6-4859-947C-8E8F9B2EE7E0}" srcOrd="2" destOrd="0" presId="urn:microsoft.com/office/officeart/2005/8/layout/lProcess2"/>
    <dgm:cxn modelId="{325F6178-73CC-4A7A-9EF8-FE1F4C884E69}" type="presParOf" srcId="{479BDADC-8FA6-4859-947C-8E8F9B2EE7E0}" destId="{3BA1591E-F398-4617-BFC1-8E9E5A9F677E}" srcOrd="0" destOrd="0" presId="urn:microsoft.com/office/officeart/2005/8/layout/lProcess2"/>
    <dgm:cxn modelId="{F5CCCE52-C937-475A-9535-CBD9C79D8720}" type="presParOf" srcId="{3BA1591E-F398-4617-BFC1-8E9E5A9F677E}" destId="{16A82D63-6D51-411B-B7D5-715A3B65E448}" srcOrd="0" destOrd="0" presId="urn:microsoft.com/office/officeart/2005/8/layout/lProcess2"/>
    <dgm:cxn modelId="{4D216B41-E3CB-4814-A4D0-3A1E3E6E57B3}" type="presParOf" srcId="{01A96F0C-F83D-40C4-8273-96A72983FE02}" destId="{1E73EDB0-8924-4C76-8F51-5F43945605CF}" srcOrd="3" destOrd="0" presId="urn:microsoft.com/office/officeart/2005/8/layout/lProcess2"/>
    <dgm:cxn modelId="{CD28E701-6CEC-426D-8462-299F16461DB6}" type="presParOf" srcId="{01A96F0C-F83D-40C4-8273-96A72983FE02}" destId="{DE3F7A9A-F4CB-4C91-AA78-B6AB6D3FA25B}" srcOrd="4" destOrd="0" presId="urn:microsoft.com/office/officeart/2005/8/layout/lProcess2"/>
    <dgm:cxn modelId="{DFFBE66D-B002-42D8-830E-32C7AD486102}" type="presParOf" srcId="{DE3F7A9A-F4CB-4C91-AA78-B6AB6D3FA25B}" destId="{43B04073-3D9D-42C5-9CAF-9B2FB189B038}" srcOrd="0" destOrd="0" presId="urn:microsoft.com/office/officeart/2005/8/layout/lProcess2"/>
    <dgm:cxn modelId="{4A9436D8-64C8-4B4C-862F-8882560EE8E5}" type="presParOf" srcId="{DE3F7A9A-F4CB-4C91-AA78-B6AB6D3FA25B}" destId="{473A4345-6909-4F32-8F7C-240D6914D2D5}" srcOrd="1" destOrd="0" presId="urn:microsoft.com/office/officeart/2005/8/layout/lProcess2"/>
    <dgm:cxn modelId="{B6166622-4328-4A19-A0CC-38D83F720058}" type="presParOf" srcId="{DE3F7A9A-F4CB-4C91-AA78-B6AB6D3FA25B}" destId="{E7213867-E422-4044-BCA7-061E36C97494}" srcOrd="2" destOrd="0" presId="urn:microsoft.com/office/officeart/2005/8/layout/lProcess2"/>
    <dgm:cxn modelId="{43F43685-A36F-4938-A997-C55B9351812C}" type="presParOf" srcId="{E7213867-E422-4044-BCA7-061E36C97494}" destId="{742AEEA9-F5CA-4570-B407-0DF5F62649C1}" srcOrd="0" destOrd="0" presId="urn:microsoft.com/office/officeart/2005/8/layout/lProcess2"/>
    <dgm:cxn modelId="{936DCA19-E738-4BF7-9FF6-2D569318A942}" type="presParOf" srcId="{742AEEA9-F5CA-4570-B407-0DF5F62649C1}" destId="{11BA0751-CC05-4837-A43D-935C1388AD1E}" srcOrd="0" destOrd="0" presId="urn:microsoft.com/office/officeart/2005/8/layout/lProcess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C2C4D8-3298-4DE4-A840-1E199D5C9710}">
      <dsp:nvSpPr>
        <dsp:cNvPr id="0" name=""/>
        <dsp:cNvSpPr/>
      </dsp:nvSpPr>
      <dsp:spPr>
        <a:xfrm>
          <a:off x="0" y="0"/>
          <a:ext cx="899086" cy="681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en-US" sz="1100" b="0" kern="1200"/>
            <a:t> </a:t>
          </a:r>
          <a:br>
            <a:rPr lang="en-US" sz="1100" b="0" kern="1200"/>
          </a:br>
          <a:r>
            <a:rPr lang="en-US" sz="1100" b="0" kern="1200"/>
            <a:t>Current caseload</a:t>
          </a:r>
        </a:p>
      </dsp:txBody>
      <dsp:txXfrm>
        <a:off x="0" y="0"/>
        <a:ext cx="899086" cy="204597"/>
      </dsp:txXfrm>
    </dsp:sp>
    <dsp:sp modelId="{4E880F78-3140-4A98-BAEA-8587D22FDC53}">
      <dsp:nvSpPr>
        <dsp:cNvPr id="0" name=""/>
        <dsp:cNvSpPr/>
      </dsp:nvSpPr>
      <dsp:spPr>
        <a:xfrm>
          <a:off x="90824" y="342999"/>
          <a:ext cx="719269" cy="265484"/>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673,780</a:t>
          </a:r>
        </a:p>
      </dsp:txBody>
      <dsp:txXfrm>
        <a:off x="98600" y="350775"/>
        <a:ext cx="703717" cy="249932"/>
      </dsp:txXfrm>
    </dsp:sp>
    <dsp:sp modelId="{94FD932A-CBA2-4E37-9F95-DD24C7915E3F}">
      <dsp:nvSpPr>
        <dsp:cNvPr id="0" name=""/>
        <dsp:cNvSpPr/>
      </dsp:nvSpPr>
      <dsp:spPr>
        <a:xfrm>
          <a:off x="967434" y="0"/>
          <a:ext cx="899086" cy="681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Stream A</a:t>
          </a:r>
        </a:p>
      </dsp:txBody>
      <dsp:txXfrm>
        <a:off x="967434" y="0"/>
        <a:ext cx="899086" cy="204597"/>
      </dsp:txXfrm>
    </dsp:sp>
    <dsp:sp modelId="{EE049198-67F7-47B3-A4E6-A00A37B45A92}">
      <dsp:nvSpPr>
        <dsp:cNvPr id="0" name=""/>
        <dsp:cNvSpPr/>
      </dsp:nvSpPr>
      <dsp:spPr>
        <a:xfrm>
          <a:off x="1057343" y="342999"/>
          <a:ext cx="719269" cy="265484"/>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39.2% </a:t>
          </a:r>
        </a:p>
      </dsp:txBody>
      <dsp:txXfrm>
        <a:off x="1065119" y="350775"/>
        <a:ext cx="703717" cy="249932"/>
      </dsp:txXfrm>
    </dsp:sp>
    <dsp:sp modelId="{870F47EA-0468-4592-98DA-9BE359694F1D}">
      <dsp:nvSpPr>
        <dsp:cNvPr id="0" name=""/>
        <dsp:cNvSpPr/>
      </dsp:nvSpPr>
      <dsp:spPr>
        <a:xfrm>
          <a:off x="1933953" y="0"/>
          <a:ext cx="899086" cy="681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i="0" kern="1200"/>
            <a:t/>
          </a:r>
          <a:br>
            <a:rPr lang="en-US" sz="1100" b="0" i="0" kern="1200"/>
          </a:br>
          <a:r>
            <a:rPr lang="en-US" sz="1100" b="0" i="0" kern="1200"/>
            <a:t>Stream B</a:t>
          </a:r>
        </a:p>
      </dsp:txBody>
      <dsp:txXfrm>
        <a:off x="1933953" y="0"/>
        <a:ext cx="899086" cy="204597"/>
      </dsp:txXfrm>
    </dsp:sp>
    <dsp:sp modelId="{16A82D63-6D51-411B-B7D5-715A3B65E448}">
      <dsp:nvSpPr>
        <dsp:cNvPr id="0" name=""/>
        <dsp:cNvSpPr/>
      </dsp:nvSpPr>
      <dsp:spPr>
        <a:xfrm>
          <a:off x="2023861" y="342999"/>
          <a:ext cx="719269" cy="265484"/>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42.9%</a:t>
          </a:r>
        </a:p>
      </dsp:txBody>
      <dsp:txXfrm>
        <a:off x="2031637" y="350775"/>
        <a:ext cx="703717" cy="249932"/>
      </dsp:txXfrm>
    </dsp:sp>
    <dsp:sp modelId="{43B04073-3D9D-42C5-9CAF-9B2FB189B038}">
      <dsp:nvSpPr>
        <dsp:cNvPr id="0" name=""/>
        <dsp:cNvSpPr/>
      </dsp:nvSpPr>
      <dsp:spPr>
        <a:xfrm>
          <a:off x="2900471" y="0"/>
          <a:ext cx="899086" cy="681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Stream C</a:t>
          </a:r>
        </a:p>
      </dsp:txBody>
      <dsp:txXfrm>
        <a:off x="2900471" y="0"/>
        <a:ext cx="899086" cy="204597"/>
      </dsp:txXfrm>
    </dsp:sp>
    <dsp:sp modelId="{11BA0751-CC05-4837-A43D-935C1388AD1E}">
      <dsp:nvSpPr>
        <dsp:cNvPr id="0" name=""/>
        <dsp:cNvSpPr/>
      </dsp:nvSpPr>
      <dsp:spPr>
        <a:xfrm>
          <a:off x="2990380" y="342999"/>
          <a:ext cx="719269" cy="265484"/>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16.4%</a:t>
          </a:r>
        </a:p>
      </dsp:txBody>
      <dsp:txXfrm>
        <a:off x="2998156" y="350775"/>
        <a:ext cx="703717" cy="2499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C2C4D8-3298-4DE4-A840-1E199D5C9710}">
      <dsp:nvSpPr>
        <dsp:cNvPr id="0" name=""/>
        <dsp:cNvSpPr/>
      </dsp:nvSpPr>
      <dsp:spPr>
        <a:xfrm>
          <a:off x="0" y="0"/>
          <a:ext cx="958425" cy="67818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en-US" sz="1100" b="0" kern="1200"/>
            <a:t> </a:t>
          </a:r>
          <a:br>
            <a:rPr lang="en-US" sz="1100" b="0" kern="1200"/>
          </a:br>
          <a:r>
            <a:rPr lang="en-US" sz="1100" b="0" kern="1200"/>
            <a:t>Female</a:t>
          </a:r>
        </a:p>
      </dsp:txBody>
      <dsp:txXfrm>
        <a:off x="0" y="0"/>
        <a:ext cx="958425" cy="203454"/>
      </dsp:txXfrm>
    </dsp:sp>
    <dsp:sp modelId="{4E880F78-3140-4A98-BAEA-8587D22FDC53}">
      <dsp:nvSpPr>
        <dsp:cNvPr id="0" name=""/>
        <dsp:cNvSpPr/>
      </dsp:nvSpPr>
      <dsp:spPr>
        <a:xfrm>
          <a:off x="96838" y="341083"/>
          <a:ext cx="766740" cy="264000"/>
        </a:xfrm>
        <a:prstGeom prst="roundRect">
          <a:avLst>
            <a:gd name="adj" fmla="val 10000"/>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51.1%</a:t>
          </a:r>
        </a:p>
      </dsp:txBody>
      <dsp:txXfrm>
        <a:off x="104570" y="348815"/>
        <a:ext cx="751276" cy="248536"/>
      </dsp:txXfrm>
    </dsp:sp>
    <dsp:sp modelId="{94FD932A-CBA2-4E37-9F95-DD24C7915E3F}">
      <dsp:nvSpPr>
        <dsp:cNvPr id="0" name=""/>
        <dsp:cNvSpPr/>
      </dsp:nvSpPr>
      <dsp:spPr>
        <a:xfrm>
          <a:off x="1032299" y="0"/>
          <a:ext cx="958425" cy="678180"/>
        </a:xfrm>
        <a:prstGeom prst="roundRect">
          <a:avLst>
            <a:gd name="adj" fmla="val 10000"/>
          </a:avLst>
        </a:prstGeom>
        <a:solidFill>
          <a:schemeClr val="accent4">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Regional</a:t>
          </a:r>
        </a:p>
      </dsp:txBody>
      <dsp:txXfrm>
        <a:off x="1032299" y="0"/>
        <a:ext cx="958425" cy="203454"/>
      </dsp:txXfrm>
    </dsp:sp>
    <dsp:sp modelId="{EE049198-67F7-47B3-A4E6-A00A37B45A92}">
      <dsp:nvSpPr>
        <dsp:cNvPr id="0" name=""/>
        <dsp:cNvSpPr/>
      </dsp:nvSpPr>
      <dsp:spPr>
        <a:xfrm>
          <a:off x="1127145" y="341083"/>
          <a:ext cx="766740" cy="264000"/>
        </a:xfrm>
        <a:prstGeom prst="roundRect">
          <a:avLst>
            <a:gd name="adj" fmla="val 10000"/>
          </a:avLst>
        </a:prstGeom>
        <a:solidFill>
          <a:schemeClr val="lt1">
            <a:hueOff val="0"/>
            <a:satOff val="0"/>
            <a:lumOff val="0"/>
            <a:alphaOff val="0"/>
          </a:schemeClr>
        </a:solidFill>
        <a:ln w="19050" cap="flat" cmpd="sng" algn="ctr">
          <a:solidFill>
            <a:schemeClr val="accent4"/>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35.2% </a:t>
          </a:r>
        </a:p>
      </dsp:txBody>
      <dsp:txXfrm>
        <a:off x="1134877" y="348815"/>
        <a:ext cx="751276" cy="2485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C2C4D8-3298-4DE4-A840-1E199D5C9710}">
      <dsp:nvSpPr>
        <dsp:cNvPr id="0" name=""/>
        <dsp:cNvSpPr/>
      </dsp:nvSpPr>
      <dsp:spPr>
        <a:xfrm>
          <a:off x="0" y="0"/>
          <a:ext cx="1473222" cy="68389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en-US" sz="1100" b="0" kern="1200"/>
            <a:t> </a:t>
          </a:r>
          <a:br>
            <a:rPr lang="en-US" sz="1100" b="0" kern="1200"/>
          </a:br>
          <a:r>
            <a:rPr lang="en-US" sz="1100" b="0" kern="1200"/>
            <a:t>Job Placements </a:t>
          </a:r>
        </a:p>
      </dsp:txBody>
      <dsp:txXfrm>
        <a:off x="0" y="0"/>
        <a:ext cx="1473222" cy="205168"/>
      </dsp:txXfrm>
    </dsp:sp>
    <dsp:sp modelId="{4E880F78-3140-4A98-BAEA-8587D22FDC53}">
      <dsp:nvSpPr>
        <dsp:cNvPr id="0" name=""/>
        <dsp:cNvSpPr/>
      </dsp:nvSpPr>
      <dsp:spPr>
        <a:xfrm>
          <a:off x="148853" y="343957"/>
          <a:ext cx="1178578" cy="266225"/>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1,054,360</a:t>
          </a:r>
        </a:p>
      </dsp:txBody>
      <dsp:txXfrm>
        <a:off x="156650" y="351754"/>
        <a:ext cx="1162984" cy="250631"/>
      </dsp:txXfrm>
    </dsp:sp>
    <dsp:sp modelId="{94FD932A-CBA2-4E37-9F95-DD24C7915E3F}">
      <dsp:nvSpPr>
        <dsp:cNvPr id="0" name=""/>
        <dsp:cNvSpPr/>
      </dsp:nvSpPr>
      <dsp:spPr>
        <a:xfrm>
          <a:off x="1585245" y="0"/>
          <a:ext cx="1473222" cy="68389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Placements per Calendar Day</a:t>
          </a:r>
        </a:p>
      </dsp:txBody>
      <dsp:txXfrm>
        <a:off x="1585245" y="0"/>
        <a:ext cx="1473222" cy="205168"/>
      </dsp:txXfrm>
    </dsp:sp>
    <dsp:sp modelId="{EE049198-67F7-47B3-A4E6-A00A37B45A92}">
      <dsp:nvSpPr>
        <dsp:cNvPr id="0" name=""/>
        <dsp:cNvSpPr/>
      </dsp:nvSpPr>
      <dsp:spPr>
        <a:xfrm>
          <a:off x="1732568" y="343957"/>
          <a:ext cx="1178578" cy="266225"/>
        </a:xfrm>
        <a:prstGeom prst="roundRect">
          <a:avLst>
            <a:gd name="adj" fmla="val 10000"/>
          </a:avLst>
        </a:prstGeom>
        <a:solidFill>
          <a:schemeClr val="lt1">
            <a:hueOff val="0"/>
            <a:satOff val="0"/>
            <a:lumOff val="0"/>
            <a:alphaOff val="0"/>
          </a:schemeClr>
        </a:solidFill>
        <a:ln w="19050" cap="flat" cmpd="sng" algn="ctr">
          <a:solidFill>
            <a:schemeClr val="accent5">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1,095</a:t>
          </a:r>
        </a:p>
      </dsp:txBody>
      <dsp:txXfrm>
        <a:off x="1740365" y="351754"/>
        <a:ext cx="1162984" cy="2506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24B7EE-B1B6-483D-AC1F-9BED48CCEB8F}">
      <dsp:nvSpPr>
        <dsp:cNvPr id="0" name=""/>
        <dsp:cNvSpPr/>
      </dsp:nvSpPr>
      <dsp:spPr>
        <a:xfrm>
          <a:off x="373" y="0"/>
          <a:ext cx="971191" cy="683895"/>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4-week Outcomes</a:t>
          </a:r>
        </a:p>
      </dsp:txBody>
      <dsp:txXfrm>
        <a:off x="373" y="0"/>
        <a:ext cx="971191" cy="205168"/>
      </dsp:txXfrm>
    </dsp:sp>
    <dsp:sp modelId="{EE049198-67F7-47B3-A4E6-A00A37B45A92}">
      <dsp:nvSpPr>
        <dsp:cNvPr id="0" name=""/>
        <dsp:cNvSpPr/>
      </dsp:nvSpPr>
      <dsp:spPr>
        <a:xfrm>
          <a:off x="97492" y="343957"/>
          <a:ext cx="776953" cy="266225"/>
        </a:xfrm>
        <a:prstGeom prst="roundRect">
          <a:avLst>
            <a:gd name="adj" fmla="val 10000"/>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552,820 </a:t>
          </a:r>
        </a:p>
      </dsp:txBody>
      <dsp:txXfrm>
        <a:off x="105289" y="351754"/>
        <a:ext cx="761359" cy="250631"/>
      </dsp:txXfrm>
    </dsp:sp>
    <dsp:sp modelId="{870F47EA-0468-4592-98DA-9BE359694F1D}">
      <dsp:nvSpPr>
        <dsp:cNvPr id="0" name=""/>
        <dsp:cNvSpPr/>
      </dsp:nvSpPr>
      <dsp:spPr>
        <a:xfrm>
          <a:off x="1044404" y="0"/>
          <a:ext cx="971191" cy="683895"/>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i="0" kern="1200"/>
            <a:t/>
          </a:r>
          <a:br>
            <a:rPr lang="en-US" sz="1100" b="0" i="0" kern="1200"/>
          </a:br>
          <a:r>
            <a:rPr lang="en-US" sz="1100" b="0" i="0" kern="1200"/>
            <a:t>12-week Outcomes</a:t>
          </a:r>
        </a:p>
      </dsp:txBody>
      <dsp:txXfrm>
        <a:off x="1044404" y="0"/>
        <a:ext cx="971191" cy="205168"/>
      </dsp:txXfrm>
    </dsp:sp>
    <dsp:sp modelId="{16A82D63-6D51-411B-B7D5-715A3B65E448}">
      <dsp:nvSpPr>
        <dsp:cNvPr id="0" name=""/>
        <dsp:cNvSpPr/>
      </dsp:nvSpPr>
      <dsp:spPr>
        <a:xfrm>
          <a:off x="1141523" y="343957"/>
          <a:ext cx="776953" cy="266225"/>
        </a:xfrm>
        <a:prstGeom prst="roundRect">
          <a:avLst>
            <a:gd name="adj" fmla="val 10000"/>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463,950</a:t>
          </a:r>
        </a:p>
      </dsp:txBody>
      <dsp:txXfrm>
        <a:off x="1149320" y="351754"/>
        <a:ext cx="761359" cy="250631"/>
      </dsp:txXfrm>
    </dsp:sp>
    <dsp:sp modelId="{43B04073-3D9D-42C5-9CAF-9B2FB189B038}">
      <dsp:nvSpPr>
        <dsp:cNvPr id="0" name=""/>
        <dsp:cNvSpPr/>
      </dsp:nvSpPr>
      <dsp:spPr>
        <a:xfrm>
          <a:off x="2088435" y="0"/>
          <a:ext cx="971191" cy="683895"/>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0" kern="1200"/>
            <a:t/>
          </a:r>
          <a:br>
            <a:rPr lang="en-US" sz="1100" b="0" kern="1200"/>
          </a:br>
          <a:r>
            <a:rPr lang="en-US" sz="1100" b="0" kern="1200"/>
            <a:t>26-week Outcomes</a:t>
          </a:r>
        </a:p>
      </dsp:txBody>
      <dsp:txXfrm>
        <a:off x="2088435" y="0"/>
        <a:ext cx="971191" cy="205168"/>
      </dsp:txXfrm>
    </dsp:sp>
    <dsp:sp modelId="{11BA0751-CC05-4837-A43D-935C1388AD1E}">
      <dsp:nvSpPr>
        <dsp:cNvPr id="0" name=""/>
        <dsp:cNvSpPr/>
      </dsp:nvSpPr>
      <dsp:spPr>
        <a:xfrm>
          <a:off x="2185554" y="343957"/>
          <a:ext cx="776953" cy="266225"/>
        </a:xfrm>
        <a:prstGeom prst="roundRect">
          <a:avLst>
            <a:gd name="adj" fmla="val 10000"/>
          </a:avLst>
        </a:prstGeom>
        <a:solidFill>
          <a:schemeClr val="lt1">
            <a:hueOff val="0"/>
            <a:satOff val="0"/>
            <a:lumOff val="0"/>
            <a:alphaOff val="0"/>
          </a:schemeClr>
        </a:solidFill>
        <a:ln w="19050" cap="flat" cmpd="sng" algn="ctr">
          <a:solidFill>
            <a:schemeClr val="accent4">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US" sz="1100" b="0" kern="1200"/>
            <a:t>289,740</a:t>
          </a:r>
        </a:p>
      </dsp:txBody>
      <dsp:txXfrm>
        <a:off x="2193351" y="351754"/>
        <a:ext cx="761359" cy="25063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0.12472</cdr:x>
      <cdr:y>2.92443E-7</cdr:y>
    </cdr:from>
    <cdr:to>
      <cdr:x>0.34042</cdr:x>
      <cdr:y>0.17712</cdr:y>
    </cdr:to>
    <cdr:sp macro="" textlink="">
      <cdr:nvSpPr>
        <cdr:cNvPr id="2" name="Left-Right Arrow 1"/>
        <cdr:cNvSpPr/>
      </cdr:nvSpPr>
      <cdr:spPr>
        <a:xfrm xmlns:a="http://schemas.openxmlformats.org/drawingml/2006/main">
          <a:off x="757229" y="1"/>
          <a:ext cx="1309566" cy="605642"/>
        </a:xfrm>
        <a:prstGeom xmlns:a="http://schemas.openxmlformats.org/drawingml/2006/main" prst="leftRightArrow">
          <a:avLst>
            <a:gd name="adj1" fmla="val 65011"/>
            <a:gd name="adj2" fmla="val 39469"/>
          </a:avLst>
        </a:prstGeom>
        <a:solidFill xmlns:a="http://schemas.openxmlformats.org/drawingml/2006/main">
          <a:schemeClr val="accent3">
            <a:lumMod val="20000"/>
            <a:lumOff val="80000"/>
          </a:schemeClr>
        </a:solidFill>
        <a:ln xmlns:a="http://schemas.openxmlformats.org/drawingml/2006/main">
          <a:solidFill>
            <a:schemeClr val="accent3">
              <a:lumMod val="5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36000" rIns="91440" bIns="3600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1000"/>
            </a:spcAft>
          </a:pPr>
          <a:r>
            <a:rPr lang="en-AU" sz="1000">
              <a:solidFill>
                <a:srgbClr val="000000"/>
              </a:solidFill>
              <a:effectLst/>
              <a:ea typeface="Times New Roman" panose="02020603050405020304" pitchFamily="18" charset="0"/>
              <a:cs typeface="Calibri" panose="020F0502020204030204" pitchFamily="34" charset="0"/>
            </a:rPr>
            <a:t>Online recruitment </a:t>
          </a:r>
          <a:endParaRPr lang="en-AU" sz="1100">
            <a:effectLst/>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0.5455</cdr:x>
      <cdr:y>0</cdr:y>
    </cdr:from>
    <cdr:to>
      <cdr:x>0.95184</cdr:x>
      <cdr:y>0.3195</cdr:y>
    </cdr:to>
    <cdr:sp macro="" textlink="">
      <cdr:nvSpPr>
        <cdr:cNvPr id="3" name="Text Box 2"/>
        <cdr:cNvSpPr txBox="1">
          <a:spLocks xmlns:a="http://schemas.openxmlformats.org/drawingml/2006/main" noChangeArrowheads="1"/>
        </cdr:cNvSpPr>
      </cdr:nvSpPr>
      <cdr:spPr bwMode="auto">
        <a:xfrm xmlns:a="http://schemas.openxmlformats.org/drawingml/2006/main">
          <a:off x="3311858" y="0"/>
          <a:ext cx="2466985" cy="109253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en-AU" sz="1000">
              <a:effectLst/>
              <a:latin typeface="Calibri" panose="020F0502020204030204" pitchFamily="34" charset="0"/>
              <a:ea typeface="Times New Roman" panose="02020603050405020304" pitchFamily="18" charset="0"/>
              <a:cs typeface="Times New Roman" panose="02020603050405020304" pitchFamily="18" charset="0"/>
            </a:rPr>
            <a:t>Recruitment methods vary by business size. For example,</a:t>
          </a:r>
          <a:r>
            <a:rPr lang="en-AU" sz="1000" baseline="0">
              <a:effectLst/>
              <a:latin typeface="Calibri" panose="020F0502020204030204" pitchFamily="34" charset="0"/>
              <a:ea typeface="Times New Roman" panose="02020603050405020304" pitchFamily="18" charset="0"/>
              <a:cs typeface="Times New Roman" panose="02020603050405020304" pitchFamily="18" charset="0"/>
            </a:rPr>
            <a:t> s</a:t>
          </a:r>
          <a:r>
            <a:rPr lang="en-AU" sz="1000">
              <a:effectLst/>
              <a:latin typeface="Calibri" panose="020F0502020204030204" pitchFamily="34" charset="0"/>
              <a:ea typeface="Times New Roman" panose="02020603050405020304" pitchFamily="18" charset="0"/>
              <a:cs typeface="Times New Roman" panose="02020603050405020304" pitchFamily="18" charset="0"/>
            </a:rPr>
            <a:t>mall businesses have a greater reliance on word of mouth, while large businesses are more likely to advertise on their own company website.</a:t>
          </a:r>
        </a:p>
      </cdr:txBody>
    </cdr:sp>
  </cdr:relSizeAnchor>
</c:userShape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1C8F4"/>
      </a:accent1>
      <a:accent2>
        <a:srgbClr val="59B487"/>
      </a:accent2>
      <a:accent3>
        <a:srgbClr val="B2BDD6"/>
      </a:accent3>
      <a:accent4>
        <a:srgbClr val="6F83AF"/>
      </a:accent4>
      <a:accent5>
        <a:srgbClr val="C6E4D4"/>
      </a:accent5>
      <a:accent6>
        <a:srgbClr val="8AC6A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A9BA-F9F8-4810-9896-997D3009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E60E665F.dotm</Template>
  <TotalTime>0</TotalTime>
  <Pages>49</Pages>
  <Words>14281</Words>
  <Characters>81402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generation of employment services: appendices</dc:title>
  <dc:subject/>
  <dc:creator/>
  <cp:keywords/>
  <dc:description/>
  <cp:lastModifiedBy/>
  <cp:revision>1</cp:revision>
  <dcterms:created xsi:type="dcterms:W3CDTF">2018-06-29T05:52:00Z</dcterms:created>
  <dcterms:modified xsi:type="dcterms:W3CDTF">2018-06-29T07:08:00Z</dcterms:modified>
</cp:coreProperties>
</file>