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6125D" w14:textId="78683E30" w:rsidR="00B436C7" w:rsidRDefault="00B436C7" w:rsidP="00B436C7">
      <w:pPr>
        <w:jc w:val="right"/>
      </w:pPr>
      <w:r w:rsidRPr="00A25AFF">
        <w:rPr>
          <w:noProof/>
          <w:lang w:val="en-AU" w:eastAsia="en-AU"/>
        </w:rPr>
        <w:drawing>
          <wp:inline distT="0" distB="0" distL="0" distR="0" wp14:anchorId="3668D20D" wp14:editId="34238CEB">
            <wp:extent cx="1455420" cy="640715"/>
            <wp:effectExtent l="0" t="0" r="0" b="6985"/>
            <wp:docPr id="1" name="Picture 1" descr="G20 Argentina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HOME$\WL0062\Desktop\g20_logo argentin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5420" cy="640715"/>
                    </a:xfrm>
                    <a:prstGeom prst="rect">
                      <a:avLst/>
                    </a:prstGeom>
                    <a:noFill/>
                    <a:ln>
                      <a:noFill/>
                    </a:ln>
                  </pic:spPr>
                </pic:pic>
              </a:graphicData>
            </a:graphic>
          </wp:inline>
        </w:drawing>
      </w:r>
    </w:p>
    <w:p w14:paraId="1A3F4478" w14:textId="0C5E7532" w:rsidR="00F17AD7" w:rsidRPr="00B436C7" w:rsidRDefault="00A13F20" w:rsidP="00B436C7">
      <w:pPr>
        <w:pStyle w:val="Title"/>
        <w:sectPr w:rsidR="00F17AD7" w:rsidRPr="00B436C7" w:rsidSect="00F17AD7">
          <w:headerReference w:type="even" r:id="rId9"/>
          <w:headerReference w:type="default" r:id="rId10"/>
          <w:footerReference w:type="even" r:id="rId11"/>
          <w:footerReference w:type="default" r:id="rId12"/>
          <w:headerReference w:type="first" r:id="rId13"/>
          <w:footerReference w:type="first" r:id="rId14"/>
          <w:pgSz w:w="11909" w:h="16834"/>
          <w:pgMar w:top="1440" w:right="1440" w:bottom="1440" w:left="1440" w:header="0" w:footer="720" w:gutter="0"/>
          <w:pgNumType w:start="1"/>
          <w:cols w:space="720"/>
        </w:sectPr>
      </w:pPr>
      <w:r w:rsidRPr="00B436C7">
        <w:t>E</w:t>
      </w:r>
      <w:r w:rsidR="00F51DD8" w:rsidRPr="00B436C7">
        <w:t>mployment Plan 2018</w:t>
      </w:r>
      <w:r w:rsidR="00B436C7">
        <w:br/>
      </w:r>
      <w:r w:rsidR="002226A5" w:rsidRPr="00B436C7">
        <w:t>Australia</w:t>
      </w:r>
    </w:p>
    <w:sdt>
      <w:sdtPr>
        <w:rPr>
          <w:rFonts w:ascii="Arial" w:eastAsia="Arial" w:hAnsi="Arial" w:cs="Arial"/>
          <w:b w:val="0"/>
          <w:color w:val="000000"/>
          <w:sz w:val="22"/>
          <w:szCs w:val="22"/>
          <w:lang w:val="es" w:eastAsia="es-AR"/>
        </w:rPr>
        <w:id w:val="654194863"/>
        <w:docPartObj>
          <w:docPartGallery w:val="Table of Contents"/>
          <w:docPartUnique/>
        </w:docPartObj>
      </w:sdtPr>
      <w:sdtEndPr>
        <w:rPr>
          <w:bCs/>
          <w:noProof/>
        </w:rPr>
      </w:sdtEndPr>
      <w:sdtContent>
        <w:p w14:paraId="282FA6C3" w14:textId="77777777" w:rsidR="00BC2E0E" w:rsidRPr="001A2413" w:rsidRDefault="00BC2E0E">
          <w:pPr>
            <w:pStyle w:val="TOCHeading"/>
            <w:rPr>
              <w:rFonts w:ascii="Arial" w:hAnsi="Arial" w:cs="Arial"/>
              <w:b w:val="0"/>
              <w:color w:val="auto"/>
            </w:rPr>
          </w:pPr>
          <w:r w:rsidRPr="001A2413">
            <w:rPr>
              <w:rFonts w:ascii="Arial" w:hAnsi="Arial" w:cs="Arial"/>
              <w:b w:val="0"/>
              <w:color w:val="auto"/>
            </w:rPr>
            <w:t>Contents</w:t>
          </w:r>
        </w:p>
        <w:p w14:paraId="7FD468F4" w14:textId="48929235" w:rsidR="0097717F" w:rsidRDefault="0097717F">
          <w:pPr>
            <w:pStyle w:val="TOC1"/>
            <w:tabs>
              <w:tab w:val="right" w:pos="9016"/>
            </w:tabs>
            <w:rPr>
              <w:rFonts w:asciiTheme="minorHAnsi" w:eastAsiaTheme="minorEastAsia" w:hAnsiTheme="minorHAnsi" w:cstheme="minorBidi"/>
              <w:noProof/>
              <w:color w:val="auto"/>
              <w:lang w:val="en-AU" w:eastAsia="en-AU"/>
            </w:rPr>
          </w:pPr>
          <w:r>
            <w:rPr>
              <w:color w:val="1F4E79" w:themeColor="accent1" w:themeShade="80"/>
            </w:rPr>
            <w:fldChar w:fldCharType="begin"/>
          </w:r>
          <w:r>
            <w:rPr>
              <w:color w:val="1F4E79" w:themeColor="accent1" w:themeShade="80"/>
            </w:rPr>
            <w:instrText xml:space="preserve"> TOC \o "1-2" \h \z \u </w:instrText>
          </w:r>
          <w:r>
            <w:rPr>
              <w:color w:val="1F4E79" w:themeColor="accent1" w:themeShade="80"/>
            </w:rPr>
            <w:fldChar w:fldCharType="separate"/>
          </w:r>
          <w:hyperlink w:anchor="_Toc532892412" w:history="1">
            <w:r w:rsidRPr="00B7355A">
              <w:rPr>
                <w:rStyle w:val="Hyperlink"/>
                <w:noProof/>
              </w:rPr>
              <w:t>Section 1. Employment and labour market outlook</w:t>
            </w:r>
            <w:r>
              <w:rPr>
                <w:noProof/>
                <w:webHidden/>
              </w:rPr>
              <w:tab/>
            </w:r>
            <w:r>
              <w:rPr>
                <w:noProof/>
                <w:webHidden/>
              </w:rPr>
              <w:fldChar w:fldCharType="begin"/>
            </w:r>
            <w:r>
              <w:rPr>
                <w:noProof/>
                <w:webHidden/>
              </w:rPr>
              <w:instrText xml:space="preserve"> PAGEREF _Toc532892412 \h </w:instrText>
            </w:r>
            <w:r>
              <w:rPr>
                <w:noProof/>
                <w:webHidden/>
              </w:rPr>
            </w:r>
            <w:r>
              <w:rPr>
                <w:noProof/>
                <w:webHidden/>
              </w:rPr>
              <w:fldChar w:fldCharType="separate"/>
            </w:r>
            <w:r w:rsidR="00A47169">
              <w:rPr>
                <w:noProof/>
                <w:webHidden/>
              </w:rPr>
              <w:t>3</w:t>
            </w:r>
            <w:r>
              <w:rPr>
                <w:noProof/>
                <w:webHidden/>
              </w:rPr>
              <w:fldChar w:fldCharType="end"/>
            </w:r>
          </w:hyperlink>
        </w:p>
        <w:p w14:paraId="12CB63A3" w14:textId="6E265962" w:rsidR="0097717F" w:rsidRDefault="00C859D9">
          <w:pPr>
            <w:pStyle w:val="TOC1"/>
            <w:tabs>
              <w:tab w:val="right" w:pos="9016"/>
            </w:tabs>
            <w:rPr>
              <w:rFonts w:asciiTheme="minorHAnsi" w:eastAsiaTheme="minorEastAsia" w:hAnsiTheme="minorHAnsi" w:cstheme="minorBidi"/>
              <w:noProof/>
              <w:color w:val="auto"/>
              <w:lang w:val="en-AU" w:eastAsia="en-AU"/>
            </w:rPr>
          </w:pPr>
          <w:hyperlink w:anchor="_Toc532892413" w:history="1">
            <w:r w:rsidR="0097717F" w:rsidRPr="00B7355A">
              <w:rPr>
                <w:rStyle w:val="Hyperlink"/>
                <w:noProof/>
              </w:rPr>
              <w:t>Section 2. Employment Challenges for Australia</w:t>
            </w:r>
            <w:r w:rsidR="0097717F">
              <w:rPr>
                <w:noProof/>
                <w:webHidden/>
              </w:rPr>
              <w:tab/>
            </w:r>
            <w:r w:rsidR="0097717F">
              <w:rPr>
                <w:noProof/>
                <w:webHidden/>
              </w:rPr>
              <w:fldChar w:fldCharType="begin"/>
            </w:r>
            <w:r w:rsidR="0097717F">
              <w:rPr>
                <w:noProof/>
                <w:webHidden/>
              </w:rPr>
              <w:instrText xml:space="preserve"> PAGEREF _Toc532892413 \h </w:instrText>
            </w:r>
            <w:r w:rsidR="0097717F">
              <w:rPr>
                <w:noProof/>
                <w:webHidden/>
              </w:rPr>
            </w:r>
            <w:r w:rsidR="0097717F">
              <w:rPr>
                <w:noProof/>
                <w:webHidden/>
              </w:rPr>
              <w:fldChar w:fldCharType="separate"/>
            </w:r>
            <w:r w:rsidR="00A47169">
              <w:rPr>
                <w:noProof/>
                <w:webHidden/>
              </w:rPr>
              <w:t>5</w:t>
            </w:r>
            <w:r w:rsidR="0097717F">
              <w:rPr>
                <w:noProof/>
                <w:webHidden/>
              </w:rPr>
              <w:fldChar w:fldCharType="end"/>
            </w:r>
          </w:hyperlink>
        </w:p>
        <w:p w14:paraId="1FBA1598" w14:textId="1DA6CACE" w:rsidR="0097717F" w:rsidRDefault="00C859D9">
          <w:pPr>
            <w:pStyle w:val="TOC2"/>
            <w:tabs>
              <w:tab w:val="right" w:pos="9016"/>
            </w:tabs>
            <w:rPr>
              <w:rFonts w:asciiTheme="minorHAnsi" w:eastAsiaTheme="minorEastAsia" w:hAnsiTheme="minorHAnsi" w:cstheme="minorBidi"/>
              <w:noProof/>
              <w:color w:val="auto"/>
              <w:lang w:val="en-AU" w:eastAsia="en-AU"/>
            </w:rPr>
          </w:pPr>
          <w:hyperlink w:anchor="_Toc532892414" w:history="1">
            <w:r w:rsidR="0097717F" w:rsidRPr="00B7355A">
              <w:rPr>
                <w:rStyle w:val="Hyperlink"/>
                <w:noProof/>
              </w:rPr>
              <w:t>Challenge: Boosting labour force participation</w:t>
            </w:r>
            <w:r w:rsidR="0097717F">
              <w:rPr>
                <w:noProof/>
                <w:webHidden/>
              </w:rPr>
              <w:tab/>
            </w:r>
            <w:r w:rsidR="0097717F">
              <w:rPr>
                <w:noProof/>
                <w:webHidden/>
              </w:rPr>
              <w:fldChar w:fldCharType="begin"/>
            </w:r>
            <w:r w:rsidR="0097717F">
              <w:rPr>
                <w:noProof/>
                <w:webHidden/>
              </w:rPr>
              <w:instrText xml:space="preserve"> PAGEREF _Toc532892414 \h </w:instrText>
            </w:r>
            <w:r w:rsidR="0097717F">
              <w:rPr>
                <w:noProof/>
                <w:webHidden/>
              </w:rPr>
            </w:r>
            <w:r w:rsidR="0097717F">
              <w:rPr>
                <w:noProof/>
                <w:webHidden/>
              </w:rPr>
              <w:fldChar w:fldCharType="separate"/>
            </w:r>
            <w:r w:rsidR="00A47169">
              <w:rPr>
                <w:noProof/>
                <w:webHidden/>
              </w:rPr>
              <w:t>5</w:t>
            </w:r>
            <w:r w:rsidR="0097717F">
              <w:rPr>
                <w:noProof/>
                <w:webHidden/>
              </w:rPr>
              <w:fldChar w:fldCharType="end"/>
            </w:r>
          </w:hyperlink>
        </w:p>
        <w:p w14:paraId="40DB3698" w14:textId="79921E37" w:rsidR="0097717F" w:rsidRDefault="00C859D9">
          <w:pPr>
            <w:pStyle w:val="TOC2"/>
            <w:tabs>
              <w:tab w:val="right" w:pos="9016"/>
            </w:tabs>
            <w:rPr>
              <w:rFonts w:asciiTheme="minorHAnsi" w:eastAsiaTheme="minorEastAsia" w:hAnsiTheme="minorHAnsi" w:cstheme="minorBidi"/>
              <w:noProof/>
              <w:color w:val="auto"/>
              <w:lang w:val="en-AU" w:eastAsia="en-AU"/>
            </w:rPr>
          </w:pPr>
          <w:hyperlink w:anchor="_Toc532892415" w:history="1">
            <w:r w:rsidR="0097717F" w:rsidRPr="00B7355A">
              <w:rPr>
                <w:rStyle w:val="Hyperlink"/>
                <w:noProof/>
              </w:rPr>
              <w:t>Challenge: Supporting women’s participation</w:t>
            </w:r>
            <w:r w:rsidR="0097717F">
              <w:rPr>
                <w:noProof/>
                <w:webHidden/>
              </w:rPr>
              <w:tab/>
            </w:r>
            <w:r w:rsidR="0097717F">
              <w:rPr>
                <w:noProof/>
                <w:webHidden/>
              </w:rPr>
              <w:fldChar w:fldCharType="begin"/>
            </w:r>
            <w:r w:rsidR="0097717F">
              <w:rPr>
                <w:noProof/>
                <w:webHidden/>
              </w:rPr>
              <w:instrText xml:space="preserve"> PAGEREF _Toc532892415 \h </w:instrText>
            </w:r>
            <w:r w:rsidR="0097717F">
              <w:rPr>
                <w:noProof/>
                <w:webHidden/>
              </w:rPr>
            </w:r>
            <w:r w:rsidR="0097717F">
              <w:rPr>
                <w:noProof/>
                <w:webHidden/>
              </w:rPr>
              <w:fldChar w:fldCharType="separate"/>
            </w:r>
            <w:r w:rsidR="00A47169">
              <w:rPr>
                <w:noProof/>
                <w:webHidden/>
              </w:rPr>
              <w:t>5</w:t>
            </w:r>
            <w:r w:rsidR="0097717F">
              <w:rPr>
                <w:noProof/>
                <w:webHidden/>
              </w:rPr>
              <w:fldChar w:fldCharType="end"/>
            </w:r>
          </w:hyperlink>
        </w:p>
        <w:p w14:paraId="34CA3EE9" w14:textId="45EDB435" w:rsidR="0097717F" w:rsidRDefault="00C859D9">
          <w:pPr>
            <w:pStyle w:val="TOC2"/>
            <w:tabs>
              <w:tab w:val="right" w:pos="9016"/>
            </w:tabs>
            <w:rPr>
              <w:rFonts w:asciiTheme="minorHAnsi" w:eastAsiaTheme="minorEastAsia" w:hAnsiTheme="minorHAnsi" w:cstheme="minorBidi"/>
              <w:noProof/>
              <w:color w:val="auto"/>
              <w:lang w:val="en-AU" w:eastAsia="en-AU"/>
            </w:rPr>
          </w:pPr>
          <w:hyperlink w:anchor="_Toc532892416" w:history="1">
            <w:r w:rsidR="0097717F" w:rsidRPr="00B7355A">
              <w:rPr>
                <w:rStyle w:val="Hyperlink"/>
                <w:noProof/>
              </w:rPr>
              <w:t>Challenge: Addressing long-term unemployment</w:t>
            </w:r>
            <w:r w:rsidR="0097717F">
              <w:rPr>
                <w:noProof/>
                <w:webHidden/>
              </w:rPr>
              <w:tab/>
            </w:r>
            <w:r w:rsidR="0097717F">
              <w:rPr>
                <w:noProof/>
                <w:webHidden/>
              </w:rPr>
              <w:fldChar w:fldCharType="begin"/>
            </w:r>
            <w:r w:rsidR="0097717F">
              <w:rPr>
                <w:noProof/>
                <w:webHidden/>
              </w:rPr>
              <w:instrText xml:space="preserve"> PAGEREF _Toc532892416 \h </w:instrText>
            </w:r>
            <w:r w:rsidR="0097717F">
              <w:rPr>
                <w:noProof/>
                <w:webHidden/>
              </w:rPr>
            </w:r>
            <w:r w:rsidR="0097717F">
              <w:rPr>
                <w:noProof/>
                <w:webHidden/>
              </w:rPr>
              <w:fldChar w:fldCharType="separate"/>
            </w:r>
            <w:r w:rsidR="00A47169">
              <w:rPr>
                <w:noProof/>
                <w:webHidden/>
              </w:rPr>
              <w:t>5</w:t>
            </w:r>
            <w:r w:rsidR="0097717F">
              <w:rPr>
                <w:noProof/>
                <w:webHidden/>
              </w:rPr>
              <w:fldChar w:fldCharType="end"/>
            </w:r>
          </w:hyperlink>
        </w:p>
        <w:p w14:paraId="4DDC3461" w14:textId="58C8CB91" w:rsidR="0097717F" w:rsidRDefault="00C859D9">
          <w:pPr>
            <w:pStyle w:val="TOC2"/>
            <w:tabs>
              <w:tab w:val="right" w:pos="9016"/>
            </w:tabs>
            <w:rPr>
              <w:rFonts w:asciiTheme="minorHAnsi" w:eastAsiaTheme="minorEastAsia" w:hAnsiTheme="minorHAnsi" w:cstheme="minorBidi"/>
              <w:noProof/>
              <w:color w:val="auto"/>
              <w:lang w:val="en-AU" w:eastAsia="en-AU"/>
            </w:rPr>
          </w:pPr>
          <w:hyperlink w:anchor="_Toc532892417" w:history="1">
            <w:r w:rsidR="0097717F" w:rsidRPr="00B7355A">
              <w:rPr>
                <w:rStyle w:val="Hyperlink"/>
                <w:noProof/>
              </w:rPr>
              <w:t>Challenge: Youth unemployment</w:t>
            </w:r>
            <w:r w:rsidR="0097717F">
              <w:rPr>
                <w:noProof/>
                <w:webHidden/>
              </w:rPr>
              <w:tab/>
            </w:r>
            <w:r w:rsidR="0097717F">
              <w:rPr>
                <w:noProof/>
                <w:webHidden/>
              </w:rPr>
              <w:fldChar w:fldCharType="begin"/>
            </w:r>
            <w:r w:rsidR="0097717F">
              <w:rPr>
                <w:noProof/>
                <w:webHidden/>
              </w:rPr>
              <w:instrText xml:space="preserve"> PAGEREF _Toc532892417 \h </w:instrText>
            </w:r>
            <w:r w:rsidR="0097717F">
              <w:rPr>
                <w:noProof/>
                <w:webHidden/>
              </w:rPr>
            </w:r>
            <w:r w:rsidR="0097717F">
              <w:rPr>
                <w:noProof/>
                <w:webHidden/>
              </w:rPr>
              <w:fldChar w:fldCharType="separate"/>
            </w:r>
            <w:r w:rsidR="00A47169">
              <w:rPr>
                <w:noProof/>
                <w:webHidden/>
              </w:rPr>
              <w:t>5</w:t>
            </w:r>
            <w:r w:rsidR="0097717F">
              <w:rPr>
                <w:noProof/>
                <w:webHidden/>
              </w:rPr>
              <w:fldChar w:fldCharType="end"/>
            </w:r>
          </w:hyperlink>
        </w:p>
        <w:p w14:paraId="13D24EDF" w14:textId="360B8EC7" w:rsidR="0097717F" w:rsidRDefault="00C859D9">
          <w:pPr>
            <w:pStyle w:val="TOC2"/>
            <w:tabs>
              <w:tab w:val="right" w:pos="9016"/>
            </w:tabs>
            <w:rPr>
              <w:rFonts w:asciiTheme="minorHAnsi" w:eastAsiaTheme="minorEastAsia" w:hAnsiTheme="minorHAnsi" w:cstheme="minorBidi"/>
              <w:noProof/>
              <w:color w:val="auto"/>
              <w:lang w:val="en-AU" w:eastAsia="en-AU"/>
            </w:rPr>
          </w:pPr>
          <w:hyperlink w:anchor="_Toc532892418" w:history="1">
            <w:r w:rsidR="0097717F" w:rsidRPr="00B7355A">
              <w:rPr>
                <w:rStyle w:val="Hyperlink"/>
                <w:noProof/>
              </w:rPr>
              <w:t>Challenge: Boosting Indigenous employment</w:t>
            </w:r>
            <w:r w:rsidR="0097717F">
              <w:rPr>
                <w:noProof/>
                <w:webHidden/>
              </w:rPr>
              <w:tab/>
            </w:r>
            <w:r w:rsidR="0097717F">
              <w:rPr>
                <w:noProof/>
                <w:webHidden/>
              </w:rPr>
              <w:fldChar w:fldCharType="begin"/>
            </w:r>
            <w:r w:rsidR="0097717F">
              <w:rPr>
                <w:noProof/>
                <w:webHidden/>
              </w:rPr>
              <w:instrText xml:space="preserve"> PAGEREF _Toc532892418 \h </w:instrText>
            </w:r>
            <w:r w:rsidR="0097717F">
              <w:rPr>
                <w:noProof/>
                <w:webHidden/>
              </w:rPr>
            </w:r>
            <w:r w:rsidR="0097717F">
              <w:rPr>
                <w:noProof/>
                <w:webHidden/>
              </w:rPr>
              <w:fldChar w:fldCharType="separate"/>
            </w:r>
            <w:r w:rsidR="00A47169">
              <w:rPr>
                <w:noProof/>
                <w:webHidden/>
              </w:rPr>
              <w:t>5</w:t>
            </w:r>
            <w:r w:rsidR="0097717F">
              <w:rPr>
                <w:noProof/>
                <w:webHidden/>
              </w:rPr>
              <w:fldChar w:fldCharType="end"/>
            </w:r>
          </w:hyperlink>
        </w:p>
        <w:p w14:paraId="06288E7E" w14:textId="24EC06D9" w:rsidR="0097717F" w:rsidRDefault="00C859D9">
          <w:pPr>
            <w:pStyle w:val="TOC2"/>
            <w:tabs>
              <w:tab w:val="right" w:pos="9016"/>
            </w:tabs>
            <w:rPr>
              <w:rFonts w:asciiTheme="minorHAnsi" w:eastAsiaTheme="minorEastAsia" w:hAnsiTheme="minorHAnsi" w:cstheme="minorBidi"/>
              <w:noProof/>
              <w:color w:val="auto"/>
              <w:lang w:val="en-AU" w:eastAsia="en-AU"/>
            </w:rPr>
          </w:pPr>
          <w:hyperlink w:anchor="_Toc532892419" w:history="1">
            <w:r w:rsidR="0097717F" w:rsidRPr="00B7355A">
              <w:rPr>
                <w:rStyle w:val="Hyperlink"/>
                <w:noProof/>
              </w:rPr>
              <w:t>Challenge: Managing structural change</w:t>
            </w:r>
            <w:r w:rsidR="0097717F">
              <w:rPr>
                <w:noProof/>
                <w:webHidden/>
              </w:rPr>
              <w:tab/>
            </w:r>
            <w:r w:rsidR="0097717F">
              <w:rPr>
                <w:noProof/>
                <w:webHidden/>
              </w:rPr>
              <w:fldChar w:fldCharType="begin"/>
            </w:r>
            <w:r w:rsidR="0097717F">
              <w:rPr>
                <w:noProof/>
                <w:webHidden/>
              </w:rPr>
              <w:instrText xml:space="preserve"> PAGEREF _Toc532892419 \h </w:instrText>
            </w:r>
            <w:r w:rsidR="0097717F">
              <w:rPr>
                <w:noProof/>
                <w:webHidden/>
              </w:rPr>
            </w:r>
            <w:r w:rsidR="0097717F">
              <w:rPr>
                <w:noProof/>
                <w:webHidden/>
              </w:rPr>
              <w:fldChar w:fldCharType="separate"/>
            </w:r>
            <w:r w:rsidR="00A47169">
              <w:rPr>
                <w:noProof/>
                <w:webHidden/>
              </w:rPr>
              <w:t>5</w:t>
            </w:r>
            <w:r w:rsidR="0097717F">
              <w:rPr>
                <w:noProof/>
                <w:webHidden/>
              </w:rPr>
              <w:fldChar w:fldCharType="end"/>
            </w:r>
          </w:hyperlink>
        </w:p>
        <w:p w14:paraId="5CEF2434" w14:textId="52CA96B6" w:rsidR="0097717F" w:rsidRDefault="00C859D9">
          <w:pPr>
            <w:pStyle w:val="TOC1"/>
            <w:tabs>
              <w:tab w:val="right" w:pos="9016"/>
            </w:tabs>
            <w:rPr>
              <w:rFonts w:asciiTheme="minorHAnsi" w:eastAsiaTheme="minorEastAsia" w:hAnsiTheme="minorHAnsi" w:cstheme="minorBidi"/>
              <w:noProof/>
              <w:color w:val="auto"/>
              <w:lang w:val="en-AU" w:eastAsia="en-AU"/>
            </w:rPr>
          </w:pPr>
          <w:hyperlink w:anchor="_Toc532892420" w:history="1">
            <w:r w:rsidR="0097717F" w:rsidRPr="00B7355A">
              <w:rPr>
                <w:rStyle w:val="Hyperlink"/>
                <w:noProof/>
              </w:rPr>
              <w:t>Section 3. Current policy settings and new commitments</w:t>
            </w:r>
            <w:r w:rsidR="0097717F">
              <w:rPr>
                <w:noProof/>
                <w:webHidden/>
              </w:rPr>
              <w:tab/>
            </w:r>
            <w:r w:rsidR="0097717F">
              <w:rPr>
                <w:noProof/>
                <w:webHidden/>
              </w:rPr>
              <w:fldChar w:fldCharType="begin"/>
            </w:r>
            <w:r w:rsidR="0097717F">
              <w:rPr>
                <w:noProof/>
                <w:webHidden/>
              </w:rPr>
              <w:instrText xml:space="preserve"> PAGEREF _Toc532892420 \h </w:instrText>
            </w:r>
            <w:r w:rsidR="0097717F">
              <w:rPr>
                <w:noProof/>
                <w:webHidden/>
              </w:rPr>
            </w:r>
            <w:r w:rsidR="0097717F">
              <w:rPr>
                <w:noProof/>
                <w:webHidden/>
              </w:rPr>
              <w:fldChar w:fldCharType="separate"/>
            </w:r>
            <w:r w:rsidR="00A47169">
              <w:rPr>
                <w:noProof/>
                <w:webHidden/>
              </w:rPr>
              <w:t>6</w:t>
            </w:r>
            <w:r w:rsidR="0097717F">
              <w:rPr>
                <w:noProof/>
                <w:webHidden/>
              </w:rPr>
              <w:fldChar w:fldCharType="end"/>
            </w:r>
          </w:hyperlink>
        </w:p>
        <w:p w14:paraId="5D4CD414" w14:textId="43FAEC2F" w:rsidR="0097717F" w:rsidRDefault="00C859D9">
          <w:pPr>
            <w:pStyle w:val="TOC2"/>
            <w:tabs>
              <w:tab w:val="right" w:pos="9016"/>
            </w:tabs>
            <w:rPr>
              <w:rFonts w:asciiTheme="minorHAnsi" w:eastAsiaTheme="minorEastAsia" w:hAnsiTheme="minorHAnsi" w:cstheme="minorBidi"/>
              <w:noProof/>
              <w:color w:val="auto"/>
              <w:lang w:val="en-AU" w:eastAsia="en-AU"/>
            </w:rPr>
          </w:pPr>
          <w:hyperlink w:anchor="_Toc532892421" w:history="1">
            <w:r w:rsidR="0097717F" w:rsidRPr="00B7355A">
              <w:rPr>
                <w:rStyle w:val="Hyperlink"/>
                <w:noProof/>
              </w:rPr>
              <w:t>Broad economic settings</w:t>
            </w:r>
            <w:r w:rsidR="0097717F">
              <w:rPr>
                <w:noProof/>
                <w:webHidden/>
              </w:rPr>
              <w:tab/>
            </w:r>
            <w:r w:rsidR="0097717F">
              <w:rPr>
                <w:noProof/>
                <w:webHidden/>
              </w:rPr>
              <w:fldChar w:fldCharType="begin"/>
            </w:r>
            <w:r w:rsidR="0097717F">
              <w:rPr>
                <w:noProof/>
                <w:webHidden/>
              </w:rPr>
              <w:instrText xml:space="preserve"> PAGEREF _Toc532892421 \h </w:instrText>
            </w:r>
            <w:r w:rsidR="0097717F">
              <w:rPr>
                <w:noProof/>
                <w:webHidden/>
              </w:rPr>
            </w:r>
            <w:r w:rsidR="0097717F">
              <w:rPr>
                <w:noProof/>
                <w:webHidden/>
              </w:rPr>
              <w:fldChar w:fldCharType="separate"/>
            </w:r>
            <w:r w:rsidR="00A47169">
              <w:rPr>
                <w:noProof/>
                <w:webHidden/>
              </w:rPr>
              <w:t>6</w:t>
            </w:r>
            <w:r w:rsidR="0097717F">
              <w:rPr>
                <w:noProof/>
                <w:webHidden/>
              </w:rPr>
              <w:fldChar w:fldCharType="end"/>
            </w:r>
          </w:hyperlink>
        </w:p>
        <w:p w14:paraId="6770E066" w14:textId="43E0C024" w:rsidR="0097717F" w:rsidRDefault="00C859D9">
          <w:pPr>
            <w:pStyle w:val="TOC2"/>
            <w:tabs>
              <w:tab w:val="right" w:pos="9016"/>
            </w:tabs>
            <w:rPr>
              <w:rFonts w:asciiTheme="minorHAnsi" w:eastAsiaTheme="minorEastAsia" w:hAnsiTheme="minorHAnsi" w:cstheme="minorBidi"/>
              <w:noProof/>
              <w:color w:val="auto"/>
              <w:lang w:val="en-AU" w:eastAsia="en-AU"/>
            </w:rPr>
          </w:pPr>
          <w:hyperlink w:anchor="_Toc532892422" w:history="1">
            <w:r w:rsidR="0097717F" w:rsidRPr="00B7355A">
              <w:rPr>
                <w:rStyle w:val="Hyperlink"/>
                <w:noProof/>
              </w:rPr>
              <w:t>Incentives, investment and entrepreneurship</w:t>
            </w:r>
            <w:r w:rsidR="0097717F">
              <w:rPr>
                <w:noProof/>
                <w:webHidden/>
              </w:rPr>
              <w:tab/>
            </w:r>
            <w:r w:rsidR="0097717F">
              <w:rPr>
                <w:noProof/>
                <w:webHidden/>
              </w:rPr>
              <w:fldChar w:fldCharType="begin"/>
            </w:r>
            <w:r w:rsidR="0097717F">
              <w:rPr>
                <w:noProof/>
                <w:webHidden/>
              </w:rPr>
              <w:instrText xml:space="preserve"> PAGEREF _Toc532892422 \h </w:instrText>
            </w:r>
            <w:r w:rsidR="0097717F">
              <w:rPr>
                <w:noProof/>
                <w:webHidden/>
              </w:rPr>
            </w:r>
            <w:r w:rsidR="0097717F">
              <w:rPr>
                <w:noProof/>
                <w:webHidden/>
              </w:rPr>
              <w:fldChar w:fldCharType="separate"/>
            </w:r>
            <w:r w:rsidR="00A47169">
              <w:rPr>
                <w:noProof/>
                <w:webHidden/>
              </w:rPr>
              <w:t>6</w:t>
            </w:r>
            <w:r w:rsidR="0097717F">
              <w:rPr>
                <w:noProof/>
                <w:webHidden/>
              </w:rPr>
              <w:fldChar w:fldCharType="end"/>
            </w:r>
          </w:hyperlink>
        </w:p>
        <w:p w14:paraId="705DA0CA" w14:textId="1BDB0500" w:rsidR="0097717F" w:rsidRDefault="00C859D9">
          <w:pPr>
            <w:pStyle w:val="TOC2"/>
            <w:tabs>
              <w:tab w:val="right" w:pos="9016"/>
            </w:tabs>
            <w:rPr>
              <w:rFonts w:asciiTheme="minorHAnsi" w:eastAsiaTheme="minorEastAsia" w:hAnsiTheme="minorHAnsi" w:cstheme="minorBidi"/>
              <w:noProof/>
              <w:color w:val="auto"/>
              <w:lang w:val="en-AU" w:eastAsia="en-AU"/>
            </w:rPr>
          </w:pPr>
          <w:hyperlink w:anchor="_Toc532892423" w:history="1">
            <w:r w:rsidR="0097717F" w:rsidRPr="00B7355A">
              <w:rPr>
                <w:rStyle w:val="Hyperlink"/>
                <w:noProof/>
              </w:rPr>
              <w:t>Labour markets and social protection</w:t>
            </w:r>
            <w:r w:rsidR="0097717F">
              <w:rPr>
                <w:noProof/>
                <w:webHidden/>
              </w:rPr>
              <w:tab/>
            </w:r>
            <w:r w:rsidR="0097717F">
              <w:rPr>
                <w:noProof/>
                <w:webHidden/>
              </w:rPr>
              <w:fldChar w:fldCharType="begin"/>
            </w:r>
            <w:r w:rsidR="0097717F">
              <w:rPr>
                <w:noProof/>
                <w:webHidden/>
              </w:rPr>
              <w:instrText xml:space="preserve"> PAGEREF _Toc532892423 \h </w:instrText>
            </w:r>
            <w:r w:rsidR="0097717F">
              <w:rPr>
                <w:noProof/>
                <w:webHidden/>
              </w:rPr>
            </w:r>
            <w:r w:rsidR="0097717F">
              <w:rPr>
                <w:noProof/>
                <w:webHidden/>
              </w:rPr>
              <w:fldChar w:fldCharType="separate"/>
            </w:r>
            <w:r w:rsidR="00A47169">
              <w:rPr>
                <w:noProof/>
                <w:webHidden/>
              </w:rPr>
              <w:t>8</w:t>
            </w:r>
            <w:r w:rsidR="0097717F">
              <w:rPr>
                <w:noProof/>
                <w:webHidden/>
              </w:rPr>
              <w:fldChar w:fldCharType="end"/>
            </w:r>
          </w:hyperlink>
        </w:p>
        <w:p w14:paraId="52EE4943" w14:textId="0383A2AB" w:rsidR="0097717F" w:rsidRDefault="00C859D9">
          <w:pPr>
            <w:pStyle w:val="TOC2"/>
            <w:tabs>
              <w:tab w:val="right" w:pos="9016"/>
            </w:tabs>
            <w:rPr>
              <w:rFonts w:asciiTheme="minorHAnsi" w:eastAsiaTheme="minorEastAsia" w:hAnsiTheme="minorHAnsi" w:cstheme="minorBidi"/>
              <w:noProof/>
              <w:color w:val="auto"/>
              <w:lang w:val="en-AU" w:eastAsia="en-AU"/>
            </w:rPr>
          </w:pPr>
          <w:hyperlink w:anchor="_Toc532892424" w:history="1">
            <w:r w:rsidR="0097717F" w:rsidRPr="00B7355A">
              <w:rPr>
                <w:rStyle w:val="Hyperlink"/>
                <w:noProof/>
              </w:rPr>
              <w:t>Policy measures targeting labour market disadvantage</w:t>
            </w:r>
            <w:r w:rsidR="0097717F">
              <w:rPr>
                <w:noProof/>
                <w:webHidden/>
              </w:rPr>
              <w:tab/>
            </w:r>
            <w:r w:rsidR="0097717F">
              <w:rPr>
                <w:noProof/>
                <w:webHidden/>
              </w:rPr>
              <w:fldChar w:fldCharType="begin"/>
            </w:r>
            <w:r w:rsidR="0097717F">
              <w:rPr>
                <w:noProof/>
                <w:webHidden/>
              </w:rPr>
              <w:instrText xml:space="preserve"> PAGEREF _Toc532892424 \h </w:instrText>
            </w:r>
            <w:r w:rsidR="0097717F">
              <w:rPr>
                <w:noProof/>
                <w:webHidden/>
              </w:rPr>
            </w:r>
            <w:r w:rsidR="0097717F">
              <w:rPr>
                <w:noProof/>
                <w:webHidden/>
              </w:rPr>
              <w:fldChar w:fldCharType="separate"/>
            </w:r>
            <w:r w:rsidR="00A47169">
              <w:rPr>
                <w:noProof/>
                <w:webHidden/>
              </w:rPr>
              <w:t>12</w:t>
            </w:r>
            <w:r w:rsidR="0097717F">
              <w:rPr>
                <w:noProof/>
                <w:webHidden/>
              </w:rPr>
              <w:fldChar w:fldCharType="end"/>
            </w:r>
          </w:hyperlink>
        </w:p>
        <w:p w14:paraId="1A7D6E20" w14:textId="784B3206" w:rsidR="0097717F" w:rsidRDefault="00C859D9">
          <w:pPr>
            <w:pStyle w:val="TOC1"/>
            <w:tabs>
              <w:tab w:val="right" w:pos="9016"/>
            </w:tabs>
            <w:rPr>
              <w:rFonts w:asciiTheme="minorHAnsi" w:eastAsiaTheme="minorEastAsia" w:hAnsiTheme="minorHAnsi" w:cstheme="minorBidi"/>
              <w:noProof/>
              <w:color w:val="auto"/>
              <w:lang w:val="en-AU" w:eastAsia="en-AU"/>
            </w:rPr>
          </w:pPr>
          <w:hyperlink w:anchor="_Toc532892425" w:history="1">
            <w:r w:rsidR="0097717F" w:rsidRPr="00B7355A">
              <w:rPr>
                <w:rStyle w:val="Hyperlink"/>
                <w:noProof/>
              </w:rPr>
              <w:t>Section 4. Monitoring and Reporting</w:t>
            </w:r>
            <w:r w:rsidR="0097717F">
              <w:rPr>
                <w:noProof/>
                <w:webHidden/>
              </w:rPr>
              <w:tab/>
            </w:r>
            <w:r w:rsidR="0097717F">
              <w:rPr>
                <w:noProof/>
                <w:webHidden/>
              </w:rPr>
              <w:fldChar w:fldCharType="begin"/>
            </w:r>
            <w:r w:rsidR="0097717F">
              <w:rPr>
                <w:noProof/>
                <w:webHidden/>
              </w:rPr>
              <w:instrText xml:space="preserve"> PAGEREF _Toc532892425 \h </w:instrText>
            </w:r>
            <w:r w:rsidR="0097717F">
              <w:rPr>
                <w:noProof/>
                <w:webHidden/>
              </w:rPr>
            </w:r>
            <w:r w:rsidR="0097717F">
              <w:rPr>
                <w:noProof/>
                <w:webHidden/>
              </w:rPr>
              <w:fldChar w:fldCharType="separate"/>
            </w:r>
            <w:r w:rsidR="00A47169">
              <w:rPr>
                <w:noProof/>
                <w:webHidden/>
              </w:rPr>
              <w:t>17</w:t>
            </w:r>
            <w:r w:rsidR="0097717F">
              <w:rPr>
                <w:noProof/>
                <w:webHidden/>
              </w:rPr>
              <w:fldChar w:fldCharType="end"/>
            </w:r>
          </w:hyperlink>
        </w:p>
        <w:p w14:paraId="58F692D9" w14:textId="615F9F30" w:rsidR="0097717F" w:rsidRDefault="00C859D9">
          <w:pPr>
            <w:pStyle w:val="TOC2"/>
            <w:tabs>
              <w:tab w:val="right" w:pos="9016"/>
            </w:tabs>
            <w:rPr>
              <w:rFonts w:asciiTheme="minorHAnsi" w:eastAsiaTheme="minorEastAsia" w:hAnsiTheme="minorHAnsi" w:cstheme="minorBidi"/>
              <w:noProof/>
              <w:color w:val="auto"/>
              <w:lang w:val="en-AU" w:eastAsia="en-AU"/>
            </w:rPr>
          </w:pPr>
          <w:hyperlink w:anchor="_Toc532892426" w:history="1">
            <w:r w:rsidR="0097717F" w:rsidRPr="00B7355A">
              <w:rPr>
                <w:rStyle w:val="Hyperlink"/>
                <w:noProof/>
              </w:rPr>
              <w:t>Selected indicators</w:t>
            </w:r>
            <w:r w:rsidR="0097717F">
              <w:rPr>
                <w:noProof/>
                <w:webHidden/>
              </w:rPr>
              <w:tab/>
            </w:r>
            <w:r w:rsidR="0097717F">
              <w:rPr>
                <w:noProof/>
                <w:webHidden/>
              </w:rPr>
              <w:fldChar w:fldCharType="begin"/>
            </w:r>
            <w:r w:rsidR="0097717F">
              <w:rPr>
                <w:noProof/>
                <w:webHidden/>
              </w:rPr>
              <w:instrText xml:space="preserve"> PAGEREF _Toc532892426 \h </w:instrText>
            </w:r>
            <w:r w:rsidR="0097717F">
              <w:rPr>
                <w:noProof/>
                <w:webHidden/>
              </w:rPr>
            </w:r>
            <w:r w:rsidR="0097717F">
              <w:rPr>
                <w:noProof/>
                <w:webHidden/>
              </w:rPr>
              <w:fldChar w:fldCharType="separate"/>
            </w:r>
            <w:r w:rsidR="00A47169">
              <w:rPr>
                <w:noProof/>
                <w:webHidden/>
              </w:rPr>
              <w:t>17</w:t>
            </w:r>
            <w:r w:rsidR="0097717F">
              <w:rPr>
                <w:noProof/>
                <w:webHidden/>
              </w:rPr>
              <w:fldChar w:fldCharType="end"/>
            </w:r>
          </w:hyperlink>
        </w:p>
        <w:p w14:paraId="066C64C7" w14:textId="517E919E" w:rsidR="0097717F" w:rsidRDefault="00C859D9">
          <w:pPr>
            <w:pStyle w:val="TOC2"/>
            <w:tabs>
              <w:tab w:val="right" w:pos="9016"/>
            </w:tabs>
            <w:rPr>
              <w:rFonts w:asciiTheme="minorHAnsi" w:eastAsiaTheme="minorEastAsia" w:hAnsiTheme="minorHAnsi" w:cstheme="minorBidi"/>
              <w:noProof/>
              <w:color w:val="auto"/>
              <w:lang w:val="en-AU" w:eastAsia="en-AU"/>
            </w:rPr>
          </w:pPr>
          <w:hyperlink w:anchor="_Toc532892427" w:history="1">
            <w:r w:rsidR="0097717F" w:rsidRPr="00B7355A">
              <w:rPr>
                <w:rStyle w:val="Hyperlink"/>
                <w:noProof/>
              </w:rPr>
              <w:t>Collective commitment to increase female labour force participation</w:t>
            </w:r>
            <w:r w:rsidR="0097717F">
              <w:rPr>
                <w:noProof/>
                <w:webHidden/>
              </w:rPr>
              <w:tab/>
            </w:r>
            <w:r w:rsidR="0097717F">
              <w:rPr>
                <w:noProof/>
                <w:webHidden/>
              </w:rPr>
              <w:fldChar w:fldCharType="begin"/>
            </w:r>
            <w:r w:rsidR="0097717F">
              <w:rPr>
                <w:noProof/>
                <w:webHidden/>
              </w:rPr>
              <w:instrText xml:space="preserve"> PAGEREF _Toc532892427 \h </w:instrText>
            </w:r>
            <w:r w:rsidR="0097717F">
              <w:rPr>
                <w:noProof/>
                <w:webHidden/>
              </w:rPr>
            </w:r>
            <w:r w:rsidR="0097717F">
              <w:rPr>
                <w:noProof/>
                <w:webHidden/>
              </w:rPr>
              <w:fldChar w:fldCharType="separate"/>
            </w:r>
            <w:r w:rsidR="00A47169">
              <w:rPr>
                <w:noProof/>
                <w:webHidden/>
              </w:rPr>
              <w:t>18</w:t>
            </w:r>
            <w:r w:rsidR="0097717F">
              <w:rPr>
                <w:noProof/>
                <w:webHidden/>
              </w:rPr>
              <w:fldChar w:fldCharType="end"/>
            </w:r>
          </w:hyperlink>
        </w:p>
        <w:p w14:paraId="0762E6E3" w14:textId="1B3658CA" w:rsidR="0097717F" w:rsidRDefault="00C859D9">
          <w:pPr>
            <w:pStyle w:val="TOC2"/>
            <w:tabs>
              <w:tab w:val="right" w:pos="9016"/>
            </w:tabs>
            <w:rPr>
              <w:rFonts w:asciiTheme="minorHAnsi" w:eastAsiaTheme="minorEastAsia" w:hAnsiTheme="minorHAnsi" w:cstheme="minorBidi"/>
              <w:noProof/>
              <w:color w:val="auto"/>
              <w:lang w:val="en-AU" w:eastAsia="en-AU"/>
            </w:rPr>
          </w:pPr>
          <w:hyperlink w:anchor="_Toc532892428" w:history="1">
            <w:r w:rsidR="0097717F" w:rsidRPr="00B7355A">
              <w:rPr>
                <w:rStyle w:val="Hyperlink"/>
                <w:noProof/>
              </w:rPr>
              <w:t>Collective commitment to achieve better employment outcomes among youth</w:t>
            </w:r>
            <w:r w:rsidR="0097717F">
              <w:rPr>
                <w:noProof/>
                <w:webHidden/>
              </w:rPr>
              <w:tab/>
            </w:r>
            <w:r w:rsidR="0097717F">
              <w:rPr>
                <w:noProof/>
                <w:webHidden/>
              </w:rPr>
              <w:fldChar w:fldCharType="begin"/>
            </w:r>
            <w:r w:rsidR="0097717F">
              <w:rPr>
                <w:noProof/>
                <w:webHidden/>
              </w:rPr>
              <w:instrText xml:space="preserve"> PAGEREF _Toc532892428 \h </w:instrText>
            </w:r>
            <w:r w:rsidR="0097717F">
              <w:rPr>
                <w:noProof/>
                <w:webHidden/>
              </w:rPr>
            </w:r>
            <w:r w:rsidR="0097717F">
              <w:rPr>
                <w:noProof/>
                <w:webHidden/>
              </w:rPr>
              <w:fldChar w:fldCharType="separate"/>
            </w:r>
            <w:r w:rsidR="00A47169">
              <w:rPr>
                <w:noProof/>
                <w:webHidden/>
              </w:rPr>
              <w:t>20</w:t>
            </w:r>
            <w:r w:rsidR="0097717F">
              <w:rPr>
                <w:noProof/>
                <w:webHidden/>
              </w:rPr>
              <w:fldChar w:fldCharType="end"/>
            </w:r>
          </w:hyperlink>
        </w:p>
        <w:p w14:paraId="28D0D469" w14:textId="77777777" w:rsidR="00EB66C3" w:rsidRDefault="0097717F" w:rsidP="00EB66C3">
          <w:pPr>
            <w:rPr>
              <w:bCs/>
              <w:noProof/>
            </w:rPr>
          </w:pPr>
          <w:r>
            <w:rPr>
              <w:color w:val="1F4E79" w:themeColor="accent1" w:themeShade="80"/>
            </w:rPr>
            <w:fldChar w:fldCharType="end"/>
          </w:r>
        </w:p>
      </w:sdtContent>
    </w:sdt>
    <w:p w14:paraId="00A9A409" w14:textId="75BAE57F" w:rsidR="00EB66C3" w:rsidRDefault="00956093" w:rsidP="00EB66C3">
      <w:pPr>
        <w:spacing w:before="6000"/>
        <w:rPr>
          <w:sz w:val="16"/>
          <w:szCs w:val="16"/>
        </w:rPr>
      </w:pPr>
      <w:r w:rsidRPr="0073715F">
        <w:rPr>
          <w:sz w:val="16"/>
          <w:szCs w:val="16"/>
        </w:rPr>
        <w:t>Prepared by the Australian Government Department of Jobs and Small Business with Australian Public Service colleagues</w:t>
      </w:r>
      <w:r w:rsidR="0094228F">
        <w:rPr>
          <w:sz w:val="16"/>
          <w:szCs w:val="16"/>
        </w:rPr>
        <w:t xml:space="preserve"> in November 2018</w:t>
      </w:r>
      <w:r w:rsidRPr="0073715F">
        <w:rPr>
          <w:sz w:val="16"/>
          <w:szCs w:val="16"/>
        </w:rPr>
        <w:t>. For any enquiries, please contact:</w:t>
      </w:r>
      <w:r w:rsidR="00DA5707" w:rsidRPr="0073715F">
        <w:rPr>
          <w:sz w:val="16"/>
          <w:szCs w:val="16"/>
        </w:rPr>
        <w:t xml:space="preserve"> </w:t>
      </w:r>
      <w:hyperlink r:id="rId15" w:history="1">
        <w:r w:rsidR="002E7EDC" w:rsidRPr="004664DC">
          <w:rPr>
            <w:rStyle w:val="Hyperlink"/>
            <w:sz w:val="16"/>
            <w:szCs w:val="16"/>
          </w:rPr>
          <w:t>G20EmploymentAust@jobs.gov.au</w:t>
        </w:r>
      </w:hyperlink>
      <w:r w:rsidRPr="0073715F">
        <w:rPr>
          <w:sz w:val="16"/>
          <w:szCs w:val="16"/>
        </w:rPr>
        <w:t xml:space="preserve"> </w:t>
      </w:r>
      <w:r w:rsidR="00EB66C3">
        <w:rPr>
          <w:sz w:val="16"/>
          <w:szCs w:val="16"/>
        </w:rPr>
        <w:br w:type="page"/>
      </w:r>
    </w:p>
    <w:p w14:paraId="19F322DD" w14:textId="2C2D2890" w:rsidR="00182949" w:rsidRPr="00B436C7" w:rsidRDefault="00B436C7" w:rsidP="00A965E2">
      <w:pPr>
        <w:pStyle w:val="SectionHeading"/>
        <w:spacing w:before="0" w:after="120"/>
      </w:pPr>
      <w:bookmarkStart w:id="0" w:name="_Toc532892412"/>
      <w:r w:rsidRPr="00B436C7">
        <w:lastRenderedPageBreak/>
        <w:t>Section 1. Employment and labour market outlook</w:t>
      </w:r>
      <w:bookmarkEnd w:id="0"/>
      <w:r w:rsidR="00182949" w:rsidRPr="00B436C7">
        <w:t xml:space="preserve"> </w:t>
      </w:r>
    </w:p>
    <w:p w14:paraId="65BE8592" w14:textId="05B8BAA4" w:rsidR="00336569" w:rsidRPr="00B436C7" w:rsidRDefault="005A4436" w:rsidP="00D15865">
      <w:pPr>
        <w:spacing w:after="240"/>
      </w:pPr>
      <w:r w:rsidRPr="00672B67">
        <w:rPr>
          <w:sz w:val="20"/>
          <w:szCs w:val="20"/>
        </w:rPr>
        <w:t>The Australian economy is in its 27th year of continued expansion, with the economy forecast to grow by 3 per cent in 2018-19 and 2019-20. Employment has increased by 2.</w:t>
      </w:r>
      <w:r>
        <w:rPr>
          <w:sz w:val="20"/>
          <w:szCs w:val="20"/>
        </w:rPr>
        <w:t>5</w:t>
      </w:r>
      <w:r w:rsidRPr="00672B67">
        <w:rPr>
          <w:sz w:val="20"/>
          <w:szCs w:val="20"/>
        </w:rPr>
        <w:t xml:space="preserve"> per cent </w:t>
      </w:r>
      <w:r>
        <w:rPr>
          <w:sz w:val="20"/>
          <w:szCs w:val="20"/>
        </w:rPr>
        <w:t>through</w:t>
      </w:r>
      <w:r w:rsidRPr="00672B67">
        <w:rPr>
          <w:sz w:val="20"/>
          <w:szCs w:val="20"/>
        </w:rPr>
        <w:t xml:space="preserve"> the year to </w:t>
      </w:r>
      <w:r>
        <w:rPr>
          <w:sz w:val="20"/>
          <w:szCs w:val="20"/>
        </w:rPr>
        <w:t>October</w:t>
      </w:r>
      <w:r w:rsidRPr="00672B67">
        <w:rPr>
          <w:sz w:val="20"/>
          <w:szCs w:val="20"/>
        </w:rPr>
        <w:t xml:space="preserve"> 2018, well above the annual average growth rate of 1.6 per cent over the last decade (seasonally adjusted). The unemployment rate for people aged 15 years and over stood at 5.0</w:t>
      </w:r>
      <w:r>
        <w:rPr>
          <w:sz w:val="20"/>
          <w:szCs w:val="20"/>
        </w:rPr>
        <w:t> </w:t>
      </w:r>
      <w:r w:rsidRPr="00672B67">
        <w:rPr>
          <w:sz w:val="20"/>
          <w:szCs w:val="20"/>
        </w:rPr>
        <w:t>per</w:t>
      </w:r>
      <w:r>
        <w:rPr>
          <w:sz w:val="20"/>
          <w:szCs w:val="20"/>
        </w:rPr>
        <w:t> </w:t>
      </w:r>
      <w:r w:rsidRPr="00672B67">
        <w:rPr>
          <w:sz w:val="20"/>
          <w:szCs w:val="20"/>
        </w:rPr>
        <w:t xml:space="preserve">cent in </w:t>
      </w:r>
      <w:r>
        <w:rPr>
          <w:sz w:val="20"/>
          <w:szCs w:val="20"/>
        </w:rPr>
        <w:t>October</w:t>
      </w:r>
      <w:r w:rsidRPr="00672B67">
        <w:rPr>
          <w:sz w:val="20"/>
          <w:szCs w:val="20"/>
        </w:rPr>
        <w:t xml:space="preserve"> 2018, down from 5.</w:t>
      </w:r>
      <w:r>
        <w:rPr>
          <w:sz w:val="20"/>
          <w:szCs w:val="20"/>
        </w:rPr>
        <w:t>4</w:t>
      </w:r>
      <w:r w:rsidRPr="00672B67">
        <w:rPr>
          <w:sz w:val="20"/>
          <w:szCs w:val="20"/>
        </w:rPr>
        <w:t xml:space="preserve"> per cent </w:t>
      </w:r>
      <w:r>
        <w:rPr>
          <w:sz w:val="20"/>
          <w:szCs w:val="20"/>
        </w:rPr>
        <w:t xml:space="preserve">a year </w:t>
      </w:r>
      <w:r w:rsidR="0094228F">
        <w:rPr>
          <w:sz w:val="20"/>
          <w:szCs w:val="20"/>
        </w:rPr>
        <w:t>earlier</w:t>
      </w:r>
      <w:r w:rsidR="00D15865">
        <w:rPr>
          <w:sz w:val="20"/>
          <w:szCs w:val="20"/>
        </w:rPr>
        <w:t>.</w:t>
      </w:r>
    </w:p>
    <w:p w14:paraId="1F6B89E3" w14:textId="1878657B" w:rsidR="00B436C7" w:rsidRDefault="00B436C7" w:rsidP="00B436C7">
      <w:pPr>
        <w:pStyle w:val="Caption"/>
      </w:pPr>
      <w:r>
        <w:t xml:space="preserve">Chart </w:t>
      </w:r>
      <w:r w:rsidR="00A47169">
        <w:rPr>
          <w:noProof/>
        </w:rPr>
        <w:fldChar w:fldCharType="begin"/>
      </w:r>
      <w:r w:rsidR="00A47169">
        <w:rPr>
          <w:noProof/>
        </w:rPr>
        <w:instrText xml:space="preserve"> SEQ Chart \* ARABIC </w:instrText>
      </w:r>
      <w:r w:rsidR="00A47169">
        <w:rPr>
          <w:noProof/>
        </w:rPr>
        <w:fldChar w:fldCharType="separate"/>
      </w:r>
      <w:r w:rsidR="00293561">
        <w:rPr>
          <w:noProof/>
        </w:rPr>
        <w:t>1</w:t>
      </w:r>
      <w:r w:rsidR="00A47169">
        <w:rPr>
          <w:noProof/>
        </w:rPr>
        <w:fldChar w:fldCharType="end"/>
      </w:r>
      <w:r w:rsidR="00A965E2">
        <w:t>: GDP and Employment G</w:t>
      </w:r>
      <w:r w:rsidRPr="00333744">
        <w:t>rowth, 1998 – 2018</w:t>
      </w:r>
    </w:p>
    <w:p w14:paraId="07BE30AC" w14:textId="5D551033" w:rsidR="00C135E0" w:rsidRPr="001A2413" w:rsidRDefault="00583DF7" w:rsidP="00B436C7">
      <w:r w:rsidRPr="00B436C7">
        <w:rPr>
          <w:noProof/>
          <w:lang w:val="en-AU" w:eastAsia="en-AU"/>
        </w:rPr>
        <w:drawing>
          <wp:inline distT="0" distB="0" distL="0" distR="0" wp14:anchorId="5149561A" wp14:editId="483117E2">
            <wp:extent cx="5734050" cy="3759731"/>
            <wp:effectExtent l="0" t="0" r="0" b="0"/>
            <wp:docPr id="2" name="Picture 2" descr="The chart shows the relationship between GDP growth (chain volume measure, trend, by quarter) and employment growth (trend, annual). Where GDP growth has been high, employment has also increased in most instan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5882" cy="3780603"/>
                    </a:xfrm>
                    <a:prstGeom prst="rect">
                      <a:avLst/>
                    </a:prstGeom>
                    <a:noFill/>
                    <a:ln>
                      <a:noFill/>
                    </a:ln>
                  </pic:spPr>
                </pic:pic>
              </a:graphicData>
            </a:graphic>
          </wp:inline>
        </w:drawing>
      </w:r>
    </w:p>
    <w:p w14:paraId="76514387" w14:textId="047DE08D" w:rsidR="00A965E2" w:rsidRDefault="00C135E0" w:rsidP="00293561">
      <w:pPr>
        <w:pStyle w:val="Source"/>
      </w:pPr>
      <w:r w:rsidRPr="00B436C7">
        <w:t xml:space="preserve">Source: </w:t>
      </w:r>
      <w:r w:rsidR="0094228F" w:rsidRPr="00B436C7">
        <w:t xml:space="preserve">Australian Bureau of Statistics (ABS), </w:t>
      </w:r>
      <w:r w:rsidRPr="00B436C7">
        <w:t>Australian National Accounts: National Income, Expenditure and Product, Jun</w:t>
      </w:r>
      <w:r w:rsidR="00B76904" w:rsidRPr="00B436C7">
        <w:t>e</w:t>
      </w:r>
      <w:r w:rsidR="0094228F" w:rsidRPr="00B436C7">
        <w:t xml:space="preserve"> quarter </w:t>
      </w:r>
      <w:r w:rsidRPr="00B436C7">
        <w:t xml:space="preserve">2018 (Cat. No. 5206.0), chain volume measure, trend data; and ABS, Labour Force, Australia, </w:t>
      </w:r>
      <w:r w:rsidR="00BA5351" w:rsidRPr="00B436C7">
        <w:t>October</w:t>
      </w:r>
      <w:r w:rsidRPr="00B436C7">
        <w:t xml:space="preserve"> 2018</w:t>
      </w:r>
      <w:r w:rsidR="0094228F" w:rsidRPr="00B436C7">
        <w:t xml:space="preserve"> (Cat. No. 6202.0)</w:t>
      </w:r>
      <w:r w:rsidRPr="00B436C7">
        <w:t>, trend data.</w:t>
      </w:r>
      <w:r w:rsidR="00A965E2">
        <w:br w:type="page"/>
      </w:r>
    </w:p>
    <w:p w14:paraId="51CD9660" w14:textId="0EE7EEE1" w:rsidR="00293561" w:rsidRDefault="00293561" w:rsidP="00293561">
      <w:pPr>
        <w:pStyle w:val="Caption"/>
        <w:keepNext/>
      </w:pPr>
      <w:r>
        <w:lastRenderedPageBreak/>
        <w:t xml:space="preserve">Table </w:t>
      </w:r>
      <w:r w:rsidR="00A47169">
        <w:rPr>
          <w:noProof/>
        </w:rPr>
        <w:fldChar w:fldCharType="begin"/>
      </w:r>
      <w:r w:rsidR="00A47169">
        <w:rPr>
          <w:noProof/>
        </w:rPr>
        <w:instrText xml:space="preserve"> SEQ Table \* ARABIC </w:instrText>
      </w:r>
      <w:r w:rsidR="00A47169">
        <w:rPr>
          <w:noProof/>
        </w:rPr>
        <w:fldChar w:fldCharType="separate"/>
      </w:r>
      <w:r>
        <w:rPr>
          <w:noProof/>
        </w:rPr>
        <w:t>1</w:t>
      </w:r>
      <w:r w:rsidR="00A47169">
        <w:rPr>
          <w:noProof/>
        </w:rPr>
        <w:fldChar w:fldCharType="end"/>
      </w:r>
      <w:r>
        <w:t xml:space="preserve">: </w:t>
      </w:r>
      <w:r w:rsidRPr="00EE3B6E">
        <w:t>Economic and labour market conditions, 2008 and 2017 – Employment growth</w:t>
      </w:r>
    </w:p>
    <w:tbl>
      <w:tblPr>
        <w:tblStyle w:val="Tablaconcuadrcula1"/>
        <w:tblW w:w="5000" w:type="pct"/>
        <w:tblLook w:val="0000" w:firstRow="0" w:lastRow="0" w:firstColumn="0" w:lastColumn="0" w:noHBand="0" w:noVBand="0"/>
      </w:tblPr>
      <w:tblGrid>
        <w:gridCol w:w="1778"/>
        <w:gridCol w:w="1771"/>
        <w:gridCol w:w="1769"/>
        <w:gridCol w:w="1849"/>
        <w:gridCol w:w="1849"/>
      </w:tblGrid>
      <w:tr w:rsidR="00F87FC8" w:rsidRPr="00F87FC8" w14:paraId="3E756977" w14:textId="77777777" w:rsidTr="00A965E2">
        <w:trPr>
          <w:tblHeader/>
        </w:trPr>
        <w:tc>
          <w:tcPr>
            <w:tcW w:w="1778" w:type="dxa"/>
            <w:shd w:val="clear" w:color="auto" w:fill="DEEAF6" w:themeFill="accent1" w:themeFillTint="33"/>
          </w:tcPr>
          <w:p w14:paraId="7EB5DE7E" w14:textId="1277ED37" w:rsidR="00F87FC8" w:rsidRPr="00A965E2" w:rsidRDefault="00F87FC8" w:rsidP="00F87FC8">
            <w:pPr>
              <w:spacing w:before="20" w:after="20"/>
              <w:rPr>
                <w:b/>
                <w:sz w:val="16"/>
              </w:rPr>
            </w:pPr>
            <w:r w:rsidRPr="00A965E2">
              <w:rPr>
                <w:b/>
                <w:sz w:val="16"/>
              </w:rPr>
              <w:t>Area</w:t>
            </w:r>
          </w:p>
        </w:tc>
        <w:tc>
          <w:tcPr>
            <w:tcW w:w="1771" w:type="dxa"/>
            <w:shd w:val="clear" w:color="auto" w:fill="DEEAF6" w:themeFill="accent1" w:themeFillTint="33"/>
          </w:tcPr>
          <w:p w14:paraId="22258F79" w14:textId="3094832D" w:rsidR="00F87FC8" w:rsidRPr="00A965E2" w:rsidRDefault="00F87FC8" w:rsidP="00A965E2">
            <w:pPr>
              <w:spacing w:before="20" w:after="20"/>
              <w:jc w:val="center"/>
              <w:rPr>
                <w:b/>
                <w:sz w:val="16"/>
              </w:rPr>
            </w:pPr>
            <w:r w:rsidRPr="00A965E2">
              <w:rPr>
                <w:b/>
                <w:sz w:val="16"/>
              </w:rPr>
              <w:t>2008</w:t>
            </w:r>
            <w:r w:rsidR="00A965E2">
              <w:rPr>
                <w:b/>
                <w:sz w:val="16"/>
              </w:rPr>
              <w:t xml:space="preserve"> </w:t>
            </w:r>
            <w:r w:rsidRPr="00A965E2">
              <w:rPr>
                <w:b/>
                <w:sz w:val="16"/>
              </w:rPr>
              <w:t>GDP per capita  ($US, 2010 terms)</w:t>
            </w:r>
            <w:r w:rsidRPr="00A965E2">
              <w:rPr>
                <w:b/>
                <w:sz w:val="16"/>
              </w:rPr>
              <w:br/>
              <w:t>2008</w:t>
            </w:r>
          </w:p>
        </w:tc>
        <w:tc>
          <w:tcPr>
            <w:tcW w:w="1769" w:type="dxa"/>
            <w:shd w:val="clear" w:color="auto" w:fill="DEEAF6" w:themeFill="accent1" w:themeFillTint="33"/>
          </w:tcPr>
          <w:p w14:paraId="15FDC6A3" w14:textId="5CAB00D5" w:rsidR="00F87FC8" w:rsidRPr="00A965E2" w:rsidRDefault="00F87FC8" w:rsidP="00A965E2">
            <w:pPr>
              <w:spacing w:before="20" w:after="20"/>
              <w:jc w:val="center"/>
              <w:rPr>
                <w:b/>
                <w:sz w:val="16"/>
              </w:rPr>
            </w:pPr>
            <w:r w:rsidRPr="00A965E2">
              <w:rPr>
                <w:b/>
                <w:sz w:val="16"/>
              </w:rPr>
              <w:t>2017</w:t>
            </w:r>
            <w:r w:rsidR="00A965E2">
              <w:rPr>
                <w:b/>
                <w:sz w:val="16"/>
              </w:rPr>
              <w:t xml:space="preserve"> </w:t>
            </w:r>
            <w:r w:rsidRPr="00A965E2">
              <w:rPr>
                <w:b/>
                <w:sz w:val="16"/>
              </w:rPr>
              <w:t>GDP per capita  ($US, 2010 terms)</w:t>
            </w:r>
          </w:p>
        </w:tc>
        <w:tc>
          <w:tcPr>
            <w:tcW w:w="1849" w:type="dxa"/>
            <w:shd w:val="clear" w:color="auto" w:fill="DEEAF6" w:themeFill="accent1" w:themeFillTint="33"/>
          </w:tcPr>
          <w:p w14:paraId="43BA1F1A" w14:textId="2580D66B" w:rsidR="00F87FC8" w:rsidRPr="00A965E2" w:rsidRDefault="00F87FC8" w:rsidP="00A965E2">
            <w:pPr>
              <w:spacing w:before="20" w:after="20"/>
              <w:jc w:val="center"/>
              <w:rPr>
                <w:b/>
                <w:sz w:val="16"/>
              </w:rPr>
            </w:pPr>
            <w:r w:rsidRPr="00A965E2">
              <w:rPr>
                <w:b/>
                <w:sz w:val="16"/>
              </w:rPr>
              <w:t>2008</w:t>
            </w:r>
            <w:r w:rsidR="00A965E2">
              <w:rPr>
                <w:b/>
                <w:sz w:val="16"/>
              </w:rPr>
              <w:t xml:space="preserve"> </w:t>
            </w:r>
            <w:r w:rsidRPr="00A965E2">
              <w:rPr>
                <w:b/>
                <w:sz w:val="16"/>
              </w:rPr>
              <w:t>Employment growth (%)</w:t>
            </w:r>
          </w:p>
        </w:tc>
        <w:tc>
          <w:tcPr>
            <w:tcW w:w="1849" w:type="dxa"/>
            <w:shd w:val="clear" w:color="auto" w:fill="DEEAF6" w:themeFill="accent1" w:themeFillTint="33"/>
          </w:tcPr>
          <w:p w14:paraId="5647F1A6" w14:textId="4CD85F26" w:rsidR="00F87FC8" w:rsidRPr="00A965E2" w:rsidRDefault="00F87FC8" w:rsidP="00A965E2">
            <w:pPr>
              <w:spacing w:before="20" w:after="20"/>
              <w:jc w:val="center"/>
              <w:rPr>
                <w:b/>
                <w:sz w:val="16"/>
              </w:rPr>
            </w:pPr>
            <w:r w:rsidRPr="00A965E2">
              <w:rPr>
                <w:b/>
                <w:sz w:val="16"/>
              </w:rPr>
              <w:t>2017</w:t>
            </w:r>
            <w:r w:rsidR="00A965E2">
              <w:rPr>
                <w:b/>
                <w:sz w:val="16"/>
              </w:rPr>
              <w:t xml:space="preserve"> </w:t>
            </w:r>
            <w:r w:rsidRPr="00A965E2">
              <w:rPr>
                <w:b/>
                <w:sz w:val="16"/>
              </w:rPr>
              <w:t>Employment growth (%)</w:t>
            </w:r>
          </w:p>
        </w:tc>
      </w:tr>
      <w:tr w:rsidR="00F87FC8" w:rsidRPr="00F87FC8" w14:paraId="7730E2AB" w14:textId="77777777" w:rsidTr="00F87FC8">
        <w:tc>
          <w:tcPr>
            <w:tcW w:w="1778" w:type="dxa"/>
          </w:tcPr>
          <w:p w14:paraId="395BC203" w14:textId="69A8D5C7" w:rsidR="00F87FC8" w:rsidRPr="00F87FC8" w:rsidRDefault="00F87FC8" w:rsidP="00F87FC8">
            <w:pPr>
              <w:spacing w:before="20" w:after="20"/>
              <w:rPr>
                <w:sz w:val="16"/>
              </w:rPr>
            </w:pPr>
            <w:r w:rsidRPr="00F87FC8">
              <w:rPr>
                <w:sz w:val="16"/>
              </w:rPr>
              <w:t>Australia</w:t>
            </w:r>
          </w:p>
        </w:tc>
        <w:tc>
          <w:tcPr>
            <w:tcW w:w="1771" w:type="dxa"/>
          </w:tcPr>
          <w:p w14:paraId="102EC762" w14:textId="4BAF592A" w:rsidR="00F87FC8" w:rsidRPr="00F87FC8" w:rsidRDefault="00F87FC8" w:rsidP="00F87FC8">
            <w:pPr>
              <w:spacing w:before="20" w:after="20"/>
              <w:jc w:val="center"/>
              <w:rPr>
                <w:sz w:val="16"/>
              </w:rPr>
            </w:pPr>
            <w:r w:rsidRPr="00F87FC8">
              <w:rPr>
                <w:sz w:val="16"/>
              </w:rPr>
              <w:t>$US 42,399</w:t>
            </w:r>
          </w:p>
        </w:tc>
        <w:tc>
          <w:tcPr>
            <w:tcW w:w="1769" w:type="dxa"/>
          </w:tcPr>
          <w:p w14:paraId="6DA3A95B" w14:textId="21712AAA" w:rsidR="00F87FC8" w:rsidRPr="00F87FC8" w:rsidRDefault="00F87FC8" w:rsidP="00F87FC8">
            <w:pPr>
              <w:spacing w:before="20" w:after="20"/>
              <w:jc w:val="center"/>
              <w:rPr>
                <w:sz w:val="16"/>
              </w:rPr>
            </w:pPr>
            <w:r w:rsidRPr="00F87FC8">
              <w:rPr>
                <w:sz w:val="16"/>
              </w:rPr>
              <w:t>$US 46,266 (e)</w:t>
            </w:r>
          </w:p>
        </w:tc>
        <w:tc>
          <w:tcPr>
            <w:tcW w:w="1849" w:type="dxa"/>
          </w:tcPr>
          <w:p w14:paraId="3AA4EF16" w14:textId="1D758838" w:rsidR="00F87FC8" w:rsidRPr="00F87FC8" w:rsidRDefault="00F87FC8" w:rsidP="00F87FC8">
            <w:pPr>
              <w:spacing w:before="20" w:after="20"/>
              <w:jc w:val="center"/>
              <w:rPr>
                <w:sz w:val="16"/>
              </w:rPr>
            </w:pPr>
            <w:r w:rsidRPr="00F87FC8">
              <w:rPr>
                <w:sz w:val="16"/>
              </w:rPr>
              <w:t>2.8</w:t>
            </w:r>
          </w:p>
        </w:tc>
        <w:tc>
          <w:tcPr>
            <w:tcW w:w="1849" w:type="dxa"/>
          </w:tcPr>
          <w:p w14:paraId="6474EF8A" w14:textId="77370B2C" w:rsidR="00F87FC8" w:rsidRPr="00F87FC8" w:rsidRDefault="00F87FC8" w:rsidP="00F87FC8">
            <w:pPr>
              <w:spacing w:before="20" w:after="20"/>
              <w:jc w:val="center"/>
              <w:rPr>
                <w:sz w:val="16"/>
              </w:rPr>
            </w:pPr>
            <w:r w:rsidRPr="00F87FC8">
              <w:rPr>
                <w:sz w:val="16"/>
              </w:rPr>
              <w:t>2.3</w:t>
            </w:r>
          </w:p>
        </w:tc>
      </w:tr>
      <w:tr w:rsidR="00F87FC8" w:rsidRPr="00F87FC8" w14:paraId="51E544CA" w14:textId="77777777" w:rsidTr="00F87FC8">
        <w:tc>
          <w:tcPr>
            <w:tcW w:w="1778" w:type="dxa"/>
          </w:tcPr>
          <w:p w14:paraId="2974A6B2" w14:textId="7010F839" w:rsidR="00F87FC8" w:rsidRPr="00F87FC8" w:rsidRDefault="00F87FC8" w:rsidP="00F87FC8">
            <w:pPr>
              <w:spacing w:before="20" w:after="20"/>
              <w:rPr>
                <w:sz w:val="16"/>
              </w:rPr>
            </w:pPr>
            <w:r w:rsidRPr="00F87FC8">
              <w:rPr>
                <w:sz w:val="16"/>
              </w:rPr>
              <w:t>G20 median</w:t>
            </w:r>
          </w:p>
        </w:tc>
        <w:tc>
          <w:tcPr>
            <w:tcW w:w="1771" w:type="dxa"/>
          </w:tcPr>
          <w:p w14:paraId="7B2BB5C7" w14:textId="4F6ED435" w:rsidR="00F87FC8" w:rsidRPr="00F87FC8" w:rsidRDefault="00F87FC8" w:rsidP="00F87FC8">
            <w:pPr>
              <w:spacing w:before="20" w:after="20"/>
              <w:jc w:val="center"/>
              <w:rPr>
                <w:sz w:val="16"/>
              </w:rPr>
            </w:pPr>
            <w:r w:rsidRPr="00F87FC8">
              <w:rPr>
                <w:sz w:val="16"/>
              </w:rPr>
              <w:t>$US 34,356</w:t>
            </w:r>
          </w:p>
        </w:tc>
        <w:tc>
          <w:tcPr>
            <w:tcW w:w="1769" w:type="dxa"/>
          </w:tcPr>
          <w:p w14:paraId="56E99F8F" w14:textId="1EB27BC3" w:rsidR="00F87FC8" w:rsidRPr="00F87FC8" w:rsidRDefault="00F87FC8" w:rsidP="00F87FC8">
            <w:pPr>
              <w:spacing w:before="20" w:after="20"/>
              <w:jc w:val="center"/>
              <w:rPr>
                <w:sz w:val="16"/>
              </w:rPr>
            </w:pPr>
            <w:r w:rsidRPr="00F87FC8">
              <w:rPr>
                <w:sz w:val="16"/>
              </w:rPr>
              <w:t>$US 36,258 (e)</w:t>
            </w:r>
          </w:p>
        </w:tc>
        <w:tc>
          <w:tcPr>
            <w:tcW w:w="1849" w:type="dxa"/>
          </w:tcPr>
          <w:p w14:paraId="5B9B0BFC" w14:textId="4BB14E76" w:rsidR="00F87FC8" w:rsidRPr="00F87FC8" w:rsidRDefault="00F87FC8" w:rsidP="00F87FC8">
            <w:pPr>
              <w:spacing w:before="20" w:after="20"/>
              <w:jc w:val="center"/>
              <w:rPr>
                <w:sz w:val="16"/>
              </w:rPr>
            </w:pPr>
            <w:r w:rsidRPr="00F87FC8">
              <w:rPr>
                <w:sz w:val="16"/>
              </w:rPr>
              <w:t>1.4</w:t>
            </w:r>
          </w:p>
        </w:tc>
        <w:tc>
          <w:tcPr>
            <w:tcW w:w="1849" w:type="dxa"/>
          </w:tcPr>
          <w:p w14:paraId="6627B6FC" w14:textId="0DE0D093" w:rsidR="00F87FC8" w:rsidRPr="00F87FC8" w:rsidRDefault="00F87FC8" w:rsidP="00F87FC8">
            <w:pPr>
              <w:spacing w:before="20" w:after="20"/>
              <w:jc w:val="center"/>
              <w:rPr>
                <w:sz w:val="16"/>
              </w:rPr>
            </w:pPr>
            <w:r w:rsidRPr="00F87FC8">
              <w:rPr>
                <w:sz w:val="16"/>
              </w:rPr>
              <w:t>1.2</w:t>
            </w:r>
          </w:p>
        </w:tc>
      </w:tr>
    </w:tbl>
    <w:p w14:paraId="5C74081C" w14:textId="3F30907F" w:rsidR="00293561" w:rsidRDefault="00293561" w:rsidP="00293561">
      <w:pPr>
        <w:pStyle w:val="Caption"/>
        <w:keepNext/>
      </w:pPr>
      <w:r>
        <w:t xml:space="preserve">Table </w:t>
      </w:r>
      <w:r w:rsidR="00A47169">
        <w:rPr>
          <w:noProof/>
        </w:rPr>
        <w:fldChar w:fldCharType="begin"/>
      </w:r>
      <w:r w:rsidR="00A47169">
        <w:rPr>
          <w:noProof/>
        </w:rPr>
        <w:instrText xml:space="preserve"> SEQ Table \* ARABIC </w:instrText>
      </w:r>
      <w:r w:rsidR="00A47169">
        <w:rPr>
          <w:noProof/>
        </w:rPr>
        <w:fldChar w:fldCharType="separate"/>
      </w:r>
      <w:r>
        <w:rPr>
          <w:noProof/>
        </w:rPr>
        <w:t>2</w:t>
      </w:r>
      <w:r w:rsidR="00A47169">
        <w:rPr>
          <w:noProof/>
        </w:rPr>
        <w:fldChar w:fldCharType="end"/>
      </w:r>
      <w:r>
        <w:t xml:space="preserve">: </w:t>
      </w:r>
      <w:r w:rsidRPr="00CB3823">
        <w:t>Economic and labour market conditions, 2008 and 2017 – Unemployment rates</w:t>
      </w:r>
    </w:p>
    <w:tbl>
      <w:tblPr>
        <w:tblStyle w:val="Tablaconcuadrcula1"/>
        <w:tblW w:w="5000" w:type="pct"/>
        <w:tblLook w:val="0000" w:firstRow="0" w:lastRow="0" w:firstColumn="0" w:lastColumn="0" w:noHBand="0" w:noVBand="0"/>
      </w:tblPr>
      <w:tblGrid>
        <w:gridCol w:w="1778"/>
        <w:gridCol w:w="1771"/>
        <w:gridCol w:w="1769"/>
        <w:gridCol w:w="1849"/>
        <w:gridCol w:w="1849"/>
      </w:tblGrid>
      <w:tr w:rsidR="00A965E2" w:rsidRPr="00F87FC8" w14:paraId="5B7669FD" w14:textId="77777777" w:rsidTr="00A965E2">
        <w:trPr>
          <w:tblHeader/>
        </w:trPr>
        <w:tc>
          <w:tcPr>
            <w:tcW w:w="1778" w:type="dxa"/>
            <w:shd w:val="clear" w:color="auto" w:fill="DEEAF6" w:themeFill="accent1" w:themeFillTint="33"/>
          </w:tcPr>
          <w:p w14:paraId="276DC21E" w14:textId="00B9B4E5" w:rsidR="00F87FC8" w:rsidRPr="00A965E2" w:rsidRDefault="00F87FC8" w:rsidP="00F87FC8">
            <w:pPr>
              <w:spacing w:before="20" w:after="20"/>
              <w:rPr>
                <w:b/>
                <w:sz w:val="16"/>
              </w:rPr>
            </w:pPr>
            <w:r w:rsidRPr="00A965E2">
              <w:rPr>
                <w:b/>
                <w:sz w:val="16"/>
              </w:rPr>
              <w:t>Area</w:t>
            </w:r>
          </w:p>
        </w:tc>
        <w:tc>
          <w:tcPr>
            <w:tcW w:w="1771" w:type="dxa"/>
            <w:shd w:val="clear" w:color="auto" w:fill="DEEAF6" w:themeFill="accent1" w:themeFillTint="33"/>
          </w:tcPr>
          <w:p w14:paraId="38BCD151" w14:textId="20851B42" w:rsidR="00F87FC8" w:rsidRPr="00A965E2" w:rsidRDefault="00F87FC8" w:rsidP="00A965E2">
            <w:pPr>
              <w:spacing w:before="20" w:after="20"/>
              <w:jc w:val="center"/>
              <w:rPr>
                <w:b/>
                <w:sz w:val="16"/>
              </w:rPr>
            </w:pPr>
            <w:r w:rsidRPr="00A965E2">
              <w:rPr>
                <w:b/>
                <w:sz w:val="16"/>
              </w:rPr>
              <w:t>2008</w:t>
            </w:r>
            <w:r w:rsidR="00A965E2">
              <w:rPr>
                <w:b/>
                <w:sz w:val="16"/>
              </w:rPr>
              <w:t xml:space="preserve"> </w:t>
            </w:r>
            <w:r w:rsidRPr="00A965E2">
              <w:rPr>
                <w:b/>
                <w:sz w:val="16"/>
              </w:rPr>
              <w:t>Unemployment rate</w:t>
            </w:r>
          </w:p>
        </w:tc>
        <w:tc>
          <w:tcPr>
            <w:tcW w:w="1769" w:type="dxa"/>
            <w:shd w:val="clear" w:color="auto" w:fill="DEEAF6" w:themeFill="accent1" w:themeFillTint="33"/>
          </w:tcPr>
          <w:p w14:paraId="3EB6D0CA" w14:textId="69602047" w:rsidR="00F87FC8" w:rsidRPr="00A965E2" w:rsidRDefault="00F87FC8" w:rsidP="00A965E2">
            <w:pPr>
              <w:spacing w:before="20" w:after="20"/>
              <w:jc w:val="center"/>
              <w:rPr>
                <w:b/>
                <w:sz w:val="16"/>
              </w:rPr>
            </w:pPr>
            <w:r w:rsidRPr="00A965E2">
              <w:rPr>
                <w:b/>
                <w:sz w:val="16"/>
              </w:rPr>
              <w:t>2017</w:t>
            </w:r>
            <w:r w:rsidR="00A965E2">
              <w:rPr>
                <w:b/>
                <w:sz w:val="16"/>
              </w:rPr>
              <w:t xml:space="preserve"> </w:t>
            </w:r>
            <w:r w:rsidRPr="00A965E2">
              <w:rPr>
                <w:b/>
                <w:sz w:val="16"/>
              </w:rPr>
              <w:t>Unemployment rate</w:t>
            </w:r>
          </w:p>
        </w:tc>
        <w:tc>
          <w:tcPr>
            <w:tcW w:w="1849" w:type="dxa"/>
            <w:shd w:val="clear" w:color="auto" w:fill="DEEAF6" w:themeFill="accent1" w:themeFillTint="33"/>
          </w:tcPr>
          <w:p w14:paraId="0674B059" w14:textId="1520E735" w:rsidR="00F87FC8" w:rsidRPr="00A965E2" w:rsidRDefault="00F87FC8" w:rsidP="00A965E2">
            <w:pPr>
              <w:spacing w:before="20" w:after="20"/>
              <w:jc w:val="center"/>
              <w:rPr>
                <w:b/>
                <w:sz w:val="16"/>
              </w:rPr>
            </w:pPr>
            <w:r w:rsidRPr="00A965E2">
              <w:rPr>
                <w:b/>
                <w:sz w:val="16"/>
              </w:rPr>
              <w:t>2008</w:t>
            </w:r>
            <w:r w:rsidR="00A965E2">
              <w:rPr>
                <w:b/>
                <w:sz w:val="16"/>
              </w:rPr>
              <w:t xml:space="preserve"> </w:t>
            </w:r>
            <w:r w:rsidRPr="00A965E2">
              <w:rPr>
                <w:b/>
                <w:sz w:val="16"/>
              </w:rPr>
              <w:t>Youth unemployment rate</w:t>
            </w:r>
          </w:p>
        </w:tc>
        <w:tc>
          <w:tcPr>
            <w:tcW w:w="1849" w:type="dxa"/>
            <w:shd w:val="clear" w:color="auto" w:fill="DEEAF6" w:themeFill="accent1" w:themeFillTint="33"/>
          </w:tcPr>
          <w:p w14:paraId="459E0D70" w14:textId="31F6CF39" w:rsidR="00F87FC8" w:rsidRPr="00A965E2" w:rsidRDefault="00F87FC8" w:rsidP="00A965E2">
            <w:pPr>
              <w:spacing w:before="20" w:after="20"/>
              <w:jc w:val="center"/>
              <w:rPr>
                <w:b/>
                <w:sz w:val="16"/>
              </w:rPr>
            </w:pPr>
            <w:r w:rsidRPr="00A965E2">
              <w:rPr>
                <w:b/>
                <w:sz w:val="16"/>
              </w:rPr>
              <w:t>2017</w:t>
            </w:r>
            <w:r w:rsidR="00A965E2">
              <w:rPr>
                <w:b/>
                <w:sz w:val="16"/>
              </w:rPr>
              <w:t xml:space="preserve"> </w:t>
            </w:r>
            <w:r w:rsidRPr="00A965E2">
              <w:rPr>
                <w:b/>
                <w:sz w:val="16"/>
              </w:rPr>
              <w:t>Youth unemployment rate</w:t>
            </w:r>
          </w:p>
        </w:tc>
      </w:tr>
      <w:tr w:rsidR="00F87FC8" w:rsidRPr="00F87FC8" w14:paraId="3087863E" w14:textId="77777777" w:rsidTr="00E45BDE">
        <w:tc>
          <w:tcPr>
            <w:tcW w:w="1778" w:type="dxa"/>
          </w:tcPr>
          <w:p w14:paraId="68CCE2C1" w14:textId="77777777" w:rsidR="00F87FC8" w:rsidRPr="00F87FC8" w:rsidRDefault="00F87FC8" w:rsidP="00F87FC8">
            <w:pPr>
              <w:spacing w:before="20" w:after="20"/>
              <w:rPr>
                <w:sz w:val="16"/>
              </w:rPr>
            </w:pPr>
            <w:r w:rsidRPr="00F87FC8">
              <w:rPr>
                <w:sz w:val="16"/>
              </w:rPr>
              <w:t>Australia</w:t>
            </w:r>
          </w:p>
        </w:tc>
        <w:tc>
          <w:tcPr>
            <w:tcW w:w="1771" w:type="dxa"/>
            <w:tcBorders>
              <w:bottom w:val="single" w:sz="4" w:space="0" w:color="auto"/>
            </w:tcBorders>
            <w:shd w:val="clear" w:color="auto" w:fill="auto"/>
            <w:vAlign w:val="center"/>
          </w:tcPr>
          <w:p w14:paraId="1723E9C5" w14:textId="0AB77BC9" w:rsidR="00F87FC8" w:rsidRPr="00F87FC8" w:rsidRDefault="00F87FC8" w:rsidP="00F87FC8">
            <w:pPr>
              <w:spacing w:before="20" w:after="20"/>
              <w:jc w:val="center"/>
              <w:rPr>
                <w:sz w:val="16"/>
              </w:rPr>
            </w:pPr>
            <w:r w:rsidRPr="00F87FC8">
              <w:rPr>
                <w:sz w:val="16"/>
              </w:rPr>
              <w:t>4.2</w:t>
            </w:r>
          </w:p>
        </w:tc>
        <w:tc>
          <w:tcPr>
            <w:tcW w:w="1769" w:type="dxa"/>
            <w:tcBorders>
              <w:bottom w:val="single" w:sz="4" w:space="0" w:color="auto"/>
            </w:tcBorders>
            <w:shd w:val="clear" w:color="auto" w:fill="auto"/>
            <w:vAlign w:val="center"/>
          </w:tcPr>
          <w:p w14:paraId="57CBF45F" w14:textId="3C1490A2" w:rsidR="00F87FC8" w:rsidRPr="00F87FC8" w:rsidRDefault="00F87FC8" w:rsidP="00F87FC8">
            <w:pPr>
              <w:spacing w:before="20" w:after="20"/>
              <w:jc w:val="center"/>
              <w:rPr>
                <w:sz w:val="16"/>
              </w:rPr>
            </w:pPr>
            <w:r w:rsidRPr="00F87FC8">
              <w:rPr>
                <w:sz w:val="16"/>
              </w:rPr>
              <w:t>5.6</w:t>
            </w:r>
          </w:p>
        </w:tc>
        <w:tc>
          <w:tcPr>
            <w:tcW w:w="1849" w:type="dxa"/>
            <w:tcBorders>
              <w:bottom w:val="single" w:sz="4" w:space="0" w:color="auto"/>
            </w:tcBorders>
            <w:shd w:val="clear" w:color="auto" w:fill="auto"/>
            <w:vAlign w:val="center"/>
          </w:tcPr>
          <w:p w14:paraId="466AB721" w14:textId="7BFD5CAE" w:rsidR="00F87FC8" w:rsidRPr="00F87FC8" w:rsidRDefault="00F87FC8" w:rsidP="00F87FC8">
            <w:pPr>
              <w:spacing w:before="20" w:after="20"/>
              <w:jc w:val="center"/>
              <w:rPr>
                <w:sz w:val="16"/>
              </w:rPr>
            </w:pPr>
            <w:r w:rsidRPr="00F87FC8">
              <w:rPr>
                <w:sz w:val="16"/>
              </w:rPr>
              <w:t>8.8</w:t>
            </w:r>
          </w:p>
        </w:tc>
        <w:tc>
          <w:tcPr>
            <w:tcW w:w="1849" w:type="dxa"/>
            <w:tcBorders>
              <w:bottom w:val="single" w:sz="4" w:space="0" w:color="auto"/>
            </w:tcBorders>
            <w:shd w:val="clear" w:color="auto" w:fill="auto"/>
            <w:vAlign w:val="center"/>
          </w:tcPr>
          <w:p w14:paraId="070045EF" w14:textId="41D98A81" w:rsidR="00F87FC8" w:rsidRPr="00F87FC8" w:rsidRDefault="00F87FC8" w:rsidP="00F87FC8">
            <w:pPr>
              <w:spacing w:before="20" w:after="20"/>
              <w:jc w:val="center"/>
              <w:rPr>
                <w:sz w:val="16"/>
              </w:rPr>
            </w:pPr>
            <w:r w:rsidRPr="00F87FC8">
              <w:rPr>
                <w:sz w:val="16"/>
              </w:rPr>
              <w:t>12.6</w:t>
            </w:r>
          </w:p>
        </w:tc>
      </w:tr>
      <w:tr w:rsidR="00F87FC8" w:rsidRPr="00F87FC8" w14:paraId="5C154DB8" w14:textId="77777777" w:rsidTr="00E45BDE">
        <w:tc>
          <w:tcPr>
            <w:tcW w:w="1778" w:type="dxa"/>
          </w:tcPr>
          <w:p w14:paraId="5A35B6A3" w14:textId="77777777" w:rsidR="00F87FC8" w:rsidRPr="00F87FC8" w:rsidRDefault="00F87FC8" w:rsidP="00F87FC8">
            <w:pPr>
              <w:spacing w:before="20" w:after="20"/>
              <w:rPr>
                <w:sz w:val="16"/>
              </w:rPr>
            </w:pPr>
            <w:r w:rsidRPr="00F87FC8">
              <w:rPr>
                <w:sz w:val="16"/>
              </w:rPr>
              <w:t>G20 median</w:t>
            </w:r>
          </w:p>
        </w:tc>
        <w:tc>
          <w:tcPr>
            <w:tcW w:w="1771" w:type="dxa"/>
            <w:tcBorders>
              <w:bottom w:val="single" w:sz="4" w:space="0" w:color="auto"/>
            </w:tcBorders>
            <w:shd w:val="clear" w:color="auto" w:fill="auto"/>
            <w:vAlign w:val="center"/>
          </w:tcPr>
          <w:p w14:paraId="59AC7B4E" w14:textId="51A3441D" w:rsidR="00F87FC8" w:rsidRPr="00F87FC8" w:rsidRDefault="00F87FC8" w:rsidP="00F87FC8">
            <w:pPr>
              <w:spacing w:before="20" w:after="20"/>
              <w:jc w:val="center"/>
              <w:rPr>
                <w:sz w:val="16"/>
              </w:rPr>
            </w:pPr>
            <w:r w:rsidRPr="00F87FC8">
              <w:rPr>
                <w:sz w:val="16"/>
              </w:rPr>
              <w:t>6.2</w:t>
            </w:r>
          </w:p>
        </w:tc>
        <w:tc>
          <w:tcPr>
            <w:tcW w:w="1769" w:type="dxa"/>
            <w:tcBorders>
              <w:bottom w:val="single" w:sz="4" w:space="0" w:color="auto"/>
            </w:tcBorders>
            <w:shd w:val="clear" w:color="auto" w:fill="auto"/>
            <w:vAlign w:val="center"/>
          </w:tcPr>
          <w:p w14:paraId="49035559" w14:textId="7F78F0C9" w:rsidR="00F87FC8" w:rsidRPr="00F87FC8" w:rsidRDefault="00F87FC8" w:rsidP="00F87FC8">
            <w:pPr>
              <w:spacing w:before="20" w:after="20"/>
              <w:jc w:val="center"/>
              <w:rPr>
                <w:sz w:val="16"/>
              </w:rPr>
            </w:pPr>
            <w:r w:rsidRPr="00F87FC8">
              <w:rPr>
                <w:sz w:val="16"/>
              </w:rPr>
              <w:t>5.6</w:t>
            </w:r>
          </w:p>
        </w:tc>
        <w:tc>
          <w:tcPr>
            <w:tcW w:w="1849" w:type="dxa"/>
            <w:tcBorders>
              <w:bottom w:val="single" w:sz="4" w:space="0" w:color="auto"/>
            </w:tcBorders>
            <w:shd w:val="clear" w:color="auto" w:fill="auto"/>
            <w:vAlign w:val="center"/>
          </w:tcPr>
          <w:p w14:paraId="1FEE1465" w14:textId="5DBA5092" w:rsidR="00F87FC8" w:rsidRPr="00F87FC8" w:rsidRDefault="00F87FC8" w:rsidP="00F87FC8">
            <w:pPr>
              <w:spacing w:before="20" w:after="20"/>
              <w:jc w:val="center"/>
              <w:rPr>
                <w:sz w:val="16"/>
              </w:rPr>
            </w:pPr>
            <w:r w:rsidRPr="00F87FC8">
              <w:rPr>
                <w:sz w:val="16"/>
              </w:rPr>
              <w:t>14.8</w:t>
            </w:r>
          </w:p>
        </w:tc>
        <w:tc>
          <w:tcPr>
            <w:tcW w:w="1849" w:type="dxa"/>
            <w:tcBorders>
              <w:bottom w:val="single" w:sz="4" w:space="0" w:color="auto"/>
            </w:tcBorders>
            <w:shd w:val="clear" w:color="auto" w:fill="auto"/>
            <w:vAlign w:val="center"/>
          </w:tcPr>
          <w:p w14:paraId="0B913119" w14:textId="4FB1CD20" w:rsidR="00F87FC8" w:rsidRPr="00F87FC8" w:rsidRDefault="00F87FC8" w:rsidP="00F87FC8">
            <w:pPr>
              <w:spacing w:before="20" w:after="20"/>
              <w:jc w:val="center"/>
              <w:rPr>
                <w:sz w:val="16"/>
              </w:rPr>
            </w:pPr>
            <w:r w:rsidRPr="00F87FC8">
              <w:rPr>
                <w:sz w:val="16"/>
              </w:rPr>
              <w:t>15.9</w:t>
            </w:r>
          </w:p>
        </w:tc>
      </w:tr>
    </w:tbl>
    <w:p w14:paraId="7B0CCBBB" w14:textId="4B1C6D1D" w:rsidR="00293561" w:rsidRDefault="00293561" w:rsidP="00293561">
      <w:pPr>
        <w:pStyle w:val="Caption"/>
        <w:keepNext/>
      </w:pPr>
      <w:r>
        <w:t xml:space="preserve">Table </w:t>
      </w:r>
      <w:r w:rsidR="00A47169">
        <w:rPr>
          <w:noProof/>
        </w:rPr>
        <w:fldChar w:fldCharType="begin"/>
      </w:r>
      <w:r w:rsidR="00A47169">
        <w:rPr>
          <w:noProof/>
        </w:rPr>
        <w:instrText xml:space="preserve"> SEQ Table \* ARABIC </w:instrText>
      </w:r>
      <w:r w:rsidR="00A47169">
        <w:rPr>
          <w:noProof/>
        </w:rPr>
        <w:fldChar w:fldCharType="separate"/>
      </w:r>
      <w:r>
        <w:rPr>
          <w:noProof/>
        </w:rPr>
        <w:t>3</w:t>
      </w:r>
      <w:r w:rsidR="00A47169">
        <w:rPr>
          <w:noProof/>
        </w:rPr>
        <w:fldChar w:fldCharType="end"/>
      </w:r>
      <w:r>
        <w:t xml:space="preserve">: </w:t>
      </w:r>
      <w:r w:rsidRPr="00CD5FDB">
        <w:t>Economic and labour market conditions, 2008 and 2017 – Participation Rates</w:t>
      </w:r>
    </w:p>
    <w:tbl>
      <w:tblPr>
        <w:tblStyle w:val="Tablaconcuadrcula1"/>
        <w:tblW w:w="5000" w:type="pct"/>
        <w:tblLook w:val="0000" w:firstRow="0" w:lastRow="0" w:firstColumn="0" w:lastColumn="0" w:noHBand="0" w:noVBand="0"/>
      </w:tblPr>
      <w:tblGrid>
        <w:gridCol w:w="1150"/>
        <w:gridCol w:w="1317"/>
        <w:gridCol w:w="1317"/>
        <w:gridCol w:w="1308"/>
        <w:gridCol w:w="1308"/>
        <w:gridCol w:w="1308"/>
        <w:gridCol w:w="1308"/>
      </w:tblGrid>
      <w:tr w:rsidR="00F87FC8" w:rsidRPr="00F87FC8" w14:paraId="23F1CAB9" w14:textId="7CF89186" w:rsidTr="00A965E2">
        <w:trPr>
          <w:tblHeader/>
        </w:trPr>
        <w:tc>
          <w:tcPr>
            <w:tcW w:w="1150" w:type="dxa"/>
            <w:shd w:val="clear" w:color="auto" w:fill="DEEAF6" w:themeFill="accent1" w:themeFillTint="33"/>
          </w:tcPr>
          <w:p w14:paraId="19B54D08" w14:textId="7C0DBF70" w:rsidR="00F87FC8" w:rsidRPr="00A965E2" w:rsidRDefault="00F87FC8" w:rsidP="00F87FC8">
            <w:pPr>
              <w:spacing w:before="20" w:after="20"/>
              <w:rPr>
                <w:b/>
                <w:sz w:val="16"/>
              </w:rPr>
            </w:pPr>
            <w:r w:rsidRPr="00A965E2">
              <w:rPr>
                <w:b/>
                <w:sz w:val="16"/>
              </w:rPr>
              <w:t>Area</w:t>
            </w:r>
          </w:p>
        </w:tc>
        <w:tc>
          <w:tcPr>
            <w:tcW w:w="1317" w:type="dxa"/>
            <w:shd w:val="clear" w:color="auto" w:fill="DEEAF6" w:themeFill="accent1" w:themeFillTint="33"/>
          </w:tcPr>
          <w:p w14:paraId="5B58DD95" w14:textId="16D494DE" w:rsidR="00F87FC8" w:rsidRPr="00A965E2" w:rsidRDefault="00F87FC8" w:rsidP="00F87FC8">
            <w:pPr>
              <w:spacing w:before="20" w:after="20"/>
              <w:jc w:val="center"/>
              <w:rPr>
                <w:b/>
                <w:sz w:val="16"/>
              </w:rPr>
            </w:pPr>
            <w:r w:rsidRPr="00A965E2">
              <w:rPr>
                <w:b/>
                <w:sz w:val="16"/>
              </w:rPr>
              <w:t>2008 Participation rate (15+) (%)</w:t>
            </w:r>
          </w:p>
        </w:tc>
        <w:tc>
          <w:tcPr>
            <w:tcW w:w="1317" w:type="dxa"/>
            <w:shd w:val="clear" w:color="auto" w:fill="DEEAF6" w:themeFill="accent1" w:themeFillTint="33"/>
          </w:tcPr>
          <w:p w14:paraId="7B398760" w14:textId="0DB240C2" w:rsidR="00F87FC8" w:rsidRPr="00A965E2" w:rsidRDefault="00F87FC8" w:rsidP="00F87FC8">
            <w:pPr>
              <w:spacing w:before="20" w:after="20"/>
              <w:jc w:val="center"/>
              <w:rPr>
                <w:b/>
                <w:sz w:val="16"/>
              </w:rPr>
            </w:pPr>
            <w:r w:rsidRPr="00A965E2">
              <w:rPr>
                <w:b/>
                <w:sz w:val="16"/>
              </w:rPr>
              <w:t>2017 Participation rate (15+) (%)</w:t>
            </w:r>
          </w:p>
        </w:tc>
        <w:tc>
          <w:tcPr>
            <w:tcW w:w="1308" w:type="dxa"/>
            <w:shd w:val="clear" w:color="auto" w:fill="DEEAF6" w:themeFill="accent1" w:themeFillTint="33"/>
          </w:tcPr>
          <w:p w14:paraId="58E6F854" w14:textId="77777777" w:rsidR="00F87FC8" w:rsidRPr="00A965E2" w:rsidRDefault="00F87FC8" w:rsidP="00F87FC8">
            <w:pPr>
              <w:spacing w:before="20" w:after="20"/>
              <w:jc w:val="center"/>
              <w:rPr>
                <w:b/>
                <w:sz w:val="16"/>
              </w:rPr>
            </w:pPr>
            <w:r w:rsidRPr="00A965E2">
              <w:rPr>
                <w:b/>
                <w:sz w:val="16"/>
              </w:rPr>
              <w:t>2008 Female participation rate (15+)</w:t>
            </w:r>
          </w:p>
          <w:p w14:paraId="690B5D71" w14:textId="2FD188CE" w:rsidR="00F87FC8" w:rsidRPr="00A965E2" w:rsidRDefault="00F87FC8" w:rsidP="00F87FC8">
            <w:pPr>
              <w:spacing w:before="20" w:after="20"/>
              <w:jc w:val="center"/>
              <w:rPr>
                <w:b/>
                <w:sz w:val="16"/>
              </w:rPr>
            </w:pPr>
            <w:r w:rsidRPr="00A965E2">
              <w:rPr>
                <w:b/>
                <w:sz w:val="16"/>
              </w:rPr>
              <w:t>(%)</w:t>
            </w:r>
          </w:p>
        </w:tc>
        <w:tc>
          <w:tcPr>
            <w:tcW w:w="1308" w:type="dxa"/>
            <w:shd w:val="clear" w:color="auto" w:fill="DEEAF6" w:themeFill="accent1" w:themeFillTint="33"/>
          </w:tcPr>
          <w:p w14:paraId="5E127398" w14:textId="77777777" w:rsidR="00F87FC8" w:rsidRPr="00A965E2" w:rsidRDefault="00F87FC8" w:rsidP="00F87FC8">
            <w:pPr>
              <w:spacing w:before="20" w:after="20"/>
              <w:jc w:val="center"/>
              <w:rPr>
                <w:b/>
                <w:sz w:val="16"/>
              </w:rPr>
            </w:pPr>
            <w:r w:rsidRPr="00A965E2">
              <w:rPr>
                <w:b/>
                <w:sz w:val="16"/>
              </w:rPr>
              <w:t>2017 Female participation rate (15+)</w:t>
            </w:r>
          </w:p>
          <w:p w14:paraId="740CA3B8" w14:textId="04E97F97" w:rsidR="00F87FC8" w:rsidRPr="00A965E2" w:rsidRDefault="00F87FC8" w:rsidP="00F87FC8">
            <w:pPr>
              <w:spacing w:before="20" w:after="20"/>
              <w:jc w:val="center"/>
              <w:rPr>
                <w:b/>
                <w:sz w:val="16"/>
              </w:rPr>
            </w:pPr>
            <w:r w:rsidRPr="00A965E2">
              <w:rPr>
                <w:b/>
                <w:sz w:val="16"/>
              </w:rPr>
              <w:t>(%)</w:t>
            </w:r>
          </w:p>
        </w:tc>
        <w:tc>
          <w:tcPr>
            <w:tcW w:w="1308" w:type="dxa"/>
            <w:shd w:val="clear" w:color="auto" w:fill="DEEAF6" w:themeFill="accent1" w:themeFillTint="33"/>
          </w:tcPr>
          <w:p w14:paraId="127CA6B1" w14:textId="61F7FE75" w:rsidR="00F87FC8" w:rsidRPr="00A965E2" w:rsidRDefault="00F87FC8" w:rsidP="00F87FC8">
            <w:pPr>
              <w:spacing w:before="20" w:after="20"/>
              <w:jc w:val="center"/>
              <w:rPr>
                <w:b/>
                <w:sz w:val="16"/>
              </w:rPr>
            </w:pPr>
            <w:r w:rsidRPr="00A965E2">
              <w:rPr>
                <w:b/>
                <w:sz w:val="16"/>
              </w:rPr>
              <w:t>2008 Working age (15 to 64) participation rate (%)</w:t>
            </w:r>
          </w:p>
        </w:tc>
        <w:tc>
          <w:tcPr>
            <w:tcW w:w="1308" w:type="dxa"/>
            <w:shd w:val="clear" w:color="auto" w:fill="DEEAF6" w:themeFill="accent1" w:themeFillTint="33"/>
          </w:tcPr>
          <w:p w14:paraId="66F3B6F1" w14:textId="1B3BF590" w:rsidR="00F87FC8" w:rsidRPr="00A965E2" w:rsidRDefault="00F87FC8" w:rsidP="00F87FC8">
            <w:pPr>
              <w:spacing w:before="20" w:after="20"/>
              <w:jc w:val="center"/>
              <w:rPr>
                <w:b/>
                <w:sz w:val="16"/>
              </w:rPr>
            </w:pPr>
            <w:r w:rsidRPr="00A965E2">
              <w:rPr>
                <w:b/>
                <w:sz w:val="16"/>
              </w:rPr>
              <w:t>2017 Working age (15 to 64) participation rate (%)</w:t>
            </w:r>
          </w:p>
        </w:tc>
      </w:tr>
      <w:tr w:rsidR="00F87FC8" w:rsidRPr="00F87FC8" w14:paraId="6CD6AEB2" w14:textId="2EBE1FBB" w:rsidTr="00984021">
        <w:tc>
          <w:tcPr>
            <w:tcW w:w="1150" w:type="dxa"/>
          </w:tcPr>
          <w:p w14:paraId="0DFADEDF" w14:textId="1BC490DC" w:rsidR="00F87FC8" w:rsidRPr="00F87FC8" w:rsidRDefault="00F87FC8" w:rsidP="00F87FC8">
            <w:pPr>
              <w:spacing w:before="20" w:after="20"/>
              <w:rPr>
                <w:sz w:val="16"/>
              </w:rPr>
            </w:pPr>
            <w:r w:rsidRPr="00F87FC8">
              <w:rPr>
                <w:sz w:val="16"/>
              </w:rPr>
              <w:t>Australia</w:t>
            </w:r>
          </w:p>
        </w:tc>
        <w:tc>
          <w:tcPr>
            <w:tcW w:w="1317" w:type="dxa"/>
            <w:tcBorders>
              <w:bottom w:val="single" w:sz="4" w:space="0" w:color="auto"/>
            </w:tcBorders>
            <w:shd w:val="clear" w:color="auto" w:fill="auto"/>
            <w:vAlign w:val="center"/>
          </w:tcPr>
          <w:p w14:paraId="6C44C54F" w14:textId="2CB667D0" w:rsidR="00F87FC8" w:rsidRPr="00F87FC8" w:rsidRDefault="00F87FC8" w:rsidP="00F87FC8">
            <w:pPr>
              <w:spacing w:before="20" w:after="20"/>
              <w:jc w:val="center"/>
              <w:rPr>
                <w:sz w:val="16"/>
              </w:rPr>
            </w:pPr>
            <w:r w:rsidRPr="00F87FC8">
              <w:rPr>
                <w:sz w:val="16"/>
              </w:rPr>
              <w:t>65.5</w:t>
            </w:r>
          </w:p>
        </w:tc>
        <w:tc>
          <w:tcPr>
            <w:tcW w:w="1317" w:type="dxa"/>
            <w:tcBorders>
              <w:bottom w:val="single" w:sz="4" w:space="0" w:color="auto"/>
            </w:tcBorders>
            <w:shd w:val="clear" w:color="auto" w:fill="auto"/>
            <w:vAlign w:val="center"/>
          </w:tcPr>
          <w:p w14:paraId="25525FA9" w14:textId="6CB95068" w:rsidR="00F87FC8" w:rsidRPr="00F87FC8" w:rsidRDefault="00F87FC8" w:rsidP="00F87FC8">
            <w:pPr>
              <w:spacing w:before="20" w:after="20"/>
              <w:jc w:val="center"/>
              <w:rPr>
                <w:sz w:val="16"/>
              </w:rPr>
            </w:pPr>
            <w:r w:rsidRPr="00F87FC8">
              <w:rPr>
                <w:sz w:val="16"/>
              </w:rPr>
              <w:t>65.1</w:t>
            </w:r>
          </w:p>
        </w:tc>
        <w:tc>
          <w:tcPr>
            <w:tcW w:w="1308" w:type="dxa"/>
            <w:tcBorders>
              <w:bottom w:val="single" w:sz="4" w:space="0" w:color="auto"/>
            </w:tcBorders>
            <w:shd w:val="clear" w:color="auto" w:fill="auto"/>
            <w:vAlign w:val="center"/>
          </w:tcPr>
          <w:p w14:paraId="642CA8E4" w14:textId="1C4E8851" w:rsidR="00F87FC8" w:rsidRPr="00F87FC8" w:rsidRDefault="00F87FC8" w:rsidP="00F87FC8">
            <w:pPr>
              <w:spacing w:before="20" w:after="20"/>
              <w:jc w:val="center"/>
              <w:rPr>
                <w:sz w:val="16"/>
              </w:rPr>
            </w:pPr>
            <w:r w:rsidRPr="00F87FC8">
              <w:rPr>
                <w:sz w:val="16"/>
              </w:rPr>
              <w:t>58.5</w:t>
            </w:r>
          </w:p>
        </w:tc>
        <w:tc>
          <w:tcPr>
            <w:tcW w:w="1308" w:type="dxa"/>
            <w:tcBorders>
              <w:bottom w:val="single" w:sz="4" w:space="0" w:color="auto"/>
            </w:tcBorders>
            <w:shd w:val="clear" w:color="auto" w:fill="auto"/>
            <w:vAlign w:val="center"/>
          </w:tcPr>
          <w:p w14:paraId="20580C25" w14:textId="0BD03983" w:rsidR="00F87FC8" w:rsidRPr="00F87FC8" w:rsidRDefault="00F87FC8" w:rsidP="00F87FC8">
            <w:pPr>
              <w:spacing w:before="20" w:after="20"/>
              <w:jc w:val="center"/>
              <w:rPr>
                <w:sz w:val="16"/>
              </w:rPr>
            </w:pPr>
            <w:r w:rsidRPr="00F87FC8">
              <w:rPr>
                <w:sz w:val="16"/>
              </w:rPr>
              <w:t>59.8</w:t>
            </w:r>
          </w:p>
        </w:tc>
        <w:tc>
          <w:tcPr>
            <w:tcW w:w="1308" w:type="dxa"/>
            <w:tcBorders>
              <w:bottom w:val="single" w:sz="4" w:space="0" w:color="auto"/>
            </w:tcBorders>
            <w:shd w:val="clear" w:color="auto" w:fill="auto"/>
            <w:vAlign w:val="center"/>
          </w:tcPr>
          <w:p w14:paraId="2E4FBA59" w14:textId="79B4DE7C" w:rsidR="00F87FC8" w:rsidRPr="00F87FC8" w:rsidRDefault="00F87FC8" w:rsidP="00F87FC8">
            <w:pPr>
              <w:spacing w:before="20" w:after="20"/>
              <w:jc w:val="center"/>
              <w:rPr>
                <w:sz w:val="16"/>
              </w:rPr>
            </w:pPr>
            <w:r w:rsidRPr="00F87FC8">
              <w:rPr>
                <w:sz w:val="16"/>
              </w:rPr>
              <w:t>76.5</w:t>
            </w:r>
          </w:p>
        </w:tc>
        <w:tc>
          <w:tcPr>
            <w:tcW w:w="1308" w:type="dxa"/>
            <w:tcBorders>
              <w:bottom w:val="single" w:sz="4" w:space="0" w:color="auto"/>
            </w:tcBorders>
            <w:shd w:val="clear" w:color="auto" w:fill="auto"/>
            <w:vAlign w:val="center"/>
          </w:tcPr>
          <w:p w14:paraId="4ED41D27" w14:textId="2AC8351B" w:rsidR="00F87FC8" w:rsidRPr="00F87FC8" w:rsidRDefault="00F87FC8" w:rsidP="00F87FC8">
            <w:pPr>
              <w:spacing w:before="20" w:after="20"/>
              <w:jc w:val="center"/>
              <w:rPr>
                <w:sz w:val="16"/>
              </w:rPr>
            </w:pPr>
            <w:r w:rsidRPr="00F87FC8">
              <w:rPr>
                <w:sz w:val="16"/>
              </w:rPr>
              <w:t>77.4</w:t>
            </w:r>
          </w:p>
        </w:tc>
      </w:tr>
      <w:tr w:rsidR="00F87FC8" w:rsidRPr="00F87FC8" w14:paraId="23D6ED25" w14:textId="3A6F414D" w:rsidTr="00984021">
        <w:tc>
          <w:tcPr>
            <w:tcW w:w="1150" w:type="dxa"/>
          </w:tcPr>
          <w:p w14:paraId="02F8D8E8" w14:textId="5EF60DE7" w:rsidR="00F87FC8" w:rsidRPr="00F87FC8" w:rsidRDefault="00F87FC8" w:rsidP="00F87FC8">
            <w:pPr>
              <w:spacing w:before="20" w:after="20"/>
              <w:rPr>
                <w:sz w:val="16"/>
              </w:rPr>
            </w:pPr>
            <w:r w:rsidRPr="00F87FC8">
              <w:rPr>
                <w:sz w:val="16"/>
              </w:rPr>
              <w:t>G20 median</w:t>
            </w:r>
          </w:p>
        </w:tc>
        <w:tc>
          <w:tcPr>
            <w:tcW w:w="1317" w:type="dxa"/>
            <w:shd w:val="clear" w:color="auto" w:fill="auto"/>
            <w:vAlign w:val="center"/>
          </w:tcPr>
          <w:p w14:paraId="1FA5E1AC" w14:textId="4E3AFEE7" w:rsidR="00F87FC8" w:rsidRPr="00F87FC8" w:rsidRDefault="00F87FC8" w:rsidP="00F87FC8">
            <w:pPr>
              <w:spacing w:before="20" w:after="20"/>
              <w:jc w:val="center"/>
              <w:rPr>
                <w:sz w:val="16"/>
              </w:rPr>
            </w:pPr>
            <w:r w:rsidRPr="00F87FC8">
              <w:rPr>
                <w:sz w:val="16"/>
              </w:rPr>
              <w:t>60.3</w:t>
            </w:r>
          </w:p>
        </w:tc>
        <w:tc>
          <w:tcPr>
            <w:tcW w:w="1317" w:type="dxa"/>
            <w:shd w:val="clear" w:color="auto" w:fill="auto"/>
            <w:vAlign w:val="center"/>
          </w:tcPr>
          <w:p w14:paraId="39CF4F77" w14:textId="4851B31E" w:rsidR="00F87FC8" w:rsidRPr="00F87FC8" w:rsidRDefault="00F87FC8" w:rsidP="00F87FC8">
            <w:pPr>
              <w:spacing w:before="20" w:after="20"/>
              <w:jc w:val="center"/>
              <w:rPr>
                <w:sz w:val="16"/>
              </w:rPr>
            </w:pPr>
            <w:r w:rsidRPr="00F87FC8">
              <w:rPr>
                <w:sz w:val="16"/>
              </w:rPr>
              <w:t>61.2</w:t>
            </w:r>
          </w:p>
        </w:tc>
        <w:tc>
          <w:tcPr>
            <w:tcW w:w="1308" w:type="dxa"/>
            <w:shd w:val="clear" w:color="auto" w:fill="auto"/>
            <w:vAlign w:val="center"/>
          </w:tcPr>
          <w:p w14:paraId="612859C0" w14:textId="01515F84" w:rsidR="00F87FC8" w:rsidRPr="00F87FC8" w:rsidRDefault="00F87FC8" w:rsidP="00F87FC8">
            <w:pPr>
              <w:spacing w:before="20" w:after="20"/>
              <w:jc w:val="center"/>
              <w:rPr>
                <w:sz w:val="16"/>
              </w:rPr>
            </w:pPr>
            <w:r w:rsidRPr="00F87FC8">
              <w:rPr>
                <w:sz w:val="16"/>
              </w:rPr>
              <w:t>50.4</w:t>
            </w:r>
          </w:p>
        </w:tc>
        <w:tc>
          <w:tcPr>
            <w:tcW w:w="1308" w:type="dxa"/>
            <w:shd w:val="clear" w:color="auto" w:fill="auto"/>
            <w:vAlign w:val="center"/>
          </w:tcPr>
          <w:p w14:paraId="64080C90" w14:textId="29CA07B9" w:rsidR="00F87FC8" w:rsidRPr="00F87FC8" w:rsidRDefault="00F87FC8" w:rsidP="00F87FC8">
            <w:pPr>
              <w:spacing w:before="20" w:after="20"/>
              <w:jc w:val="center"/>
              <w:rPr>
                <w:sz w:val="16"/>
              </w:rPr>
            </w:pPr>
            <w:r w:rsidRPr="00F87FC8">
              <w:rPr>
                <w:sz w:val="16"/>
              </w:rPr>
              <w:t>52.3</w:t>
            </w:r>
          </w:p>
        </w:tc>
        <w:tc>
          <w:tcPr>
            <w:tcW w:w="1308" w:type="dxa"/>
            <w:tcBorders>
              <w:bottom w:val="single" w:sz="4" w:space="0" w:color="auto"/>
            </w:tcBorders>
            <w:shd w:val="clear" w:color="auto" w:fill="auto"/>
            <w:vAlign w:val="center"/>
          </w:tcPr>
          <w:p w14:paraId="526BC8A5" w14:textId="5DAA229A" w:rsidR="00F87FC8" w:rsidRPr="00F87FC8" w:rsidRDefault="00F87FC8" w:rsidP="00F87FC8">
            <w:pPr>
              <w:spacing w:before="20" w:after="20"/>
              <w:jc w:val="center"/>
              <w:rPr>
                <w:sz w:val="16"/>
              </w:rPr>
            </w:pPr>
            <w:r w:rsidRPr="00F87FC8">
              <w:rPr>
                <w:sz w:val="16"/>
              </w:rPr>
              <w:t>70.4</w:t>
            </w:r>
          </w:p>
        </w:tc>
        <w:tc>
          <w:tcPr>
            <w:tcW w:w="1308" w:type="dxa"/>
            <w:tcBorders>
              <w:bottom w:val="single" w:sz="4" w:space="0" w:color="auto"/>
            </w:tcBorders>
            <w:shd w:val="clear" w:color="auto" w:fill="auto"/>
            <w:vAlign w:val="center"/>
          </w:tcPr>
          <w:p w14:paraId="59290289" w14:textId="62FE46F5" w:rsidR="00F87FC8" w:rsidRPr="00F87FC8" w:rsidRDefault="00F87FC8" w:rsidP="00F87FC8">
            <w:pPr>
              <w:spacing w:before="20" w:after="20"/>
              <w:jc w:val="center"/>
              <w:rPr>
                <w:sz w:val="16"/>
              </w:rPr>
            </w:pPr>
            <w:r w:rsidRPr="00F87FC8">
              <w:rPr>
                <w:sz w:val="16"/>
              </w:rPr>
              <w:t>70.8</w:t>
            </w:r>
          </w:p>
        </w:tc>
      </w:tr>
    </w:tbl>
    <w:p w14:paraId="2B73EFBB" w14:textId="6AFFBBA8" w:rsidR="00151473" w:rsidRPr="00B436C7" w:rsidRDefault="00151473" w:rsidP="00293561">
      <w:pPr>
        <w:pStyle w:val="Source"/>
      </w:pPr>
      <w:r w:rsidRPr="00C42D8D">
        <w:t>Source:</w:t>
      </w:r>
      <w:r w:rsidR="00293561">
        <w:t xml:space="preserve"> Table 1, 2 and 3 - </w:t>
      </w:r>
      <w:r w:rsidRPr="00C42D8D">
        <w:t>ILOSTAT</w:t>
      </w:r>
      <w:r w:rsidR="009E7485">
        <w:t xml:space="preserve"> and</w:t>
      </w:r>
      <w:r w:rsidRPr="00C42D8D">
        <w:t xml:space="preserve"> OECD.Stat</w:t>
      </w:r>
      <w:r w:rsidR="009E7485">
        <w:t xml:space="preserve">. (e) = estimated. Figures for G20 medians based on available data at time of report preparation. </w:t>
      </w:r>
      <w:r w:rsidR="00E34756">
        <w:t>Department of Jobs and Small Business calculations based on OECD.Stat short-term labour market statistics.</w:t>
      </w:r>
    </w:p>
    <w:p w14:paraId="247213F7" w14:textId="1A83ACB1" w:rsidR="00B436C7" w:rsidRDefault="00B436C7" w:rsidP="00B436C7">
      <w:pPr>
        <w:pStyle w:val="Caption"/>
        <w:keepNext/>
      </w:pPr>
      <w:r>
        <w:t xml:space="preserve">Table </w:t>
      </w:r>
      <w:r w:rsidR="00A47169">
        <w:rPr>
          <w:noProof/>
        </w:rPr>
        <w:fldChar w:fldCharType="begin"/>
      </w:r>
      <w:r w:rsidR="00A47169">
        <w:rPr>
          <w:noProof/>
        </w:rPr>
        <w:instrText xml:space="preserve"> SEQ Table \* ARABIC </w:instrText>
      </w:r>
      <w:r w:rsidR="00A47169">
        <w:rPr>
          <w:noProof/>
        </w:rPr>
        <w:fldChar w:fldCharType="separate"/>
      </w:r>
      <w:r w:rsidR="00293561">
        <w:rPr>
          <w:noProof/>
        </w:rPr>
        <w:t>4</w:t>
      </w:r>
      <w:r w:rsidR="00A47169">
        <w:rPr>
          <w:noProof/>
        </w:rPr>
        <w:fldChar w:fldCharType="end"/>
      </w:r>
      <w:r>
        <w:t xml:space="preserve">: </w:t>
      </w:r>
      <w:r w:rsidR="001F29FF">
        <w:t>Australian l</w:t>
      </w:r>
      <w:r w:rsidRPr="00234DF8">
        <w:t>abour market forecasts for 2018-19</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2795"/>
        <w:gridCol w:w="2976"/>
      </w:tblGrid>
      <w:tr w:rsidR="00D80E69" w:rsidRPr="00D35F06" w14:paraId="43FACF30" w14:textId="77777777" w:rsidTr="00B436C7">
        <w:trPr>
          <w:tblHeader/>
        </w:trPr>
        <w:tc>
          <w:tcPr>
            <w:tcW w:w="3296" w:type="dxa"/>
            <w:shd w:val="clear" w:color="auto" w:fill="DEEAF6" w:themeFill="accent1" w:themeFillTint="33"/>
            <w:vAlign w:val="center"/>
          </w:tcPr>
          <w:p w14:paraId="0E8BFF24" w14:textId="77777777" w:rsidR="00151473" w:rsidRPr="00D35F06" w:rsidRDefault="00151473" w:rsidP="001A2413">
            <w:pPr>
              <w:keepNext/>
              <w:jc w:val="center"/>
              <w:rPr>
                <w:color w:val="auto"/>
                <w:sz w:val="16"/>
                <w:szCs w:val="16"/>
              </w:rPr>
            </w:pPr>
            <w:r w:rsidRPr="00D35F06">
              <w:rPr>
                <w:color w:val="auto"/>
                <w:sz w:val="16"/>
                <w:szCs w:val="16"/>
              </w:rPr>
              <w:t>Employment growth</w:t>
            </w:r>
          </w:p>
        </w:tc>
        <w:tc>
          <w:tcPr>
            <w:tcW w:w="2795" w:type="dxa"/>
            <w:tcBorders>
              <w:bottom w:val="single" w:sz="4" w:space="0" w:color="auto"/>
            </w:tcBorders>
            <w:shd w:val="clear" w:color="auto" w:fill="DEEAF6" w:themeFill="accent1" w:themeFillTint="33"/>
            <w:vAlign w:val="center"/>
          </w:tcPr>
          <w:p w14:paraId="2BC7D03C" w14:textId="77777777" w:rsidR="00151473" w:rsidRPr="00D35F06" w:rsidRDefault="00151473" w:rsidP="001A2413">
            <w:pPr>
              <w:keepNext/>
              <w:jc w:val="center"/>
              <w:rPr>
                <w:color w:val="auto"/>
                <w:sz w:val="16"/>
                <w:szCs w:val="16"/>
              </w:rPr>
            </w:pPr>
            <w:r w:rsidRPr="00D35F06">
              <w:rPr>
                <w:color w:val="auto"/>
                <w:sz w:val="16"/>
                <w:szCs w:val="16"/>
              </w:rPr>
              <w:t>Unemployment rate</w:t>
            </w:r>
          </w:p>
        </w:tc>
        <w:tc>
          <w:tcPr>
            <w:tcW w:w="2976" w:type="dxa"/>
            <w:tcBorders>
              <w:bottom w:val="single" w:sz="4" w:space="0" w:color="auto"/>
            </w:tcBorders>
            <w:shd w:val="clear" w:color="auto" w:fill="DEEAF6" w:themeFill="accent1" w:themeFillTint="33"/>
            <w:vAlign w:val="center"/>
          </w:tcPr>
          <w:p w14:paraId="2B8C6491" w14:textId="77777777" w:rsidR="00151473" w:rsidRPr="00D35F06" w:rsidRDefault="00151473" w:rsidP="001A2413">
            <w:pPr>
              <w:keepNext/>
              <w:jc w:val="center"/>
              <w:rPr>
                <w:color w:val="auto"/>
                <w:sz w:val="16"/>
                <w:szCs w:val="16"/>
              </w:rPr>
            </w:pPr>
            <w:r w:rsidRPr="00D35F06">
              <w:rPr>
                <w:color w:val="auto"/>
                <w:sz w:val="16"/>
                <w:szCs w:val="16"/>
              </w:rPr>
              <w:t>Participation rate</w:t>
            </w:r>
          </w:p>
        </w:tc>
      </w:tr>
      <w:tr w:rsidR="00D80E69" w:rsidRPr="00D35F06" w14:paraId="05DCE3BF" w14:textId="77777777" w:rsidTr="00151473">
        <w:tc>
          <w:tcPr>
            <w:tcW w:w="3296" w:type="dxa"/>
            <w:shd w:val="clear" w:color="auto" w:fill="auto"/>
            <w:vAlign w:val="center"/>
          </w:tcPr>
          <w:p w14:paraId="07EB4D57" w14:textId="77777777" w:rsidR="00151473" w:rsidRPr="00D35F06" w:rsidRDefault="00945249" w:rsidP="001A2413">
            <w:pPr>
              <w:keepNext/>
              <w:jc w:val="center"/>
              <w:rPr>
                <w:color w:val="auto"/>
                <w:sz w:val="16"/>
                <w:szCs w:val="16"/>
              </w:rPr>
            </w:pPr>
            <w:r w:rsidRPr="00D35F06">
              <w:rPr>
                <w:color w:val="auto"/>
                <w:sz w:val="16"/>
                <w:szCs w:val="16"/>
              </w:rPr>
              <w:t>1½</w:t>
            </w:r>
            <w:r w:rsidR="00151473" w:rsidRPr="00D35F06">
              <w:rPr>
                <w:color w:val="auto"/>
                <w:sz w:val="16"/>
                <w:szCs w:val="16"/>
              </w:rPr>
              <w:t xml:space="preserve"> </w:t>
            </w:r>
            <w:r w:rsidR="00906D7B" w:rsidRPr="00D35F06">
              <w:rPr>
                <w:color w:val="auto"/>
                <w:sz w:val="16"/>
                <w:szCs w:val="16"/>
              </w:rPr>
              <w:t>per cent</w:t>
            </w:r>
          </w:p>
        </w:tc>
        <w:tc>
          <w:tcPr>
            <w:tcW w:w="2795" w:type="dxa"/>
            <w:tcBorders>
              <w:bottom w:val="single" w:sz="4" w:space="0" w:color="auto"/>
            </w:tcBorders>
            <w:shd w:val="clear" w:color="auto" w:fill="auto"/>
            <w:vAlign w:val="center"/>
          </w:tcPr>
          <w:p w14:paraId="6902C178" w14:textId="77777777" w:rsidR="00151473" w:rsidRPr="00D35F06" w:rsidRDefault="00945249" w:rsidP="001A2413">
            <w:pPr>
              <w:keepNext/>
              <w:jc w:val="center"/>
              <w:rPr>
                <w:color w:val="auto"/>
                <w:sz w:val="16"/>
                <w:szCs w:val="16"/>
              </w:rPr>
            </w:pPr>
            <w:r w:rsidRPr="00D35F06">
              <w:rPr>
                <w:color w:val="auto"/>
                <w:sz w:val="16"/>
                <w:szCs w:val="16"/>
              </w:rPr>
              <w:t>5¼</w:t>
            </w:r>
            <w:r w:rsidR="00151473" w:rsidRPr="00D35F06">
              <w:rPr>
                <w:color w:val="auto"/>
                <w:sz w:val="16"/>
                <w:szCs w:val="16"/>
                <w:lang w:val="en-AU"/>
              </w:rPr>
              <w:t xml:space="preserve"> </w:t>
            </w:r>
            <w:r w:rsidR="00151473" w:rsidRPr="00D35F06">
              <w:rPr>
                <w:color w:val="auto"/>
                <w:sz w:val="16"/>
                <w:szCs w:val="16"/>
              </w:rPr>
              <w:t>per cent</w:t>
            </w:r>
          </w:p>
        </w:tc>
        <w:tc>
          <w:tcPr>
            <w:tcW w:w="2976" w:type="dxa"/>
            <w:tcBorders>
              <w:bottom w:val="single" w:sz="4" w:space="0" w:color="auto"/>
            </w:tcBorders>
            <w:shd w:val="clear" w:color="auto" w:fill="auto"/>
            <w:vAlign w:val="center"/>
          </w:tcPr>
          <w:p w14:paraId="29C501A5" w14:textId="77777777" w:rsidR="00151473" w:rsidRPr="00D35F06" w:rsidRDefault="00945249" w:rsidP="001A2413">
            <w:pPr>
              <w:keepNext/>
              <w:jc w:val="center"/>
              <w:rPr>
                <w:color w:val="auto"/>
                <w:sz w:val="16"/>
                <w:szCs w:val="16"/>
              </w:rPr>
            </w:pPr>
            <w:r w:rsidRPr="00D35F06">
              <w:rPr>
                <w:color w:val="auto"/>
                <w:sz w:val="16"/>
                <w:szCs w:val="16"/>
              </w:rPr>
              <w:t xml:space="preserve">65½ </w:t>
            </w:r>
            <w:r w:rsidR="00151473" w:rsidRPr="00D35F06">
              <w:rPr>
                <w:color w:val="auto"/>
                <w:sz w:val="16"/>
                <w:szCs w:val="16"/>
              </w:rPr>
              <w:t>per cent</w:t>
            </w:r>
          </w:p>
        </w:tc>
      </w:tr>
    </w:tbl>
    <w:p w14:paraId="276D48EE" w14:textId="338FEA84" w:rsidR="00E64F8B" w:rsidRPr="00293561" w:rsidRDefault="00151473" w:rsidP="00293561">
      <w:pPr>
        <w:pStyle w:val="Source"/>
      </w:pPr>
      <w:r w:rsidRPr="00C42D8D">
        <w:t>Source: Australian Government, Budget Strategy and Ou</w:t>
      </w:r>
      <w:r w:rsidR="00906D7B" w:rsidRPr="00C42D8D">
        <w:t>tlook: Budget Paper No. 1, 20</w:t>
      </w:r>
      <w:r w:rsidRPr="00C42D8D">
        <w:t>18</w:t>
      </w:r>
      <w:r w:rsidR="00906D7B" w:rsidRPr="00C42D8D">
        <w:t>-19</w:t>
      </w:r>
      <w:r w:rsidR="00C42D8D">
        <w:t>.</w:t>
      </w:r>
      <w:r w:rsidR="00E64F8B" w:rsidRPr="00C42D8D">
        <w:br w:type="page"/>
      </w:r>
    </w:p>
    <w:p w14:paraId="2693AC3A" w14:textId="699CA386" w:rsidR="00502101" w:rsidRPr="00F51CC1" w:rsidRDefault="00A965E2" w:rsidP="00A965E2">
      <w:pPr>
        <w:pStyle w:val="Heading1"/>
      </w:pPr>
      <w:bookmarkStart w:id="1" w:name="_Toc532892413"/>
      <w:r w:rsidRPr="00F51CC1">
        <w:lastRenderedPageBreak/>
        <w:t xml:space="preserve">Section </w:t>
      </w:r>
      <w:r w:rsidR="001A056C">
        <w:t>2</w:t>
      </w:r>
      <w:r w:rsidR="00502101" w:rsidRPr="00F51CC1">
        <w:t xml:space="preserve">. </w:t>
      </w:r>
      <w:r>
        <w:t>Employment Challenges for Australia</w:t>
      </w:r>
      <w:bookmarkEnd w:id="1"/>
    </w:p>
    <w:p w14:paraId="0A42F7C7" w14:textId="6A5BB426" w:rsidR="00182949" w:rsidRPr="00182949" w:rsidRDefault="00182949" w:rsidP="00A965E2">
      <w:pPr>
        <w:pStyle w:val="Heading2"/>
      </w:pPr>
      <w:bookmarkStart w:id="2" w:name="_Toc458449905"/>
      <w:bookmarkStart w:id="3" w:name="_Toc532892414"/>
      <w:r w:rsidRPr="00182949">
        <w:t xml:space="preserve">Challenge: </w:t>
      </w:r>
      <w:bookmarkEnd w:id="2"/>
      <w:r w:rsidR="0094228F">
        <w:t>Boosting labour force participation</w:t>
      </w:r>
      <w:bookmarkEnd w:id="3"/>
    </w:p>
    <w:p w14:paraId="11D670E8" w14:textId="2F10545B" w:rsidR="00906214" w:rsidRDefault="00182949" w:rsidP="00AB445F">
      <w:pPr>
        <w:pStyle w:val="BodyText1"/>
        <w:spacing w:after="240"/>
        <w:jc w:val="left"/>
      </w:pPr>
      <w:r w:rsidRPr="00182949">
        <w:t>Population ageing poses a challenge to many advanced countries, including Australia. The labour force participation rate for people aged 15 years and over is projected to fall to less than 63 per</w:t>
      </w:r>
      <w:r w:rsidR="00D95416">
        <w:t> </w:t>
      </w:r>
      <w:r w:rsidRPr="00182949">
        <w:t>cent by 2054</w:t>
      </w:r>
      <w:r w:rsidR="002B4FDB">
        <w:noBreakHyphen/>
      </w:r>
      <w:r w:rsidRPr="00182949">
        <w:t>55, compared with around 65 per cent today. This is expected to generate fiscal pressures through a smaller labour force and income tax base, as well as increased demand for age-</w:t>
      </w:r>
      <w:r w:rsidR="00052412">
        <w:t>related payments and services. I</w:t>
      </w:r>
      <w:r w:rsidRPr="00182949">
        <w:t xml:space="preserve">mproving workforce participation rates for groups with potential for higher participation is not only a pathway to boost </w:t>
      </w:r>
      <w:r w:rsidR="00D95416">
        <w:t>Australia’s productive capacity</w:t>
      </w:r>
      <w:r w:rsidRPr="00182949">
        <w:t xml:space="preserve"> but can improve equity and opportunity for all Australians. For example, </w:t>
      </w:r>
      <w:r w:rsidR="00956386">
        <w:t>mature age people,</w:t>
      </w:r>
      <w:r w:rsidRPr="00182949">
        <w:t xml:space="preserve"> Indigenous Australians, humanitarian entrants and people with disability have much lower participation rates than the general population.</w:t>
      </w:r>
    </w:p>
    <w:p w14:paraId="5E4F8C09" w14:textId="006048E6" w:rsidR="00956386" w:rsidRPr="00813683" w:rsidRDefault="00956386" w:rsidP="00A965E2">
      <w:pPr>
        <w:pStyle w:val="Heading2"/>
      </w:pPr>
      <w:bookmarkStart w:id="4" w:name="_Toc532892415"/>
      <w:r w:rsidRPr="00712133">
        <w:t xml:space="preserve">Challenge: </w:t>
      </w:r>
      <w:r w:rsidR="0094228F">
        <w:t xml:space="preserve">Supporting </w:t>
      </w:r>
      <w:r w:rsidRPr="00712133">
        <w:t>women’s p</w:t>
      </w:r>
      <w:r w:rsidRPr="00813683">
        <w:t>articipation</w:t>
      </w:r>
      <w:bookmarkEnd w:id="4"/>
    </w:p>
    <w:p w14:paraId="42C1332E" w14:textId="75958097" w:rsidR="00956386" w:rsidRDefault="00956386" w:rsidP="00AB445F">
      <w:pPr>
        <w:pStyle w:val="BodyText1"/>
        <w:spacing w:after="240"/>
        <w:jc w:val="left"/>
      </w:pPr>
      <w:r>
        <w:t xml:space="preserve">Recognising the unique barriers that women face to </w:t>
      </w:r>
      <w:r w:rsidR="0094228F">
        <w:t xml:space="preserve">labour force </w:t>
      </w:r>
      <w:r>
        <w:t xml:space="preserve">participation, in 2014 G20 Leaders set a goal of </w:t>
      </w:r>
      <w:r w:rsidRPr="00471ECF">
        <w:t xml:space="preserve">reducing the </w:t>
      </w:r>
      <w:r>
        <w:t xml:space="preserve">gender </w:t>
      </w:r>
      <w:r w:rsidR="0094228F">
        <w:t xml:space="preserve">gap in participation rates by </w:t>
      </w:r>
      <w:r w:rsidRPr="00471ECF">
        <w:t xml:space="preserve">25 per cent by 2025. </w:t>
      </w:r>
      <w:r w:rsidR="0094228F">
        <w:t>While progress is being made in Australia, further support is being provided for women to enter and stay attached to the workforce to improve their economic security.</w:t>
      </w:r>
    </w:p>
    <w:p w14:paraId="6AB61D31" w14:textId="77777777" w:rsidR="00182949" w:rsidRPr="00182949" w:rsidRDefault="00182949" w:rsidP="00A965E2">
      <w:pPr>
        <w:pStyle w:val="Heading2"/>
      </w:pPr>
      <w:bookmarkStart w:id="5" w:name="_Toc532892416"/>
      <w:r w:rsidRPr="00182949">
        <w:t>Challenge: Addressing long-term unemployment</w:t>
      </w:r>
      <w:bookmarkEnd w:id="5"/>
    </w:p>
    <w:p w14:paraId="5129AB9C" w14:textId="529E1966" w:rsidR="00906214" w:rsidRDefault="00182949" w:rsidP="00AB445F">
      <w:pPr>
        <w:pStyle w:val="BodyText1"/>
        <w:spacing w:after="240"/>
        <w:jc w:val="left"/>
      </w:pPr>
      <w:r w:rsidRPr="00182949">
        <w:t>Addressing this is important; both to ensure thousands of Australians do not face</w:t>
      </w:r>
      <w:r w:rsidR="00D95416">
        <w:t> </w:t>
      </w:r>
      <w:r w:rsidRPr="00182949">
        <w:t xml:space="preserve">long-term exclusion from </w:t>
      </w:r>
      <w:r w:rsidR="00DE00B4">
        <w:t>work, and to improve the long-</w:t>
      </w:r>
      <w:r w:rsidRPr="00182949">
        <w:t>term economic outlook by avoiding the erosion of skills and job readiness caused by prolonged absence from the workforce.</w:t>
      </w:r>
    </w:p>
    <w:p w14:paraId="46A965CD" w14:textId="77777777" w:rsidR="00182949" w:rsidRPr="00182949" w:rsidRDefault="00182949" w:rsidP="00A965E2">
      <w:pPr>
        <w:pStyle w:val="Heading2"/>
      </w:pPr>
      <w:bookmarkStart w:id="6" w:name="_Toc532892417"/>
      <w:r w:rsidRPr="00182949">
        <w:t>Challenge: Youth unemployment</w:t>
      </w:r>
      <w:bookmarkEnd w:id="6"/>
      <w:r w:rsidRPr="00182949">
        <w:t xml:space="preserve"> </w:t>
      </w:r>
    </w:p>
    <w:p w14:paraId="54BA61CC" w14:textId="0F9E1CF1" w:rsidR="00906214" w:rsidRDefault="00182949" w:rsidP="00AB445F">
      <w:pPr>
        <w:pStyle w:val="BodyText1"/>
        <w:spacing w:after="240"/>
        <w:jc w:val="left"/>
      </w:pPr>
      <w:r w:rsidRPr="00182949">
        <w:t xml:space="preserve">Young people tend to have less skills and experience than older members of the population. The </w:t>
      </w:r>
      <w:r w:rsidR="00804EA0">
        <w:t>youth unemployment rate was 11.4</w:t>
      </w:r>
      <w:r w:rsidR="00D95416">
        <w:t> </w:t>
      </w:r>
      <w:r w:rsidR="001D0AB9" w:rsidRPr="001D0AB9">
        <w:t>per</w:t>
      </w:r>
      <w:r w:rsidR="00D95416">
        <w:t> </w:t>
      </w:r>
      <w:r w:rsidR="001D0AB9" w:rsidRPr="001D0AB9">
        <w:t xml:space="preserve">cent in </w:t>
      </w:r>
      <w:r w:rsidR="00804EA0">
        <w:t>September</w:t>
      </w:r>
      <w:r w:rsidR="001D0AB9" w:rsidRPr="001D0AB9">
        <w:t xml:space="preserve"> 2018</w:t>
      </w:r>
      <w:r w:rsidRPr="00182949">
        <w:t>,</w:t>
      </w:r>
      <w:r w:rsidR="000E1AF3">
        <w:t xml:space="preserve"> </w:t>
      </w:r>
      <w:r w:rsidR="000943BA">
        <w:t>lower than</w:t>
      </w:r>
      <w:r w:rsidR="000E1AF3">
        <w:t xml:space="preserve"> </w:t>
      </w:r>
      <w:r w:rsidR="000943BA">
        <w:t>the peak in October 2014 (14.4 per cent),</w:t>
      </w:r>
      <w:r w:rsidRPr="00182949">
        <w:t xml:space="preserve"> </w:t>
      </w:r>
      <w:r w:rsidR="000943BA">
        <w:t xml:space="preserve">but remains </w:t>
      </w:r>
      <w:r w:rsidRPr="00182949">
        <w:t xml:space="preserve">more than double the </w:t>
      </w:r>
      <w:r w:rsidR="00471EE7">
        <w:t xml:space="preserve">headline </w:t>
      </w:r>
      <w:r w:rsidRPr="00182949">
        <w:t>national rate</w:t>
      </w:r>
      <w:r w:rsidR="000943BA">
        <w:t xml:space="preserve"> of 5.0 per </w:t>
      </w:r>
      <w:r w:rsidR="00804EA0">
        <w:t>cent</w:t>
      </w:r>
      <w:r w:rsidRPr="00182949">
        <w:t>. Improving youth participation in employment, education or training is therefore a priority for the Australian Government.</w:t>
      </w:r>
    </w:p>
    <w:p w14:paraId="70ED57A7" w14:textId="0E3ED911" w:rsidR="00657496" w:rsidRDefault="00182949" w:rsidP="00A965E2">
      <w:pPr>
        <w:pStyle w:val="Heading2"/>
      </w:pPr>
      <w:bookmarkStart w:id="7" w:name="_Toc452625209"/>
      <w:bookmarkStart w:id="8" w:name="_Toc532892418"/>
      <w:r w:rsidRPr="00182949">
        <w:t>Challenge: Boosting Indigenous employment</w:t>
      </w:r>
      <w:bookmarkStart w:id="9" w:name="_Toc452625210"/>
      <w:bookmarkEnd w:id="7"/>
      <w:bookmarkEnd w:id="8"/>
    </w:p>
    <w:p w14:paraId="77F00BC1" w14:textId="6DBD900E" w:rsidR="009A4026" w:rsidRDefault="009A4026" w:rsidP="00AB445F">
      <w:pPr>
        <w:pStyle w:val="BodyText1"/>
        <w:spacing w:after="240"/>
        <w:jc w:val="left"/>
      </w:pPr>
      <w:r w:rsidRPr="00182949">
        <w:t>Improving education</w:t>
      </w:r>
      <w:r>
        <w:t>, economic development</w:t>
      </w:r>
      <w:r w:rsidRPr="00182949">
        <w:t xml:space="preserve"> and labour market outcomes for Indigenous Australians is a significant priority.</w:t>
      </w:r>
      <w:r>
        <w:t xml:space="preserve"> Aboriginal and Torres Strait Islander Australians </w:t>
      </w:r>
      <w:r w:rsidRPr="00182949">
        <w:t xml:space="preserve">face </w:t>
      </w:r>
      <w:r>
        <w:t>multiple</w:t>
      </w:r>
      <w:r w:rsidRPr="00182949">
        <w:t xml:space="preserve"> barriers to employment</w:t>
      </w:r>
      <w:r>
        <w:t xml:space="preserve"> compared with other Australians</w:t>
      </w:r>
      <w:r w:rsidRPr="00182949">
        <w:t xml:space="preserve">. While </w:t>
      </w:r>
      <w:r>
        <w:t xml:space="preserve">the majority of </w:t>
      </w:r>
      <w:r w:rsidRPr="00182949">
        <w:t xml:space="preserve">Indigenous Australians </w:t>
      </w:r>
      <w:r>
        <w:t>live in urban areas and participate fully in the economy, they continue to represent a high proportion of the unemployed. For people living in remote Australia there are fewer job opportunities. For Aboriginal and Torres Strait Islander people who live remotely, many have English as a second or more distant language. This creates further barriers to participation in an already limited job market.</w:t>
      </w:r>
    </w:p>
    <w:p w14:paraId="6CBD9FA5" w14:textId="77777777" w:rsidR="00182949" w:rsidRPr="00182949" w:rsidRDefault="00182949" w:rsidP="00A965E2">
      <w:pPr>
        <w:pStyle w:val="Heading2"/>
      </w:pPr>
      <w:bookmarkStart w:id="10" w:name="_Toc532892419"/>
      <w:r w:rsidRPr="00182949">
        <w:t xml:space="preserve">Challenge: </w:t>
      </w:r>
      <w:bookmarkEnd w:id="9"/>
      <w:r w:rsidR="00885904">
        <w:t>M</w:t>
      </w:r>
      <w:r w:rsidR="00CF6268">
        <w:t>anaging structural change</w:t>
      </w:r>
      <w:bookmarkEnd w:id="10"/>
    </w:p>
    <w:p w14:paraId="590B9FB5" w14:textId="6748D1A0" w:rsidR="001A056C" w:rsidRPr="00293561" w:rsidRDefault="00F87A45" w:rsidP="00956386">
      <w:pPr>
        <w:pStyle w:val="BodyText1"/>
        <w:jc w:val="left"/>
      </w:pPr>
      <w:bookmarkStart w:id="11" w:name="_Toc452105463"/>
      <w:bookmarkStart w:id="12" w:name="_Toc452625211"/>
      <w:bookmarkStart w:id="13" w:name="_Toc458449906"/>
      <w:r>
        <w:t>Technological advancements</w:t>
      </w:r>
      <w:r w:rsidR="00D10516">
        <w:t xml:space="preserve"> have the potential to lift growth</w:t>
      </w:r>
      <w:r w:rsidR="00897CF2">
        <w:t>,</w:t>
      </w:r>
      <w:r w:rsidR="00D10516">
        <w:t xml:space="preserve"> </w:t>
      </w:r>
      <w:r w:rsidR="001C7041">
        <w:t>productivity</w:t>
      </w:r>
      <w:r>
        <w:t xml:space="preserve"> and raise living standards over the longer term. As such, managing structural change is an ongoing priority for the Government</w:t>
      </w:r>
      <w:r w:rsidR="00897CF2">
        <w:t>, in particular to prepare workers for the jobs of the future</w:t>
      </w:r>
      <w:r>
        <w:t xml:space="preserve">. </w:t>
      </w:r>
      <w:r w:rsidR="00182949" w:rsidRPr="00182949">
        <w:t>Strengthening job creation require</w:t>
      </w:r>
      <w:r w:rsidR="001C7041">
        <w:t xml:space="preserve">s an ongoing </w:t>
      </w:r>
      <w:r w:rsidR="00182949" w:rsidRPr="00182949">
        <w:t xml:space="preserve">commitment to boosting economic growth and opening up employment opportunities through innovation and new forms of work. Investment in skills and </w:t>
      </w:r>
      <w:r w:rsidR="001C7041">
        <w:t xml:space="preserve">active labour market assistance </w:t>
      </w:r>
      <w:r w:rsidR="00182949" w:rsidRPr="00182949">
        <w:t>are essential to ensure existing and new entrants to the workforce are able to quickly adjust to changing labour market demands</w:t>
      </w:r>
      <w:r>
        <w:t xml:space="preserve"> and </w:t>
      </w:r>
      <w:r w:rsidR="0094228F">
        <w:t xml:space="preserve">connect with </w:t>
      </w:r>
      <w:r w:rsidR="00897CF2">
        <w:t>new</w:t>
      </w:r>
      <w:r>
        <w:t xml:space="preserve"> </w:t>
      </w:r>
      <w:r w:rsidR="00897CF2">
        <w:t xml:space="preserve">job </w:t>
      </w:r>
      <w:r>
        <w:t>opportunities</w:t>
      </w:r>
      <w:r w:rsidR="00897CF2">
        <w:t xml:space="preserve">. </w:t>
      </w:r>
      <w:r w:rsidR="00182949" w:rsidRPr="00182949">
        <w:t xml:space="preserve"> </w:t>
      </w:r>
      <w:bookmarkEnd w:id="11"/>
      <w:bookmarkEnd w:id="12"/>
      <w:bookmarkEnd w:id="13"/>
      <w:r w:rsidR="001A056C">
        <w:rPr>
          <w:b/>
          <w:color w:val="004F80"/>
          <w:sz w:val="24"/>
          <w:u w:val="single"/>
        </w:rPr>
        <w:br w:type="page"/>
      </w:r>
    </w:p>
    <w:p w14:paraId="2DFAB7A6" w14:textId="11065E97" w:rsidR="00502101" w:rsidRPr="00A965E2" w:rsidRDefault="00A965E2" w:rsidP="00A965E2">
      <w:pPr>
        <w:pStyle w:val="Heading1"/>
      </w:pPr>
      <w:bookmarkStart w:id="14" w:name="_Toc532892420"/>
      <w:r w:rsidRPr="00A965E2">
        <w:t>Section 3</w:t>
      </w:r>
      <w:r w:rsidR="001A4039" w:rsidRPr="00A965E2">
        <w:t>.</w:t>
      </w:r>
      <w:r w:rsidR="00502101" w:rsidRPr="00A965E2">
        <w:t xml:space="preserve"> </w:t>
      </w:r>
      <w:r w:rsidRPr="00A965E2">
        <w:t>Current policy settings and new commitments</w:t>
      </w:r>
      <w:bookmarkEnd w:id="14"/>
    </w:p>
    <w:p w14:paraId="06642D6E" w14:textId="77777777" w:rsidR="000D6E40" w:rsidRDefault="000D6E40" w:rsidP="00A965E2">
      <w:pPr>
        <w:pStyle w:val="Heading2"/>
      </w:pPr>
      <w:bookmarkStart w:id="15" w:name="_Toc532892421"/>
      <w:r>
        <w:t xml:space="preserve">Broad economic </w:t>
      </w:r>
      <w:r w:rsidRPr="000779B5">
        <w:t>settings</w:t>
      </w:r>
      <w:bookmarkEnd w:id="15"/>
    </w:p>
    <w:p w14:paraId="0255E46C" w14:textId="586F304A" w:rsidR="00B8063A" w:rsidRDefault="0044650D" w:rsidP="00AB445F">
      <w:pPr>
        <w:pStyle w:val="BodyText1"/>
        <w:spacing w:after="240"/>
        <w:jc w:val="left"/>
        <w:rPr>
          <w:b/>
          <w:bCs w:val="0"/>
        </w:rPr>
      </w:pPr>
      <w:r w:rsidRPr="0044650D">
        <w:t>More than two decades of sustained economic growth and low and stable inflation have reduced economic uncertainty and facilitated private investment in Australia. Australia’s policy framework has played an important role in fostering this macroeconomic stability. The main pillars of this framework are a flexible exchange rate, an open capital account, an inflation-targeting independent central bank and fiscal policy focused on transparency and medium-term sustainability.</w:t>
      </w:r>
    </w:p>
    <w:p w14:paraId="378FFFA7" w14:textId="49103893" w:rsidR="0044650D" w:rsidRPr="0044650D" w:rsidRDefault="00B8063A" w:rsidP="00A965E2">
      <w:pPr>
        <w:pStyle w:val="Heading2"/>
      </w:pPr>
      <w:bookmarkStart w:id="16" w:name="_Toc532892422"/>
      <w:r>
        <w:t>In</w:t>
      </w:r>
      <w:r w:rsidR="0044650D" w:rsidRPr="0044650D">
        <w:t>centives, investment</w:t>
      </w:r>
      <w:r>
        <w:t xml:space="preserve"> </w:t>
      </w:r>
      <w:r w:rsidR="0044650D" w:rsidRPr="0044650D">
        <w:t>and entrepreneurship</w:t>
      </w:r>
      <w:bookmarkEnd w:id="16"/>
      <w:r w:rsidR="00E422E1">
        <w:t xml:space="preserve"> </w:t>
      </w:r>
    </w:p>
    <w:p w14:paraId="4E12F7F3" w14:textId="7EE9BB3E" w:rsidR="00473386" w:rsidRDefault="00473386" w:rsidP="00AB445F">
      <w:pPr>
        <w:pStyle w:val="BodyText1"/>
        <w:spacing w:after="240"/>
        <w:jc w:val="left"/>
      </w:pPr>
      <w:r>
        <w:t>P</w:t>
      </w:r>
      <w:r w:rsidR="00A8247B" w:rsidRPr="008403BF">
        <w:t xml:space="preserve">rivate enterprise and investment are key drivers of economic growth and national prosperity. </w:t>
      </w:r>
      <w:r w:rsidRPr="0044650D">
        <w:t>The Government’s regulatory reforms aim to boost competitiveness, productivity and job creation by reducing the regulatory burden on businesses, community organisations and individuals.</w:t>
      </w:r>
      <w:r w:rsidR="005368B7">
        <w:t xml:space="preserve"> Following an </w:t>
      </w:r>
      <w:r w:rsidRPr="00512016">
        <w:t xml:space="preserve">initial reduction in regulatory burden of $1 billion </w:t>
      </w:r>
      <w:r w:rsidR="005368B7">
        <w:t xml:space="preserve">by September 2014, the </w:t>
      </w:r>
      <w:r w:rsidRPr="00512016">
        <w:t>Government has reduced the regulatory burden on business and the community by more than $5.8 billion</w:t>
      </w:r>
      <w:r w:rsidR="005368B7" w:rsidRPr="005368B7">
        <w:t xml:space="preserve"> </w:t>
      </w:r>
      <w:r w:rsidR="005368B7">
        <w:t xml:space="preserve">as </w:t>
      </w:r>
      <w:r w:rsidR="005368B7" w:rsidRPr="00BF080E">
        <w:t>at December 2016</w:t>
      </w:r>
      <w:r>
        <w:t>.</w:t>
      </w:r>
    </w:p>
    <w:p w14:paraId="6386016D" w14:textId="7790A315" w:rsidR="00473386" w:rsidRDefault="00C52CE2" w:rsidP="00AB445F">
      <w:pPr>
        <w:pStyle w:val="BodyText1"/>
        <w:spacing w:after="240"/>
        <w:jc w:val="left"/>
      </w:pPr>
      <w:r>
        <w:t xml:space="preserve">The Australian Government has passed legislation to </w:t>
      </w:r>
      <w:r w:rsidRPr="004261EB">
        <w:t>fast</w:t>
      </w:r>
      <w:r>
        <w:t xml:space="preserve">-track tax relief for 3.3 million small and </w:t>
      </w:r>
      <w:r w:rsidRPr="004261EB">
        <w:t>medium</w:t>
      </w:r>
      <w:r>
        <w:t>-sized</w:t>
      </w:r>
      <w:r w:rsidRPr="004261EB">
        <w:t xml:space="preserve"> businesses five years earlier than planned</w:t>
      </w:r>
      <w:r>
        <w:t xml:space="preserve">. </w:t>
      </w:r>
      <w:r w:rsidRPr="00827390">
        <w:t>The corporate tax rate was to go down to 25 per cent in 2026-27 – it will now hit 25</w:t>
      </w:r>
      <w:r>
        <w:t> </w:t>
      </w:r>
      <w:r w:rsidRPr="00827390">
        <w:t>per</w:t>
      </w:r>
      <w:r>
        <w:t> </w:t>
      </w:r>
      <w:r w:rsidRPr="00827390">
        <w:t>cent in 2021-22</w:t>
      </w:r>
      <w:r>
        <w:t>.</w:t>
      </w:r>
    </w:p>
    <w:p w14:paraId="753B2C9D" w14:textId="0C4A4776" w:rsidR="00473386" w:rsidRPr="00F202B4" w:rsidRDefault="00473386" w:rsidP="00AB445F">
      <w:pPr>
        <w:pStyle w:val="BodyText1"/>
        <w:spacing w:after="240"/>
        <w:jc w:val="left"/>
      </w:pPr>
      <w:r>
        <w:t>In the 2018-19 Budget, the Gove</w:t>
      </w:r>
      <w:r w:rsidR="005368B7">
        <w:t xml:space="preserve">rnment also announced </w:t>
      </w:r>
      <w:r w:rsidR="008328CB">
        <w:t xml:space="preserve">a </w:t>
      </w:r>
      <w:r w:rsidR="005368B7">
        <w:t>seven</w:t>
      </w:r>
      <w:r w:rsidR="005368B7">
        <w:noBreakHyphen/>
      </w:r>
      <w:r>
        <w:t>year Personal Income Tax Plan to reduce the tax burden b</w:t>
      </w:r>
      <w:r w:rsidR="005368B7">
        <w:t xml:space="preserve">orne </w:t>
      </w:r>
      <w:r>
        <w:t>by working Australians and improve incentives to work. The Personal Income Tax Plan will be delivered in three steps</w:t>
      </w:r>
      <w:r w:rsidR="008328CB">
        <w:t xml:space="preserve">, including: a </w:t>
      </w:r>
      <w:r>
        <w:t xml:space="preserve">low and middle income tax offset </w:t>
      </w:r>
      <w:r w:rsidR="008328CB">
        <w:t xml:space="preserve">to help with cost of living pressures, measures to address bracket creep and increase the low income tax offset, and simplifying the tax system </w:t>
      </w:r>
      <w:r w:rsidR="00F202B4">
        <w:t>by lifting and removing certain tax brackets</w:t>
      </w:r>
      <w:r>
        <w:rPr>
          <w:rStyle w:val="A2"/>
        </w:rPr>
        <w:t>.</w:t>
      </w:r>
      <w:r>
        <w:rPr>
          <w:rFonts w:cs="Roboto Condensed Light"/>
        </w:rPr>
        <w:t xml:space="preserve"> </w:t>
      </w:r>
      <w:r>
        <w:t>By 2024</w:t>
      </w:r>
      <w:r>
        <w:noBreakHyphen/>
        <w:t>25, around 94 per cent of taxpayers are projected to face a marginal tax rate of 32.5 per cent or less, compared with 63 per cent if the personal income tax system was left unchanged.</w:t>
      </w:r>
    </w:p>
    <w:p w14:paraId="4C107E3E" w14:textId="13D646D3" w:rsidR="00BA19C6" w:rsidRDefault="00BA19C6" w:rsidP="00AB445F">
      <w:pPr>
        <w:pStyle w:val="BodyText1"/>
        <w:spacing w:after="240"/>
        <w:jc w:val="left"/>
      </w:pPr>
      <w:r>
        <w:t>The Government is</w:t>
      </w:r>
      <w:r w:rsidRPr="002B545A">
        <w:t xml:space="preserve"> building an environment where businesses can access the right skills and harness technology and science to grow, export and employ more Australians. </w:t>
      </w:r>
      <w:r>
        <w:t xml:space="preserve">The 2018-19 Budget made a </w:t>
      </w:r>
      <w:r w:rsidRPr="002B545A">
        <w:t>$2.4 billion investment in Australia’s research, science and technology capabilities</w:t>
      </w:r>
      <w:r>
        <w:t>,</w:t>
      </w:r>
      <w:r w:rsidRPr="002B545A">
        <w:t xml:space="preserve"> </w:t>
      </w:r>
      <w:r>
        <w:t>including</w:t>
      </w:r>
      <w:r w:rsidRPr="002B545A">
        <w:t xml:space="preserve">:  </w:t>
      </w:r>
    </w:p>
    <w:p w14:paraId="237C8333" w14:textId="7E8E859A" w:rsidR="00BA19C6" w:rsidRPr="00BA19C6" w:rsidRDefault="00BA19C6" w:rsidP="00BA19C6">
      <w:pPr>
        <w:pStyle w:val="ListParagraph"/>
        <w:numPr>
          <w:ilvl w:val="0"/>
          <w:numId w:val="23"/>
        </w:numPr>
        <w:rPr>
          <w:rFonts w:ascii="Arial" w:hAnsi="Arial" w:cs="Arial"/>
          <w:bCs/>
          <w:sz w:val="20"/>
          <w:szCs w:val="20"/>
          <w:lang w:val="en-US"/>
        </w:rPr>
      </w:pPr>
      <w:r w:rsidRPr="00BA19C6">
        <w:rPr>
          <w:rFonts w:ascii="Arial" w:hAnsi="Arial" w:cs="Arial"/>
          <w:bCs/>
          <w:sz w:val="20"/>
          <w:szCs w:val="20"/>
          <w:lang w:val="en-US"/>
        </w:rPr>
        <w:t>$1.9 billion over 12 years in additional, long-term funding for n</w:t>
      </w:r>
      <w:r w:rsidR="000904B7">
        <w:rPr>
          <w:rFonts w:ascii="Arial" w:hAnsi="Arial" w:cs="Arial"/>
          <w:bCs/>
          <w:sz w:val="20"/>
          <w:szCs w:val="20"/>
          <w:lang w:val="en-US"/>
        </w:rPr>
        <w:t>ational research infrastructure</w:t>
      </w:r>
      <w:r w:rsidRPr="00BA19C6">
        <w:rPr>
          <w:rFonts w:ascii="Arial" w:hAnsi="Arial" w:cs="Arial"/>
          <w:bCs/>
          <w:sz w:val="20"/>
          <w:szCs w:val="20"/>
          <w:lang w:val="en-US"/>
        </w:rPr>
        <w:t xml:space="preserve"> </w:t>
      </w:r>
    </w:p>
    <w:p w14:paraId="7AC20CAC" w14:textId="673999EB" w:rsidR="00BA19C6" w:rsidRPr="00BA19C6" w:rsidRDefault="000904B7" w:rsidP="00BA19C6">
      <w:pPr>
        <w:pStyle w:val="ListParagraph"/>
        <w:numPr>
          <w:ilvl w:val="0"/>
          <w:numId w:val="23"/>
        </w:numPr>
        <w:rPr>
          <w:rFonts w:ascii="Arial" w:hAnsi="Arial" w:cs="Arial"/>
          <w:bCs/>
          <w:sz w:val="20"/>
          <w:szCs w:val="20"/>
          <w:lang w:val="en-US"/>
        </w:rPr>
      </w:pPr>
      <w:r>
        <w:rPr>
          <w:rFonts w:ascii="Arial" w:hAnsi="Arial" w:cs="Arial"/>
          <w:bCs/>
          <w:sz w:val="20"/>
          <w:szCs w:val="20"/>
          <w:lang w:val="en-US"/>
        </w:rPr>
        <w:t>m</w:t>
      </w:r>
      <w:r w:rsidR="00BA19C6">
        <w:rPr>
          <w:rFonts w:ascii="Arial" w:hAnsi="Arial" w:cs="Arial"/>
          <w:bCs/>
          <w:sz w:val="20"/>
          <w:szCs w:val="20"/>
          <w:lang w:val="en-US"/>
        </w:rPr>
        <w:t xml:space="preserve">easures that deliver cutting </w:t>
      </w:r>
      <w:r w:rsidR="00BA19C6" w:rsidRPr="00BA19C6">
        <w:rPr>
          <w:rFonts w:ascii="Arial" w:hAnsi="Arial" w:cs="Arial"/>
          <w:bCs/>
          <w:sz w:val="20"/>
          <w:szCs w:val="20"/>
          <w:lang w:val="en-US"/>
        </w:rPr>
        <w:t>edge digital infrastructure, a new space agency, opportunities to skill our workforce and bo</w:t>
      </w:r>
      <w:r>
        <w:rPr>
          <w:rFonts w:ascii="Arial" w:hAnsi="Arial" w:cs="Arial"/>
          <w:bCs/>
          <w:sz w:val="20"/>
          <w:szCs w:val="20"/>
          <w:lang w:val="en-US"/>
        </w:rPr>
        <w:t>ost our export competitiveness</w:t>
      </w:r>
    </w:p>
    <w:p w14:paraId="430ECFF1" w14:textId="5137BE83" w:rsidR="00BA19C6" w:rsidRDefault="00BA19C6" w:rsidP="00AB445F">
      <w:pPr>
        <w:pStyle w:val="BodyText1"/>
        <w:spacing w:after="240"/>
        <w:jc w:val="left"/>
      </w:pPr>
      <w:r w:rsidRPr="003C6097">
        <w:t>These investments build on the</w:t>
      </w:r>
      <w:r w:rsidRPr="002B545A">
        <w:t xml:space="preserve"> $1.1 billion National Innovation and Science Agenda</w:t>
      </w:r>
      <w:r>
        <w:t xml:space="preserve"> (NISA)</w:t>
      </w:r>
      <w:r w:rsidRPr="002B545A">
        <w:t xml:space="preserve">, launched in 2015, </w:t>
      </w:r>
      <w:r>
        <w:t>which</w:t>
      </w:r>
      <w:r w:rsidRPr="00933989">
        <w:t xml:space="preserve"> sets a focus on science, research and innovation as a key long-term driver of economic prosperity, jobs and growth</w:t>
      </w:r>
      <w:r>
        <w:t xml:space="preserve">. The NISA </w:t>
      </w:r>
      <w:r w:rsidRPr="00933989">
        <w:t xml:space="preserve">is structured around four key pillars: culture and capital; collaboration; talent and skills; and government as exemplar. </w:t>
      </w:r>
      <w:r>
        <w:t xml:space="preserve">The </w:t>
      </w:r>
      <w:r w:rsidRPr="00933989">
        <w:t>NISA</w:t>
      </w:r>
      <w:r>
        <w:t> </w:t>
      </w:r>
      <w:r w:rsidRPr="00933989">
        <w:t>incl</w:t>
      </w:r>
      <w:r>
        <w:t>udes</w:t>
      </w:r>
      <w:r w:rsidRPr="00933989">
        <w:t xml:space="preserve"> measures to increase the supply of venture capital, commercialise more </w:t>
      </w:r>
      <w:r>
        <w:t>of Australia’s medical research;</w:t>
      </w:r>
      <w:r w:rsidRPr="00933989">
        <w:t xml:space="preserve"> increase the participation of women and girls in </w:t>
      </w:r>
      <w:r>
        <w:t>science, technology, engineering and mathematics (</w:t>
      </w:r>
      <w:r w:rsidRPr="00933989">
        <w:t>STEM</w:t>
      </w:r>
      <w:r>
        <w:t>),</w:t>
      </w:r>
      <w:r w:rsidRPr="00933989">
        <w:t xml:space="preserve"> and increase collaboration between researchers.</w:t>
      </w:r>
    </w:p>
    <w:p w14:paraId="0342FFD6" w14:textId="43FF0124" w:rsidR="00473386" w:rsidRPr="00933989" w:rsidRDefault="00473386" w:rsidP="00AB445F">
      <w:pPr>
        <w:pStyle w:val="BodyText1"/>
        <w:spacing w:after="240"/>
        <w:jc w:val="left"/>
      </w:pPr>
      <w:r w:rsidRPr="00933989">
        <w:t>These investments are underpinned by further support for infrastructure to improve productivity and connections with product markets. For instance, in the 2017-18 Budget, the Australian Government increased its investment in land transport infrastructure from $50 billion to $70 billion between 2013</w:t>
      </w:r>
      <w:r w:rsidRPr="00933989">
        <w:noBreakHyphen/>
        <w:t xml:space="preserve">14 and 2020-21. </w:t>
      </w:r>
    </w:p>
    <w:p w14:paraId="786993B3" w14:textId="7A81AAE0" w:rsidR="00473386" w:rsidRDefault="00473386" w:rsidP="00AB445F">
      <w:pPr>
        <w:pStyle w:val="BodyText1"/>
        <w:spacing w:after="240"/>
        <w:jc w:val="left"/>
      </w:pPr>
      <w:r w:rsidRPr="00933989">
        <w:t>Through an industry-led process</w:t>
      </w:r>
      <w:r w:rsidR="00F202B4">
        <w:t>,</w:t>
      </w:r>
      <w:r w:rsidRPr="00933989">
        <w:t xml:space="preserve"> the Industry Growth Centres Initiative aims to drive innovation, productivity and competitiveness. Under the Initiative, six independent not-for-profit Growth Centres have been established in industry sectors of competitive strength and strategic priority: </w:t>
      </w:r>
    </w:p>
    <w:p w14:paraId="0554222E" w14:textId="246F98FF" w:rsidR="00473386" w:rsidRPr="00F75424" w:rsidRDefault="000904B7" w:rsidP="00473386">
      <w:pPr>
        <w:pStyle w:val="ListParagraph"/>
        <w:numPr>
          <w:ilvl w:val="0"/>
          <w:numId w:val="23"/>
        </w:numPr>
        <w:rPr>
          <w:rFonts w:ascii="Arial" w:hAnsi="Arial" w:cs="Arial"/>
          <w:bCs/>
          <w:sz w:val="20"/>
          <w:szCs w:val="20"/>
          <w:lang w:val="en-US"/>
        </w:rPr>
      </w:pPr>
      <w:r>
        <w:rPr>
          <w:rFonts w:ascii="Arial" w:hAnsi="Arial" w:cs="Arial"/>
          <w:bCs/>
          <w:sz w:val="20"/>
          <w:szCs w:val="20"/>
          <w:lang w:val="en-US"/>
        </w:rPr>
        <w:t>a</w:t>
      </w:r>
      <w:r w:rsidR="00473386" w:rsidRPr="00F75424">
        <w:rPr>
          <w:rFonts w:ascii="Arial" w:hAnsi="Arial" w:cs="Arial"/>
          <w:bCs/>
          <w:sz w:val="20"/>
          <w:szCs w:val="20"/>
          <w:lang w:val="en-US"/>
        </w:rPr>
        <w:t xml:space="preserve">dvanced </w:t>
      </w:r>
      <w:r>
        <w:rPr>
          <w:rFonts w:ascii="Arial" w:hAnsi="Arial" w:cs="Arial"/>
          <w:bCs/>
          <w:sz w:val="20"/>
          <w:szCs w:val="20"/>
          <w:lang w:val="en-US"/>
        </w:rPr>
        <w:t>m</w:t>
      </w:r>
      <w:r w:rsidR="00473386" w:rsidRPr="00F75424">
        <w:rPr>
          <w:rFonts w:ascii="Arial" w:hAnsi="Arial" w:cs="Arial"/>
          <w:bCs/>
          <w:sz w:val="20"/>
          <w:szCs w:val="20"/>
          <w:lang w:val="en-US"/>
        </w:rPr>
        <w:t xml:space="preserve">anufacturing </w:t>
      </w:r>
    </w:p>
    <w:p w14:paraId="07B004C6" w14:textId="610C47DF" w:rsidR="00473386" w:rsidRPr="00F75424" w:rsidRDefault="000904B7" w:rsidP="00473386">
      <w:pPr>
        <w:pStyle w:val="ListParagraph"/>
        <w:numPr>
          <w:ilvl w:val="0"/>
          <w:numId w:val="23"/>
        </w:numPr>
        <w:rPr>
          <w:rFonts w:ascii="Arial" w:hAnsi="Arial" w:cs="Arial"/>
          <w:bCs/>
          <w:sz w:val="20"/>
          <w:szCs w:val="20"/>
          <w:lang w:val="en-US"/>
        </w:rPr>
      </w:pPr>
      <w:r>
        <w:rPr>
          <w:rFonts w:ascii="Arial" w:hAnsi="Arial" w:cs="Arial"/>
          <w:bCs/>
          <w:sz w:val="20"/>
          <w:szCs w:val="20"/>
          <w:lang w:val="en-US"/>
        </w:rPr>
        <w:t>c</w:t>
      </w:r>
      <w:r w:rsidR="00473386" w:rsidRPr="00F75424">
        <w:rPr>
          <w:rFonts w:ascii="Arial" w:hAnsi="Arial" w:cs="Arial"/>
          <w:bCs/>
          <w:sz w:val="20"/>
          <w:szCs w:val="20"/>
          <w:lang w:val="en-US"/>
        </w:rPr>
        <w:t xml:space="preserve">yber </w:t>
      </w:r>
      <w:r>
        <w:rPr>
          <w:rFonts w:ascii="Arial" w:hAnsi="Arial" w:cs="Arial"/>
          <w:bCs/>
          <w:sz w:val="20"/>
          <w:szCs w:val="20"/>
          <w:lang w:val="en-US"/>
        </w:rPr>
        <w:t>security</w:t>
      </w:r>
    </w:p>
    <w:p w14:paraId="06B3CD0A" w14:textId="7D78BD0A" w:rsidR="00473386" w:rsidRPr="00F75424" w:rsidRDefault="000904B7" w:rsidP="00473386">
      <w:pPr>
        <w:pStyle w:val="ListParagraph"/>
        <w:numPr>
          <w:ilvl w:val="0"/>
          <w:numId w:val="23"/>
        </w:numPr>
        <w:rPr>
          <w:rFonts w:ascii="Arial" w:hAnsi="Arial" w:cs="Arial"/>
          <w:bCs/>
          <w:sz w:val="20"/>
          <w:szCs w:val="20"/>
          <w:lang w:val="en-US"/>
        </w:rPr>
      </w:pPr>
      <w:r>
        <w:rPr>
          <w:rFonts w:ascii="Arial" w:hAnsi="Arial" w:cs="Arial"/>
          <w:bCs/>
          <w:sz w:val="20"/>
          <w:szCs w:val="20"/>
          <w:lang w:val="en-US"/>
        </w:rPr>
        <w:t>f</w:t>
      </w:r>
      <w:r w:rsidR="00473386" w:rsidRPr="00F75424">
        <w:rPr>
          <w:rFonts w:ascii="Arial" w:hAnsi="Arial" w:cs="Arial"/>
          <w:bCs/>
          <w:sz w:val="20"/>
          <w:szCs w:val="20"/>
          <w:lang w:val="en-US"/>
        </w:rPr>
        <w:t xml:space="preserve">ood and </w:t>
      </w:r>
      <w:r>
        <w:rPr>
          <w:rFonts w:ascii="Arial" w:hAnsi="Arial" w:cs="Arial"/>
          <w:bCs/>
          <w:sz w:val="20"/>
          <w:szCs w:val="20"/>
          <w:lang w:val="en-US"/>
        </w:rPr>
        <w:t>a</w:t>
      </w:r>
      <w:r w:rsidR="00473386" w:rsidRPr="00F75424">
        <w:rPr>
          <w:rFonts w:ascii="Arial" w:hAnsi="Arial" w:cs="Arial"/>
          <w:bCs/>
          <w:sz w:val="20"/>
          <w:szCs w:val="20"/>
          <w:lang w:val="en-US"/>
        </w:rPr>
        <w:t>gri</w:t>
      </w:r>
      <w:r>
        <w:rPr>
          <w:rFonts w:ascii="Arial" w:hAnsi="Arial" w:cs="Arial"/>
          <w:bCs/>
          <w:sz w:val="20"/>
          <w:szCs w:val="20"/>
          <w:lang w:val="en-US"/>
        </w:rPr>
        <w:t>business</w:t>
      </w:r>
    </w:p>
    <w:p w14:paraId="3ACDB972" w14:textId="2AB5455C" w:rsidR="00473386" w:rsidRPr="00F75424" w:rsidRDefault="000904B7" w:rsidP="00473386">
      <w:pPr>
        <w:pStyle w:val="ListParagraph"/>
        <w:numPr>
          <w:ilvl w:val="0"/>
          <w:numId w:val="23"/>
        </w:numPr>
        <w:rPr>
          <w:rFonts w:ascii="Arial" w:hAnsi="Arial" w:cs="Arial"/>
          <w:bCs/>
          <w:sz w:val="20"/>
          <w:szCs w:val="20"/>
          <w:lang w:val="en-US"/>
        </w:rPr>
      </w:pPr>
      <w:r>
        <w:rPr>
          <w:rFonts w:ascii="Arial" w:hAnsi="Arial" w:cs="Arial"/>
          <w:bCs/>
          <w:sz w:val="20"/>
          <w:szCs w:val="20"/>
          <w:lang w:val="en-US"/>
        </w:rPr>
        <w:t>m</w:t>
      </w:r>
      <w:r w:rsidR="00473386" w:rsidRPr="00F75424">
        <w:rPr>
          <w:rFonts w:ascii="Arial" w:hAnsi="Arial" w:cs="Arial"/>
          <w:bCs/>
          <w:sz w:val="20"/>
          <w:szCs w:val="20"/>
          <w:lang w:val="en-US"/>
        </w:rPr>
        <w:t xml:space="preserve">edical </w:t>
      </w:r>
      <w:r>
        <w:rPr>
          <w:rFonts w:ascii="Arial" w:hAnsi="Arial" w:cs="Arial"/>
          <w:bCs/>
          <w:sz w:val="20"/>
          <w:szCs w:val="20"/>
          <w:lang w:val="en-US"/>
        </w:rPr>
        <w:t>t</w:t>
      </w:r>
      <w:r w:rsidR="00473386" w:rsidRPr="00F75424">
        <w:rPr>
          <w:rFonts w:ascii="Arial" w:hAnsi="Arial" w:cs="Arial"/>
          <w:bCs/>
          <w:sz w:val="20"/>
          <w:szCs w:val="20"/>
          <w:lang w:val="en-US"/>
        </w:rPr>
        <w:t xml:space="preserve">echnologies and </w:t>
      </w:r>
      <w:r>
        <w:rPr>
          <w:rFonts w:ascii="Arial" w:hAnsi="Arial" w:cs="Arial"/>
          <w:bCs/>
          <w:sz w:val="20"/>
          <w:szCs w:val="20"/>
          <w:lang w:val="en-US"/>
        </w:rPr>
        <w:t>pharmaceuticals</w:t>
      </w:r>
    </w:p>
    <w:p w14:paraId="015028D4" w14:textId="22C6ACE7" w:rsidR="00473386" w:rsidRPr="00F75424" w:rsidRDefault="000904B7" w:rsidP="00473386">
      <w:pPr>
        <w:pStyle w:val="ListParagraph"/>
        <w:numPr>
          <w:ilvl w:val="0"/>
          <w:numId w:val="23"/>
        </w:numPr>
        <w:rPr>
          <w:rFonts w:ascii="Arial" w:hAnsi="Arial" w:cs="Arial"/>
          <w:bCs/>
          <w:sz w:val="20"/>
          <w:szCs w:val="20"/>
          <w:lang w:val="en-US"/>
        </w:rPr>
      </w:pPr>
      <w:r>
        <w:rPr>
          <w:rFonts w:ascii="Arial" w:hAnsi="Arial" w:cs="Arial"/>
          <w:bCs/>
          <w:sz w:val="20"/>
          <w:szCs w:val="20"/>
          <w:lang w:val="en-US"/>
        </w:rPr>
        <w:t>m</w:t>
      </w:r>
      <w:r w:rsidR="00473386" w:rsidRPr="00F75424">
        <w:rPr>
          <w:rFonts w:ascii="Arial" w:hAnsi="Arial" w:cs="Arial"/>
          <w:bCs/>
          <w:sz w:val="20"/>
          <w:szCs w:val="20"/>
          <w:lang w:val="en-US"/>
        </w:rPr>
        <w:t xml:space="preserve">ining </w:t>
      </w:r>
      <w:r>
        <w:rPr>
          <w:rFonts w:ascii="Arial" w:hAnsi="Arial" w:cs="Arial"/>
          <w:bCs/>
          <w:sz w:val="20"/>
          <w:szCs w:val="20"/>
          <w:lang w:val="en-US"/>
        </w:rPr>
        <w:t>e</w:t>
      </w:r>
      <w:r w:rsidR="00473386" w:rsidRPr="00F75424">
        <w:rPr>
          <w:rFonts w:ascii="Arial" w:hAnsi="Arial" w:cs="Arial"/>
          <w:bCs/>
          <w:sz w:val="20"/>
          <w:szCs w:val="20"/>
          <w:lang w:val="en-US"/>
        </w:rPr>
        <w:t xml:space="preserve">quipment, </w:t>
      </w:r>
      <w:r>
        <w:rPr>
          <w:rFonts w:ascii="Arial" w:hAnsi="Arial" w:cs="Arial"/>
          <w:bCs/>
          <w:sz w:val="20"/>
          <w:szCs w:val="20"/>
          <w:lang w:val="en-US"/>
        </w:rPr>
        <w:t>t</w:t>
      </w:r>
      <w:r w:rsidR="00473386" w:rsidRPr="00F75424">
        <w:rPr>
          <w:rFonts w:ascii="Arial" w:hAnsi="Arial" w:cs="Arial"/>
          <w:bCs/>
          <w:sz w:val="20"/>
          <w:szCs w:val="20"/>
          <w:lang w:val="en-US"/>
        </w:rPr>
        <w:t xml:space="preserve">echnology and </w:t>
      </w:r>
      <w:r>
        <w:rPr>
          <w:rFonts w:ascii="Arial" w:hAnsi="Arial" w:cs="Arial"/>
          <w:bCs/>
          <w:sz w:val="20"/>
          <w:szCs w:val="20"/>
          <w:lang w:val="en-US"/>
        </w:rPr>
        <w:t>s</w:t>
      </w:r>
      <w:r w:rsidR="00473386" w:rsidRPr="00F75424">
        <w:rPr>
          <w:rFonts w:ascii="Arial" w:hAnsi="Arial" w:cs="Arial"/>
          <w:bCs/>
          <w:sz w:val="20"/>
          <w:szCs w:val="20"/>
          <w:lang w:val="en-US"/>
        </w:rPr>
        <w:t xml:space="preserve">ervices </w:t>
      </w:r>
    </w:p>
    <w:p w14:paraId="6C398B7B" w14:textId="7FC608FF" w:rsidR="00473386" w:rsidRPr="00473386" w:rsidRDefault="000904B7" w:rsidP="001A2413">
      <w:pPr>
        <w:pStyle w:val="ListParagraph"/>
        <w:numPr>
          <w:ilvl w:val="0"/>
          <w:numId w:val="23"/>
        </w:numPr>
        <w:rPr>
          <w:rFonts w:ascii="Arial" w:hAnsi="Arial" w:cs="Arial"/>
          <w:bCs/>
          <w:sz w:val="20"/>
          <w:szCs w:val="20"/>
          <w:lang w:val="en-US"/>
        </w:rPr>
      </w:pPr>
      <w:r>
        <w:rPr>
          <w:rFonts w:ascii="Arial" w:hAnsi="Arial" w:cs="Arial"/>
          <w:bCs/>
          <w:sz w:val="20"/>
          <w:szCs w:val="20"/>
          <w:lang w:val="en-US"/>
        </w:rPr>
        <w:t>oil, g</w:t>
      </w:r>
      <w:r w:rsidR="00473386" w:rsidRPr="00F75424">
        <w:rPr>
          <w:rFonts w:ascii="Arial" w:hAnsi="Arial" w:cs="Arial"/>
          <w:bCs/>
          <w:sz w:val="20"/>
          <w:szCs w:val="20"/>
          <w:lang w:val="en-US"/>
        </w:rPr>
        <w:t xml:space="preserve">as and </w:t>
      </w:r>
      <w:r>
        <w:rPr>
          <w:rFonts w:ascii="Arial" w:hAnsi="Arial" w:cs="Arial"/>
          <w:bCs/>
          <w:sz w:val="20"/>
          <w:szCs w:val="20"/>
          <w:lang w:val="en-US"/>
        </w:rPr>
        <w:t>e</w:t>
      </w:r>
      <w:r w:rsidR="00473386" w:rsidRPr="00F75424">
        <w:rPr>
          <w:rFonts w:ascii="Arial" w:hAnsi="Arial" w:cs="Arial"/>
          <w:bCs/>
          <w:sz w:val="20"/>
          <w:szCs w:val="20"/>
          <w:lang w:val="en-US"/>
        </w:rPr>
        <w:t xml:space="preserve">nergy </w:t>
      </w:r>
      <w:r>
        <w:rPr>
          <w:rFonts w:ascii="Arial" w:hAnsi="Arial" w:cs="Arial"/>
          <w:bCs/>
          <w:sz w:val="20"/>
          <w:szCs w:val="20"/>
          <w:lang w:val="en-US"/>
        </w:rPr>
        <w:t>resources</w:t>
      </w:r>
    </w:p>
    <w:p w14:paraId="1DF87538" w14:textId="68FF7459" w:rsidR="00F202B4" w:rsidRDefault="00473386" w:rsidP="00AB445F">
      <w:pPr>
        <w:pStyle w:val="BodyText1"/>
        <w:spacing w:after="240"/>
        <w:jc w:val="left"/>
      </w:pPr>
      <w:r w:rsidRPr="008403BF">
        <w:t>Consistent with the G20 Entrepreneurship Action Plan</w:t>
      </w:r>
      <w:r w:rsidR="0094228F">
        <w:t xml:space="preserve"> agreed in 2016</w:t>
      </w:r>
      <w:r w:rsidRPr="008403BF">
        <w:t>, the Australian Government is implementing a range of measures to encourage entrepreneurship and innovation, in addition to existing policies and programs.</w:t>
      </w:r>
      <w:r>
        <w:t xml:space="preserve"> </w:t>
      </w:r>
    </w:p>
    <w:p w14:paraId="2BFA8404" w14:textId="4DE0576F" w:rsidR="00BE331A" w:rsidRPr="008403BF" w:rsidRDefault="00BE331A" w:rsidP="00AB445F">
      <w:pPr>
        <w:pStyle w:val="BodyText1"/>
        <w:spacing w:after="240"/>
        <w:jc w:val="left"/>
      </w:pPr>
      <w:r>
        <w:t>New Business Assistance with NEIS</w:t>
      </w:r>
      <w:r>
        <w:rPr>
          <w:rStyle w:val="FootnoteReference"/>
        </w:rPr>
        <w:footnoteReference w:id="1"/>
      </w:r>
      <w:r w:rsidRPr="008403BF">
        <w:t xml:space="preserve"> helps people to start and run their own small business by providing accredited small business training, business mentoring and advice. The </w:t>
      </w:r>
      <w:r>
        <w:t>program</w:t>
      </w:r>
      <w:r w:rsidR="003B69CB">
        <w:t xml:space="preserve"> is</w:t>
      </w:r>
      <w:r w:rsidR="0036666A">
        <w:t xml:space="preserve"> </w:t>
      </w:r>
      <w:r w:rsidR="003B69CB" w:rsidRPr="00E91C88">
        <w:t>delivered across most of Australia</w:t>
      </w:r>
      <w:r w:rsidRPr="00E91C88">
        <w:t xml:space="preserve"> by a network of organisations including Business Enterprise Centres, technical and further education institutes, community organisations and private sector businesses.</w:t>
      </w:r>
    </w:p>
    <w:p w14:paraId="78048666" w14:textId="2552167B" w:rsidR="0012078C" w:rsidRDefault="00BE331A" w:rsidP="00AB445F">
      <w:pPr>
        <w:pStyle w:val="BodyText1"/>
        <w:spacing w:after="240"/>
        <w:jc w:val="left"/>
      </w:pPr>
      <w:r w:rsidRPr="008403BF">
        <w:t xml:space="preserve">In the 2018-19 Budget, the Government announced the expansion of the Entrepreneurship Facilitators </w:t>
      </w:r>
      <w:r>
        <w:t>initiative</w:t>
      </w:r>
      <w:r w:rsidRPr="008403BF">
        <w:t xml:space="preserve"> to an additional 20 locations to promote self-employment among </w:t>
      </w:r>
      <w:r>
        <w:t>mature age</w:t>
      </w:r>
      <w:r w:rsidRPr="008403BF">
        <w:t xml:space="preserve"> Australians. The facilitators bring together available services and programs, and provide practical assistance to people in those locations to help them develop their ideas into successful businesses. Facilitators offer mentoring and business support, engage with relevant community organisations to increase awareness of the opportunities available through self-employment and refer participants to the most appropriate assistance available in the region, including </w:t>
      </w:r>
      <w:r>
        <w:t xml:space="preserve">New Business Assistance with NEIS. </w:t>
      </w:r>
      <w:r w:rsidRPr="008403BF">
        <w:t xml:space="preserve">The three existing facilitators, introduced in 2016, have had a focus on young people and </w:t>
      </w:r>
      <w:r>
        <w:t xml:space="preserve">assisted </w:t>
      </w:r>
      <w:r w:rsidRPr="008403BF">
        <w:t xml:space="preserve">over </w:t>
      </w:r>
      <w:r>
        <w:t>23,000</w:t>
      </w:r>
      <w:r w:rsidRPr="008403BF">
        <w:t xml:space="preserve"> people </w:t>
      </w:r>
      <w:r>
        <w:t>since December 2016</w:t>
      </w:r>
      <w:r w:rsidRPr="008403BF">
        <w:t>.</w:t>
      </w:r>
    </w:p>
    <w:p w14:paraId="412C2838" w14:textId="689929E1" w:rsidR="00DB02D5" w:rsidRPr="008128F2" w:rsidRDefault="008128F2" w:rsidP="00AB445F">
      <w:pPr>
        <w:pStyle w:val="BodyText1"/>
        <w:spacing w:after="240"/>
        <w:jc w:val="left"/>
      </w:pPr>
      <w:bookmarkStart w:id="17" w:name="_Toc452625217"/>
      <w:bookmarkStart w:id="18" w:name="_Toc458449912"/>
      <w:bookmarkStart w:id="19" w:name="_Toc486599748"/>
      <w:r>
        <w:t xml:space="preserve">The Government is delivering policies to incentivise and grow Indigenous businesses, entrepreneurship and access to diverse markets. Since 2015 the Government has delivered the </w:t>
      </w:r>
      <w:r w:rsidRPr="008128F2">
        <w:t>Indigenous Procurement Policy (IPP) to leverage the Commonwealth’s annual multi-billion procurement spend to drive demand for Indigenous goods and services, stimulate Indigenous economic development and grow the Indigenous business sector. Since its inception</w:t>
      </w:r>
      <w:r>
        <w:t>,</w:t>
      </w:r>
      <w:r w:rsidRPr="008128F2">
        <w:t xml:space="preserve"> the IPP has seen over 1,000 Indigenous businesses win Australian Government contracts worth more than $1</w:t>
      </w:r>
      <w:r>
        <w:t> </w:t>
      </w:r>
      <w:r w:rsidRPr="008128F2">
        <w:t xml:space="preserve">billion. This year the Government launched its 10 year Indigenous Business Sector </w:t>
      </w:r>
      <w:r w:rsidR="0036666A">
        <w:t xml:space="preserve">Strategy </w:t>
      </w:r>
      <w:r w:rsidRPr="008128F2">
        <w:t>which will further support a vibrant and thriving Indigenous business sector across Australia, including remote Australia</w:t>
      </w:r>
      <w:r w:rsidR="0036666A">
        <w:t>.</w:t>
      </w:r>
      <w:r w:rsidR="00DB02D5">
        <w:br w:type="page"/>
      </w:r>
    </w:p>
    <w:p w14:paraId="6D9F3D01" w14:textId="0B7FCEC6" w:rsidR="0044650D" w:rsidRPr="0044650D" w:rsidRDefault="0044650D" w:rsidP="00A965E2">
      <w:pPr>
        <w:pStyle w:val="Heading2"/>
      </w:pPr>
      <w:bookmarkStart w:id="20" w:name="_Toc532892423"/>
      <w:r w:rsidRPr="0044650D">
        <w:t>Labour markets and social protection</w:t>
      </w:r>
      <w:bookmarkEnd w:id="17"/>
      <w:bookmarkEnd w:id="18"/>
      <w:bookmarkEnd w:id="19"/>
      <w:bookmarkEnd w:id="20"/>
    </w:p>
    <w:p w14:paraId="16B5FDD3" w14:textId="77777777" w:rsidR="0044650D" w:rsidRPr="00416168" w:rsidRDefault="0044650D" w:rsidP="00A965E2">
      <w:pPr>
        <w:pStyle w:val="Heading3"/>
      </w:pPr>
      <w:bookmarkStart w:id="21" w:name="_Toc452625218"/>
      <w:bookmarkStart w:id="22" w:name="_Toc458449913"/>
      <w:r w:rsidRPr="00416168">
        <w:t>Labour market regulation</w:t>
      </w:r>
      <w:bookmarkEnd w:id="21"/>
      <w:bookmarkEnd w:id="22"/>
      <w:r w:rsidR="00E422E1">
        <w:t xml:space="preserve"> </w:t>
      </w:r>
    </w:p>
    <w:p w14:paraId="3C882ABF" w14:textId="77777777" w:rsidR="00391E9C" w:rsidRDefault="00726A67" w:rsidP="00921DB9">
      <w:pPr>
        <w:pStyle w:val="BodyText1"/>
        <w:spacing w:after="240"/>
        <w:jc w:val="left"/>
      </w:pPr>
      <w:r w:rsidRPr="00DA666C">
        <w:t xml:space="preserve">Australia has a safety net of ten National Employment Standards set out in the </w:t>
      </w:r>
      <w:r w:rsidRPr="00DA666C">
        <w:rPr>
          <w:i/>
        </w:rPr>
        <w:t xml:space="preserve">Fair Work Act 2009, </w:t>
      </w:r>
      <w:r w:rsidRPr="00DA666C">
        <w:t>modern awards and national minimum wage orders, providing basic pay and conditions for employees in the national workplace relations system. The system is overseen by an independent body</w:t>
      </w:r>
      <w:r w:rsidR="00391E9C">
        <w:t xml:space="preserve">, the </w:t>
      </w:r>
      <w:r w:rsidRPr="00DA666C">
        <w:t>Fair Work Commission</w:t>
      </w:r>
      <w:r w:rsidR="00391E9C">
        <w:t>,</w:t>
      </w:r>
      <w:r w:rsidRPr="00DA666C">
        <w:t xml:space="preserve"> which sets the national minimu</w:t>
      </w:r>
      <w:r w:rsidR="00391E9C">
        <w:t xml:space="preserve">m wage as well as modern award </w:t>
      </w:r>
      <w:r w:rsidRPr="00DA666C">
        <w:t>wages and working conditions in awards. The Commission can also act as an arbiter in industrial disputes.</w:t>
      </w:r>
    </w:p>
    <w:p w14:paraId="453A5EEB" w14:textId="4F54A3F1" w:rsidR="00726A67" w:rsidRDefault="00726A67" w:rsidP="00921DB9">
      <w:pPr>
        <w:pStyle w:val="BodyText1"/>
        <w:spacing w:after="240"/>
        <w:jc w:val="left"/>
      </w:pPr>
      <w:r w:rsidRPr="00DA666C">
        <w:t xml:space="preserve">Employers and employees can collectively bargain for enterprise agreements that leave employees better off overall in comparison </w:t>
      </w:r>
      <w:r w:rsidR="00391E9C">
        <w:t xml:space="preserve">with </w:t>
      </w:r>
      <w:r w:rsidRPr="00DA666C">
        <w:t>modern awards. The approach of decentralised bargaining between employers and employees underpinned by a safety net and an independent umpire has the benefit of allowing individual businesses to establish agreements that suit their specific circumstances, while providing employees with protections in the labour market.</w:t>
      </w:r>
    </w:p>
    <w:p w14:paraId="0B442F58" w14:textId="15C9E070" w:rsidR="000C7B24" w:rsidRPr="000C7B24" w:rsidRDefault="000C7B24" w:rsidP="00921DB9">
      <w:pPr>
        <w:pStyle w:val="BodyText1"/>
        <w:spacing w:after="240"/>
        <w:jc w:val="left"/>
      </w:pPr>
      <w:r>
        <w:t xml:space="preserve">The Fair Work Ombudsman (FWO) enforces compliance with the </w:t>
      </w:r>
      <w:r>
        <w:rPr>
          <w:i/>
        </w:rPr>
        <w:t>Fair Work Act 2009</w:t>
      </w:r>
      <w:r>
        <w:t>, related legislation</w:t>
      </w:r>
      <w:r w:rsidR="00726A67" w:rsidRPr="00990D03">
        <w:t>, modern awards</w:t>
      </w:r>
      <w:r w:rsidRPr="00990D03">
        <w:t xml:space="preserve"> and regi</w:t>
      </w:r>
      <w:r w:rsidR="007751A9" w:rsidRPr="00990D03">
        <w:t>stered</w:t>
      </w:r>
      <w:r w:rsidR="007751A9">
        <w:t xml:space="preserve"> agreements. The FWO </w:t>
      </w:r>
      <w:r>
        <w:t xml:space="preserve">plays a key role in providing advice and education on pay rates and workplace conditions to employers and employees </w:t>
      </w:r>
      <w:r w:rsidR="006D5E15">
        <w:t>to help them understand their</w:t>
      </w:r>
      <w:r>
        <w:t xml:space="preserve"> rights and obligations.</w:t>
      </w:r>
      <w:r w:rsidR="00192439">
        <w:t xml:space="preserve"> Additional funding of </w:t>
      </w:r>
      <w:r w:rsidR="00192439" w:rsidRPr="00AE44E5">
        <w:t>$20.1 million has been provided to the F</w:t>
      </w:r>
      <w:r w:rsidR="00391E9C">
        <w:t xml:space="preserve">WO </w:t>
      </w:r>
      <w:r w:rsidR="00192439" w:rsidRPr="00AE44E5">
        <w:t>over four years from 2016-17</w:t>
      </w:r>
      <w:r w:rsidR="00391E9C">
        <w:t xml:space="preserve"> </w:t>
      </w:r>
      <w:r w:rsidR="00192439" w:rsidRPr="00AE44E5">
        <w:t xml:space="preserve">to boost </w:t>
      </w:r>
      <w:r w:rsidR="00391E9C">
        <w:t xml:space="preserve">its </w:t>
      </w:r>
      <w:r w:rsidR="00192439" w:rsidRPr="00AE44E5">
        <w:t xml:space="preserve">resources and capabilities </w:t>
      </w:r>
      <w:r w:rsidR="00391E9C">
        <w:t xml:space="preserve">to lift </w:t>
      </w:r>
      <w:r w:rsidR="00192439" w:rsidRPr="00AE44E5">
        <w:t>the level of compliance with workplace laws.</w:t>
      </w:r>
    </w:p>
    <w:p w14:paraId="6114D8BF" w14:textId="043AA4A4" w:rsidR="00726A67" w:rsidRDefault="00726A67" w:rsidP="00921DB9">
      <w:pPr>
        <w:pStyle w:val="BodyText1"/>
        <w:spacing w:after="240"/>
        <w:jc w:val="left"/>
        <w:rPr>
          <w:lang w:eastAsia="en-AU"/>
        </w:rPr>
      </w:pPr>
      <w:r w:rsidRPr="006B0914">
        <w:t xml:space="preserve">Australia routinely reviews and updates its employment laws to ensure appropriate protections and sufficient flexibility for business. </w:t>
      </w:r>
      <w:r w:rsidR="00391E9C">
        <w:t xml:space="preserve">Recent </w:t>
      </w:r>
      <w:r w:rsidR="00391E9C">
        <w:rPr>
          <w:lang w:eastAsia="en-AU"/>
        </w:rPr>
        <w:t>m</w:t>
      </w:r>
      <w:r w:rsidRPr="006B0914">
        <w:rPr>
          <w:lang w:eastAsia="en-AU"/>
        </w:rPr>
        <w:t>easures taken by the Australian Government to protect vulnerable workers include:</w:t>
      </w:r>
    </w:p>
    <w:p w14:paraId="77CBFF4F" w14:textId="18E76554" w:rsidR="00726A67" w:rsidRPr="006B0914" w:rsidRDefault="00726A67" w:rsidP="001A2413">
      <w:pPr>
        <w:pStyle w:val="BodyText1"/>
        <w:numPr>
          <w:ilvl w:val="0"/>
          <w:numId w:val="4"/>
        </w:numPr>
        <w:jc w:val="left"/>
        <w:rPr>
          <w:lang w:eastAsia="en-AU"/>
        </w:rPr>
      </w:pPr>
      <w:r w:rsidRPr="006B0914">
        <w:rPr>
          <w:lang w:eastAsia="en-AU"/>
        </w:rPr>
        <w:t>higher penalties (up to 10 times the previous amount) for ‘serious contravention</w:t>
      </w:r>
      <w:r w:rsidR="00391E9C">
        <w:rPr>
          <w:lang w:eastAsia="en-AU"/>
        </w:rPr>
        <w:t>s’ of prescribed workplace laws</w:t>
      </w:r>
      <w:r w:rsidRPr="006B0914">
        <w:rPr>
          <w:lang w:eastAsia="en-AU"/>
        </w:rPr>
        <w:t xml:space="preserve"> </w:t>
      </w:r>
    </w:p>
    <w:p w14:paraId="680E776D" w14:textId="112C926A" w:rsidR="00726A67" w:rsidRPr="006B0914" w:rsidRDefault="00726A67" w:rsidP="001A2413">
      <w:pPr>
        <w:pStyle w:val="BodyText1"/>
        <w:numPr>
          <w:ilvl w:val="0"/>
          <w:numId w:val="4"/>
        </w:numPr>
        <w:jc w:val="left"/>
        <w:rPr>
          <w:lang w:eastAsia="en-AU"/>
        </w:rPr>
      </w:pPr>
      <w:r w:rsidRPr="006B0914">
        <w:rPr>
          <w:lang w:eastAsia="en-AU"/>
        </w:rPr>
        <w:t xml:space="preserve">strengthening the </w:t>
      </w:r>
      <w:r w:rsidR="00391E9C">
        <w:rPr>
          <w:lang w:eastAsia="en-AU"/>
        </w:rPr>
        <w:t>FWO’s evidence gathering powers</w:t>
      </w:r>
    </w:p>
    <w:p w14:paraId="0E088903" w14:textId="0053885B" w:rsidR="00726A67" w:rsidRPr="006B0914" w:rsidRDefault="00726A67" w:rsidP="00921DB9">
      <w:pPr>
        <w:pStyle w:val="BodyText1"/>
        <w:numPr>
          <w:ilvl w:val="0"/>
          <w:numId w:val="4"/>
        </w:numPr>
        <w:spacing w:after="240"/>
        <w:jc w:val="left"/>
        <w:rPr>
          <w:lang w:eastAsia="en-AU"/>
        </w:rPr>
      </w:pPr>
      <w:r w:rsidRPr="006B0914">
        <w:rPr>
          <w:lang w:eastAsia="en-AU"/>
        </w:rPr>
        <w:t xml:space="preserve">establishing </w:t>
      </w:r>
      <w:r w:rsidRPr="006B0914">
        <w:t>the inter-agency Migrant Workers’ Taskforce to ensure strong collaboration and a whole</w:t>
      </w:r>
      <w:r w:rsidR="00391E9C">
        <w:noBreakHyphen/>
      </w:r>
      <w:r w:rsidRPr="006B0914">
        <w:t>of</w:t>
      </w:r>
      <w:r w:rsidR="00391E9C">
        <w:noBreakHyphen/>
      </w:r>
      <w:r w:rsidRPr="006B0914">
        <w:t xml:space="preserve">government approach to addressing </w:t>
      </w:r>
      <w:r w:rsidR="007E6389">
        <w:t xml:space="preserve">exploitation of </w:t>
      </w:r>
      <w:r w:rsidRPr="006B0914">
        <w:t>migrant worker</w:t>
      </w:r>
      <w:r w:rsidR="00E2209F">
        <w:t>s</w:t>
      </w:r>
    </w:p>
    <w:p w14:paraId="48E29D93" w14:textId="77777777" w:rsidR="0044650D" w:rsidRDefault="0044650D" w:rsidP="00A965E2">
      <w:pPr>
        <w:pStyle w:val="Heading3"/>
      </w:pPr>
      <w:bookmarkStart w:id="23" w:name="_Toc452625219"/>
      <w:bookmarkStart w:id="24" w:name="_Toc458449914"/>
      <w:r w:rsidRPr="006B0914">
        <w:t>Workplace safety</w:t>
      </w:r>
      <w:bookmarkEnd w:id="23"/>
      <w:bookmarkEnd w:id="24"/>
    </w:p>
    <w:p w14:paraId="4A9C3F41" w14:textId="707DAC04" w:rsidR="00C10F34" w:rsidRPr="00A965E2" w:rsidRDefault="00C10F34" w:rsidP="0097035E">
      <w:pPr>
        <w:pStyle w:val="BodyText1"/>
        <w:spacing w:after="240"/>
        <w:jc w:val="left"/>
        <w:rPr>
          <w:rFonts w:cs="Calibri"/>
          <w:color w:val="1F4E79" w:themeColor="accent1" w:themeShade="80"/>
        </w:rPr>
      </w:pPr>
      <w:bookmarkStart w:id="25" w:name="_Toc452625220"/>
      <w:bookmarkStart w:id="26" w:name="_Toc458449915"/>
      <w:r w:rsidRPr="00A965E2">
        <w:t>Australia has a range of work health and safety (WHS) bodies focused on improving WHS outcomes. WHS laws operate</w:t>
      </w:r>
      <w:r w:rsidR="007E6389" w:rsidRPr="00A965E2">
        <w:t xml:space="preserve"> within a national framework</w:t>
      </w:r>
      <w:r w:rsidRPr="00A965E2">
        <w:t xml:space="preserve"> and generally apply to workers in all industries and to all areas of employment. Actions to </w:t>
      </w:r>
      <w:r w:rsidRPr="00A965E2">
        <w:rPr>
          <w:rFonts w:cs="Calibri"/>
        </w:rPr>
        <w:t>improve WHS in Australia are guided by the Australian Work Health and Safety Strategy 2012-2022 (Australian Strategy).</w:t>
      </w:r>
      <w:r w:rsidRPr="00A965E2">
        <w:rPr>
          <w:rStyle w:val="FootnoteReference"/>
          <w:rFonts w:cs="Calibri"/>
        </w:rPr>
        <w:footnoteReference w:id="2"/>
      </w:r>
      <w:r w:rsidRPr="00A965E2">
        <w:rPr>
          <w:rFonts w:cs="Calibri"/>
        </w:rPr>
        <w:t xml:space="preserve"> </w:t>
      </w:r>
    </w:p>
    <w:p w14:paraId="074B5AA4" w14:textId="120A1CEF" w:rsidR="00C10F34" w:rsidRPr="00A965E2" w:rsidRDefault="005C4A3E" w:rsidP="0097035E">
      <w:pPr>
        <w:pStyle w:val="BodyText1"/>
        <w:spacing w:after="240"/>
        <w:jc w:val="left"/>
      </w:pPr>
      <w:r w:rsidRPr="00A965E2">
        <w:t>Australia has steadily improved its work health and safety performance over the last decade (Chart 2). Between 2007 and 2017, there was a 48 per cent decrease in the incidence rate of traumatic injury fatalities. The rate of serious workers’ compensation claims for injury and disease has also declined by 38 per cent, from 16.3 claims per 1000 employees in 2000-01 to 9.5 cl</w:t>
      </w:r>
      <w:r w:rsidR="00C61813" w:rsidRPr="00A965E2">
        <w:t>aims per 1000 employees in 2015-</w:t>
      </w:r>
      <w:r w:rsidRPr="00A965E2">
        <w:t>16.</w:t>
      </w:r>
    </w:p>
    <w:p w14:paraId="20FC4E93" w14:textId="3A70D8F3" w:rsidR="00A965E2" w:rsidRDefault="00A965E2" w:rsidP="00A965E2">
      <w:pPr>
        <w:pStyle w:val="Caption"/>
        <w:keepNext/>
        <w:jc w:val="center"/>
      </w:pPr>
      <w:r>
        <w:t xml:space="preserve">Chart </w:t>
      </w:r>
      <w:r w:rsidR="00A47169">
        <w:rPr>
          <w:noProof/>
        </w:rPr>
        <w:fldChar w:fldCharType="begin"/>
      </w:r>
      <w:r w:rsidR="00A47169">
        <w:rPr>
          <w:noProof/>
        </w:rPr>
        <w:instrText xml:space="preserve"> SEQ Chart \* ARABIC </w:instrText>
      </w:r>
      <w:r w:rsidR="00A47169">
        <w:rPr>
          <w:noProof/>
        </w:rPr>
        <w:fldChar w:fldCharType="separate"/>
      </w:r>
      <w:r w:rsidR="00293561">
        <w:rPr>
          <w:noProof/>
        </w:rPr>
        <w:t>2</w:t>
      </w:r>
      <w:r w:rsidR="00A47169">
        <w:rPr>
          <w:noProof/>
        </w:rPr>
        <w:fldChar w:fldCharType="end"/>
      </w:r>
      <w:r>
        <w:t xml:space="preserve">: </w:t>
      </w:r>
      <w:r w:rsidRPr="00367014">
        <w:t>Worker fatalities: number of fatalities and fatality rate, 2003 to 2017</w:t>
      </w:r>
    </w:p>
    <w:p w14:paraId="16733153" w14:textId="39256AC3" w:rsidR="00C10F34" w:rsidRPr="001A2413" w:rsidRDefault="00772316" w:rsidP="00440D89">
      <w:pPr>
        <w:pStyle w:val="BodyText1"/>
        <w:jc w:val="center"/>
      </w:pPr>
      <w:r w:rsidRPr="00772316">
        <w:rPr>
          <w:noProof/>
          <w:lang w:val="en-AU" w:eastAsia="en-AU"/>
        </w:rPr>
        <w:drawing>
          <wp:inline distT="0" distB="0" distL="0" distR="0" wp14:anchorId="51F17419" wp14:editId="4588F667">
            <wp:extent cx="4614333" cy="3027278"/>
            <wp:effectExtent l="0" t="0" r="0" b="1905"/>
            <wp:docPr id="3" name="Picture 3" descr="The chart displays the number of fatalities and the rate of fatalities per 100,000 workers. Both series have largely been in decline between 2003 and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25398" cy="3034537"/>
                    </a:xfrm>
                    <a:prstGeom prst="rect">
                      <a:avLst/>
                    </a:prstGeom>
                    <a:noFill/>
                    <a:ln>
                      <a:noFill/>
                    </a:ln>
                  </pic:spPr>
                </pic:pic>
              </a:graphicData>
            </a:graphic>
          </wp:inline>
        </w:drawing>
      </w:r>
    </w:p>
    <w:p w14:paraId="5C380B9A" w14:textId="4CDCAC92" w:rsidR="00C10F34" w:rsidRPr="00C42D8D" w:rsidRDefault="00C10F34" w:rsidP="00293561">
      <w:pPr>
        <w:pStyle w:val="Source"/>
      </w:pPr>
      <w:r w:rsidRPr="00C42D8D">
        <w:t>Source: Safe Work Australia, Work-related Traumatic Injury Fatalities Australia, 201</w:t>
      </w:r>
      <w:r w:rsidR="000F4A41">
        <w:t>7</w:t>
      </w:r>
    </w:p>
    <w:p w14:paraId="577DED0C" w14:textId="334FC225" w:rsidR="0032690A" w:rsidRPr="00A965E2" w:rsidRDefault="0032690A" w:rsidP="00C42A57">
      <w:pPr>
        <w:pStyle w:val="BodyText1"/>
        <w:spacing w:before="240" w:after="240"/>
        <w:jc w:val="left"/>
        <w:rPr>
          <w:rFonts w:cs="Calibri"/>
          <w:lang w:val="en"/>
        </w:rPr>
      </w:pPr>
      <w:r w:rsidRPr="00A965E2">
        <w:rPr>
          <w:rFonts w:cs="Calibri"/>
          <w:lang w:val="en"/>
        </w:rPr>
        <w:t xml:space="preserve">Australia has introduced a range of measures to improve WHS, in </w:t>
      </w:r>
      <w:r w:rsidR="00C10F34" w:rsidRPr="00A965E2">
        <w:rPr>
          <w:rFonts w:cs="Calibri"/>
          <w:lang w:val="en"/>
        </w:rPr>
        <w:t>line with the G20 Statement on Safer and Healthier Workplaces adopted in 2014</w:t>
      </w:r>
      <w:r w:rsidRPr="00A965E2">
        <w:rPr>
          <w:rFonts w:cs="Calibri"/>
          <w:lang w:val="en"/>
        </w:rPr>
        <w:t>:</w:t>
      </w:r>
      <w:r w:rsidR="00C10F34" w:rsidRPr="00A965E2">
        <w:rPr>
          <w:rFonts w:cs="Calibri"/>
          <w:lang w:val="en"/>
        </w:rPr>
        <w:t xml:space="preserve"> </w:t>
      </w:r>
    </w:p>
    <w:p w14:paraId="2A4CD799" w14:textId="1FACFA23" w:rsidR="0032690A" w:rsidRPr="00A965E2" w:rsidRDefault="00C10F34" w:rsidP="001A2413">
      <w:pPr>
        <w:pStyle w:val="BodyText1"/>
        <w:numPr>
          <w:ilvl w:val="0"/>
          <w:numId w:val="27"/>
        </w:numPr>
        <w:jc w:val="left"/>
        <w:rPr>
          <w:lang w:val="en"/>
        </w:rPr>
      </w:pPr>
      <w:r w:rsidRPr="00A965E2">
        <w:rPr>
          <w:b/>
          <w:lang w:val="en-AU"/>
        </w:rPr>
        <w:t>Ongoing assessments and effective incentives and advisory services provided by national safety and health bodies</w:t>
      </w:r>
      <w:r w:rsidR="0032690A" w:rsidRPr="00A965E2">
        <w:rPr>
          <w:b/>
          <w:lang w:val="en-AU"/>
        </w:rPr>
        <w:t xml:space="preserve"> </w:t>
      </w:r>
      <w:r w:rsidR="0032690A" w:rsidRPr="00A965E2">
        <w:rPr>
          <w:b/>
          <w:lang w:val="en-AU"/>
        </w:rPr>
        <w:softHyphen/>
      </w:r>
      <w:r w:rsidR="0094228F" w:rsidRPr="00A965E2">
        <w:rPr>
          <w:b/>
          <w:lang w:val="en-AU"/>
        </w:rPr>
        <w:t>–</w:t>
      </w:r>
      <w:r w:rsidR="0032690A" w:rsidRPr="00A965E2">
        <w:rPr>
          <w:b/>
          <w:lang w:val="en-AU"/>
        </w:rPr>
        <w:t xml:space="preserve">  </w:t>
      </w:r>
      <w:r w:rsidRPr="00A965E2">
        <w:t xml:space="preserve">Safe Work Australia </w:t>
      </w:r>
      <w:r w:rsidR="00CC623B" w:rsidRPr="00A965E2">
        <w:t xml:space="preserve">(SWA) </w:t>
      </w:r>
      <w:r w:rsidRPr="00A965E2">
        <w:t xml:space="preserve">is Australia’s national WHS policy body which works in partnership with governments, employers and employees to drive national policy development on WHS and workers’ compensation. </w:t>
      </w:r>
      <w:hyperlink r:id="rId18" w:anchor="WHS" w:history="1">
        <w:r w:rsidRPr="00A965E2">
          <w:t>WHS</w:t>
        </w:r>
      </w:hyperlink>
      <w:r w:rsidRPr="00A965E2">
        <w:t xml:space="preserve"> regulators in the Commonwealth and in each state and territory are responsible for regulating and enforcing the laws in their jurisdictions. </w:t>
      </w:r>
    </w:p>
    <w:p w14:paraId="52491B8B" w14:textId="705C67FB" w:rsidR="00C10F34" w:rsidRPr="00A965E2" w:rsidRDefault="00C10F34" w:rsidP="001A2413">
      <w:pPr>
        <w:pStyle w:val="BodyText1"/>
        <w:numPr>
          <w:ilvl w:val="0"/>
          <w:numId w:val="27"/>
        </w:numPr>
        <w:jc w:val="left"/>
        <w:rPr>
          <w:lang w:val="en"/>
        </w:rPr>
      </w:pPr>
      <w:r w:rsidRPr="00A965E2">
        <w:rPr>
          <w:b/>
          <w:lang w:val="en-AU"/>
        </w:rPr>
        <w:t>Strengthened legislation and resource for prevention and compensation, training, compliance assistance and enforcement efforts</w:t>
      </w:r>
      <w:r w:rsidR="0032690A" w:rsidRPr="00A965E2">
        <w:rPr>
          <w:b/>
          <w:lang w:val="en-AU"/>
        </w:rPr>
        <w:t xml:space="preserve"> </w:t>
      </w:r>
      <w:r w:rsidR="0094228F" w:rsidRPr="00A965E2">
        <w:rPr>
          <w:b/>
          <w:lang w:val="en-AU"/>
        </w:rPr>
        <w:t>–</w:t>
      </w:r>
      <w:r w:rsidR="0032690A" w:rsidRPr="00A965E2">
        <w:rPr>
          <w:b/>
          <w:lang w:val="en-AU"/>
        </w:rPr>
        <w:t xml:space="preserve"> </w:t>
      </w:r>
      <w:r w:rsidRPr="00A965E2">
        <w:t>In 2011, S</w:t>
      </w:r>
      <w:r w:rsidR="00CC623B" w:rsidRPr="00A965E2">
        <w:t xml:space="preserve">WA </w:t>
      </w:r>
      <w:r w:rsidRPr="00A965E2">
        <w:t xml:space="preserve">developed a single set of model </w:t>
      </w:r>
      <w:hyperlink r:id="rId19" w:anchor="WHS" w:history="1">
        <w:r w:rsidRPr="00A965E2">
          <w:t>WHS</w:t>
        </w:r>
      </w:hyperlink>
      <w:r w:rsidRPr="00A965E2">
        <w:t xml:space="preserve"> laws to be implemented across Australia. The</w:t>
      </w:r>
      <w:hyperlink r:id="rId20" w:anchor="model_WHS_laws" w:history="1">
        <w:r w:rsidRPr="00A965E2">
          <w:t xml:space="preserve"> laws</w:t>
        </w:r>
      </w:hyperlink>
      <w:r w:rsidRPr="00A965E2">
        <w:t xml:space="preserve"> include the model WHS Act, the </w:t>
      </w:r>
      <w:hyperlink r:id="rId21" w:anchor="model_WHS_Regulations" w:history="1">
        <w:r w:rsidRPr="00A965E2">
          <w:t>model WHS Regulations</w:t>
        </w:r>
      </w:hyperlink>
      <w:r w:rsidRPr="00A965E2">
        <w:t xml:space="preserve">, and </w:t>
      </w:r>
      <w:hyperlink r:id="rId22" w:history="1">
        <w:r w:rsidRPr="00A965E2">
          <w:t>model Codes of Practice</w:t>
        </w:r>
      </w:hyperlink>
      <w:r w:rsidRPr="00A965E2">
        <w:t xml:space="preserve">. All states and territories have </w:t>
      </w:r>
      <w:r w:rsidR="0006440B" w:rsidRPr="00A965E2">
        <w:t>implemented these as their own laws</w:t>
      </w:r>
      <w:r w:rsidRPr="00A965E2">
        <w:t>, with the exception of Victoria and Western Australia, although these jurisdictions have similar systems. In 2018</w:t>
      </w:r>
      <w:r w:rsidR="00CC623B" w:rsidRPr="00A965E2">
        <w:t>,</w:t>
      </w:r>
      <w:r w:rsidRPr="00A965E2">
        <w:t xml:space="preserve"> S</w:t>
      </w:r>
      <w:r w:rsidR="00CC623B" w:rsidRPr="00A965E2">
        <w:t xml:space="preserve">WA </w:t>
      </w:r>
      <w:r w:rsidRPr="00A965E2">
        <w:t>commissioned a comprehensive independent review examining how the model WHS laws are operating in practice</w:t>
      </w:r>
      <w:r w:rsidR="0006440B" w:rsidRPr="00A965E2">
        <w:t xml:space="preserve"> and whether they are </w:t>
      </w:r>
      <w:r w:rsidRPr="00A965E2">
        <w:t>achieving the</w:t>
      </w:r>
      <w:r w:rsidR="0006440B" w:rsidRPr="00A965E2">
        <w:t xml:space="preserve">ir </w:t>
      </w:r>
      <w:r w:rsidRPr="00A965E2">
        <w:t xml:space="preserve">objectives. </w:t>
      </w:r>
    </w:p>
    <w:p w14:paraId="57BE4F68" w14:textId="1A229DB7" w:rsidR="0032690A" w:rsidRPr="00A965E2" w:rsidRDefault="00C10F34" w:rsidP="0006440B">
      <w:pPr>
        <w:pStyle w:val="BodyText1"/>
        <w:numPr>
          <w:ilvl w:val="0"/>
          <w:numId w:val="27"/>
        </w:numPr>
        <w:jc w:val="left"/>
        <w:rPr>
          <w:lang w:val="en"/>
        </w:rPr>
      </w:pPr>
      <w:r w:rsidRPr="00A965E2">
        <w:rPr>
          <w:b/>
          <w:lang w:val="en-AU"/>
        </w:rPr>
        <w:t>Improved data collection and use of empirical data to inform program design and effectively target enforcement and outreach efforts</w:t>
      </w:r>
      <w:r w:rsidR="0032690A" w:rsidRPr="00A965E2">
        <w:rPr>
          <w:b/>
          <w:lang w:val="en-AU"/>
        </w:rPr>
        <w:t xml:space="preserve"> </w:t>
      </w:r>
      <w:r w:rsidR="00CC623B" w:rsidRPr="00A965E2">
        <w:rPr>
          <w:b/>
          <w:lang w:val="en-AU"/>
        </w:rPr>
        <w:t>–</w:t>
      </w:r>
      <w:r w:rsidR="0032690A" w:rsidRPr="00A965E2">
        <w:rPr>
          <w:b/>
          <w:lang w:val="en-AU"/>
        </w:rPr>
        <w:t xml:space="preserve"> </w:t>
      </w:r>
      <w:r w:rsidRPr="00A965E2">
        <w:t>S</w:t>
      </w:r>
      <w:r w:rsidR="00CC623B" w:rsidRPr="00A965E2">
        <w:t xml:space="preserve">WA </w:t>
      </w:r>
      <w:r w:rsidR="0006440B" w:rsidRPr="00A965E2">
        <w:t xml:space="preserve">conducts research and </w:t>
      </w:r>
      <w:r w:rsidRPr="00A965E2">
        <w:t>publishes a range of statistical reports on work-related injuries, illness and fatalities</w:t>
      </w:r>
      <w:r w:rsidR="0006440B" w:rsidRPr="00A965E2">
        <w:t>.</w:t>
      </w:r>
    </w:p>
    <w:p w14:paraId="349568C2" w14:textId="49A16DE6" w:rsidR="0032690A" w:rsidRPr="00A965E2" w:rsidRDefault="00C10F34" w:rsidP="0032690A">
      <w:pPr>
        <w:pStyle w:val="BodyText1"/>
        <w:numPr>
          <w:ilvl w:val="0"/>
          <w:numId w:val="27"/>
        </w:numPr>
        <w:jc w:val="left"/>
        <w:rPr>
          <w:lang w:val="en"/>
        </w:rPr>
      </w:pPr>
      <w:r w:rsidRPr="00A965E2">
        <w:rPr>
          <w:b/>
          <w:lang w:val="en-AU"/>
        </w:rPr>
        <w:t>Action taken to improve OSH conditions for vulnerable workers and in high-risk sectors</w:t>
      </w:r>
      <w:r w:rsidR="0032690A" w:rsidRPr="00A965E2">
        <w:rPr>
          <w:b/>
          <w:lang w:val="en-AU"/>
        </w:rPr>
        <w:t xml:space="preserve"> </w:t>
      </w:r>
      <w:r w:rsidR="0094228F" w:rsidRPr="00A965E2">
        <w:rPr>
          <w:b/>
          <w:lang w:val="en-AU"/>
        </w:rPr>
        <w:t>–</w:t>
      </w:r>
      <w:r w:rsidR="0032690A" w:rsidRPr="00A965E2">
        <w:rPr>
          <w:lang w:val="en"/>
        </w:rPr>
        <w:t xml:space="preserve"> </w:t>
      </w:r>
      <w:r w:rsidRPr="00A965E2">
        <w:t>A focus for S</w:t>
      </w:r>
      <w:r w:rsidR="00CC623B" w:rsidRPr="00A965E2">
        <w:t>WA</w:t>
      </w:r>
      <w:r w:rsidRPr="00A965E2">
        <w:t xml:space="preserve"> in 2018 is developing tailored information and resources, ensuring better collaboration, and improving data collection with respect to migrant workers.</w:t>
      </w:r>
      <w:r w:rsidR="0032690A" w:rsidRPr="00A965E2">
        <w:t xml:space="preserve"> </w:t>
      </w:r>
      <w:r w:rsidRPr="00A965E2">
        <w:t>The Australian Strategy identifies particular high risk industries and conditions as national priorities.</w:t>
      </w:r>
      <w:r w:rsidR="004D4E04" w:rsidRPr="00A965E2">
        <w:t xml:space="preserve"> For example, </w:t>
      </w:r>
      <w:r w:rsidRPr="00A965E2">
        <w:t>A</w:t>
      </w:r>
      <w:r w:rsidR="0032690A" w:rsidRPr="00A965E2">
        <w:t> </w:t>
      </w:r>
      <w:r w:rsidRPr="00A965E2">
        <w:t xml:space="preserve">National Agriculture Activity Plan 2014-2019 has been developed </w:t>
      </w:r>
      <w:r w:rsidR="004D4E04" w:rsidRPr="00A965E2">
        <w:t xml:space="preserve">and a </w:t>
      </w:r>
      <w:r w:rsidRPr="00A965E2">
        <w:t>National Road Safety Action Plan 2018-2020</w:t>
      </w:r>
      <w:r w:rsidR="004D4E04" w:rsidRPr="00A965E2">
        <w:t xml:space="preserve"> is being addressed. </w:t>
      </w:r>
    </w:p>
    <w:p w14:paraId="7B548C20" w14:textId="33957850" w:rsidR="00EB5314" w:rsidRPr="00A17FF7" w:rsidRDefault="00C10F34" w:rsidP="001A2413">
      <w:pPr>
        <w:pStyle w:val="BodyText1"/>
        <w:numPr>
          <w:ilvl w:val="0"/>
          <w:numId w:val="27"/>
        </w:numPr>
        <w:jc w:val="left"/>
        <w:rPr>
          <w:lang w:val="en"/>
        </w:rPr>
      </w:pPr>
      <w:r w:rsidRPr="00A965E2">
        <w:rPr>
          <w:b/>
          <w:lang w:val="en-AU"/>
        </w:rPr>
        <w:t>Raised awareness of the importance of OSH particularly among small and medium enterprises</w:t>
      </w:r>
      <w:r w:rsidR="0032690A" w:rsidRPr="00A965E2">
        <w:rPr>
          <w:b/>
          <w:lang w:val="en-AU"/>
        </w:rPr>
        <w:t xml:space="preserve"> </w:t>
      </w:r>
      <w:r w:rsidR="00CC623B" w:rsidRPr="00A965E2">
        <w:rPr>
          <w:b/>
          <w:lang w:val="en-AU"/>
        </w:rPr>
        <w:t>–</w:t>
      </w:r>
      <w:r w:rsidR="0032690A" w:rsidRPr="00A965E2">
        <w:rPr>
          <w:lang w:val="en"/>
        </w:rPr>
        <w:t xml:space="preserve"> </w:t>
      </w:r>
      <w:r w:rsidRPr="00A965E2">
        <w:t>S</w:t>
      </w:r>
      <w:r w:rsidR="00CC623B" w:rsidRPr="00A965E2">
        <w:t xml:space="preserve">WA </w:t>
      </w:r>
      <w:r w:rsidRPr="00A965E2">
        <w:t>ha</w:t>
      </w:r>
      <w:r w:rsidR="004D4E04" w:rsidRPr="00A965E2">
        <w:t xml:space="preserve">s developed practical guidance for </w:t>
      </w:r>
      <w:r w:rsidRPr="00A965E2">
        <w:t xml:space="preserve">small businesses in creating healthy and safe workplaces. </w:t>
      </w:r>
      <w:r w:rsidRPr="00A965E2">
        <w:rPr>
          <w:lang w:val="en"/>
        </w:rPr>
        <w:t>WHS regulators across Australia offer a range of free services tailored to meet the individual needs of small businesses, such as access to safety advisors</w:t>
      </w:r>
      <w:r w:rsidRPr="00A17FF7">
        <w:rPr>
          <w:lang w:val="en"/>
        </w:rPr>
        <w:t xml:space="preserve"> and one-on-one consultations on achieving health and safety in the workplace. </w:t>
      </w:r>
    </w:p>
    <w:p w14:paraId="75909B76" w14:textId="6878FEC3" w:rsidR="0044650D" w:rsidRDefault="0044650D" w:rsidP="00A965E2">
      <w:pPr>
        <w:pStyle w:val="Heading3"/>
      </w:pPr>
      <w:r w:rsidRPr="001D2A3A">
        <w:t>Social protection</w:t>
      </w:r>
      <w:bookmarkEnd w:id="25"/>
      <w:bookmarkEnd w:id="26"/>
    </w:p>
    <w:p w14:paraId="42A7D930" w14:textId="64327358" w:rsidR="001B6146" w:rsidRDefault="004E1C5E" w:rsidP="002C179B">
      <w:pPr>
        <w:pStyle w:val="BodyText1"/>
        <w:spacing w:after="240"/>
        <w:jc w:val="left"/>
        <w:rPr>
          <w:rFonts w:cs="Calibri"/>
        </w:rPr>
      </w:pPr>
      <w:r>
        <w:rPr>
          <w:rFonts w:cs="Calibri"/>
        </w:rPr>
        <w:t>A</w:t>
      </w:r>
      <w:r w:rsidR="00FC5225">
        <w:rPr>
          <w:rFonts w:cs="Calibri"/>
        </w:rPr>
        <w:t xml:space="preserve"> job is the most important form of social protection. Australia’s social protection system is made up of a variety of policy levers, such as employment services and income support, </w:t>
      </w:r>
      <w:r w:rsidR="00D76171">
        <w:rPr>
          <w:rFonts w:cs="Calibri"/>
        </w:rPr>
        <w:t>subsidized health care and education</w:t>
      </w:r>
      <w:r w:rsidR="00B42439">
        <w:rPr>
          <w:rFonts w:cs="Calibri"/>
        </w:rPr>
        <w:t xml:space="preserve">, and the </w:t>
      </w:r>
      <w:r w:rsidR="0094228F">
        <w:rPr>
          <w:rFonts w:cs="Calibri"/>
        </w:rPr>
        <w:t xml:space="preserve">retirement income </w:t>
      </w:r>
      <w:r w:rsidR="00B42439">
        <w:rPr>
          <w:rFonts w:cs="Calibri"/>
        </w:rPr>
        <w:t>system.</w:t>
      </w:r>
      <w:r w:rsidR="00FC5225">
        <w:rPr>
          <w:rFonts w:cs="Calibri"/>
        </w:rPr>
        <w:t xml:space="preserve"> </w:t>
      </w:r>
    </w:p>
    <w:p w14:paraId="13812FA6" w14:textId="6D5488A8" w:rsidR="00E32E72" w:rsidRDefault="007B15B0" w:rsidP="002C179B">
      <w:pPr>
        <w:pStyle w:val="BodyText1"/>
        <w:spacing w:after="240"/>
        <w:jc w:val="left"/>
        <w:rPr>
          <w:rFonts w:cs="Calibri"/>
        </w:rPr>
      </w:pPr>
      <w:r>
        <w:rPr>
          <w:rFonts w:cs="Calibri"/>
        </w:rPr>
        <w:t>E</w:t>
      </w:r>
      <w:r w:rsidR="00E32E72">
        <w:rPr>
          <w:rFonts w:cs="Calibri"/>
        </w:rPr>
        <w:t>mployment service</w:t>
      </w:r>
      <w:r>
        <w:rPr>
          <w:rFonts w:cs="Calibri"/>
        </w:rPr>
        <w:t>s are</w:t>
      </w:r>
      <w:r w:rsidR="00E32E72">
        <w:rPr>
          <w:rFonts w:cs="Calibri"/>
        </w:rPr>
        <w:t xml:space="preserve"> delivered through a network of providers, with more intensive labour market services available to support people who face greater disadvantage. The overall goal is to ensure that workers can move between jobs and are able to access the assistance that they need to regain employment quickly.  </w:t>
      </w:r>
    </w:p>
    <w:p w14:paraId="4DA72E1C" w14:textId="083CBBF3" w:rsidR="0044650D" w:rsidRDefault="0044650D" w:rsidP="002C179B">
      <w:pPr>
        <w:pStyle w:val="BodyText1"/>
        <w:spacing w:after="240"/>
        <w:jc w:val="left"/>
      </w:pPr>
      <w:r>
        <w:rPr>
          <w:rFonts w:cs="Calibri"/>
        </w:rPr>
        <w:t xml:space="preserve">Australia’s </w:t>
      </w:r>
      <w:r w:rsidR="00E32E72">
        <w:rPr>
          <w:rFonts w:cs="Calibri"/>
        </w:rPr>
        <w:t xml:space="preserve">non-contributory </w:t>
      </w:r>
      <w:r>
        <w:rPr>
          <w:rFonts w:cs="Calibri"/>
        </w:rPr>
        <w:t>social security system</w:t>
      </w:r>
      <w:r w:rsidR="00D670D1">
        <w:rPr>
          <w:rStyle w:val="FootnoteReference"/>
          <w:rFonts w:cs="Calibri"/>
        </w:rPr>
        <w:footnoteReference w:id="3"/>
      </w:r>
      <w:r>
        <w:rPr>
          <w:rFonts w:cs="Calibri"/>
        </w:rPr>
        <w:t xml:space="preserve"> and labour market programs are closely aligned, and have a strong focus on assisting people with the capacity to work to enter employment. Tight means-testing of benefits combined with extensive activation measures ensures that there are strong incentives to encourage those who are able to work or study, whilst providing support to those who are unable to work. </w:t>
      </w:r>
      <w:r>
        <w:t xml:space="preserve">The coverage and targeting of these measures is consistent with the </w:t>
      </w:r>
      <w:r w:rsidR="0094228F">
        <w:t xml:space="preserve">policy </w:t>
      </w:r>
      <w:r>
        <w:t>recommendations adopted by G20 Labour and Employment Ministers in 2016.</w:t>
      </w:r>
    </w:p>
    <w:p w14:paraId="445B31A7" w14:textId="77777777" w:rsidR="0094228F" w:rsidRDefault="00D76171" w:rsidP="002C179B">
      <w:pPr>
        <w:pStyle w:val="BodyText1"/>
        <w:spacing w:after="240"/>
        <w:jc w:val="left"/>
        <w:rPr>
          <w:rFonts w:cs="Calibri"/>
        </w:rPr>
      </w:pPr>
      <w:r w:rsidRPr="00D76171">
        <w:rPr>
          <w:rFonts w:cs="Calibri"/>
        </w:rPr>
        <w:t>The Australian tax-transfer system</w:t>
      </w:r>
      <w:r w:rsidR="00D670D1">
        <w:rPr>
          <w:rFonts w:cs="Calibri"/>
        </w:rPr>
        <w:t>, as the main element of social support system,</w:t>
      </w:r>
      <w:r w:rsidRPr="00D76171">
        <w:rPr>
          <w:rFonts w:cs="Calibri"/>
        </w:rPr>
        <w:t xml:space="preserve"> plays a key role in distributing income among Australian households, through a targeted system of cash payments (including income</w:t>
      </w:r>
      <w:r>
        <w:rPr>
          <w:rFonts w:cs="Calibri"/>
        </w:rPr>
        <w:t xml:space="preserve"> </w:t>
      </w:r>
      <w:r w:rsidRPr="00D76171">
        <w:rPr>
          <w:rFonts w:cs="Calibri"/>
        </w:rPr>
        <w:t>support and family payments), in</w:t>
      </w:r>
      <w:r w:rsidR="004E1C5E">
        <w:rPr>
          <w:rFonts w:cs="Calibri"/>
        </w:rPr>
        <w:softHyphen/>
      </w:r>
      <w:r w:rsidR="004E1C5E">
        <w:rPr>
          <w:rFonts w:cs="Calibri"/>
        </w:rPr>
        <w:noBreakHyphen/>
      </w:r>
      <w:r w:rsidRPr="00D76171">
        <w:rPr>
          <w:rFonts w:cs="Calibri"/>
        </w:rPr>
        <w:t>kind support (such as subsidised health care and education) and a progressive income tax system</w:t>
      </w:r>
      <w:r>
        <w:rPr>
          <w:rFonts w:cs="Calibri"/>
        </w:rPr>
        <w:t xml:space="preserve">. </w:t>
      </w:r>
    </w:p>
    <w:p w14:paraId="32227D87" w14:textId="3784A1BF" w:rsidR="00FC5225" w:rsidRPr="00E422E1" w:rsidRDefault="0094228F" w:rsidP="002C179B">
      <w:pPr>
        <w:pStyle w:val="BodyText1"/>
        <w:spacing w:after="240"/>
        <w:jc w:val="left"/>
        <w:rPr>
          <w:rFonts w:cs="Calibri"/>
        </w:rPr>
      </w:pPr>
      <w:r w:rsidRPr="000E4F08">
        <w:rPr>
          <w:rFonts w:cs="Calibri"/>
        </w:rPr>
        <w:t xml:space="preserve">The Australian Government’s Try, Test and Learn (TTL) Fund is using insights from </w:t>
      </w:r>
      <w:r>
        <w:rPr>
          <w:rFonts w:cs="Calibri"/>
        </w:rPr>
        <w:t xml:space="preserve">a </w:t>
      </w:r>
      <w:r w:rsidRPr="000E4F08">
        <w:rPr>
          <w:rFonts w:cs="Calibri"/>
        </w:rPr>
        <w:t>Priority Investment Approach to Welfare to trial new or innovative approaches to assist some of the most vulnerable in society to move off welfare and become independent. The objective of the TTL Fund is to generate new insights and empirical evidence into what works to reduce long-term welfare dependence, and is funded until 30 June 2020. Fourt</w:t>
      </w:r>
      <w:r>
        <w:rPr>
          <w:rFonts w:cs="Calibri"/>
        </w:rPr>
        <w:t xml:space="preserve">een Tranche 1 TTL projects are </w:t>
      </w:r>
      <w:r w:rsidRPr="000E4F08">
        <w:rPr>
          <w:rFonts w:cs="Calibri"/>
        </w:rPr>
        <w:t>being implemented which focus on supporting young students, young carers and young parents into stable, long-term employment. Tranche 2 will focus on the following priority groups: older unemployed people, working age migrants and refugees, working age carers and at-risk young people.</w:t>
      </w:r>
    </w:p>
    <w:p w14:paraId="2E2135C3" w14:textId="22CF8F95" w:rsidR="008C2C50" w:rsidRPr="00A965E2" w:rsidRDefault="00B42439" w:rsidP="00A965E2">
      <w:pPr>
        <w:pStyle w:val="BodyText1"/>
        <w:spacing w:after="240"/>
        <w:jc w:val="left"/>
      </w:pPr>
      <w:bookmarkStart w:id="27" w:name="_Toc452625221"/>
      <w:bookmarkStart w:id="28" w:name="_Toc458449916"/>
      <w:bookmarkStart w:id="29" w:name="_Toc486599749"/>
      <w:r>
        <w:rPr>
          <w:rFonts w:cs="Calibri"/>
        </w:rPr>
        <w:t>Australia’s retirement income system</w:t>
      </w:r>
      <w:r w:rsidR="00DC7ACB">
        <w:rPr>
          <w:rFonts w:cs="Calibri"/>
        </w:rPr>
        <w:t xml:space="preserve"> has three main pillars: compulsory superannuation contributions; voluntary employee contributions; and the Australian Government Age Pension safety net. The aim of this system is to provide people with income in retirement to substitute</w:t>
      </w:r>
      <w:r w:rsidR="00A965E2">
        <w:rPr>
          <w:rFonts w:cs="Calibri"/>
        </w:rPr>
        <w:t xml:space="preserve"> or supplement the Age Pension.</w:t>
      </w:r>
      <w:r w:rsidR="008C2C50">
        <w:br w:type="page"/>
      </w:r>
    </w:p>
    <w:p w14:paraId="73FA1E0D" w14:textId="245A0FE9" w:rsidR="0044650D" w:rsidRPr="00A965E2" w:rsidRDefault="0044650D" w:rsidP="00A965E2">
      <w:pPr>
        <w:pStyle w:val="Heading3"/>
      </w:pPr>
      <w:r w:rsidRPr="00A965E2">
        <w:t>Active labour market programs</w:t>
      </w:r>
      <w:bookmarkEnd w:id="27"/>
      <w:bookmarkEnd w:id="28"/>
      <w:bookmarkEnd w:id="29"/>
    </w:p>
    <w:p w14:paraId="00D137DC" w14:textId="28C2D036" w:rsidR="0044650D" w:rsidRPr="001F6696" w:rsidRDefault="0044650D" w:rsidP="000F6D94">
      <w:pPr>
        <w:pStyle w:val="BodyText1"/>
        <w:spacing w:after="240"/>
        <w:jc w:val="left"/>
      </w:pPr>
      <w:r w:rsidRPr="001F6696">
        <w:t xml:space="preserve">The Australian Government provides employment services to job seekers through a network of private and community sector entities. There are three main employment programs: jobactive for </w:t>
      </w:r>
      <w:r w:rsidR="007B15B0">
        <w:t>job seekers living in non-remote areas</w:t>
      </w:r>
      <w:r w:rsidRPr="001F6696">
        <w:t>, Disability Employment Services for people with disability, injury or health condition, and the</w:t>
      </w:r>
      <w:r w:rsidR="009070AF">
        <w:t xml:space="preserve"> Community Development Program</w:t>
      </w:r>
      <w:r w:rsidRPr="001F6696">
        <w:t xml:space="preserve"> for job seekers in remote areas.</w:t>
      </w:r>
    </w:p>
    <w:p w14:paraId="622B88CC" w14:textId="25826A18" w:rsidR="00E11153" w:rsidRDefault="00E11153" w:rsidP="000F6D94">
      <w:pPr>
        <w:pStyle w:val="Subheading"/>
        <w:spacing w:after="240"/>
        <w:jc w:val="left"/>
        <w:rPr>
          <w:rStyle w:val="BodytextChar"/>
          <w:b w:val="0"/>
        </w:rPr>
      </w:pPr>
      <w:r w:rsidRPr="001F6696">
        <w:rPr>
          <w:b w:val="0"/>
          <w:bCs/>
          <w:sz w:val="20"/>
        </w:rPr>
        <w:t xml:space="preserve">The </w:t>
      </w:r>
      <w:r w:rsidRPr="001F6696">
        <w:rPr>
          <w:rStyle w:val="BodytextChar"/>
          <w:b w:val="0"/>
        </w:rPr>
        <w:t>Australian Government’s $6.7 billion mainstream employment service jobactive has an outcomes</w:t>
      </w:r>
      <w:r w:rsidRPr="001F6696">
        <w:rPr>
          <w:rStyle w:val="BodytextChar"/>
          <w:b w:val="0"/>
        </w:rPr>
        <w:noBreakHyphen/>
        <w:t>focused approach and offers a mix of incentiv</w:t>
      </w:r>
      <w:r w:rsidR="005F7016" w:rsidRPr="001F6696">
        <w:rPr>
          <w:rStyle w:val="BodytextChar"/>
          <w:b w:val="0"/>
        </w:rPr>
        <w:t>es, services and obligations to help</w:t>
      </w:r>
      <w:r w:rsidRPr="001F6696">
        <w:rPr>
          <w:rStyle w:val="BodytextChar"/>
          <w:b w:val="0"/>
        </w:rPr>
        <w:t xml:space="preserve"> job seekers into sustainable work. Job seekers are required to actively look for work</w:t>
      </w:r>
      <w:r w:rsidR="0094374C" w:rsidRPr="001F6696">
        <w:rPr>
          <w:rStyle w:val="BodytextChar"/>
          <w:b w:val="0"/>
        </w:rPr>
        <w:t>, and participate in activities designed to build their capabilities,</w:t>
      </w:r>
      <w:r w:rsidRPr="001F6696">
        <w:rPr>
          <w:rStyle w:val="BodytextChar"/>
          <w:b w:val="0"/>
        </w:rPr>
        <w:t xml:space="preserve"> and do all they can to improve their chances of getting a job. Services to job seekers and employers are delivered by a network of jobactive providers in over 1700 locations across Australia.</w:t>
      </w:r>
      <w:r w:rsidR="002F190B" w:rsidRPr="001F6696">
        <w:rPr>
          <w:rStyle w:val="BodytextChar"/>
          <w:b w:val="0"/>
        </w:rPr>
        <w:t xml:space="preserve"> </w:t>
      </w:r>
      <w:r w:rsidR="002B1EE4" w:rsidRPr="001F6696">
        <w:rPr>
          <w:rStyle w:val="BodytextChar"/>
          <w:b w:val="0"/>
        </w:rPr>
        <w:t xml:space="preserve">Mainstream employment services in Australia are complemented by targeted programs that offer additional supports where necessary to certain cohorts that </w:t>
      </w:r>
      <w:r w:rsidR="002F190B" w:rsidRPr="001F6696">
        <w:rPr>
          <w:rStyle w:val="BodytextChar"/>
          <w:b w:val="0"/>
        </w:rPr>
        <w:t xml:space="preserve">may face greater challenges in finding work than others (such as additional supports for youth, </w:t>
      </w:r>
      <w:r w:rsidR="0094374C" w:rsidRPr="001F6696">
        <w:rPr>
          <w:rStyle w:val="BodytextChar"/>
          <w:b w:val="0"/>
        </w:rPr>
        <w:t>women, parents</w:t>
      </w:r>
      <w:r w:rsidR="002F190B" w:rsidRPr="001F6696">
        <w:rPr>
          <w:rStyle w:val="BodytextChar"/>
          <w:b w:val="0"/>
        </w:rPr>
        <w:t xml:space="preserve">, </w:t>
      </w:r>
      <w:r w:rsidR="003465D6" w:rsidRPr="001F6696">
        <w:rPr>
          <w:rStyle w:val="BodytextChar"/>
          <w:b w:val="0"/>
        </w:rPr>
        <w:t>Indigenous Australians</w:t>
      </w:r>
      <w:r w:rsidR="006D6F6A">
        <w:rPr>
          <w:rStyle w:val="BodytextChar"/>
          <w:b w:val="0"/>
        </w:rPr>
        <w:t>,</w:t>
      </w:r>
      <w:r w:rsidR="003465D6" w:rsidRPr="001F6696">
        <w:rPr>
          <w:rStyle w:val="BodytextChar"/>
          <w:b w:val="0"/>
        </w:rPr>
        <w:t xml:space="preserve"> </w:t>
      </w:r>
      <w:r w:rsidR="002F190B" w:rsidRPr="001F6696">
        <w:rPr>
          <w:rStyle w:val="BodytextChar"/>
          <w:b w:val="0"/>
        </w:rPr>
        <w:t>mature-age job seekers and others).</w:t>
      </w:r>
    </w:p>
    <w:p w14:paraId="3DD740D2" w14:textId="0CEBBCF0" w:rsidR="00794800" w:rsidRPr="001F6696" w:rsidRDefault="00794800" w:rsidP="000F6D94">
      <w:pPr>
        <w:pStyle w:val="Subheading"/>
        <w:spacing w:after="240"/>
        <w:jc w:val="left"/>
        <w:rPr>
          <w:rStyle w:val="BodytextChar"/>
          <w:b w:val="0"/>
        </w:rPr>
      </w:pPr>
      <w:r>
        <w:rPr>
          <w:rStyle w:val="BodytextChar"/>
          <w:b w:val="0"/>
        </w:rPr>
        <w:t xml:space="preserve">The Australian Government is </w:t>
      </w:r>
      <w:r w:rsidRPr="00794800">
        <w:rPr>
          <w:rStyle w:val="BodytextChar"/>
          <w:b w:val="0"/>
        </w:rPr>
        <w:t>review</w:t>
      </w:r>
      <w:r w:rsidR="004E1C5E">
        <w:rPr>
          <w:rStyle w:val="BodytextChar"/>
          <w:b w:val="0"/>
        </w:rPr>
        <w:t>ing the design of jobactive</w:t>
      </w:r>
      <w:r w:rsidRPr="00794800">
        <w:rPr>
          <w:rStyle w:val="BodytextChar"/>
          <w:b w:val="0"/>
        </w:rPr>
        <w:t xml:space="preserve"> before the current contracting arrangements end in mid-2020</w:t>
      </w:r>
      <w:r>
        <w:rPr>
          <w:rStyle w:val="BodytextChar"/>
          <w:b w:val="0"/>
        </w:rPr>
        <w:t xml:space="preserve">. </w:t>
      </w:r>
      <w:r w:rsidR="005A65B0">
        <w:rPr>
          <w:rStyle w:val="BodytextChar"/>
          <w:b w:val="0"/>
        </w:rPr>
        <w:t>Improvements envisaged for the new model could include greater use of technology to more effectively engage and encourage job-ready job seekers to look for work; online technology to give employers access to an online service that helps them find the right people through a simplified recruitment process</w:t>
      </w:r>
      <w:r w:rsidR="002C0BB9">
        <w:rPr>
          <w:rStyle w:val="BodytextChar"/>
          <w:b w:val="0"/>
        </w:rPr>
        <w:t xml:space="preserve"> </w:t>
      </w:r>
      <w:r w:rsidR="005A65B0">
        <w:rPr>
          <w:rStyle w:val="BodytextChar"/>
          <w:b w:val="0"/>
        </w:rPr>
        <w:t xml:space="preserve">and access to a broader </w:t>
      </w:r>
      <w:r w:rsidR="002C0BB9">
        <w:rPr>
          <w:rStyle w:val="BodytextChar"/>
          <w:b w:val="0"/>
        </w:rPr>
        <w:t>pool of potential employees. E</w:t>
      </w:r>
      <w:r w:rsidR="005A65B0">
        <w:rPr>
          <w:rStyle w:val="BodytextChar"/>
          <w:b w:val="0"/>
        </w:rPr>
        <w:t xml:space="preserve">nhanced services </w:t>
      </w:r>
      <w:r w:rsidR="002C0BB9">
        <w:rPr>
          <w:rStyle w:val="BodytextChar"/>
          <w:b w:val="0"/>
        </w:rPr>
        <w:t xml:space="preserve">would </w:t>
      </w:r>
      <w:r w:rsidR="005A65B0">
        <w:rPr>
          <w:rStyle w:val="BodytextChar"/>
          <w:b w:val="0"/>
        </w:rPr>
        <w:t xml:space="preserve">be available to </w:t>
      </w:r>
      <w:r w:rsidR="002C0BB9">
        <w:rPr>
          <w:rStyle w:val="BodytextChar"/>
          <w:b w:val="0"/>
        </w:rPr>
        <w:t>job seekers requiring additional levels of assistance</w:t>
      </w:r>
      <w:r w:rsidR="005A65B0">
        <w:rPr>
          <w:rStyle w:val="BodytextChar"/>
          <w:b w:val="0"/>
        </w:rPr>
        <w:t>.</w:t>
      </w:r>
    </w:p>
    <w:p w14:paraId="226F1C33" w14:textId="65C5B581" w:rsidR="00A9752C" w:rsidRPr="00406F3E" w:rsidRDefault="00A9752C" w:rsidP="000F6D94">
      <w:pPr>
        <w:pStyle w:val="BodyText1"/>
        <w:spacing w:after="240"/>
        <w:jc w:val="left"/>
        <w:rPr>
          <w:lang w:val="en-AU"/>
        </w:rPr>
      </w:pPr>
      <w:r w:rsidRPr="001F6696">
        <w:rPr>
          <w:rStyle w:val="BodytextChar"/>
        </w:rPr>
        <w:t>The Australian Government funds Disability Employment Services (DES) providers to deliver uncapped open employment services for job seekers with disability. This includes</w:t>
      </w:r>
      <w:r w:rsidRPr="001F6696">
        <w:rPr>
          <w:rFonts w:asciiTheme="minorHAnsi" w:eastAsiaTheme="minorEastAsia" w:hAnsi="Calibri" w:cstheme="minorBidi"/>
          <w:color w:val="000000" w:themeColor="text1"/>
          <w:kern w:val="24"/>
          <w:sz w:val="24"/>
          <w:szCs w:val="24"/>
          <w:lang w:val="en-AU" w:eastAsia="en-AU"/>
        </w:rPr>
        <w:t xml:space="preserve"> </w:t>
      </w:r>
      <w:r w:rsidRPr="001F6696">
        <w:rPr>
          <w:lang w:val="en-AU"/>
        </w:rPr>
        <w:t>individualised, tailored assistance with an emphasis on employment, skills development, education and training. Job seekers participating in DES are encouraged to choose their preferred provider, to ensure that the services th</w:t>
      </w:r>
      <w:r w:rsidR="009070AF">
        <w:rPr>
          <w:lang w:val="en-AU"/>
        </w:rPr>
        <w:t xml:space="preserve">ey receive are right for them. </w:t>
      </w:r>
      <w:r w:rsidRPr="001F6696">
        <w:rPr>
          <w:lang w:val="en-AU"/>
        </w:rPr>
        <w:t>While the focus of DES is for job seekers whose primary barrier to employment is their disability, injury or health condition, job seekers with disability can also receive assistance from the mainstream employment service jobactive</w:t>
      </w:r>
      <w:r w:rsidR="0094374C" w:rsidRPr="001F6696">
        <w:rPr>
          <w:lang w:val="en-AU"/>
        </w:rPr>
        <w:t xml:space="preserve">, Transition to Work </w:t>
      </w:r>
      <w:r w:rsidR="00B03194">
        <w:rPr>
          <w:lang w:val="en-AU"/>
        </w:rPr>
        <w:t xml:space="preserve">(which provides pre-employment to young people) </w:t>
      </w:r>
      <w:r w:rsidR="0094374C" w:rsidRPr="001F6696">
        <w:rPr>
          <w:lang w:val="en-AU"/>
        </w:rPr>
        <w:t>and the Community Development Program (CDP) if eligible.</w:t>
      </w:r>
    </w:p>
    <w:p w14:paraId="245390BA" w14:textId="6FF20294" w:rsidR="002B55F8" w:rsidRDefault="007B15B0" w:rsidP="000F6D94">
      <w:pPr>
        <w:pStyle w:val="Subheading"/>
        <w:spacing w:after="240"/>
        <w:jc w:val="left"/>
        <w:rPr>
          <w:b w:val="0"/>
          <w:bCs/>
          <w:sz w:val="20"/>
        </w:rPr>
      </w:pPr>
      <w:r w:rsidRPr="00025A85">
        <w:rPr>
          <w:rStyle w:val="BodytextChar"/>
          <w:b w:val="0"/>
        </w:rPr>
        <w:t xml:space="preserve">The CDP supports job seekers in remote Australia to build skills, address barriers and contribute to their communities through a range of flexible activities. The program is </w:t>
      </w:r>
      <w:r>
        <w:rPr>
          <w:rStyle w:val="BodytextChar"/>
          <w:b w:val="0"/>
        </w:rPr>
        <w:t>tailored to</w:t>
      </w:r>
      <w:r w:rsidRPr="001F6696">
        <w:rPr>
          <w:rStyle w:val="BodytextChar"/>
          <w:b w:val="0"/>
        </w:rPr>
        <w:t xml:space="preserve"> </w:t>
      </w:r>
      <w:r w:rsidRPr="00025A85">
        <w:rPr>
          <w:rStyle w:val="BodytextChar"/>
          <w:b w:val="0"/>
        </w:rPr>
        <w:t xml:space="preserve">the unique </w:t>
      </w:r>
      <w:r>
        <w:rPr>
          <w:rStyle w:val="BodytextChar"/>
          <w:b w:val="0"/>
        </w:rPr>
        <w:t xml:space="preserve">social and labour market </w:t>
      </w:r>
      <w:r w:rsidRPr="001F6696">
        <w:rPr>
          <w:rStyle w:val="BodytextChar"/>
          <w:b w:val="0"/>
        </w:rPr>
        <w:t xml:space="preserve">conditions </w:t>
      </w:r>
      <w:r>
        <w:rPr>
          <w:rStyle w:val="BodytextChar"/>
          <w:b w:val="0"/>
        </w:rPr>
        <w:t xml:space="preserve">in </w:t>
      </w:r>
      <w:r w:rsidRPr="001F6696">
        <w:rPr>
          <w:rStyle w:val="BodytextChar"/>
          <w:b w:val="0"/>
        </w:rPr>
        <w:t xml:space="preserve">remote Australia. </w:t>
      </w:r>
      <w:r>
        <w:rPr>
          <w:rStyle w:val="BodytextChar"/>
          <w:b w:val="0"/>
        </w:rPr>
        <w:t>Proposed to c</w:t>
      </w:r>
      <w:r w:rsidRPr="001F6696">
        <w:rPr>
          <w:rStyle w:val="BodytextChar"/>
          <w:b w:val="0"/>
        </w:rPr>
        <w:t>ommenc</w:t>
      </w:r>
      <w:r>
        <w:rPr>
          <w:rStyle w:val="BodytextChar"/>
          <w:b w:val="0"/>
        </w:rPr>
        <w:t>e</w:t>
      </w:r>
      <w:r w:rsidRPr="001F6696">
        <w:rPr>
          <w:rStyle w:val="BodytextChar"/>
          <w:b w:val="0"/>
        </w:rPr>
        <w:t xml:space="preserve"> from 2019, CDP reforms will </w:t>
      </w:r>
      <w:r>
        <w:rPr>
          <w:rStyle w:val="BodytextChar"/>
          <w:b w:val="0"/>
        </w:rPr>
        <w:t>support</w:t>
      </w:r>
      <w:r w:rsidRPr="001F6696">
        <w:rPr>
          <w:rStyle w:val="BodytextChar"/>
          <w:b w:val="0"/>
        </w:rPr>
        <w:t xml:space="preserve"> more remote job seekers</w:t>
      </w:r>
      <w:r>
        <w:rPr>
          <w:rStyle w:val="BodytextChar"/>
          <w:b w:val="0"/>
        </w:rPr>
        <w:t xml:space="preserve"> to</w:t>
      </w:r>
      <w:r w:rsidRPr="001F6696">
        <w:rPr>
          <w:rStyle w:val="BodytextChar"/>
          <w:b w:val="0"/>
        </w:rPr>
        <w:t xml:space="preserve"> transition from welfare into </w:t>
      </w:r>
      <w:r>
        <w:rPr>
          <w:rStyle w:val="BodytextChar"/>
          <w:b w:val="0"/>
        </w:rPr>
        <w:t>work</w:t>
      </w:r>
      <w:r w:rsidRPr="001F6696">
        <w:rPr>
          <w:rStyle w:val="BodytextChar"/>
          <w:b w:val="0"/>
        </w:rPr>
        <w:t xml:space="preserve">, and </w:t>
      </w:r>
      <w:r>
        <w:rPr>
          <w:rStyle w:val="BodytextChar"/>
          <w:b w:val="0"/>
        </w:rPr>
        <w:t>strengthen</w:t>
      </w:r>
      <w:r w:rsidRPr="001F6696">
        <w:rPr>
          <w:rStyle w:val="BodytextChar"/>
          <w:b w:val="0"/>
        </w:rPr>
        <w:t xml:space="preserve"> support </w:t>
      </w:r>
      <w:r>
        <w:rPr>
          <w:rStyle w:val="BodytextChar"/>
          <w:b w:val="0"/>
        </w:rPr>
        <w:t xml:space="preserve">for </w:t>
      </w:r>
      <w:r w:rsidRPr="001F6696">
        <w:rPr>
          <w:rStyle w:val="BodytextChar"/>
          <w:b w:val="0"/>
        </w:rPr>
        <w:t xml:space="preserve">vulnerable job seekers to ensure their </w:t>
      </w:r>
      <w:r>
        <w:rPr>
          <w:rStyle w:val="BodytextChar"/>
          <w:b w:val="0"/>
        </w:rPr>
        <w:t>mutual obligations</w:t>
      </w:r>
      <w:r w:rsidRPr="001F6696">
        <w:rPr>
          <w:rStyle w:val="BodytextChar"/>
          <w:b w:val="0"/>
        </w:rPr>
        <w:t xml:space="preserve"> match their </w:t>
      </w:r>
      <w:r>
        <w:rPr>
          <w:rStyle w:val="BodytextChar"/>
          <w:b w:val="0"/>
        </w:rPr>
        <w:t>capacity.</w:t>
      </w:r>
    </w:p>
    <w:p w14:paraId="1CCD1F41" w14:textId="77777777" w:rsidR="008C2C50" w:rsidRPr="00A965E2" w:rsidRDefault="008C2C50" w:rsidP="00A965E2">
      <w:r>
        <w:br w:type="page"/>
      </w:r>
    </w:p>
    <w:p w14:paraId="7CFA559B" w14:textId="61DE00AF" w:rsidR="006B4F57" w:rsidRPr="00A965E2" w:rsidRDefault="00E43F4C" w:rsidP="00A965E2">
      <w:pPr>
        <w:pStyle w:val="Heading2"/>
      </w:pPr>
      <w:bookmarkStart w:id="30" w:name="_Toc532892424"/>
      <w:r w:rsidRPr="00A965E2">
        <w:t xml:space="preserve">Policy measures </w:t>
      </w:r>
      <w:r w:rsidR="004349A6" w:rsidRPr="00A965E2">
        <w:t xml:space="preserve">targeting </w:t>
      </w:r>
      <w:r w:rsidRPr="00A965E2">
        <w:t>labour market disadvantage</w:t>
      </w:r>
      <w:bookmarkStart w:id="31" w:name="_Toc485740399"/>
      <w:bookmarkEnd w:id="30"/>
    </w:p>
    <w:p w14:paraId="351937FE" w14:textId="77777777" w:rsidR="006B4F57" w:rsidRPr="00A965E2" w:rsidRDefault="006B4F57" w:rsidP="00A965E2">
      <w:pPr>
        <w:pStyle w:val="Heading3"/>
      </w:pPr>
      <w:bookmarkStart w:id="32" w:name="_Toc484691717"/>
      <w:bookmarkStart w:id="33" w:name="_Toc485740400"/>
      <w:bookmarkStart w:id="34" w:name="_Toc452625225"/>
      <w:bookmarkStart w:id="35" w:name="_Toc458449920"/>
      <w:bookmarkEnd w:id="31"/>
      <w:r w:rsidRPr="00A965E2">
        <w:t xml:space="preserve">Indigenous </w:t>
      </w:r>
      <w:bookmarkEnd w:id="32"/>
      <w:bookmarkEnd w:id="33"/>
      <w:r w:rsidR="00E43F4C" w:rsidRPr="00A965E2">
        <w:t>people</w:t>
      </w:r>
    </w:p>
    <w:bookmarkEnd w:id="34"/>
    <w:bookmarkEnd w:id="35"/>
    <w:p w14:paraId="0A00612B" w14:textId="2E78DBB8" w:rsidR="0066400A" w:rsidRDefault="007917CA" w:rsidP="00572492">
      <w:pPr>
        <w:pStyle w:val="BodyText1"/>
        <w:spacing w:after="240"/>
        <w:jc w:val="left"/>
      </w:pPr>
      <w:r>
        <w:t xml:space="preserve">Compared with the general </w:t>
      </w:r>
      <w:r w:rsidR="006B4F57" w:rsidRPr="00A77989">
        <w:t>population, Indigenous Australians experience low labour force participation and high</w:t>
      </w:r>
      <w:r w:rsidR="007B15B0">
        <w:t>er</w:t>
      </w:r>
      <w:r w:rsidR="006B4F57" w:rsidRPr="00A77989">
        <w:t xml:space="preserve"> unemployment rates. The Australian Government is implementing measures to help accelerate progress towards parity in employment outcomes between Indigenous a</w:t>
      </w:r>
      <w:r w:rsidR="00DB02D5">
        <w:t>nd non</w:t>
      </w:r>
      <w:r w:rsidR="00DB02D5">
        <w:noBreakHyphen/>
        <w:t xml:space="preserve">Indigenous Australians. </w:t>
      </w:r>
      <w:r w:rsidR="00E25271">
        <w:t xml:space="preserve">Measures </w:t>
      </w:r>
      <w:r w:rsidR="0066400A">
        <w:t>to improve Indigenous employment outcomes include:</w:t>
      </w:r>
    </w:p>
    <w:p w14:paraId="4B9C774D" w14:textId="293CCE59" w:rsidR="00435D2C" w:rsidRDefault="00E2209F" w:rsidP="001A2413">
      <w:pPr>
        <w:pStyle w:val="BodyText1"/>
        <w:numPr>
          <w:ilvl w:val="0"/>
          <w:numId w:val="3"/>
        </w:numPr>
        <w:jc w:val="left"/>
      </w:pPr>
      <w:r>
        <w:t>a</w:t>
      </w:r>
      <w:r w:rsidR="00260834">
        <w:t xml:space="preserve"> </w:t>
      </w:r>
      <w:r w:rsidR="00435D2C" w:rsidRPr="00435D2C">
        <w:t>$5</w:t>
      </w:r>
      <w:r w:rsidR="0063648F">
        <w:t>5.7</w:t>
      </w:r>
      <w:r w:rsidR="00260834">
        <w:t xml:space="preserve"> million </w:t>
      </w:r>
      <w:r w:rsidR="00435D2C" w:rsidRPr="00435D2C">
        <w:t>Closing the Gap – Employment Services package</w:t>
      </w:r>
      <w:r w:rsidR="00260834">
        <w:t>,</w:t>
      </w:r>
      <w:r w:rsidR="00435D2C" w:rsidRPr="00435D2C">
        <w:t xml:space="preserve"> which includes measures to increase the number of Indigenous Australians engaged </w:t>
      </w:r>
      <w:r w:rsidR="00DB02D5">
        <w:t xml:space="preserve">with </w:t>
      </w:r>
      <w:r w:rsidR="00435D2C" w:rsidRPr="00435D2C">
        <w:t xml:space="preserve">the labour market and build the capacity of employment services to better connect Indigenous job seekers </w:t>
      </w:r>
      <w:r w:rsidR="00DB02D5">
        <w:t xml:space="preserve">with </w:t>
      </w:r>
      <w:r>
        <w:t>jobs</w:t>
      </w:r>
    </w:p>
    <w:p w14:paraId="55637363" w14:textId="42B05596" w:rsidR="00E76C7A" w:rsidRPr="00E06F69" w:rsidRDefault="00E2209F" w:rsidP="001A2413">
      <w:pPr>
        <w:pStyle w:val="BodyText1"/>
        <w:numPr>
          <w:ilvl w:val="0"/>
          <w:numId w:val="3"/>
        </w:numPr>
        <w:jc w:val="left"/>
      </w:pPr>
      <w:r>
        <w:t>a</w:t>
      </w:r>
      <w:r w:rsidR="00E76C7A" w:rsidRPr="00E06F69">
        <w:t>s part of the Closing the Gap – Employment Services p</w:t>
      </w:r>
      <w:r w:rsidR="00DB02D5">
        <w:t xml:space="preserve">ackage, </w:t>
      </w:r>
      <w:r w:rsidR="00E76C7A" w:rsidRPr="00E06F69">
        <w:t>establish</w:t>
      </w:r>
      <w:r>
        <w:t>ing</w:t>
      </w:r>
      <w:r w:rsidR="00E76C7A" w:rsidRPr="00E06F69">
        <w:t xml:space="preserve"> the Time to Work Employment Service</w:t>
      </w:r>
      <w:r>
        <w:t xml:space="preserve">. This provides </w:t>
      </w:r>
      <w:r w:rsidR="00E76C7A" w:rsidRPr="00E06F69">
        <w:t>Indigenous prisoners with access to coordinated Australian Government funded in-prison employment services, including the d</w:t>
      </w:r>
      <w:r w:rsidR="00DB02D5">
        <w:t>evelopment of a transition plan</w:t>
      </w:r>
      <w:r w:rsidR="00E76C7A" w:rsidRPr="00E06F69">
        <w:t xml:space="preserve"> and a facilitated transfer to their employment services provider on release. </w:t>
      </w:r>
    </w:p>
    <w:p w14:paraId="4C99A627" w14:textId="2AD1C559" w:rsidR="00435D2C" w:rsidRPr="00435D2C" w:rsidRDefault="00E2209F" w:rsidP="001A2413">
      <w:pPr>
        <w:pStyle w:val="BodyText1"/>
        <w:numPr>
          <w:ilvl w:val="0"/>
          <w:numId w:val="3"/>
        </w:numPr>
        <w:jc w:val="left"/>
      </w:pPr>
      <w:r>
        <w:t>i</w:t>
      </w:r>
      <w:r w:rsidR="00435D2C" w:rsidRPr="00E06F69">
        <w:t>mplementing the Employment Parity Initiative</w:t>
      </w:r>
      <w:r w:rsidR="00DB02D5">
        <w:t>,</w:t>
      </w:r>
      <w:r w:rsidR="00435D2C" w:rsidRPr="00E06F69">
        <w:t xml:space="preserve"> which involves working with</w:t>
      </w:r>
      <w:r w:rsidR="00435D2C" w:rsidRPr="00435D2C">
        <w:t xml:space="preserve"> large employers to increase the number of Indigenous Australians employed in the pr</w:t>
      </w:r>
      <w:r w:rsidR="00DB02D5">
        <w:t xml:space="preserve">ivate sector, with a target of </w:t>
      </w:r>
      <w:r w:rsidR="00435D2C" w:rsidRPr="00435D2C">
        <w:t>3 per cent of their emp</w:t>
      </w:r>
      <w:r>
        <w:t>loyees being Indigenous by 2020</w:t>
      </w:r>
    </w:p>
    <w:p w14:paraId="743CE257" w14:textId="54C31023" w:rsidR="00081245" w:rsidRDefault="00E2209F" w:rsidP="001A2413">
      <w:pPr>
        <w:pStyle w:val="BodyText1"/>
        <w:numPr>
          <w:ilvl w:val="0"/>
          <w:numId w:val="3"/>
        </w:numPr>
        <w:jc w:val="left"/>
      </w:pPr>
      <w:r>
        <w:t>p</w:t>
      </w:r>
      <w:r w:rsidR="0063648F" w:rsidRPr="00E06F69">
        <w:t xml:space="preserve">roviding </w:t>
      </w:r>
      <w:r w:rsidR="0063648F">
        <w:t xml:space="preserve">funding </w:t>
      </w:r>
      <w:r w:rsidR="0063648F" w:rsidRPr="00E06F69">
        <w:t xml:space="preserve">support </w:t>
      </w:r>
      <w:r w:rsidR="0063648F" w:rsidRPr="0063648F">
        <w:t>to employers and service providers to connect working age Indigenous Australians with real and sustainable jobs, as well as assisting Indigenous school students to transition from educat</w:t>
      </w:r>
      <w:r>
        <w:t>ion into sustainable employment</w:t>
      </w:r>
    </w:p>
    <w:p w14:paraId="3D881690" w14:textId="5B40B0FF" w:rsidR="00595FEB" w:rsidRDefault="00E2209F" w:rsidP="00DB02D5">
      <w:pPr>
        <w:pStyle w:val="BodyText1"/>
        <w:numPr>
          <w:ilvl w:val="0"/>
          <w:numId w:val="3"/>
        </w:numPr>
        <w:jc w:val="left"/>
      </w:pPr>
      <w:r>
        <w:t>i</w:t>
      </w:r>
      <w:r w:rsidR="00E622F8" w:rsidRPr="00E06F69">
        <w:t>mplementing the Vocational Training and Employment Centre programme to deliver jobs to highly disadvantaged Indigenous job seekers across Australia and support them and thei</w:t>
      </w:r>
      <w:r>
        <w:t>r employers to 26 weeks in work</w:t>
      </w:r>
      <w:r w:rsidR="00E622F8" w:rsidRPr="00E06F69">
        <w:t xml:space="preserve"> </w:t>
      </w:r>
    </w:p>
    <w:p w14:paraId="41E68989" w14:textId="48D5598C" w:rsidR="00435D2C" w:rsidRPr="00435D2C" w:rsidRDefault="00E2209F" w:rsidP="00DB02D5">
      <w:pPr>
        <w:pStyle w:val="BodyText1"/>
        <w:numPr>
          <w:ilvl w:val="0"/>
          <w:numId w:val="3"/>
        </w:numPr>
        <w:jc w:val="left"/>
      </w:pPr>
      <w:r>
        <w:t>a</w:t>
      </w:r>
      <w:r w:rsidR="007B15B0" w:rsidRPr="00E93CAB">
        <w:t>n Indigenous Procurement Policy applying to the Australian Government’s domestic procurement</w:t>
      </w:r>
      <w:r>
        <w:t xml:space="preserve">. This will leverage </w:t>
      </w:r>
      <w:r w:rsidR="007B15B0" w:rsidRPr="00AD7A64">
        <w:t>the Commonwealth’s annual multi-billion procurement spend to drive demand for Indigenous goods and services, stimulate Indigenous economic development and grow the Indigenous business sector</w:t>
      </w:r>
      <w:r w:rsidR="007B15B0">
        <w:t xml:space="preserve"> </w:t>
      </w:r>
      <w:r w:rsidR="007B15B0" w:rsidRPr="00E93CAB">
        <w:t>and an Indigenous Entrepreneurs package with targeted support for small businesses</w:t>
      </w:r>
      <w:r w:rsidR="007B15B0">
        <w:t>.</w:t>
      </w:r>
    </w:p>
    <w:p w14:paraId="57DE19B2" w14:textId="40C138B0" w:rsidR="006B4F57" w:rsidRPr="006B4F57" w:rsidRDefault="006B4F57" w:rsidP="00A965E2">
      <w:pPr>
        <w:pStyle w:val="Heading3"/>
      </w:pPr>
      <w:bookmarkStart w:id="36" w:name="_Toc484691718"/>
      <w:bookmarkStart w:id="37" w:name="_Toc485740401"/>
      <w:bookmarkStart w:id="38" w:name="_Toc452625226"/>
      <w:bookmarkStart w:id="39" w:name="_Toc458449921"/>
      <w:r w:rsidRPr="006B4F57">
        <w:t>Mature age</w:t>
      </w:r>
      <w:bookmarkEnd w:id="36"/>
      <w:bookmarkEnd w:id="37"/>
      <w:r w:rsidR="00DB02D5">
        <w:t xml:space="preserve"> people</w:t>
      </w:r>
    </w:p>
    <w:p w14:paraId="168FD0B3" w14:textId="53FBABAC" w:rsidR="00367611" w:rsidRPr="00367611" w:rsidRDefault="00367611" w:rsidP="00572492">
      <w:pPr>
        <w:pStyle w:val="BodyText1"/>
        <w:spacing w:after="240"/>
        <w:jc w:val="left"/>
      </w:pPr>
      <w:r w:rsidRPr="00367611">
        <w:t>The Government’s</w:t>
      </w:r>
      <w:r w:rsidR="00F95F1D">
        <w:t xml:space="preserve"> 2018-19 Budget has a particular focus on </w:t>
      </w:r>
      <w:r w:rsidR="00F95F1D" w:rsidRPr="00367611">
        <w:t>help</w:t>
      </w:r>
      <w:r w:rsidR="00F95F1D">
        <w:t>ing</w:t>
      </w:r>
      <w:r w:rsidR="00F95F1D" w:rsidRPr="00367611">
        <w:t xml:space="preserve"> older Australi</w:t>
      </w:r>
      <w:r w:rsidR="00F95F1D">
        <w:t>ans to remain in the workforce and supporting</w:t>
      </w:r>
      <w:r w:rsidR="00F95F1D" w:rsidRPr="00367611">
        <w:t xml:space="preserve"> flexibility in their later working years</w:t>
      </w:r>
      <w:r w:rsidR="00AE584A">
        <w:t>,</w:t>
      </w:r>
      <w:r w:rsidR="00F95F1D">
        <w:t xml:space="preserve"> </w:t>
      </w:r>
      <w:r w:rsidR="00AE584A">
        <w:t xml:space="preserve">with </w:t>
      </w:r>
      <w:r w:rsidRPr="00367611">
        <w:t xml:space="preserve">jobs and skills measures </w:t>
      </w:r>
      <w:r w:rsidR="00AE584A">
        <w:t xml:space="preserve">contained </w:t>
      </w:r>
      <w:r w:rsidRPr="00367611">
        <w:t>in the More Choices for a Longer Life package</w:t>
      </w:r>
      <w:r w:rsidR="00F95F1D">
        <w:t>.</w:t>
      </w:r>
      <w:r w:rsidRPr="00367611">
        <w:t xml:space="preserve"> The Government will support older Australians to continue to build their capabilities by implementing a number of measures such as: </w:t>
      </w:r>
    </w:p>
    <w:p w14:paraId="6AB5A3D7" w14:textId="537D6D1D" w:rsidR="00E25271" w:rsidRDefault="00E2209F" w:rsidP="00E25271">
      <w:pPr>
        <w:pStyle w:val="BodyText1"/>
        <w:numPr>
          <w:ilvl w:val="0"/>
          <w:numId w:val="3"/>
        </w:numPr>
        <w:jc w:val="left"/>
      </w:pPr>
      <w:r>
        <w:t>t</w:t>
      </w:r>
      <w:r w:rsidR="00764EFA" w:rsidRPr="00AE584A">
        <w:t xml:space="preserve">he Skills Checkpoint for Older Workers program for Australians aged 45 to 70. </w:t>
      </w:r>
      <w:r w:rsidR="00764EFA">
        <w:t>The program will provide eligible Australians with advice and guidance on transitioning into new roles within their current industry or pathways to new careers, including referral to relevant education and training options. Eligible individuals will be employed and at risk of entering the income support system, or recently unemployed and not registered for assistance through an employment services program.</w:t>
      </w:r>
    </w:p>
    <w:p w14:paraId="6867D94E" w14:textId="2DDBA338" w:rsidR="00825BD5" w:rsidRDefault="00E2209F" w:rsidP="00E25271">
      <w:pPr>
        <w:pStyle w:val="BodyText1"/>
        <w:numPr>
          <w:ilvl w:val="0"/>
          <w:numId w:val="3"/>
        </w:numPr>
        <w:jc w:val="left"/>
      </w:pPr>
      <w:r>
        <w:t>t</w:t>
      </w:r>
      <w:r w:rsidR="00825BD5" w:rsidRPr="00AE584A">
        <w:t>ria</w:t>
      </w:r>
      <w:r w:rsidR="00754881">
        <w:t>l</w:t>
      </w:r>
      <w:r w:rsidR="00825BD5" w:rsidRPr="00AE584A">
        <w:t>ling a new Skills and Training Incentive</w:t>
      </w:r>
      <w:r w:rsidR="00825BD5">
        <w:t xml:space="preserve"> (Incentive)</w:t>
      </w:r>
      <w:r w:rsidR="00825BD5" w:rsidRPr="00AE584A">
        <w:t xml:space="preserve"> to encourage </w:t>
      </w:r>
      <w:r w:rsidR="00825BD5">
        <w:t>older Australians</w:t>
      </w:r>
      <w:r w:rsidR="00825BD5" w:rsidRPr="00AE584A">
        <w:t xml:space="preserve"> to enhance their skills and take advantage of new career opportunities. Up </w:t>
      </w:r>
      <w:r w:rsidR="00825BD5" w:rsidRPr="00181CCD">
        <w:t>to $2200</w:t>
      </w:r>
      <w:r w:rsidR="00825BD5">
        <w:t xml:space="preserve"> </w:t>
      </w:r>
      <w:r w:rsidR="00825BD5" w:rsidRPr="00AE584A">
        <w:t xml:space="preserve">per </w:t>
      </w:r>
      <w:r w:rsidR="00825BD5">
        <w:t>participant</w:t>
      </w:r>
      <w:r w:rsidR="00825BD5" w:rsidRPr="00AE584A">
        <w:t xml:space="preserve"> (matched by either the </w:t>
      </w:r>
      <w:r w:rsidR="00825BD5">
        <w:t>participant</w:t>
      </w:r>
      <w:r w:rsidR="00825BD5" w:rsidRPr="00AE584A">
        <w:t xml:space="preserve"> or </w:t>
      </w:r>
      <w:r w:rsidR="00825BD5">
        <w:t xml:space="preserve">their </w:t>
      </w:r>
      <w:r w:rsidR="00825BD5" w:rsidRPr="00AE584A">
        <w:t xml:space="preserve">employer) will be provided to fund reskilling opportunities. </w:t>
      </w:r>
      <w:r w:rsidR="00825BD5">
        <w:t>Participants</w:t>
      </w:r>
      <w:r w:rsidR="00825BD5" w:rsidRPr="00AE584A">
        <w:t xml:space="preserve"> aged 45 to 70 </w:t>
      </w:r>
      <w:r w:rsidR="00E25271">
        <w:t xml:space="preserve">years </w:t>
      </w:r>
      <w:r w:rsidR="00825BD5" w:rsidRPr="00AE584A">
        <w:t xml:space="preserve">who have completed the Skills Checkpoint and </w:t>
      </w:r>
      <w:r w:rsidR="00825BD5">
        <w:t>have training identified in their Skills Checkpoint assessment</w:t>
      </w:r>
      <w:r w:rsidR="00825BD5" w:rsidRPr="00AE584A">
        <w:t xml:space="preserve"> will be eligible for the </w:t>
      </w:r>
      <w:r w:rsidR="00825BD5">
        <w:t>I</w:t>
      </w:r>
      <w:r w:rsidR="00825BD5" w:rsidRPr="00AE584A">
        <w:t>ncentive.</w:t>
      </w:r>
    </w:p>
    <w:p w14:paraId="6B9D703B" w14:textId="799A1DE8" w:rsidR="00367611" w:rsidRPr="00AE584A" w:rsidRDefault="00E2209F" w:rsidP="001A2413">
      <w:pPr>
        <w:pStyle w:val="BodyText1"/>
        <w:numPr>
          <w:ilvl w:val="0"/>
          <w:numId w:val="3"/>
        </w:numPr>
        <w:jc w:val="left"/>
      </w:pPr>
      <w:r>
        <w:t>a</w:t>
      </w:r>
      <w:r w:rsidR="00367611" w:rsidRPr="00AE584A">
        <w:t>n online Skills Transferability Tool to assist workers to find jobs that closely match their skills and attrib</w:t>
      </w:r>
      <w:r>
        <w:t>utes</w:t>
      </w:r>
    </w:p>
    <w:p w14:paraId="11E765FF" w14:textId="0338531C" w:rsidR="00367611" w:rsidRPr="00E35140" w:rsidRDefault="00E2209F" w:rsidP="001A2413">
      <w:pPr>
        <w:pStyle w:val="BodyText1"/>
        <w:numPr>
          <w:ilvl w:val="0"/>
          <w:numId w:val="3"/>
        </w:numPr>
        <w:jc w:val="left"/>
      </w:pPr>
      <w:r>
        <w:t>b</w:t>
      </w:r>
      <w:r w:rsidR="00367611" w:rsidRPr="00AE584A">
        <w:t>ringing forward the national rollout of the Career Transition Assistance program (announced in the 2017-18 Budget) so older Australians can benefit sooner from guidance and training to be</w:t>
      </w:r>
      <w:r w:rsidR="00AE584A" w:rsidRPr="00AE584A">
        <w:t xml:space="preserve"> competitive in their local labour </w:t>
      </w:r>
      <w:r w:rsidR="00367611" w:rsidRPr="00AE584A">
        <w:t>market. The national rollout will</w:t>
      </w:r>
      <w:r w:rsidR="00367611" w:rsidRPr="00E35140">
        <w:t xml:space="preserve"> be extended to 45 to 49 year</w:t>
      </w:r>
      <w:r w:rsidR="00E35140">
        <w:noBreakHyphen/>
      </w:r>
      <w:r w:rsidR="00367611" w:rsidRPr="00E35140">
        <w:t xml:space="preserve">olds, beyond the current age bracket of 50 years and over. </w:t>
      </w:r>
    </w:p>
    <w:p w14:paraId="7540A41A" w14:textId="575ED118" w:rsidR="00367611" w:rsidRPr="00AE584A" w:rsidRDefault="00E2209F" w:rsidP="00572492">
      <w:pPr>
        <w:pStyle w:val="BodyText1"/>
        <w:numPr>
          <w:ilvl w:val="0"/>
          <w:numId w:val="3"/>
        </w:numPr>
        <w:spacing w:after="240"/>
        <w:jc w:val="left"/>
      </w:pPr>
      <w:r>
        <w:t>e</w:t>
      </w:r>
      <w:r w:rsidR="00367611" w:rsidRPr="00E35140">
        <w:t xml:space="preserve">xpanding the </w:t>
      </w:r>
      <w:r w:rsidR="00367611" w:rsidRPr="00AE584A">
        <w:t>Entre</w:t>
      </w:r>
      <w:r w:rsidR="00754881">
        <w:t>preneurship Facilitators initiative</w:t>
      </w:r>
      <w:r w:rsidR="00367611" w:rsidRPr="00AE584A">
        <w:t xml:space="preserve"> to 20 additional locations to promote self-emp</w:t>
      </w:r>
      <w:r>
        <w:t>loyment among older Australians</w:t>
      </w:r>
      <w:r w:rsidR="00367611" w:rsidRPr="00AE584A">
        <w:t xml:space="preserve"> </w:t>
      </w:r>
    </w:p>
    <w:p w14:paraId="54CB9DCD" w14:textId="13A2208F" w:rsidR="008D5885" w:rsidRDefault="00BE331A" w:rsidP="00572492">
      <w:pPr>
        <w:pStyle w:val="BodyText1"/>
        <w:spacing w:after="240"/>
        <w:jc w:val="left"/>
      </w:pPr>
      <w:r w:rsidRPr="002F77E7">
        <w:t xml:space="preserve">Employers also have a role in supporting older Australians. This will be achieved </w:t>
      </w:r>
      <w:r>
        <w:t xml:space="preserve">in part by </w:t>
      </w:r>
      <w:r w:rsidRPr="002F77E7">
        <w:t xml:space="preserve">working with industry, via a </w:t>
      </w:r>
      <w:r w:rsidRPr="00AE584A">
        <w:t>Collaborative Partnership on Mature Age Employment, to drive cultural change in hiring practices and combat age discrimination in workplaces.</w:t>
      </w:r>
      <w:r>
        <w:t xml:space="preserve"> A </w:t>
      </w:r>
      <w:r w:rsidRPr="00AE584A">
        <w:t>Restart wage</w:t>
      </w:r>
      <w:r w:rsidRPr="002F77E7">
        <w:t xml:space="preserve"> subsidy</w:t>
      </w:r>
      <w:r>
        <w:t xml:space="preserve"> of up to </w:t>
      </w:r>
      <w:r w:rsidRPr="00AE584A">
        <w:t>$10,000</w:t>
      </w:r>
      <w:r>
        <w:t xml:space="preserve"> is </w:t>
      </w:r>
      <w:r w:rsidRPr="002F77E7">
        <w:t>available to employers to encourage them to hire older Australians</w:t>
      </w:r>
      <w:r>
        <w:t xml:space="preserve"> who are 50 years of age and who have been receiving income support or a qualifying pension.</w:t>
      </w:r>
    </w:p>
    <w:p w14:paraId="629AC399" w14:textId="68FD5484" w:rsidR="008D5885" w:rsidRPr="002F77E7" w:rsidRDefault="008D5885" w:rsidP="00572492">
      <w:pPr>
        <w:pStyle w:val="BodyText1"/>
        <w:spacing w:after="240"/>
        <w:jc w:val="left"/>
      </w:pPr>
      <w:r w:rsidRPr="002F77E7">
        <w:t>These measures build on the Mature Age Employment Package, part of broader Working Age Payment Reforms, in the 2017–18 B</w:t>
      </w:r>
      <w:r w:rsidR="00367CEF">
        <w:t>udget. This package includes a</w:t>
      </w:r>
      <w:r w:rsidRPr="002F77E7">
        <w:t xml:space="preserve"> new Career Transition Assistance program, a series of Pathway to Work pilots to prepare and train job seekers for specific vacancies, and </w:t>
      </w:r>
      <w:r w:rsidR="006153A6">
        <w:t xml:space="preserve">an </w:t>
      </w:r>
      <w:r w:rsidRPr="002F77E7">
        <w:t>expansion and enhancement of the National Work Experience Programme.</w:t>
      </w:r>
    </w:p>
    <w:p w14:paraId="75A1130B" w14:textId="4C378663" w:rsidR="008D5885" w:rsidRDefault="008D5885" w:rsidP="00572492">
      <w:pPr>
        <w:pStyle w:val="BodyText1"/>
        <w:spacing w:after="240"/>
        <w:jc w:val="left"/>
      </w:pPr>
      <w:r w:rsidRPr="002F77E7">
        <w:t>These increased support services accompany changes to mutual obligations for mature age job seekers. Changes to participation requirements have been designed to increase the time people spend in activities that lead to work, better connect them with the labour market and better align requirements with community expectations.</w:t>
      </w:r>
    </w:p>
    <w:p w14:paraId="3F6489D4" w14:textId="77777777" w:rsidR="008D5885" w:rsidRPr="002F77E7" w:rsidRDefault="008D5885" w:rsidP="001A2413">
      <w:pPr>
        <w:pStyle w:val="BodyText1"/>
        <w:numPr>
          <w:ilvl w:val="0"/>
          <w:numId w:val="3"/>
        </w:numPr>
        <w:jc w:val="left"/>
      </w:pPr>
      <w:r w:rsidRPr="002F77E7">
        <w:t xml:space="preserve">For their first 12 months on payment, job seekers aged 55 to 59 will no longer be able to fully meet their mutual obligation requirements through undertaking 30 hours per fortnight of any combination of volunteer or paid work. Instead, at least 15 of the 30 hours will need to be in paid work to fully meet their requirements. </w:t>
      </w:r>
    </w:p>
    <w:p w14:paraId="0F08552C" w14:textId="77777777" w:rsidR="008D5885" w:rsidRPr="002F77E7" w:rsidRDefault="008D5885" w:rsidP="00DD5B92">
      <w:pPr>
        <w:pStyle w:val="BodyText1"/>
        <w:numPr>
          <w:ilvl w:val="0"/>
          <w:numId w:val="3"/>
        </w:numPr>
        <w:spacing w:after="240"/>
        <w:jc w:val="left"/>
      </w:pPr>
      <w:r w:rsidRPr="002F77E7">
        <w:t>Those aged between 60 and the Age Pension eligibility age (currently 65.5 years), who currently have no Annual Activity Requirement (AAR), will have an AAR of 10 hours per fortnight.</w:t>
      </w:r>
    </w:p>
    <w:p w14:paraId="44DACDE7" w14:textId="410B9A84" w:rsidR="006B4F57" w:rsidRPr="00077559" w:rsidRDefault="00DB02D5" w:rsidP="00A965E2">
      <w:pPr>
        <w:pStyle w:val="Heading3"/>
      </w:pPr>
      <w:bookmarkStart w:id="40" w:name="_Toc484691719"/>
      <w:bookmarkStart w:id="41" w:name="_Toc485740402"/>
      <w:r>
        <w:t>People with d</w:t>
      </w:r>
      <w:r w:rsidR="006B4F57" w:rsidRPr="00077559">
        <w:t>isability</w:t>
      </w:r>
      <w:bookmarkEnd w:id="40"/>
      <w:bookmarkEnd w:id="41"/>
      <w:r w:rsidR="009A242F">
        <w:t xml:space="preserve"> and carers</w:t>
      </w:r>
    </w:p>
    <w:p w14:paraId="0DF557AD" w14:textId="77777777" w:rsidR="009A242F" w:rsidRPr="001B6279" w:rsidRDefault="009A242F" w:rsidP="00DD5B92">
      <w:pPr>
        <w:pStyle w:val="BodyText1"/>
        <w:spacing w:after="240"/>
        <w:jc w:val="left"/>
      </w:pPr>
      <w:r>
        <w:t xml:space="preserve">The National Disability Strategy 2010-2020 is Australia’s overarching framework for driving a more inclusive approach to the design of policies, programs and infrastructure so people with disability can participate in all areas of life and have economic security. It is the primary mechanism for implementing the United Nations </w:t>
      </w:r>
      <w:r>
        <w:rPr>
          <w:i/>
        </w:rPr>
        <w:t>Convention on the Rights of Persons with Disabilities</w:t>
      </w:r>
      <w:r>
        <w:t xml:space="preserve"> in Australia.</w:t>
      </w:r>
    </w:p>
    <w:p w14:paraId="54C75B58" w14:textId="77777777" w:rsidR="00A64BD3" w:rsidRDefault="002E4AD1" w:rsidP="00DD5B92">
      <w:pPr>
        <w:pStyle w:val="BodyText1"/>
        <w:spacing w:after="240"/>
        <w:jc w:val="left"/>
      </w:pPr>
      <w:r>
        <w:t>C</w:t>
      </w:r>
      <w:r w:rsidR="00BD2C91" w:rsidRPr="000A44D1">
        <w:t>ommitments to improve labour market participation for people with disability and carers include:</w:t>
      </w:r>
    </w:p>
    <w:p w14:paraId="20E94244" w14:textId="71664F3E" w:rsidR="00BD2C91" w:rsidRPr="000A44D1" w:rsidRDefault="00E2209F" w:rsidP="001A2413">
      <w:pPr>
        <w:pStyle w:val="BodyText1"/>
        <w:numPr>
          <w:ilvl w:val="0"/>
          <w:numId w:val="21"/>
        </w:numPr>
        <w:jc w:val="left"/>
      </w:pPr>
      <w:r>
        <w:t>t</w:t>
      </w:r>
      <w:r w:rsidR="00BD2C91" w:rsidRPr="000A44D1">
        <w:t xml:space="preserve">he Australia-wide roll-out of the National Disability Insurance Scheme (NDIS), which is aimed at improving the wellbeing and economic and social participation of people with disability and their carers. Once the NDIS reaches full scheme in 2020, it is estimated to cost $22 billion </w:t>
      </w:r>
      <w:r w:rsidR="00A15366">
        <w:t xml:space="preserve">a year </w:t>
      </w:r>
      <w:r w:rsidR="00BD2C91" w:rsidRPr="000A44D1">
        <w:t xml:space="preserve">and provide support to around 460,000 people with disability.  </w:t>
      </w:r>
    </w:p>
    <w:p w14:paraId="2F9FF841" w14:textId="17691D70" w:rsidR="00BD2C91" w:rsidRPr="000A44D1" w:rsidRDefault="00E2209F" w:rsidP="001A2413">
      <w:pPr>
        <w:pStyle w:val="BodyText1"/>
        <w:numPr>
          <w:ilvl w:val="0"/>
          <w:numId w:val="21"/>
        </w:numPr>
        <w:jc w:val="left"/>
      </w:pPr>
      <w:r>
        <w:t>c</w:t>
      </w:r>
      <w:r w:rsidR="00BD2C91" w:rsidRPr="000A44D1">
        <w:t xml:space="preserve">ontinued investment of more than $3 billion over four years into the </w:t>
      </w:r>
      <w:r w:rsidR="002C0BB9">
        <w:t xml:space="preserve">DES </w:t>
      </w:r>
      <w:r w:rsidR="00BD2C91" w:rsidRPr="000A44D1">
        <w:t xml:space="preserve">program, including the introduction of reforms in July 2018 fostering greater choice and control by people with disability in selecting the services they need </w:t>
      </w:r>
      <w:r>
        <w:t>to find and maintain employment</w:t>
      </w:r>
    </w:p>
    <w:p w14:paraId="2703AF61" w14:textId="297E4EFA" w:rsidR="00BD2C91" w:rsidRPr="000A44D1" w:rsidRDefault="00E2209F" w:rsidP="00B86D95">
      <w:pPr>
        <w:pStyle w:val="BodyText1"/>
        <w:numPr>
          <w:ilvl w:val="0"/>
          <w:numId w:val="21"/>
        </w:numPr>
        <w:spacing w:after="240"/>
        <w:jc w:val="left"/>
      </w:pPr>
      <w:r>
        <w:t>a</w:t>
      </w:r>
      <w:r w:rsidR="00BD2C91" w:rsidRPr="000A44D1">
        <w:t>n additional $85.6 million over four years for the introduction of new services for carers through an Integrated Carer Supp</w:t>
      </w:r>
      <w:r w:rsidR="006153A6">
        <w:t xml:space="preserve">ort Service model. </w:t>
      </w:r>
      <w:r w:rsidR="00BD2C91" w:rsidRPr="000A44D1">
        <w:t>The early intervention model will help sustain carers in the caring role, improve their ability to stay in touch with work, complete their education and participate in the community.</w:t>
      </w:r>
    </w:p>
    <w:p w14:paraId="35282E03" w14:textId="75D43173" w:rsidR="002653D5" w:rsidRDefault="002653D5" w:rsidP="00B86D95">
      <w:pPr>
        <w:pStyle w:val="BodyText1"/>
        <w:spacing w:after="240"/>
        <w:jc w:val="left"/>
      </w:pPr>
      <w:r w:rsidRPr="00E91C88">
        <w:t>The long</w:t>
      </w:r>
      <w:r w:rsidR="00E2209F">
        <w:noBreakHyphen/>
      </w:r>
      <w:r w:rsidRPr="00E91C88">
        <w:t>term structural shift in employment in services industries is projected to continue over the coming five years</w:t>
      </w:r>
      <w:r w:rsidR="004377F0" w:rsidRPr="00E91C88">
        <w:t>, providing significant job opportunities</w:t>
      </w:r>
      <w:r w:rsidRPr="00E91C88">
        <w:t xml:space="preserve">. In particular, employment in Health Care and Social Assistance, the </w:t>
      </w:r>
      <w:r w:rsidR="00A64BD3">
        <w:t xml:space="preserve">main source of </w:t>
      </w:r>
      <w:r w:rsidRPr="00E91C88">
        <w:t>new jobs in the Australian labour market since the 1990s, is</w:t>
      </w:r>
      <w:r w:rsidR="00E2209F">
        <w:t> </w:t>
      </w:r>
      <w:r w:rsidRPr="00E91C88">
        <w:t xml:space="preserve">projected to increase by over 250,000 </w:t>
      </w:r>
      <w:r w:rsidR="00A64BD3">
        <w:t xml:space="preserve">people </w:t>
      </w:r>
      <w:r w:rsidRPr="00E91C88">
        <w:t xml:space="preserve">over the five years to May 2023. The resulting increase in this industry’s share of total projected employment growth will be largely due to the full implementation of the NDIS, scheduled for 2019-20. Various government measures to support growth, quality and equity in the sector – such as health, aged care and NDIS workforce strategies and other initiatives </w:t>
      </w:r>
      <w:r w:rsidR="00A64BD3">
        <w:t xml:space="preserve">– </w:t>
      </w:r>
      <w:r w:rsidR="000240D9" w:rsidRPr="00E91C88">
        <w:t>enable</w:t>
      </w:r>
      <w:r w:rsidRPr="00E91C88">
        <w:t xml:space="preserve"> workers to harness </w:t>
      </w:r>
      <w:r w:rsidR="000240D9" w:rsidRPr="00E91C88">
        <w:t xml:space="preserve">emerging job </w:t>
      </w:r>
      <w:r w:rsidRPr="00E91C88">
        <w:t>opportunities</w:t>
      </w:r>
      <w:r w:rsidR="000240D9" w:rsidRPr="00E91C88">
        <w:t>.</w:t>
      </w:r>
      <w:r w:rsidRPr="00E91C88">
        <w:t xml:space="preserve"> </w:t>
      </w:r>
    </w:p>
    <w:p w14:paraId="1AEA2B54" w14:textId="61F2CF08" w:rsidR="006B4F57" w:rsidRPr="00CF709A" w:rsidRDefault="00E43F4C" w:rsidP="00A965E2">
      <w:pPr>
        <w:pStyle w:val="Heading3"/>
      </w:pPr>
      <w:bookmarkStart w:id="42" w:name="_Toc484691720"/>
      <w:bookmarkStart w:id="43" w:name="_Toc485740403"/>
      <w:r>
        <w:t>R</w:t>
      </w:r>
      <w:r w:rsidR="006B4F57" w:rsidRPr="00CF709A">
        <w:t>egional areas</w:t>
      </w:r>
      <w:bookmarkEnd w:id="38"/>
      <w:bookmarkEnd w:id="39"/>
      <w:bookmarkEnd w:id="42"/>
      <w:bookmarkEnd w:id="43"/>
    </w:p>
    <w:p w14:paraId="4C82AD91" w14:textId="0AEF6072" w:rsidR="00060786" w:rsidRDefault="006B4F57" w:rsidP="00B86D95">
      <w:pPr>
        <w:pStyle w:val="BodyText1"/>
        <w:spacing w:after="240"/>
        <w:jc w:val="left"/>
      </w:pPr>
      <w:r w:rsidRPr="00A77989">
        <w:t>Unemployment rat</w:t>
      </w:r>
      <w:r w:rsidR="006153A6">
        <w:t>es across Australia vary widely</w:t>
      </w:r>
      <w:r w:rsidRPr="00A77989">
        <w:t xml:space="preserve"> and tend to increase outside of capital cities. Engagement in work or study by disadvantaged cohorts, particularly young people, women and Indigenous Australians, also tends to </w:t>
      </w:r>
      <w:r>
        <w:t>be lower</w:t>
      </w:r>
      <w:r w:rsidR="00060786">
        <w:t xml:space="preserve"> in regional or remote areas.</w:t>
      </w:r>
      <w:r w:rsidR="00197FAD">
        <w:t xml:space="preserve"> </w:t>
      </w:r>
      <w:r w:rsidR="00CC698C">
        <w:t>Key commitments</w:t>
      </w:r>
      <w:r w:rsidR="006153A6">
        <w:t xml:space="preserve"> </w:t>
      </w:r>
      <w:r w:rsidR="00060786" w:rsidRPr="00060786">
        <w:t>to improve employment opportunities in disadvantaged regions of Australia include:</w:t>
      </w:r>
    </w:p>
    <w:p w14:paraId="4C496D5D" w14:textId="3718DF47" w:rsidR="00060786" w:rsidRDefault="00E2209F" w:rsidP="00E2209F">
      <w:pPr>
        <w:pStyle w:val="BodyText1"/>
        <w:numPr>
          <w:ilvl w:val="0"/>
          <w:numId w:val="3"/>
        </w:numPr>
        <w:jc w:val="left"/>
      </w:pPr>
      <w:r>
        <w:t>a</w:t>
      </w:r>
      <w:r w:rsidR="00A20148">
        <w:t xml:space="preserve"> $222</w:t>
      </w:r>
      <w:r w:rsidR="00CC698C">
        <w:t>.3</w:t>
      </w:r>
      <w:r w:rsidR="00060786" w:rsidRPr="00060786">
        <w:t xml:space="preserve"> million investment in the Regional Jobs and Investment Packages (RJIP), to help </w:t>
      </w:r>
      <w:r w:rsidR="00A20148">
        <w:t>10</w:t>
      </w:r>
      <w:r>
        <w:t> </w:t>
      </w:r>
      <w:r w:rsidR="00060786" w:rsidRPr="00060786">
        <w:t>regions in Australia diversify their economies, stimulate long-term economic growth and</w:t>
      </w:r>
      <w:r w:rsidR="00CC698C">
        <w:t xml:space="preserve"> deliver sustainable employment</w:t>
      </w:r>
    </w:p>
    <w:p w14:paraId="56C42F65" w14:textId="650CCFAE" w:rsidR="00CC698C" w:rsidRDefault="00E2209F" w:rsidP="00E2209F">
      <w:pPr>
        <w:pStyle w:val="BodyText1"/>
        <w:numPr>
          <w:ilvl w:val="0"/>
          <w:numId w:val="3"/>
        </w:numPr>
        <w:jc w:val="left"/>
      </w:pPr>
      <w:r>
        <w:t>t</w:t>
      </w:r>
      <w:r w:rsidR="00CC698C">
        <w:t>he Regional Growth Fund, a $272.2 million investment program to provide grants for $10 million or more for major projects, which support long-term economic growth and create jobs in regions</w:t>
      </w:r>
      <w:r w:rsidR="00A20148">
        <w:t>, including those</w:t>
      </w:r>
      <w:r w:rsidR="00CC698C">
        <w:t xml:space="preserve"> u</w:t>
      </w:r>
      <w:r>
        <w:t>ndergoing structural adjustment</w:t>
      </w:r>
    </w:p>
    <w:p w14:paraId="3F5B0FD5" w14:textId="4F578B7C" w:rsidR="00CC698C" w:rsidRPr="00060786" w:rsidRDefault="00E2209F" w:rsidP="00E2209F">
      <w:pPr>
        <w:pStyle w:val="BodyText1"/>
        <w:numPr>
          <w:ilvl w:val="0"/>
          <w:numId w:val="3"/>
        </w:numPr>
        <w:jc w:val="left"/>
      </w:pPr>
      <w:r>
        <w:t>t</w:t>
      </w:r>
      <w:r w:rsidR="00CC698C">
        <w:t>he Building Better Regions Fund of nearly $642 million which will create jobs, drive economic growth and support strong regional and remote communities across Australia by funding infrastructure an</w:t>
      </w:r>
      <w:r>
        <w:t>d community investment projects</w:t>
      </w:r>
    </w:p>
    <w:p w14:paraId="37F572E2" w14:textId="75993658" w:rsidR="006B4F57" w:rsidRDefault="00E2209F" w:rsidP="00B86D95">
      <w:pPr>
        <w:pStyle w:val="BodyText1"/>
        <w:numPr>
          <w:ilvl w:val="0"/>
          <w:numId w:val="3"/>
        </w:numPr>
        <w:spacing w:after="240"/>
        <w:jc w:val="left"/>
      </w:pPr>
      <w:r>
        <w:t>a</w:t>
      </w:r>
      <w:r w:rsidR="00CC698C">
        <w:t xml:space="preserve"> range of measures to </w:t>
      </w:r>
      <w:r w:rsidR="00060786" w:rsidRPr="00060786">
        <w:t xml:space="preserve">support the economic development of northern Australia over the next 20 years, including the $5 billion Northern Australia Infrastructure Facility and actions to </w:t>
      </w:r>
      <w:r w:rsidR="006153A6">
        <w:t xml:space="preserve">increase </w:t>
      </w:r>
      <w:r w:rsidR="00060786" w:rsidRPr="00060786">
        <w:t>skills development and expand the labour force in this region</w:t>
      </w:r>
      <w:r w:rsidR="006B4F57" w:rsidRPr="00A77989">
        <w:t xml:space="preserve"> </w:t>
      </w:r>
    </w:p>
    <w:p w14:paraId="29290C57" w14:textId="708AAC15" w:rsidR="00424E32" w:rsidRDefault="00424E32" w:rsidP="00B86D95">
      <w:pPr>
        <w:pStyle w:val="BodyText1"/>
        <w:spacing w:after="240"/>
        <w:jc w:val="left"/>
      </w:pPr>
      <w:r w:rsidRPr="0000597B">
        <w:rPr>
          <w:lang w:val="en-AU" w:eastAsia="en-AU"/>
        </w:rPr>
        <w:t>In addition to the tailored services provided through the Government’s national jobactive employment services program,</w:t>
      </w:r>
      <w:r>
        <w:rPr>
          <w:lang w:val="en-AU" w:eastAsia="en-AU"/>
        </w:rPr>
        <w:t xml:space="preserve"> the Government introduced the $18.4 million Regional Employment Trials program </w:t>
      </w:r>
      <w:r>
        <w:t xml:space="preserve">as part of the 2018-19 Budget. The program operates in ten selected disadvantaged regions and allows local stakeholders to design solutions to local employment programs. </w:t>
      </w:r>
      <w:r w:rsidRPr="00060786">
        <w:t>In trial regions, Department of Jobs and Small Business Employment Facilitators work with Regional Development Australia committees to develop local employment projects. Projects bring together stak</w:t>
      </w:r>
      <w:r>
        <w:t>eholders and employment service</w:t>
      </w:r>
      <w:r w:rsidRPr="00060786">
        <w:t xml:space="preserve"> providers to tackle employment challenges. Examples of projects that could be funded include: </w:t>
      </w:r>
    </w:p>
    <w:p w14:paraId="26CB1C88" w14:textId="77777777" w:rsidR="00424E32" w:rsidRPr="00060786" w:rsidRDefault="00424E32" w:rsidP="00424E32">
      <w:pPr>
        <w:pStyle w:val="BodyText1"/>
        <w:numPr>
          <w:ilvl w:val="0"/>
          <w:numId w:val="3"/>
        </w:numPr>
        <w:jc w:val="left"/>
      </w:pPr>
      <w:r>
        <w:t xml:space="preserve">engaging </w:t>
      </w:r>
      <w:r w:rsidRPr="00060786">
        <w:t xml:space="preserve">mature aged residents and local business leaders in a mentoring program </w:t>
      </w:r>
    </w:p>
    <w:p w14:paraId="5912465A" w14:textId="77777777" w:rsidR="00424E32" w:rsidRPr="00060786" w:rsidRDefault="00424E32" w:rsidP="00424E32">
      <w:pPr>
        <w:pStyle w:val="BodyText1"/>
        <w:numPr>
          <w:ilvl w:val="0"/>
          <w:numId w:val="3"/>
        </w:numPr>
        <w:jc w:val="left"/>
      </w:pPr>
      <w:r w:rsidRPr="00060786">
        <w:t>preparing job seekers for a</w:t>
      </w:r>
      <w:r>
        <w:t>n up</w:t>
      </w:r>
      <w:r w:rsidRPr="00060786">
        <w:t xml:space="preserve">coming infrastructure project </w:t>
      </w:r>
    </w:p>
    <w:p w14:paraId="2D21C656" w14:textId="15D0C20F" w:rsidR="00424E32" w:rsidRDefault="00424E32" w:rsidP="00F07E1C">
      <w:pPr>
        <w:pStyle w:val="BodyText1"/>
        <w:numPr>
          <w:ilvl w:val="0"/>
          <w:numId w:val="3"/>
        </w:numPr>
        <w:spacing w:after="240"/>
        <w:jc w:val="left"/>
      </w:pPr>
      <w:r w:rsidRPr="00060786">
        <w:t>work experience programs that provide local employmen</w:t>
      </w:r>
      <w:r w:rsidR="00E2209F">
        <w:t>t opportunities</w:t>
      </w:r>
    </w:p>
    <w:p w14:paraId="00FE83A7" w14:textId="4D781580" w:rsidR="00193226" w:rsidRDefault="00424E32" w:rsidP="00F07E1C">
      <w:pPr>
        <w:pStyle w:val="BodyText1"/>
        <w:spacing w:after="240"/>
        <w:jc w:val="left"/>
      </w:pPr>
      <w:r>
        <w:t xml:space="preserve">The Regional Employment Trials </w:t>
      </w:r>
      <w:r w:rsidR="00C22C00">
        <w:t xml:space="preserve">program </w:t>
      </w:r>
      <w:r>
        <w:t>commenced on 1 October 2018 and conclude</w:t>
      </w:r>
      <w:r w:rsidR="00C22C00">
        <w:t>s</w:t>
      </w:r>
      <w:r>
        <w:t xml:space="preserve"> on 30</w:t>
      </w:r>
      <w:r w:rsidR="00C22C00">
        <w:t> </w:t>
      </w:r>
      <w:r>
        <w:t>June</w:t>
      </w:r>
      <w:r w:rsidR="00C22C00">
        <w:t> </w:t>
      </w:r>
      <w:r>
        <w:t>2020.</w:t>
      </w:r>
    </w:p>
    <w:p w14:paraId="6DAECFF6" w14:textId="77777777" w:rsidR="006B4F57" w:rsidRPr="00077559" w:rsidRDefault="006B4F57" w:rsidP="00A965E2">
      <w:pPr>
        <w:pStyle w:val="Heading3"/>
      </w:pPr>
      <w:bookmarkStart w:id="44" w:name="_Toc484691721"/>
      <w:bookmarkStart w:id="45" w:name="_Toc485740404"/>
      <w:bookmarkStart w:id="46" w:name="_Toc452625228"/>
      <w:bookmarkStart w:id="47" w:name="_Toc458449923"/>
      <w:bookmarkStart w:id="48" w:name="_Toc484691722"/>
      <w:bookmarkStart w:id="49" w:name="_Toc485740405"/>
      <w:bookmarkStart w:id="50" w:name="_Toc452625229"/>
      <w:bookmarkStart w:id="51" w:name="_Toc458449924"/>
      <w:r w:rsidRPr="00077559">
        <w:t>Workers in industries facing major structural change</w:t>
      </w:r>
    </w:p>
    <w:p w14:paraId="731E80C6" w14:textId="6A4DE067" w:rsidR="00B74C49" w:rsidRPr="00DA556F" w:rsidRDefault="006B4F57" w:rsidP="00F07E1C">
      <w:pPr>
        <w:pStyle w:val="BodyText1"/>
        <w:spacing w:after="240"/>
        <w:jc w:val="left"/>
      </w:pPr>
      <w:r w:rsidRPr="00B400BC">
        <w:t>Australia’s economy has undergone significant structural change over recent decades</w:t>
      </w:r>
      <w:r w:rsidR="00B74C49">
        <w:t xml:space="preserve">, affecting </w:t>
      </w:r>
      <w:r w:rsidR="007043D3">
        <w:t>jobs, industry capability</w:t>
      </w:r>
      <w:r w:rsidRPr="00B400BC">
        <w:t xml:space="preserve"> and supply chains. </w:t>
      </w:r>
      <w:r w:rsidR="00B74C49">
        <w:t xml:space="preserve">This </w:t>
      </w:r>
      <w:r w:rsidRPr="00B400BC">
        <w:t>creates challenges as some industries contract</w:t>
      </w:r>
      <w:r w:rsidR="00A859F6">
        <w:t xml:space="preserve"> </w:t>
      </w:r>
      <w:r w:rsidRPr="00B400BC">
        <w:t xml:space="preserve">but also creates opportunities as others expand. The successful </w:t>
      </w:r>
      <w:r w:rsidR="007043D3">
        <w:t>market</w:t>
      </w:r>
      <w:r w:rsidR="007043D3">
        <w:noBreakHyphen/>
        <w:t xml:space="preserve">driven </w:t>
      </w:r>
      <w:r w:rsidRPr="00B400BC">
        <w:t xml:space="preserve">reallocation of resources in the economy allows businesses to access the workers and investment they need. Although a positive force for the economy as a whole, structural adjustment can </w:t>
      </w:r>
      <w:r w:rsidR="007043D3">
        <w:t xml:space="preserve">have transition costs </w:t>
      </w:r>
      <w:r w:rsidRPr="00B400BC">
        <w:t xml:space="preserve">for individuals and communities </w:t>
      </w:r>
      <w:r w:rsidRPr="00DA556F">
        <w:t>that rely on industries in decline.</w:t>
      </w:r>
      <w:r w:rsidR="00C22C00">
        <w:t xml:space="preserve"> </w:t>
      </w:r>
      <w:r w:rsidR="007043D3">
        <w:t xml:space="preserve">Recent measures </w:t>
      </w:r>
      <w:r w:rsidR="00DA556F" w:rsidRPr="00DA556F">
        <w:t xml:space="preserve">to support workers in industries facing structural decline </w:t>
      </w:r>
      <w:r w:rsidR="007043D3">
        <w:t>have included</w:t>
      </w:r>
      <w:r w:rsidR="00DA556F" w:rsidRPr="00DA556F">
        <w:t>:</w:t>
      </w:r>
    </w:p>
    <w:p w14:paraId="52307A7D" w14:textId="7AA654B3" w:rsidR="00000A3F" w:rsidRDefault="00B74C49" w:rsidP="00000A3F">
      <w:pPr>
        <w:pStyle w:val="BodyText1"/>
        <w:numPr>
          <w:ilvl w:val="0"/>
          <w:numId w:val="3"/>
        </w:numPr>
        <w:jc w:val="left"/>
      </w:pPr>
      <w:r>
        <w:t>t</w:t>
      </w:r>
      <w:r w:rsidR="00000A3F" w:rsidRPr="00000A3F">
        <w:t xml:space="preserve">he $10.3 million Stronger Transitions package </w:t>
      </w:r>
      <w:r w:rsidR="00000A3F">
        <w:t xml:space="preserve">which </w:t>
      </w:r>
      <w:r w:rsidR="00000A3F" w:rsidRPr="00000A3F">
        <w:t>commenced on 1 July 2018 to help retrenched workers with pre and post-retrenchment support and take advantage of labour market opportunities. It is available in the following regions: Adelaide, Mandurah, North Queensland, North/North-West Tasmania and Melbourne North/West</w:t>
      </w:r>
    </w:p>
    <w:p w14:paraId="4A194D09" w14:textId="036193D3" w:rsidR="00DA556F" w:rsidRPr="00DA556F" w:rsidRDefault="00B74C49" w:rsidP="001A2413">
      <w:pPr>
        <w:pStyle w:val="BodyText1"/>
        <w:numPr>
          <w:ilvl w:val="0"/>
          <w:numId w:val="3"/>
        </w:numPr>
        <w:jc w:val="left"/>
      </w:pPr>
      <w:r>
        <w:t>t</w:t>
      </w:r>
      <w:r w:rsidR="00DA556F" w:rsidRPr="00DA556F">
        <w:t>he $155 million Growth Fund which includes measures to assist retrenched automotive workers to resk</w:t>
      </w:r>
      <w:r w:rsidR="007043D3">
        <w:t>ill and transition to new jobs</w:t>
      </w:r>
    </w:p>
    <w:p w14:paraId="47AD3360" w14:textId="00AE8EE8" w:rsidR="00DA556F" w:rsidRPr="00DA556F" w:rsidRDefault="00B74C49" w:rsidP="001A2413">
      <w:pPr>
        <w:pStyle w:val="BodyText1"/>
        <w:numPr>
          <w:ilvl w:val="0"/>
          <w:numId w:val="3"/>
        </w:numPr>
        <w:jc w:val="left"/>
      </w:pPr>
      <w:r>
        <w:t>t</w:t>
      </w:r>
      <w:r w:rsidR="00DA556F" w:rsidRPr="00DA556F">
        <w:t xml:space="preserve">he $100 million Advanced Manufacturing Fund to drive innovation </w:t>
      </w:r>
    </w:p>
    <w:p w14:paraId="5A98D34C" w14:textId="50644B4E" w:rsidR="00DA556F" w:rsidRPr="00DA556F" w:rsidRDefault="00B74C49" w:rsidP="001A2413">
      <w:pPr>
        <w:pStyle w:val="BodyText1"/>
        <w:numPr>
          <w:ilvl w:val="0"/>
          <w:numId w:val="3"/>
        </w:numPr>
        <w:jc w:val="left"/>
      </w:pPr>
      <w:r>
        <w:t>t</w:t>
      </w:r>
      <w:r w:rsidR="00DA556F" w:rsidRPr="00DA556F">
        <w:t>argeted employment support for retrenched workers through structural adjustment packages for the automot</w:t>
      </w:r>
      <w:r w:rsidR="007043D3">
        <w:t>ive, steel and other industries</w:t>
      </w:r>
    </w:p>
    <w:p w14:paraId="33EEFA41" w14:textId="71A6F1B0" w:rsidR="00DA556F" w:rsidRPr="00DA556F" w:rsidRDefault="00B74C49" w:rsidP="00F07E1C">
      <w:pPr>
        <w:pStyle w:val="BodyText1"/>
        <w:numPr>
          <w:ilvl w:val="0"/>
          <w:numId w:val="3"/>
        </w:numPr>
        <w:spacing w:after="240"/>
        <w:jc w:val="left"/>
      </w:pPr>
      <w:r>
        <w:t>a</w:t>
      </w:r>
      <w:r w:rsidR="007043D3">
        <w:t>n e</w:t>
      </w:r>
      <w:r w:rsidR="00DA556F" w:rsidRPr="00DA556F">
        <w:t xml:space="preserve">mployer engagement strategy </w:t>
      </w:r>
      <w:r w:rsidR="007043D3">
        <w:t xml:space="preserve">aligned to </w:t>
      </w:r>
      <w:r w:rsidR="00DA556F" w:rsidRPr="00DA556F">
        <w:t>industries and regions with strong employment prospects and enduring caree</w:t>
      </w:r>
      <w:r w:rsidR="007043D3">
        <w:t>r opportunities for job seekers</w:t>
      </w:r>
    </w:p>
    <w:p w14:paraId="731B506E" w14:textId="2FBA5E45" w:rsidR="00AE584A" w:rsidRDefault="00AE584A" w:rsidP="00F07E1C">
      <w:pPr>
        <w:pStyle w:val="BodyText1"/>
        <w:spacing w:after="240"/>
        <w:jc w:val="left"/>
      </w:pPr>
      <w:r w:rsidRPr="00AE584A">
        <w:t>The Government will help older Australians facing retrenchment find new jobs by providing targeted assistance under a range of Job Change initiatives</w:t>
      </w:r>
      <w:r w:rsidRPr="00E35140">
        <w:t xml:space="preserve">. This includes: </w:t>
      </w:r>
    </w:p>
    <w:p w14:paraId="79E977A1" w14:textId="0655BC64" w:rsidR="00AE584A" w:rsidRPr="002F77E7" w:rsidRDefault="00C22C00" w:rsidP="00AE584A">
      <w:pPr>
        <w:pStyle w:val="BodyText1"/>
        <w:numPr>
          <w:ilvl w:val="0"/>
          <w:numId w:val="3"/>
        </w:numPr>
        <w:jc w:val="left"/>
      </w:pPr>
      <w:r>
        <w:t xml:space="preserve">providing </w:t>
      </w:r>
      <w:r w:rsidR="00AE584A" w:rsidRPr="002F77E7">
        <w:t>retrenched workers and their partners with immediate</w:t>
      </w:r>
      <w:r w:rsidR="00010F27">
        <w:t xml:space="preserve"> access to employment services</w:t>
      </w:r>
    </w:p>
    <w:p w14:paraId="0C9F5C71" w14:textId="1222A95C" w:rsidR="00AE584A" w:rsidRPr="002F77E7" w:rsidRDefault="00AE584A" w:rsidP="00AE584A">
      <w:pPr>
        <w:pStyle w:val="BodyText1"/>
        <w:numPr>
          <w:ilvl w:val="0"/>
          <w:numId w:val="3"/>
        </w:numPr>
        <w:jc w:val="left"/>
      </w:pPr>
      <w:r w:rsidRPr="002F77E7">
        <w:t>connecting retrenched workers with services to help them get back into work through the Retren</w:t>
      </w:r>
      <w:r w:rsidR="00010F27">
        <w:t>chment Rapid Response Framework</w:t>
      </w:r>
      <w:r w:rsidRPr="002F77E7">
        <w:t xml:space="preserve"> </w:t>
      </w:r>
    </w:p>
    <w:p w14:paraId="58AA25C1" w14:textId="009F6027" w:rsidR="00AE584A" w:rsidRPr="002F77E7" w:rsidRDefault="00AE584A" w:rsidP="00AE584A">
      <w:pPr>
        <w:pStyle w:val="BodyText1"/>
        <w:numPr>
          <w:ilvl w:val="0"/>
          <w:numId w:val="3"/>
        </w:numPr>
        <w:jc w:val="left"/>
      </w:pPr>
      <w:r w:rsidRPr="002F77E7">
        <w:t>providing retrenched workers with information on entitlements, financial support and employment assistance through a new voluntary Re</w:t>
      </w:r>
      <w:r w:rsidR="00010F27">
        <w:t>dundancy Information Statement</w:t>
      </w:r>
    </w:p>
    <w:p w14:paraId="12773AA0" w14:textId="385FD71F" w:rsidR="00AE584A" w:rsidRPr="002F77E7" w:rsidRDefault="00AE584A" w:rsidP="00AE584A">
      <w:pPr>
        <w:pStyle w:val="BodyText1"/>
        <w:numPr>
          <w:ilvl w:val="0"/>
          <w:numId w:val="3"/>
        </w:numPr>
        <w:jc w:val="left"/>
      </w:pPr>
      <w:r w:rsidRPr="002F77E7">
        <w:t>extending intensive employment support to retrenched automotive manufac</w:t>
      </w:r>
      <w:r w:rsidR="00010F27">
        <w:t>turing workers to 30 June 2019</w:t>
      </w:r>
    </w:p>
    <w:p w14:paraId="0310D9FB" w14:textId="70DCEC93" w:rsidR="00AE584A" w:rsidRPr="002F77E7" w:rsidRDefault="00AE584A" w:rsidP="00AE584A">
      <w:pPr>
        <w:pStyle w:val="BodyText1"/>
        <w:numPr>
          <w:ilvl w:val="0"/>
          <w:numId w:val="3"/>
        </w:numPr>
        <w:jc w:val="left"/>
      </w:pPr>
      <w:r w:rsidRPr="002F77E7">
        <w:t>extending the Gippsland Employment Facilitator to support that re</w:t>
      </w:r>
      <w:r w:rsidR="00010F27">
        <w:t>gion until 30 June 2020</w:t>
      </w:r>
      <w:r w:rsidRPr="002F77E7">
        <w:t xml:space="preserve"> </w:t>
      </w:r>
    </w:p>
    <w:p w14:paraId="1E40AE6E" w14:textId="0A1E72EB" w:rsidR="00AE584A" w:rsidRDefault="00AE584A" w:rsidP="00F07E1C">
      <w:pPr>
        <w:pStyle w:val="BodyText1"/>
        <w:numPr>
          <w:ilvl w:val="0"/>
          <w:numId w:val="3"/>
        </w:numPr>
        <w:spacing w:after="240"/>
        <w:jc w:val="left"/>
      </w:pPr>
      <w:r w:rsidRPr="002F77E7">
        <w:t>Jobs Fairs to connect individuals and employers in regio</w:t>
      </w:r>
      <w:r w:rsidR="00010F27">
        <w:t>ns experiencing structural change</w:t>
      </w:r>
      <w:r w:rsidRPr="002F77E7">
        <w:t xml:space="preserve"> </w:t>
      </w:r>
    </w:p>
    <w:p w14:paraId="05E6305B" w14:textId="1276C048" w:rsidR="00E43F4C" w:rsidRDefault="00E43F4C" w:rsidP="00A965E2">
      <w:pPr>
        <w:pStyle w:val="Heading3"/>
      </w:pPr>
      <w:r>
        <w:t>Migrants</w:t>
      </w:r>
    </w:p>
    <w:p w14:paraId="141FF42B" w14:textId="0556622E" w:rsidR="00E43F4C" w:rsidRDefault="00326E0C" w:rsidP="00F07E1C">
      <w:pPr>
        <w:pStyle w:val="BodyText1"/>
        <w:spacing w:after="240"/>
        <w:jc w:val="left"/>
      </w:pPr>
      <w:r>
        <w:t xml:space="preserve">As part of the Australian Government’s commitment to protect vulnerable workers, </w:t>
      </w:r>
      <w:r w:rsidR="009B5B3A">
        <w:t>a c</w:t>
      </w:r>
      <w:r>
        <w:t>r</w:t>
      </w:r>
      <w:r w:rsidR="009B5B3A">
        <w:t>o</w:t>
      </w:r>
      <w:r>
        <w:t xml:space="preserve">ss-agency Migrant Workers’ </w:t>
      </w:r>
      <w:r w:rsidRPr="009B5B3A">
        <w:t xml:space="preserve">Taskforce </w:t>
      </w:r>
      <w:r w:rsidR="009B5B3A" w:rsidRPr="009B5B3A">
        <w:t xml:space="preserve">was established </w:t>
      </w:r>
      <w:r w:rsidRPr="009B5B3A">
        <w:t>in October 2016</w:t>
      </w:r>
      <w:r w:rsidR="009B5B3A" w:rsidRPr="009B5B3A">
        <w:t xml:space="preserve"> </w:t>
      </w:r>
      <w:r w:rsidR="009B5B3A">
        <w:t xml:space="preserve">to </w:t>
      </w:r>
      <w:r w:rsidR="009B5B3A" w:rsidRPr="009B5B3A">
        <w:t>identify further improvements in law, law enforcement and investigation, and other practical measures to more quickly identify and rectify any cases of migrant worker exploitation.</w:t>
      </w:r>
    </w:p>
    <w:p w14:paraId="30B18E6C" w14:textId="6C93460B" w:rsidR="0064025E" w:rsidRDefault="001F799C" w:rsidP="00A965E2">
      <w:pPr>
        <w:pStyle w:val="BodyText1"/>
        <w:spacing w:after="240"/>
        <w:jc w:val="left"/>
      </w:pPr>
      <w:r w:rsidRPr="00554C6A">
        <w:t xml:space="preserve">The Government is </w:t>
      </w:r>
      <w:r w:rsidR="00C22C00">
        <w:t xml:space="preserve">providing </w:t>
      </w:r>
      <w:r w:rsidRPr="00554C6A">
        <w:t xml:space="preserve">better support for newly arrived refugees. </w:t>
      </w:r>
      <w:r w:rsidR="004E496D" w:rsidRPr="00554C6A">
        <w:t>In the 2018</w:t>
      </w:r>
      <w:r w:rsidR="00C22C00">
        <w:noBreakHyphen/>
      </w:r>
      <w:r w:rsidR="004E496D" w:rsidRPr="00554C6A">
        <w:t xml:space="preserve">19 Budget, </w:t>
      </w:r>
      <w:r w:rsidR="00C22C00">
        <w:t xml:space="preserve">it </w:t>
      </w:r>
      <w:r w:rsidR="004E496D" w:rsidRPr="00554C6A">
        <w:t xml:space="preserve">announced </w:t>
      </w:r>
      <w:r w:rsidR="00C22C00">
        <w:t xml:space="preserve">a </w:t>
      </w:r>
      <w:r w:rsidR="004E496D" w:rsidRPr="00C053A5">
        <w:t>Streamlining Services for Refugees</w:t>
      </w:r>
      <w:r w:rsidR="004E496D" w:rsidRPr="00554C6A">
        <w:rPr>
          <w:b/>
        </w:rPr>
        <w:t xml:space="preserve"> </w:t>
      </w:r>
      <w:r w:rsidR="004E496D" w:rsidRPr="00554C6A">
        <w:t xml:space="preserve">measure aimed at </w:t>
      </w:r>
      <w:r w:rsidR="00C22C00">
        <w:t xml:space="preserve">improving the </w:t>
      </w:r>
      <w:r w:rsidR="004E496D" w:rsidRPr="00554C6A">
        <w:t xml:space="preserve">sequencing </w:t>
      </w:r>
      <w:r w:rsidR="00C22C00">
        <w:t xml:space="preserve">of </w:t>
      </w:r>
      <w:r w:rsidR="004E496D" w:rsidRPr="00554C6A">
        <w:t xml:space="preserve">assistance. </w:t>
      </w:r>
      <w:r w:rsidR="00C22C00">
        <w:t>N</w:t>
      </w:r>
      <w:r w:rsidRPr="00554C6A">
        <w:t>ewly arrived refugees are eligible for the Humanitarian Settlement Program (HSP), Adult</w:t>
      </w:r>
      <w:r w:rsidR="00C6775B">
        <w:t> </w:t>
      </w:r>
      <w:r w:rsidRPr="00554C6A">
        <w:t>Migrant English Program (AMEP) and jobactive. From 1 Janua</w:t>
      </w:r>
      <w:r w:rsidR="00C053A5">
        <w:t>ry 2019, newly arrived refugees</w:t>
      </w:r>
      <w:r w:rsidRPr="00554C6A">
        <w:t xml:space="preserve"> receiving</w:t>
      </w:r>
      <w:r w:rsidR="00C053A5">
        <w:t xml:space="preserve"> activity tested income support</w:t>
      </w:r>
      <w:r w:rsidRPr="00554C6A">
        <w:t xml:space="preserve"> will initially focus on HSP and AMEP for six months to allow them to focus on adjusting to life in Australia and enhancing their English language proficiency</w:t>
      </w:r>
      <w:r>
        <w:t>, before becoming eligible for full jobactive services. The aim of this measure is to support newly arrived refugees to better focus on settlement and language assistance before looking for a job.</w:t>
      </w:r>
      <w:bookmarkEnd w:id="44"/>
      <w:bookmarkEnd w:id="45"/>
      <w:r w:rsidR="0064025E">
        <w:br w:type="page"/>
      </w:r>
    </w:p>
    <w:p w14:paraId="3A998B2D" w14:textId="53957417" w:rsidR="006B4F57" w:rsidRDefault="006B4F57" w:rsidP="00A965E2">
      <w:pPr>
        <w:pStyle w:val="Heading3"/>
      </w:pPr>
      <w:r w:rsidRPr="00077559">
        <w:t>Skills development</w:t>
      </w:r>
      <w:bookmarkEnd w:id="46"/>
      <w:bookmarkEnd w:id="47"/>
      <w:bookmarkEnd w:id="48"/>
      <w:bookmarkEnd w:id="49"/>
    </w:p>
    <w:p w14:paraId="226BAC1D" w14:textId="5685FB61" w:rsidR="00390830" w:rsidRDefault="006B4F57" w:rsidP="00246B96">
      <w:pPr>
        <w:pStyle w:val="BodyText1"/>
        <w:spacing w:after="240"/>
        <w:jc w:val="left"/>
      </w:pPr>
      <w:r w:rsidRPr="00A77989">
        <w:t>Australia</w:t>
      </w:r>
      <w:r>
        <w:t xml:space="preserve"> has experienced a </w:t>
      </w:r>
      <w:r w:rsidRPr="00A77989">
        <w:t>growth in demand for skilled labour</w:t>
      </w:r>
      <w:r>
        <w:t xml:space="preserve"> </w:t>
      </w:r>
      <w:r w:rsidR="004E78E2">
        <w:t xml:space="preserve">that </w:t>
      </w:r>
      <w:r w:rsidRPr="00A77989">
        <w:t xml:space="preserve">has outstripped growth in demand for unskilled labour. </w:t>
      </w:r>
      <w:r>
        <w:t xml:space="preserve">A </w:t>
      </w:r>
      <w:r w:rsidRPr="00A77989">
        <w:t xml:space="preserve">workforce with a high level of foundation skills (such as literacy and numeracy) is better able to adapt to the </w:t>
      </w:r>
      <w:r w:rsidR="00E81613">
        <w:t xml:space="preserve">dynamic </w:t>
      </w:r>
      <w:r w:rsidRPr="00A77989">
        <w:t xml:space="preserve">shifts </w:t>
      </w:r>
      <w:r w:rsidR="00E81613">
        <w:t xml:space="preserve">occurring </w:t>
      </w:r>
      <w:r w:rsidRPr="00A77989">
        <w:t>in the demand for skills that are typical of a modern economy. Investing in higher</w:t>
      </w:r>
      <w:r w:rsidR="004E78E2">
        <w:noBreakHyphen/>
      </w:r>
      <w:r w:rsidRPr="00A77989">
        <w:t>level skills is also essential to foster prod</w:t>
      </w:r>
      <w:r>
        <w:t xml:space="preserve">uctivity growth and promote job creation. </w:t>
      </w:r>
      <w:r w:rsidR="004E78E2">
        <w:t xml:space="preserve">Recent measures include: </w:t>
      </w:r>
    </w:p>
    <w:p w14:paraId="17B69DAB" w14:textId="49D7EA91" w:rsidR="00390830" w:rsidRPr="00390830" w:rsidRDefault="008D504A" w:rsidP="001A2413">
      <w:pPr>
        <w:pStyle w:val="BodyText1"/>
        <w:numPr>
          <w:ilvl w:val="0"/>
          <w:numId w:val="6"/>
        </w:numPr>
        <w:jc w:val="left"/>
      </w:pPr>
      <w:r>
        <w:t xml:space="preserve">reforms to improve outcomes at all levels of </w:t>
      </w:r>
      <w:r w:rsidR="00390830" w:rsidRPr="00390830">
        <w:t xml:space="preserve">education and training, including </w:t>
      </w:r>
      <w:r>
        <w:t xml:space="preserve">by ensuring that </w:t>
      </w:r>
      <w:r w:rsidR="00390830" w:rsidRPr="00390830">
        <w:t>education and training is relev</w:t>
      </w:r>
      <w:r>
        <w:t>ant to employment opportunities</w:t>
      </w:r>
    </w:p>
    <w:p w14:paraId="228A32C4" w14:textId="0803D8C2" w:rsidR="00764EFA" w:rsidRPr="00390830" w:rsidRDefault="00764EFA" w:rsidP="00764EFA">
      <w:pPr>
        <w:pStyle w:val="BodyText1"/>
        <w:numPr>
          <w:ilvl w:val="0"/>
          <w:numId w:val="6"/>
        </w:numPr>
        <w:jc w:val="left"/>
      </w:pPr>
      <w:r w:rsidRPr="00390830">
        <w:t xml:space="preserve">a </w:t>
      </w:r>
      <w:r w:rsidRPr="00390830" w:rsidDel="00F211FC">
        <w:t xml:space="preserve">$1.5 billion Skilling Australians Fund </w:t>
      </w:r>
      <w:r w:rsidR="00E81613">
        <w:t xml:space="preserve">focused on boosting the number of </w:t>
      </w:r>
      <w:r>
        <w:t>new</w:t>
      </w:r>
      <w:r w:rsidRPr="00390830" w:rsidDel="00F211FC">
        <w:t xml:space="preserve"> apprentices, trainees</w:t>
      </w:r>
      <w:r>
        <w:t xml:space="preserve"> and</w:t>
      </w:r>
      <w:r w:rsidRPr="00390830" w:rsidDel="00F211FC">
        <w:t xml:space="preserve"> pre</w:t>
      </w:r>
      <w:r>
        <w:noBreakHyphen/>
      </w:r>
      <w:r w:rsidRPr="00390830" w:rsidDel="00F211FC">
        <w:t>apprentice</w:t>
      </w:r>
      <w:r w:rsidR="00455098">
        <w:t>s</w:t>
      </w:r>
    </w:p>
    <w:p w14:paraId="3D4A18A2" w14:textId="06DB6E89" w:rsidR="00390830" w:rsidRPr="00390830" w:rsidRDefault="00390830" w:rsidP="001A2413">
      <w:pPr>
        <w:pStyle w:val="BodyText1"/>
        <w:numPr>
          <w:ilvl w:val="0"/>
          <w:numId w:val="6"/>
        </w:numPr>
        <w:jc w:val="left"/>
      </w:pPr>
      <w:r w:rsidRPr="00390830">
        <w:t xml:space="preserve">investment under NISA to </w:t>
      </w:r>
      <w:r w:rsidR="008D504A">
        <w:t xml:space="preserve">encourage people of all ages to </w:t>
      </w:r>
      <w:r w:rsidRPr="00390830">
        <w:t xml:space="preserve">engage with </w:t>
      </w:r>
      <w:r w:rsidR="00455098">
        <w:t>STEM</w:t>
      </w:r>
    </w:p>
    <w:p w14:paraId="5E9FC642" w14:textId="6C77FF75" w:rsidR="00390830" w:rsidRDefault="00231C6C" w:rsidP="001A2413">
      <w:pPr>
        <w:pStyle w:val="BodyText1"/>
        <w:numPr>
          <w:ilvl w:val="0"/>
          <w:numId w:val="6"/>
        </w:numPr>
        <w:jc w:val="left"/>
      </w:pPr>
      <w:r>
        <w:t>a</w:t>
      </w:r>
      <w:r w:rsidR="004728CB">
        <w:t>n</w:t>
      </w:r>
      <w:r w:rsidR="00390830" w:rsidRPr="00390830">
        <w:t xml:space="preserve"> Industry Specialist Mentoring for Australian Apprentices </w:t>
      </w:r>
      <w:r w:rsidR="008D504A">
        <w:t xml:space="preserve">program </w:t>
      </w:r>
      <w:r w:rsidR="004E78E2">
        <w:t xml:space="preserve">that </w:t>
      </w:r>
      <w:r w:rsidR="00390830" w:rsidRPr="00390830">
        <w:t xml:space="preserve">aims to increase retention rates among apprentices, particularly in </w:t>
      </w:r>
      <w:r w:rsidR="00455098">
        <w:t>the first two years of training</w:t>
      </w:r>
    </w:p>
    <w:p w14:paraId="4AD3C01A" w14:textId="58AA0170" w:rsidR="00764EFA" w:rsidRDefault="00231C6C" w:rsidP="00455098">
      <w:pPr>
        <w:pStyle w:val="BodyText1"/>
        <w:numPr>
          <w:ilvl w:val="0"/>
          <w:numId w:val="6"/>
        </w:numPr>
        <w:jc w:val="left"/>
      </w:pPr>
      <w:r>
        <w:t>t</w:t>
      </w:r>
      <w:r w:rsidR="00764EFA" w:rsidRPr="002908A2">
        <w:t xml:space="preserve">he Australian Apprentice Wage Subsidy trial, </w:t>
      </w:r>
      <w:r w:rsidR="00E81613">
        <w:t xml:space="preserve">which </w:t>
      </w:r>
      <w:r w:rsidR="00764EFA" w:rsidRPr="002908A2">
        <w:t>aims to support apprenticeships in skills</w:t>
      </w:r>
      <w:r w:rsidR="00E81613">
        <w:noBreakHyphen/>
      </w:r>
      <w:r w:rsidR="00764EFA" w:rsidRPr="002908A2">
        <w:t>need occupations in rural and regional areas</w:t>
      </w:r>
      <w:r w:rsidR="00E81613">
        <w:t>,</w:t>
      </w:r>
      <w:r w:rsidR="00764EFA" w:rsidRPr="002908A2">
        <w:t xml:space="preserve"> encourage participation by employers who have not previously engaged apprentices, a</w:t>
      </w:r>
      <w:r w:rsidR="00455098">
        <w:t>s well as re-engaging employers</w:t>
      </w:r>
    </w:p>
    <w:p w14:paraId="0D0616C2" w14:textId="69F1A91C" w:rsidR="00455098" w:rsidRPr="00390830" w:rsidRDefault="00455098" w:rsidP="00246B96">
      <w:pPr>
        <w:pStyle w:val="BodyText1"/>
        <w:numPr>
          <w:ilvl w:val="0"/>
          <w:numId w:val="6"/>
        </w:numPr>
        <w:spacing w:after="240"/>
        <w:jc w:val="left"/>
      </w:pPr>
      <w:r>
        <w:t>a review of the vocational education and training system with a focus on how to ensure Australians have the skills to succeed in a changing labour market, to be delivered in March 2019</w:t>
      </w:r>
    </w:p>
    <w:p w14:paraId="5914796D" w14:textId="06323E58" w:rsidR="006B4F57" w:rsidRDefault="006B4F57" w:rsidP="00A965E2">
      <w:pPr>
        <w:pStyle w:val="Heading3"/>
      </w:pPr>
      <w:bookmarkStart w:id="52" w:name="_Toc485740302"/>
      <w:bookmarkStart w:id="53" w:name="_Toc485740406"/>
      <w:r w:rsidRPr="00077559">
        <w:t>School education</w:t>
      </w:r>
      <w:bookmarkEnd w:id="50"/>
      <w:bookmarkEnd w:id="51"/>
      <w:bookmarkEnd w:id="52"/>
      <w:bookmarkEnd w:id="53"/>
    </w:p>
    <w:p w14:paraId="154B141A" w14:textId="5CFAD510" w:rsidR="00764EFA" w:rsidRDefault="00764EFA" w:rsidP="00246B96">
      <w:pPr>
        <w:pStyle w:val="BodyText1"/>
        <w:spacing w:after="240"/>
        <w:jc w:val="left"/>
      </w:pPr>
      <w:r>
        <w:t>T</w:t>
      </w:r>
      <w:r w:rsidRPr="00A77989">
        <w:t xml:space="preserve">he </w:t>
      </w:r>
      <w:r w:rsidR="00231C6C">
        <w:t xml:space="preserve">Australian </w:t>
      </w:r>
      <w:r w:rsidRPr="00A77989">
        <w:t xml:space="preserve">Government has committed to providing </w:t>
      </w:r>
      <w:r>
        <w:t xml:space="preserve">an </w:t>
      </w:r>
      <w:r w:rsidRPr="00A77989">
        <w:t>additional $</w:t>
      </w:r>
      <w:r>
        <w:t>37.6</w:t>
      </w:r>
      <w:r w:rsidRPr="00A77989">
        <w:t xml:space="preserve"> billion</w:t>
      </w:r>
      <w:r>
        <w:t>,</w:t>
      </w:r>
      <w:r w:rsidRPr="00A77989">
        <w:t xml:space="preserve"> </w:t>
      </w:r>
      <w:r>
        <w:t xml:space="preserve">compared </w:t>
      </w:r>
      <w:r w:rsidR="00231C6C">
        <w:t xml:space="preserve">with </w:t>
      </w:r>
      <w:r>
        <w:t>2016</w:t>
      </w:r>
      <w:r>
        <w:noBreakHyphen/>
        <w:t>17</w:t>
      </w:r>
      <w:r w:rsidR="00231C6C">
        <w:t> </w:t>
      </w:r>
      <w:r>
        <w:t xml:space="preserve">Budget settings, </w:t>
      </w:r>
      <w:r w:rsidRPr="00A77989">
        <w:t xml:space="preserve">for schools </w:t>
      </w:r>
      <w:r>
        <w:t>over 2018 to 2029</w:t>
      </w:r>
      <w:r w:rsidRPr="00A77989">
        <w:t xml:space="preserve">, to implement a needs-based funding model </w:t>
      </w:r>
      <w:r>
        <w:t xml:space="preserve">that </w:t>
      </w:r>
      <w:r w:rsidRPr="00A77989">
        <w:t xml:space="preserve">delivers a consistent </w:t>
      </w:r>
      <w:r>
        <w:t>national</w:t>
      </w:r>
      <w:r w:rsidRPr="00A77989">
        <w:t xml:space="preserve"> a</w:t>
      </w:r>
      <w:r>
        <w:t xml:space="preserve">pproach </w:t>
      </w:r>
      <w:r w:rsidR="00231C6C">
        <w:t xml:space="preserve">to </w:t>
      </w:r>
      <w:r>
        <w:t>all schools in all states and t</w:t>
      </w:r>
      <w:r w:rsidRPr="00A77989">
        <w:t>erritories.</w:t>
      </w:r>
    </w:p>
    <w:p w14:paraId="015B67D9" w14:textId="1196E4B7" w:rsidR="006B4F57" w:rsidRDefault="006B4F57" w:rsidP="00A965E2">
      <w:pPr>
        <w:pStyle w:val="Heading3"/>
      </w:pPr>
      <w:bookmarkStart w:id="54" w:name="_Toc452625230"/>
      <w:bookmarkStart w:id="55" w:name="_Toc458449925"/>
      <w:bookmarkStart w:id="56" w:name="_Toc485740303"/>
      <w:bookmarkStart w:id="57" w:name="_Toc485740407"/>
      <w:r w:rsidRPr="00077559">
        <w:t>Apprenticeships, vocational training and higher education</w:t>
      </w:r>
      <w:bookmarkEnd w:id="54"/>
      <w:bookmarkEnd w:id="55"/>
      <w:bookmarkEnd w:id="56"/>
      <w:bookmarkEnd w:id="57"/>
    </w:p>
    <w:p w14:paraId="0ADC30A5" w14:textId="7F496815" w:rsidR="000405AE" w:rsidDel="001E14B3" w:rsidRDefault="006B4F57" w:rsidP="000B60AB">
      <w:pPr>
        <w:pStyle w:val="BodyText1"/>
        <w:spacing w:after="240"/>
        <w:jc w:val="left"/>
        <w:rPr>
          <w:b/>
        </w:rPr>
      </w:pPr>
      <w:r>
        <w:t>In addition to</w:t>
      </w:r>
      <w:r w:rsidRPr="00A77989">
        <w:t xml:space="preserve"> providing funding to state and territory governments to support apprenticeship training, the Australian Government also funds a range of incentives and personal benefits</w:t>
      </w:r>
      <w:r w:rsidR="00C1104B">
        <w:t xml:space="preserve"> for employers and apprentices </w:t>
      </w:r>
      <w:r w:rsidRPr="00A77989" w:rsidDel="001E14B3">
        <w:t xml:space="preserve">to ensure </w:t>
      </w:r>
      <w:r w:rsidR="004E78E2">
        <w:t xml:space="preserve">that </w:t>
      </w:r>
      <w:r w:rsidRPr="00A77989" w:rsidDel="001E14B3">
        <w:t>the system deli</w:t>
      </w:r>
      <w:r w:rsidR="00C1104B">
        <w:t>vers the skilled labour required in businesses.</w:t>
      </w:r>
    </w:p>
    <w:p w14:paraId="330633AC" w14:textId="2140730B" w:rsidR="00E81613" w:rsidRDefault="006B4F57" w:rsidP="000B60AB">
      <w:pPr>
        <w:pStyle w:val="BodyText1"/>
        <w:spacing w:after="240"/>
        <w:jc w:val="left"/>
      </w:pPr>
      <w:r w:rsidRPr="00A77989">
        <w:t xml:space="preserve">Australia’s vocational education and training (VET) system operates nationally by agreement between the </w:t>
      </w:r>
      <w:r>
        <w:t>federal</w:t>
      </w:r>
      <w:r w:rsidRPr="00A77989">
        <w:t>, state and territory governments</w:t>
      </w:r>
      <w:r w:rsidR="004E78E2">
        <w:t>,</w:t>
      </w:r>
      <w:r w:rsidRPr="00A77989">
        <w:t xml:space="preserve"> with input from industry. To support access and participation in VET, the Australian Government provides </w:t>
      </w:r>
      <w:r w:rsidR="004E78E2">
        <w:t>income</w:t>
      </w:r>
      <w:r w:rsidR="004E78E2">
        <w:noBreakHyphen/>
        <w:t xml:space="preserve">contingent </w:t>
      </w:r>
      <w:r w:rsidRPr="00A77989">
        <w:t>loans to students undertaking higher</w:t>
      </w:r>
      <w:r w:rsidR="004E78E2">
        <w:noBreakHyphen/>
      </w:r>
      <w:r w:rsidRPr="00A77989">
        <w:t xml:space="preserve">level </w:t>
      </w:r>
      <w:r w:rsidR="004E78E2">
        <w:t xml:space="preserve">VET qualifications. </w:t>
      </w:r>
      <w:r w:rsidRPr="00A77989">
        <w:t>The Australian Government’s VET policy agenda includes implementing arrangements for developing and maintaining nationally-recognised and quality-assured competency standards and qualifications to ensure they are dri</w:t>
      </w:r>
      <w:r w:rsidR="00246B96">
        <w:t>ven by the needs of workplaces.</w:t>
      </w:r>
    </w:p>
    <w:p w14:paraId="03027C91" w14:textId="15DA9FBB" w:rsidR="00E81613" w:rsidRDefault="00E81613" w:rsidP="000B60AB">
      <w:pPr>
        <w:pStyle w:val="BodyText1"/>
        <w:spacing w:after="240"/>
        <w:jc w:val="left"/>
      </w:pPr>
      <w:r w:rsidRPr="00231C6C">
        <w:t xml:space="preserve">As part of the Government’s 2018-19 Budget, the Skills and Training Incentive </w:t>
      </w:r>
      <w:r>
        <w:t xml:space="preserve">(STI) </w:t>
      </w:r>
      <w:r w:rsidRPr="00231C6C">
        <w:t>provides an opportunity for employers to assist older workers to update their skills. Older Australians and their employers will be eligible for up to a $2000 matched incentive for undertaking suitable training (accredited or non-accredited). There will be up to 3600</w:t>
      </w:r>
      <w:r>
        <w:t> </w:t>
      </w:r>
      <w:r w:rsidRPr="00231C6C">
        <w:t>incentives available for each year of the two</w:t>
      </w:r>
      <w:r w:rsidR="00C6775B">
        <w:noBreakHyphen/>
      </w:r>
      <w:r w:rsidRPr="00231C6C">
        <w:t>year trial program (spanning 2019 and 2020). This will enable older Australians to adapt to changes in career and skill requirements; with employers encouraged to invest in the skills development of older workers.</w:t>
      </w:r>
      <w:r w:rsidRPr="00E81613">
        <w:t xml:space="preserve"> </w:t>
      </w:r>
      <w:r w:rsidRPr="00231C6C">
        <w:t xml:space="preserve">The </w:t>
      </w:r>
      <w:r>
        <w:t xml:space="preserve">STI </w:t>
      </w:r>
      <w:r w:rsidRPr="00231C6C">
        <w:t>will assist workers to build skills in the later stages of their careers, helping mature aged workers remain in the workforce for longer.</w:t>
      </w:r>
    </w:p>
    <w:p w14:paraId="1DCBE8F2" w14:textId="55B14B57" w:rsidR="006B4F57" w:rsidRDefault="006B4F57" w:rsidP="000B60AB">
      <w:pPr>
        <w:pStyle w:val="BodyText1"/>
        <w:spacing w:after="240"/>
        <w:jc w:val="left"/>
      </w:pPr>
      <w:r w:rsidRPr="000405AE">
        <w:t>The Australian Government contributes to labour market participation by enhancing the accessibility of university and higher education including through a direct contribution to the cost of educating all Australian Government supported students</w:t>
      </w:r>
      <w:r w:rsidR="00481274">
        <w:t>, along with access to income</w:t>
      </w:r>
      <w:r w:rsidR="00481274">
        <w:noBreakHyphen/>
        <w:t>contingent loans.</w:t>
      </w:r>
      <w:r w:rsidRPr="000405AE">
        <w:t xml:space="preserve"> </w:t>
      </w:r>
    </w:p>
    <w:p w14:paraId="440E13FD" w14:textId="77777777" w:rsidR="000B60AB" w:rsidRDefault="000B60AB" w:rsidP="000B60AB">
      <w:pPr>
        <w:pStyle w:val="BodyText1"/>
        <w:spacing w:after="240"/>
        <w:jc w:val="left"/>
      </w:pPr>
      <w:r>
        <w:br w:type="page"/>
      </w:r>
    </w:p>
    <w:p w14:paraId="4763EE57" w14:textId="628A5236" w:rsidR="00CA6697" w:rsidRPr="00293561" w:rsidRDefault="0097717F" w:rsidP="00293561">
      <w:pPr>
        <w:pStyle w:val="Heading1"/>
      </w:pPr>
      <w:bookmarkStart w:id="58" w:name="_Toc532892425"/>
      <w:r>
        <w:t>Section 4. Monitoring and R</w:t>
      </w:r>
      <w:r w:rsidRPr="00293561">
        <w:t>eporting</w:t>
      </w:r>
      <w:bookmarkEnd w:id="58"/>
    </w:p>
    <w:p w14:paraId="5FBB5A0B" w14:textId="19C87B6E" w:rsidR="00BC2E0E" w:rsidRDefault="007A35C7" w:rsidP="00293561">
      <w:pPr>
        <w:pStyle w:val="Heading2"/>
      </w:pPr>
      <w:bookmarkStart w:id="59" w:name="_Toc532892426"/>
      <w:r>
        <w:t xml:space="preserve">Selected </w:t>
      </w:r>
      <w:r w:rsidR="000132FA">
        <w:t>indicators</w:t>
      </w:r>
      <w:bookmarkEnd w:id="59"/>
    </w:p>
    <w:p w14:paraId="1E0B891A" w14:textId="6D842C48" w:rsidR="00293561" w:rsidRDefault="00293561" w:rsidP="00293561">
      <w:pPr>
        <w:pStyle w:val="Caption"/>
        <w:keepNext/>
      </w:pPr>
      <w:r>
        <w:t xml:space="preserve">Table </w:t>
      </w:r>
      <w:r w:rsidR="00A47169">
        <w:rPr>
          <w:noProof/>
        </w:rPr>
        <w:fldChar w:fldCharType="begin"/>
      </w:r>
      <w:r w:rsidR="00A47169">
        <w:rPr>
          <w:noProof/>
        </w:rPr>
        <w:instrText xml:space="preserve"> SEQ Table \* ARABIC </w:instrText>
      </w:r>
      <w:r w:rsidR="00A47169">
        <w:rPr>
          <w:noProof/>
        </w:rPr>
        <w:fldChar w:fldCharType="separate"/>
      </w:r>
      <w:r>
        <w:rPr>
          <w:noProof/>
        </w:rPr>
        <w:t>5</w:t>
      </w:r>
      <w:r w:rsidR="00A47169">
        <w:rPr>
          <w:noProof/>
        </w:rPr>
        <w:fldChar w:fldCharType="end"/>
      </w:r>
      <w:r>
        <w:t xml:space="preserve">: </w:t>
      </w:r>
      <w:r w:rsidRPr="00824CDA">
        <w:t>Selected economic and labour market indicators</w:t>
      </w:r>
    </w:p>
    <w:tbl>
      <w:tblPr>
        <w:tblW w:w="8789" w:type="dxa"/>
        <w:tblBorders>
          <w:top w:val="single" w:sz="8" w:space="0" w:color="4F81BD"/>
          <w:bottom w:val="single" w:sz="8" w:space="0" w:color="4F81BD"/>
        </w:tblBorders>
        <w:tblLayout w:type="fixed"/>
        <w:tblLook w:val="0000" w:firstRow="0" w:lastRow="0" w:firstColumn="0" w:lastColumn="0" w:noHBand="0" w:noVBand="0"/>
      </w:tblPr>
      <w:tblGrid>
        <w:gridCol w:w="5529"/>
        <w:gridCol w:w="1701"/>
        <w:gridCol w:w="1559"/>
      </w:tblGrid>
      <w:tr w:rsidR="001701B6" w:rsidRPr="001701B6" w14:paraId="586BD8E2" w14:textId="77777777" w:rsidTr="00293561">
        <w:trPr>
          <w:trHeight w:val="20"/>
          <w:tblHeader/>
        </w:trPr>
        <w:tc>
          <w:tcPr>
            <w:tcW w:w="5529" w:type="dxa"/>
            <w:tcBorders>
              <w:top w:val="single" w:sz="8" w:space="0" w:color="4F81BD"/>
              <w:left w:val="nil"/>
              <w:bottom w:val="single" w:sz="8" w:space="0" w:color="4F81BD"/>
              <w:right w:val="nil"/>
              <w:tl2br w:val="nil"/>
              <w:tr2bl w:val="nil"/>
            </w:tcBorders>
            <w:noWrap/>
            <w:tcMar>
              <w:top w:w="85" w:type="dxa"/>
              <w:bottom w:w="85" w:type="dxa"/>
            </w:tcMar>
            <w:vAlign w:val="center"/>
          </w:tcPr>
          <w:p w14:paraId="758BEDB8" w14:textId="722E38A9" w:rsidR="00DC2694" w:rsidRPr="00D35F06" w:rsidRDefault="002D57E3" w:rsidP="000132FA">
            <w:pPr>
              <w:keepNext/>
              <w:rPr>
                <w:b/>
                <w:bCs/>
                <w:color w:val="auto"/>
                <w:sz w:val="16"/>
                <w:szCs w:val="16"/>
              </w:rPr>
            </w:pPr>
            <w:r>
              <w:rPr>
                <w:b/>
                <w:bCs/>
                <w:color w:val="auto"/>
                <w:sz w:val="16"/>
                <w:szCs w:val="16"/>
              </w:rPr>
              <w:t>I</w:t>
            </w:r>
            <w:r w:rsidR="00DC2694" w:rsidRPr="00D35F06">
              <w:rPr>
                <w:b/>
                <w:bCs/>
                <w:color w:val="auto"/>
                <w:sz w:val="16"/>
                <w:szCs w:val="16"/>
              </w:rPr>
              <w:t>ndicator</w:t>
            </w:r>
          </w:p>
        </w:tc>
        <w:tc>
          <w:tcPr>
            <w:tcW w:w="1701" w:type="dxa"/>
            <w:tcBorders>
              <w:top w:val="single" w:sz="8" w:space="0" w:color="4F81BD"/>
              <w:left w:val="nil"/>
              <w:bottom w:val="single" w:sz="8" w:space="0" w:color="4F81BD"/>
              <w:right w:val="nil"/>
              <w:tl2br w:val="nil"/>
              <w:tr2bl w:val="nil"/>
            </w:tcBorders>
            <w:tcMar>
              <w:top w:w="85" w:type="dxa"/>
              <w:bottom w:w="85" w:type="dxa"/>
            </w:tcMar>
          </w:tcPr>
          <w:p w14:paraId="142B92CC" w14:textId="77777777" w:rsidR="00DC2694" w:rsidRPr="001701B6" w:rsidRDefault="00DC2694" w:rsidP="002D57E3">
            <w:pPr>
              <w:keepNext/>
              <w:jc w:val="right"/>
              <w:rPr>
                <w:b/>
                <w:bCs/>
                <w:color w:val="auto"/>
                <w:sz w:val="16"/>
                <w:szCs w:val="16"/>
              </w:rPr>
            </w:pPr>
            <w:r w:rsidRPr="001701B6">
              <w:rPr>
                <w:b/>
                <w:bCs/>
                <w:color w:val="auto"/>
                <w:sz w:val="16"/>
                <w:szCs w:val="16"/>
              </w:rPr>
              <w:t>2008</w:t>
            </w:r>
          </w:p>
        </w:tc>
        <w:tc>
          <w:tcPr>
            <w:tcW w:w="1559" w:type="dxa"/>
            <w:tcBorders>
              <w:top w:val="single" w:sz="8" w:space="0" w:color="4F81BD"/>
              <w:left w:val="nil"/>
              <w:bottom w:val="single" w:sz="8" w:space="0" w:color="4F81BD"/>
              <w:right w:val="nil"/>
              <w:tl2br w:val="nil"/>
              <w:tr2bl w:val="nil"/>
            </w:tcBorders>
            <w:tcMar>
              <w:top w:w="85" w:type="dxa"/>
              <w:bottom w:w="85" w:type="dxa"/>
            </w:tcMar>
          </w:tcPr>
          <w:p w14:paraId="66AB65C3" w14:textId="77777777" w:rsidR="00DC2694" w:rsidRPr="001701B6" w:rsidRDefault="00DC2694" w:rsidP="002D57E3">
            <w:pPr>
              <w:keepNext/>
              <w:jc w:val="right"/>
              <w:rPr>
                <w:b/>
                <w:bCs/>
                <w:color w:val="auto"/>
                <w:sz w:val="16"/>
                <w:szCs w:val="16"/>
              </w:rPr>
            </w:pPr>
            <w:r w:rsidRPr="001701B6">
              <w:rPr>
                <w:b/>
                <w:bCs/>
                <w:color w:val="auto"/>
                <w:sz w:val="16"/>
                <w:szCs w:val="16"/>
              </w:rPr>
              <w:t>2017</w:t>
            </w:r>
          </w:p>
        </w:tc>
      </w:tr>
      <w:tr w:rsidR="001701B6" w:rsidRPr="001701B6" w14:paraId="1C98272E" w14:textId="77777777" w:rsidTr="00D35F06">
        <w:trPr>
          <w:trHeight w:val="20"/>
        </w:trPr>
        <w:tc>
          <w:tcPr>
            <w:tcW w:w="5529" w:type="dxa"/>
            <w:tcBorders>
              <w:top w:val="nil"/>
              <w:left w:val="nil"/>
              <w:bottom w:val="nil"/>
              <w:right w:val="nil"/>
              <w:tl2br w:val="nil"/>
              <w:tr2bl w:val="nil"/>
            </w:tcBorders>
            <w:shd w:val="clear" w:color="auto" w:fill="D3DFEE"/>
            <w:noWrap/>
            <w:tcMar>
              <w:top w:w="85" w:type="dxa"/>
              <w:bottom w:w="85" w:type="dxa"/>
            </w:tcMar>
            <w:vAlign w:val="center"/>
          </w:tcPr>
          <w:p w14:paraId="3C6C3749" w14:textId="77777777" w:rsidR="00DC2694" w:rsidRPr="00D35F06" w:rsidRDefault="00DC2694" w:rsidP="000132FA">
            <w:pPr>
              <w:keepNext/>
              <w:rPr>
                <w:bCs/>
                <w:color w:val="auto"/>
                <w:sz w:val="16"/>
                <w:szCs w:val="16"/>
              </w:rPr>
            </w:pPr>
            <w:r w:rsidRPr="00D35F06">
              <w:rPr>
                <w:bCs/>
                <w:color w:val="auto"/>
                <w:sz w:val="16"/>
                <w:szCs w:val="16"/>
              </w:rPr>
              <w:t>GDP growth (real)</w:t>
            </w:r>
            <w:r w:rsidR="00B80FBC" w:rsidRPr="00D35F06">
              <w:rPr>
                <w:bCs/>
                <w:color w:val="auto"/>
                <w:sz w:val="16"/>
                <w:szCs w:val="16"/>
              </w:rPr>
              <w:t xml:space="preserve"> (%)</w:t>
            </w:r>
          </w:p>
        </w:tc>
        <w:tc>
          <w:tcPr>
            <w:tcW w:w="1701" w:type="dxa"/>
            <w:tcBorders>
              <w:top w:val="nil"/>
              <w:left w:val="nil"/>
              <w:bottom w:val="nil"/>
              <w:right w:val="nil"/>
              <w:tl2br w:val="nil"/>
              <w:tr2bl w:val="nil"/>
            </w:tcBorders>
            <w:shd w:val="clear" w:color="auto" w:fill="D3DFEE"/>
            <w:tcMar>
              <w:top w:w="85" w:type="dxa"/>
              <w:bottom w:w="85" w:type="dxa"/>
            </w:tcMar>
          </w:tcPr>
          <w:p w14:paraId="1E91B58D" w14:textId="77777777" w:rsidR="00DC2694" w:rsidRPr="001701B6" w:rsidRDefault="00B80FBC" w:rsidP="002D57E3">
            <w:pPr>
              <w:keepNext/>
              <w:jc w:val="right"/>
              <w:rPr>
                <w:color w:val="auto"/>
                <w:sz w:val="16"/>
                <w:szCs w:val="16"/>
              </w:rPr>
            </w:pPr>
            <w:r w:rsidRPr="001701B6">
              <w:rPr>
                <w:color w:val="auto"/>
                <w:sz w:val="16"/>
                <w:szCs w:val="16"/>
              </w:rPr>
              <w:t>2.5</w:t>
            </w:r>
          </w:p>
        </w:tc>
        <w:tc>
          <w:tcPr>
            <w:tcW w:w="1559" w:type="dxa"/>
            <w:tcBorders>
              <w:top w:val="nil"/>
              <w:left w:val="nil"/>
              <w:bottom w:val="nil"/>
              <w:right w:val="nil"/>
              <w:tl2br w:val="nil"/>
              <w:tr2bl w:val="nil"/>
            </w:tcBorders>
            <w:shd w:val="clear" w:color="auto" w:fill="D3DFEE"/>
            <w:tcMar>
              <w:top w:w="85" w:type="dxa"/>
              <w:bottom w:w="85" w:type="dxa"/>
            </w:tcMar>
          </w:tcPr>
          <w:p w14:paraId="56EEA761" w14:textId="77777777" w:rsidR="00DC2694" w:rsidRPr="001701B6" w:rsidRDefault="00C139DA" w:rsidP="002D57E3">
            <w:pPr>
              <w:keepNext/>
              <w:jc w:val="right"/>
              <w:rPr>
                <w:color w:val="auto"/>
                <w:sz w:val="16"/>
                <w:szCs w:val="16"/>
              </w:rPr>
            </w:pPr>
            <w:r w:rsidRPr="001701B6">
              <w:rPr>
                <w:color w:val="auto"/>
                <w:sz w:val="16"/>
                <w:szCs w:val="16"/>
              </w:rPr>
              <w:t>2.2</w:t>
            </w:r>
          </w:p>
        </w:tc>
      </w:tr>
      <w:tr w:rsidR="00463160" w:rsidRPr="00D35F06" w14:paraId="7F1BADA3" w14:textId="77777777" w:rsidTr="00D35F06">
        <w:trPr>
          <w:trHeight w:val="20"/>
        </w:trPr>
        <w:tc>
          <w:tcPr>
            <w:tcW w:w="5529" w:type="dxa"/>
            <w:noWrap/>
            <w:tcMar>
              <w:top w:w="85" w:type="dxa"/>
              <w:bottom w:w="85" w:type="dxa"/>
            </w:tcMar>
            <w:vAlign w:val="center"/>
          </w:tcPr>
          <w:p w14:paraId="1423DB9E" w14:textId="7C449EAE" w:rsidR="00DC2694" w:rsidRPr="00D35F06" w:rsidRDefault="00DC2694" w:rsidP="000132FA">
            <w:pPr>
              <w:pStyle w:val="Table"/>
              <w:keepNext/>
              <w:jc w:val="left"/>
              <w:rPr>
                <w:sz w:val="16"/>
                <w:szCs w:val="16"/>
                <w:vertAlign w:val="superscript"/>
              </w:rPr>
            </w:pPr>
            <w:r w:rsidRPr="00D35F06">
              <w:rPr>
                <w:sz w:val="16"/>
                <w:szCs w:val="16"/>
              </w:rPr>
              <w:t>GDP per capita (2010 $US constant price</w:t>
            </w:r>
            <w:r w:rsidR="009676F2">
              <w:rPr>
                <w:sz w:val="16"/>
                <w:szCs w:val="16"/>
              </w:rPr>
              <w:t>s in PPP</w:t>
            </w:r>
            <w:r w:rsidRPr="00D35F06">
              <w:rPr>
                <w:sz w:val="16"/>
                <w:szCs w:val="16"/>
              </w:rPr>
              <w:t>)</w:t>
            </w:r>
          </w:p>
        </w:tc>
        <w:tc>
          <w:tcPr>
            <w:tcW w:w="1701" w:type="dxa"/>
            <w:tcMar>
              <w:top w:w="85" w:type="dxa"/>
              <w:bottom w:w="85" w:type="dxa"/>
            </w:tcMar>
          </w:tcPr>
          <w:p w14:paraId="3EACEFF3" w14:textId="2E334867" w:rsidR="00DC2694" w:rsidRPr="00D35F06" w:rsidRDefault="00761DE3" w:rsidP="002D57E3">
            <w:pPr>
              <w:keepNext/>
              <w:jc w:val="right"/>
              <w:rPr>
                <w:color w:val="auto"/>
                <w:sz w:val="16"/>
                <w:szCs w:val="16"/>
              </w:rPr>
            </w:pPr>
            <w:r>
              <w:rPr>
                <w:color w:val="auto"/>
                <w:sz w:val="16"/>
                <w:szCs w:val="16"/>
              </w:rPr>
              <w:t>$US 42,399</w:t>
            </w:r>
          </w:p>
        </w:tc>
        <w:tc>
          <w:tcPr>
            <w:tcW w:w="1559" w:type="dxa"/>
            <w:tcMar>
              <w:top w:w="85" w:type="dxa"/>
              <w:bottom w:w="85" w:type="dxa"/>
            </w:tcMar>
          </w:tcPr>
          <w:p w14:paraId="0B7E15EC" w14:textId="413B6F4C" w:rsidR="00DC2694" w:rsidRPr="00D35F06" w:rsidRDefault="00E8238C" w:rsidP="002D57E3">
            <w:pPr>
              <w:keepNext/>
              <w:jc w:val="right"/>
              <w:rPr>
                <w:color w:val="auto"/>
                <w:sz w:val="16"/>
                <w:szCs w:val="16"/>
              </w:rPr>
            </w:pPr>
            <w:r w:rsidRPr="00D35F06">
              <w:rPr>
                <w:color w:val="auto"/>
                <w:sz w:val="16"/>
                <w:szCs w:val="16"/>
              </w:rPr>
              <w:t xml:space="preserve">$US </w:t>
            </w:r>
            <w:r w:rsidR="00761DE3">
              <w:rPr>
                <w:color w:val="auto"/>
                <w:sz w:val="16"/>
                <w:szCs w:val="16"/>
              </w:rPr>
              <w:t>46,266</w:t>
            </w:r>
          </w:p>
        </w:tc>
      </w:tr>
      <w:tr w:rsidR="00463160" w:rsidRPr="00D35F06" w14:paraId="56579F2A" w14:textId="77777777" w:rsidTr="00D35F06">
        <w:trPr>
          <w:trHeight w:val="20"/>
        </w:trPr>
        <w:tc>
          <w:tcPr>
            <w:tcW w:w="5529" w:type="dxa"/>
            <w:tcBorders>
              <w:top w:val="nil"/>
              <w:left w:val="nil"/>
              <w:bottom w:val="nil"/>
              <w:right w:val="nil"/>
              <w:tl2br w:val="nil"/>
              <w:tr2bl w:val="nil"/>
            </w:tcBorders>
            <w:shd w:val="clear" w:color="auto" w:fill="D3DFEE"/>
            <w:noWrap/>
            <w:tcMar>
              <w:top w:w="85" w:type="dxa"/>
              <w:bottom w:w="85" w:type="dxa"/>
            </w:tcMar>
            <w:vAlign w:val="center"/>
          </w:tcPr>
          <w:p w14:paraId="63E13B2D" w14:textId="77777777" w:rsidR="00DC2694" w:rsidRPr="00D35F06" w:rsidRDefault="00DC2694" w:rsidP="000132FA">
            <w:pPr>
              <w:keepNext/>
              <w:rPr>
                <w:bCs/>
                <w:color w:val="auto"/>
                <w:sz w:val="16"/>
                <w:szCs w:val="16"/>
              </w:rPr>
            </w:pPr>
            <w:r w:rsidRPr="00D35F06">
              <w:rPr>
                <w:bCs/>
                <w:color w:val="auto"/>
                <w:sz w:val="16"/>
                <w:szCs w:val="16"/>
              </w:rPr>
              <w:t>Employment growth</w:t>
            </w:r>
            <w:r w:rsidR="00B80FBC" w:rsidRPr="00D35F06">
              <w:rPr>
                <w:bCs/>
                <w:color w:val="auto"/>
                <w:sz w:val="16"/>
                <w:szCs w:val="16"/>
              </w:rPr>
              <w:t xml:space="preserve"> (%)</w:t>
            </w:r>
          </w:p>
        </w:tc>
        <w:tc>
          <w:tcPr>
            <w:tcW w:w="1701" w:type="dxa"/>
            <w:tcBorders>
              <w:top w:val="nil"/>
              <w:left w:val="nil"/>
              <w:bottom w:val="nil"/>
              <w:right w:val="nil"/>
              <w:tl2br w:val="nil"/>
              <w:tr2bl w:val="nil"/>
            </w:tcBorders>
            <w:shd w:val="clear" w:color="auto" w:fill="D3DFEE"/>
            <w:tcMar>
              <w:top w:w="85" w:type="dxa"/>
              <w:bottom w:w="85" w:type="dxa"/>
            </w:tcMar>
          </w:tcPr>
          <w:p w14:paraId="52A81C04" w14:textId="77777777" w:rsidR="00DC2694" w:rsidRPr="00D35F06" w:rsidRDefault="00B80FBC" w:rsidP="002D57E3">
            <w:pPr>
              <w:keepNext/>
              <w:jc w:val="right"/>
              <w:rPr>
                <w:color w:val="auto"/>
                <w:sz w:val="16"/>
                <w:szCs w:val="16"/>
              </w:rPr>
            </w:pPr>
            <w:r w:rsidRPr="00D35F06">
              <w:rPr>
                <w:color w:val="auto"/>
                <w:sz w:val="16"/>
                <w:szCs w:val="16"/>
              </w:rPr>
              <w:t>2.8</w:t>
            </w:r>
          </w:p>
        </w:tc>
        <w:tc>
          <w:tcPr>
            <w:tcW w:w="1559" w:type="dxa"/>
            <w:tcBorders>
              <w:top w:val="nil"/>
              <w:left w:val="nil"/>
              <w:bottom w:val="nil"/>
              <w:right w:val="nil"/>
              <w:tl2br w:val="nil"/>
              <w:tr2bl w:val="nil"/>
            </w:tcBorders>
            <w:shd w:val="clear" w:color="auto" w:fill="D3DFEE"/>
            <w:tcMar>
              <w:top w:w="85" w:type="dxa"/>
              <w:bottom w:w="85" w:type="dxa"/>
            </w:tcMar>
          </w:tcPr>
          <w:p w14:paraId="1647AA29" w14:textId="77777777" w:rsidR="00DC2694" w:rsidRPr="00D35F06" w:rsidRDefault="00E8238C" w:rsidP="002D57E3">
            <w:pPr>
              <w:keepNext/>
              <w:jc w:val="right"/>
              <w:rPr>
                <w:color w:val="auto"/>
                <w:sz w:val="16"/>
                <w:szCs w:val="16"/>
              </w:rPr>
            </w:pPr>
            <w:r w:rsidRPr="00D35F06">
              <w:rPr>
                <w:color w:val="auto"/>
                <w:sz w:val="16"/>
                <w:szCs w:val="16"/>
              </w:rPr>
              <w:t>2.3</w:t>
            </w:r>
          </w:p>
        </w:tc>
      </w:tr>
      <w:tr w:rsidR="00463160" w:rsidRPr="00D35F06" w14:paraId="688E46BE" w14:textId="77777777" w:rsidTr="00D35F06">
        <w:trPr>
          <w:trHeight w:val="20"/>
        </w:trPr>
        <w:tc>
          <w:tcPr>
            <w:tcW w:w="5529" w:type="dxa"/>
            <w:noWrap/>
            <w:tcMar>
              <w:top w:w="85" w:type="dxa"/>
              <w:bottom w:w="85" w:type="dxa"/>
            </w:tcMar>
            <w:vAlign w:val="center"/>
          </w:tcPr>
          <w:p w14:paraId="7A81F7E7" w14:textId="77777777" w:rsidR="00DC2694" w:rsidRPr="00D35F06" w:rsidRDefault="00DC2694" w:rsidP="000132FA">
            <w:pPr>
              <w:keepNext/>
              <w:rPr>
                <w:bCs/>
                <w:color w:val="auto"/>
                <w:sz w:val="16"/>
                <w:szCs w:val="16"/>
              </w:rPr>
            </w:pPr>
            <w:r w:rsidRPr="00D35F06">
              <w:rPr>
                <w:bCs/>
                <w:color w:val="auto"/>
                <w:sz w:val="16"/>
                <w:szCs w:val="16"/>
              </w:rPr>
              <w:t>Employment-population ratio (for 15-64)</w:t>
            </w:r>
            <w:r w:rsidR="00B80FBC" w:rsidRPr="00D35F06">
              <w:rPr>
                <w:bCs/>
                <w:color w:val="auto"/>
                <w:sz w:val="16"/>
                <w:szCs w:val="16"/>
              </w:rPr>
              <w:t xml:space="preserve"> (%)</w:t>
            </w:r>
          </w:p>
        </w:tc>
        <w:tc>
          <w:tcPr>
            <w:tcW w:w="1701" w:type="dxa"/>
            <w:tcMar>
              <w:top w:w="85" w:type="dxa"/>
              <w:bottom w:w="85" w:type="dxa"/>
            </w:tcMar>
          </w:tcPr>
          <w:p w14:paraId="67105D77" w14:textId="77777777" w:rsidR="00DC2694" w:rsidRPr="00D35F06" w:rsidRDefault="00E8238C" w:rsidP="002D57E3">
            <w:pPr>
              <w:keepNext/>
              <w:jc w:val="right"/>
              <w:rPr>
                <w:color w:val="auto"/>
                <w:sz w:val="16"/>
                <w:szCs w:val="16"/>
              </w:rPr>
            </w:pPr>
            <w:r w:rsidRPr="00D35F06">
              <w:rPr>
                <w:color w:val="auto"/>
                <w:sz w:val="16"/>
                <w:szCs w:val="16"/>
              </w:rPr>
              <w:t>73.2</w:t>
            </w:r>
          </w:p>
        </w:tc>
        <w:tc>
          <w:tcPr>
            <w:tcW w:w="1559" w:type="dxa"/>
            <w:tcMar>
              <w:top w:w="85" w:type="dxa"/>
              <w:bottom w:w="85" w:type="dxa"/>
            </w:tcMar>
          </w:tcPr>
          <w:p w14:paraId="79DE8481" w14:textId="77777777" w:rsidR="00DC2694" w:rsidRPr="00D35F06" w:rsidRDefault="00E8238C" w:rsidP="002D57E3">
            <w:pPr>
              <w:keepNext/>
              <w:jc w:val="right"/>
              <w:rPr>
                <w:color w:val="auto"/>
                <w:sz w:val="16"/>
                <w:szCs w:val="16"/>
              </w:rPr>
            </w:pPr>
            <w:r w:rsidRPr="00D35F06">
              <w:rPr>
                <w:color w:val="auto"/>
                <w:sz w:val="16"/>
                <w:szCs w:val="16"/>
              </w:rPr>
              <w:t>73.0</w:t>
            </w:r>
          </w:p>
        </w:tc>
      </w:tr>
      <w:tr w:rsidR="00463160" w:rsidRPr="00D35F06" w14:paraId="3109B837" w14:textId="77777777" w:rsidTr="00D35F06">
        <w:trPr>
          <w:trHeight w:val="20"/>
        </w:trPr>
        <w:tc>
          <w:tcPr>
            <w:tcW w:w="5529" w:type="dxa"/>
            <w:tcBorders>
              <w:top w:val="nil"/>
              <w:left w:val="nil"/>
              <w:bottom w:val="nil"/>
              <w:right w:val="nil"/>
              <w:tl2br w:val="nil"/>
              <w:tr2bl w:val="nil"/>
            </w:tcBorders>
            <w:shd w:val="clear" w:color="auto" w:fill="D3DFEE"/>
            <w:noWrap/>
            <w:tcMar>
              <w:top w:w="85" w:type="dxa"/>
              <w:bottom w:w="85" w:type="dxa"/>
            </w:tcMar>
            <w:vAlign w:val="center"/>
          </w:tcPr>
          <w:p w14:paraId="353CC6DC" w14:textId="77777777" w:rsidR="00DC2694" w:rsidRPr="00D35F06" w:rsidRDefault="00DC2694" w:rsidP="000132FA">
            <w:pPr>
              <w:keepNext/>
              <w:rPr>
                <w:bCs/>
                <w:color w:val="auto"/>
                <w:sz w:val="16"/>
                <w:szCs w:val="16"/>
              </w:rPr>
            </w:pPr>
            <w:r w:rsidRPr="00D35F06">
              <w:rPr>
                <w:bCs/>
                <w:color w:val="auto"/>
                <w:sz w:val="16"/>
                <w:szCs w:val="16"/>
              </w:rPr>
              <w:t>Unemployment rate</w:t>
            </w:r>
            <w:r w:rsidR="00B80FBC" w:rsidRPr="00D35F06">
              <w:rPr>
                <w:bCs/>
                <w:color w:val="auto"/>
                <w:sz w:val="16"/>
                <w:szCs w:val="16"/>
              </w:rPr>
              <w:t xml:space="preserve"> (%)</w:t>
            </w:r>
          </w:p>
        </w:tc>
        <w:tc>
          <w:tcPr>
            <w:tcW w:w="1701" w:type="dxa"/>
            <w:tcBorders>
              <w:top w:val="nil"/>
              <w:left w:val="nil"/>
              <w:bottom w:val="nil"/>
              <w:right w:val="nil"/>
              <w:tl2br w:val="nil"/>
              <w:tr2bl w:val="nil"/>
            </w:tcBorders>
            <w:shd w:val="clear" w:color="auto" w:fill="D3DFEE"/>
            <w:tcMar>
              <w:top w:w="85" w:type="dxa"/>
              <w:bottom w:w="85" w:type="dxa"/>
            </w:tcMar>
          </w:tcPr>
          <w:p w14:paraId="77A5A59C" w14:textId="77777777" w:rsidR="00DC2694" w:rsidRPr="00D35F06" w:rsidRDefault="00B80FBC" w:rsidP="002D57E3">
            <w:pPr>
              <w:keepNext/>
              <w:jc w:val="right"/>
              <w:rPr>
                <w:color w:val="auto"/>
                <w:sz w:val="16"/>
                <w:szCs w:val="16"/>
              </w:rPr>
            </w:pPr>
            <w:r w:rsidRPr="00D35F06">
              <w:rPr>
                <w:color w:val="auto"/>
                <w:sz w:val="16"/>
                <w:szCs w:val="16"/>
              </w:rPr>
              <w:t>4.2</w:t>
            </w:r>
          </w:p>
        </w:tc>
        <w:tc>
          <w:tcPr>
            <w:tcW w:w="1559" w:type="dxa"/>
            <w:tcBorders>
              <w:top w:val="nil"/>
              <w:left w:val="nil"/>
              <w:bottom w:val="nil"/>
              <w:right w:val="nil"/>
              <w:tl2br w:val="nil"/>
              <w:tr2bl w:val="nil"/>
            </w:tcBorders>
            <w:shd w:val="clear" w:color="auto" w:fill="D3DFEE"/>
            <w:tcMar>
              <w:top w:w="85" w:type="dxa"/>
              <w:bottom w:w="85" w:type="dxa"/>
            </w:tcMar>
          </w:tcPr>
          <w:p w14:paraId="28CF3AA6" w14:textId="77777777" w:rsidR="00DC2694" w:rsidRPr="00D35F06" w:rsidRDefault="00E8238C" w:rsidP="002D57E3">
            <w:pPr>
              <w:keepNext/>
              <w:jc w:val="right"/>
              <w:rPr>
                <w:color w:val="auto"/>
                <w:sz w:val="16"/>
                <w:szCs w:val="16"/>
              </w:rPr>
            </w:pPr>
            <w:r w:rsidRPr="00D35F06">
              <w:rPr>
                <w:color w:val="auto"/>
                <w:sz w:val="16"/>
                <w:szCs w:val="16"/>
              </w:rPr>
              <w:t>5.6</w:t>
            </w:r>
          </w:p>
        </w:tc>
      </w:tr>
      <w:tr w:rsidR="00463160" w:rsidRPr="00D35F06" w14:paraId="467713C0" w14:textId="77777777" w:rsidTr="00D35F06">
        <w:trPr>
          <w:trHeight w:val="20"/>
        </w:trPr>
        <w:tc>
          <w:tcPr>
            <w:tcW w:w="5529" w:type="dxa"/>
            <w:noWrap/>
            <w:tcMar>
              <w:top w:w="85" w:type="dxa"/>
              <w:bottom w:w="85" w:type="dxa"/>
            </w:tcMar>
            <w:vAlign w:val="center"/>
          </w:tcPr>
          <w:p w14:paraId="5CECDB83" w14:textId="77777777" w:rsidR="00DC2694" w:rsidRPr="00D35F06" w:rsidRDefault="00DC2694" w:rsidP="000132FA">
            <w:pPr>
              <w:keepNext/>
              <w:rPr>
                <w:bCs/>
                <w:color w:val="auto"/>
                <w:sz w:val="16"/>
                <w:szCs w:val="16"/>
                <w:lang w:val="en-US"/>
              </w:rPr>
            </w:pPr>
            <w:r w:rsidRPr="00D35F06">
              <w:rPr>
                <w:bCs/>
                <w:color w:val="auto"/>
                <w:sz w:val="16"/>
                <w:szCs w:val="16"/>
                <w:lang w:val="en-US"/>
              </w:rPr>
              <w:t>Incidence of long-term unemployment</w:t>
            </w:r>
            <w:r w:rsidR="00B80FBC" w:rsidRPr="00D35F06">
              <w:rPr>
                <w:bCs/>
                <w:color w:val="auto"/>
                <w:sz w:val="16"/>
                <w:szCs w:val="16"/>
                <w:lang w:val="en-US"/>
              </w:rPr>
              <w:t xml:space="preserve"> (%)</w:t>
            </w:r>
          </w:p>
        </w:tc>
        <w:tc>
          <w:tcPr>
            <w:tcW w:w="1701" w:type="dxa"/>
            <w:tcMar>
              <w:top w:w="85" w:type="dxa"/>
              <w:bottom w:w="85" w:type="dxa"/>
            </w:tcMar>
          </w:tcPr>
          <w:p w14:paraId="05AE2003" w14:textId="77777777" w:rsidR="00DC2694" w:rsidRPr="00D35F06" w:rsidRDefault="00B80FBC" w:rsidP="002D57E3">
            <w:pPr>
              <w:keepNext/>
              <w:jc w:val="right"/>
              <w:rPr>
                <w:color w:val="auto"/>
                <w:sz w:val="16"/>
                <w:szCs w:val="16"/>
                <w:lang w:val="en-US"/>
              </w:rPr>
            </w:pPr>
            <w:r w:rsidRPr="00D35F06">
              <w:rPr>
                <w:color w:val="auto"/>
                <w:sz w:val="16"/>
                <w:szCs w:val="16"/>
                <w:lang w:val="en-US"/>
              </w:rPr>
              <w:t>14.9</w:t>
            </w:r>
          </w:p>
        </w:tc>
        <w:tc>
          <w:tcPr>
            <w:tcW w:w="1559" w:type="dxa"/>
            <w:tcMar>
              <w:top w:w="85" w:type="dxa"/>
              <w:bottom w:w="85" w:type="dxa"/>
            </w:tcMar>
          </w:tcPr>
          <w:p w14:paraId="040ECA64" w14:textId="77777777" w:rsidR="00DC2694" w:rsidRPr="00D35F06" w:rsidRDefault="00E8238C" w:rsidP="002D57E3">
            <w:pPr>
              <w:keepNext/>
              <w:jc w:val="right"/>
              <w:rPr>
                <w:color w:val="auto"/>
                <w:sz w:val="16"/>
                <w:szCs w:val="16"/>
                <w:lang w:val="en-US"/>
              </w:rPr>
            </w:pPr>
            <w:r w:rsidRPr="00D35F06">
              <w:rPr>
                <w:color w:val="auto"/>
                <w:sz w:val="16"/>
                <w:szCs w:val="16"/>
                <w:lang w:val="en-US"/>
              </w:rPr>
              <w:t>23.5</w:t>
            </w:r>
          </w:p>
        </w:tc>
      </w:tr>
      <w:tr w:rsidR="00463160" w:rsidRPr="00D35F06" w14:paraId="2CC99979" w14:textId="77777777" w:rsidTr="00D35F06">
        <w:trPr>
          <w:trHeight w:val="20"/>
        </w:trPr>
        <w:tc>
          <w:tcPr>
            <w:tcW w:w="5529" w:type="dxa"/>
            <w:tcBorders>
              <w:top w:val="nil"/>
              <w:left w:val="nil"/>
              <w:bottom w:val="nil"/>
              <w:right w:val="nil"/>
              <w:tl2br w:val="nil"/>
              <w:tr2bl w:val="nil"/>
            </w:tcBorders>
            <w:shd w:val="clear" w:color="auto" w:fill="D3DFEE"/>
            <w:noWrap/>
            <w:tcMar>
              <w:top w:w="85" w:type="dxa"/>
              <w:bottom w:w="85" w:type="dxa"/>
            </w:tcMar>
            <w:vAlign w:val="center"/>
          </w:tcPr>
          <w:p w14:paraId="613D9A25" w14:textId="77777777" w:rsidR="00DC2694" w:rsidRPr="00D35F06" w:rsidRDefault="00DC2694" w:rsidP="000132FA">
            <w:pPr>
              <w:keepNext/>
              <w:rPr>
                <w:bCs/>
                <w:color w:val="auto"/>
                <w:sz w:val="16"/>
                <w:szCs w:val="16"/>
                <w:lang w:val="en-US"/>
              </w:rPr>
            </w:pPr>
            <w:r w:rsidRPr="00D35F06">
              <w:rPr>
                <w:bCs/>
                <w:color w:val="auto"/>
                <w:sz w:val="16"/>
                <w:szCs w:val="16"/>
                <w:lang w:val="en-US"/>
              </w:rPr>
              <w:t>Participation rate (for population aged 15-64)</w:t>
            </w:r>
            <w:r w:rsidR="00B80FBC" w:rsidRPr="00D35F06">
              <w:rPr>
                <w:bCs/>
                <w:color w:val="auto"/>
                <w:sz w:val="16"/>
                <w:szCs w:val="16"/>
                <w:lang w:val="en-US"/>
              </w:rPr>
              <w:t xml:space="preserve"> (%)</w:t>
            </w:r>
          </w:p>
        </w:tc>
        <w:tc>
          <w:tcPr>
            <w:tcW w:w="1701" w:type="dxa"/>
            <w:tcBorders>
              <w:top w:val="nil"/>
              <w:left w:val="nil"/>
              <w:bottom w:val="nil"/>
              <w:right w:val="nil"/>
              <w:tl2br w:val="nil"/>
              <w:tr2bl w:val="nil"/>
            </w:tcBorders>
            <w:shd w:val="clear" w:color="auto" w:fill="D3DFEE"/>
            <w:tcMar>
              <w:top w:w="85" w:type="dxa"/>
              <w:bottom w:w="85" w:type="dxa"/>
            </w:tcMar>
          </w:tcPr>
          <w:p w14:paraId="134F5EC7" w14:textId="77777777" w:rsidR="00DC2694" w:rsidRPr="00D35F06" w:rsidRDefault="00B80FBC" w:rsidP="002D57E3">
            <w:pPr>
              <w:keepNext/>
              <w:jc w:val="right"/>
              <w:rPr>
                <w:color w:val="auto"/>
                <w:sz w:val="16"/>
                <w:szCs w:val="16"/>
                <w:lang w:val="en-US"/>
              </w:rPr>
            </w:pPr>
            <w:r w:rsidRPr="00D35F06">
              <w:rPr>
                <w:color w:val="auto"/>
                <w:sz w:val="16"/>
                <w:szCs w:val="16"/>
                <w:lang w:val="en-US"/>
              </w:rPr>
              <w:t>76.5</w:t>
            </w:r>
          </w:p>
        </w:tc>
        <w:tc>
          <w:tcPr>
            <w:tcW w:w="1559" w:type="dxa"/>
            <w:tcBorders>
              <w:top w:val="nil"/>
              <w:left w:val="nil"/>
              <w:bottom w:val="nil"/>
              <w:right w:val="nil"/>
              <w:tl2br w:val="nil"/>
              <w:tr2bl w:val="nil"/>
            </w:tcBorders>
            <w:shd w:val="clear" w:color="auto" w:fill="D3DFEE"/>
            <w:tcMar>
              <w:top w:w="85" w:type="dxa"/>
              <w:bottom w:w="85" w:type="dxa"/>
            </w:tcMar>
          </w:tcPr>
          <w:p w14:paraId="66F3A9E5" w14:textId="77777777" w:rsidR="00DC2694" w:rsidRPr="00D35F06" w:rsidRDefault="008735DE" w:rsidP="002D57E3">
            <w:pPr>
              <w:keepNext/>
              <w:jc w:val="right"/>
              <w:rPr>
                <w:color w:val="auto"/>
                <w:sz w:val="16"/>
                <w:szCs w:val="16"/>
                <w:lang w:val="en-US"/>
              </w:rPr>
            </w:pPr>
            <w:r w:rsidRPr="00D35F06">
              <w:rPr>
                <w:color w:val="auto"/>
                <w:sz w:val="16"/>
                <w:szCs w:val="16"/>
                <w:lang w:val="en-US"/>
              </w:rPr>
              <w:t>77.4</w:t>
            </w:r>
          </w:p>
        </w:tc>
      </w:tr>
      <w:tr w:rsidR="00463160" w:rsidRPr="00D35F06" w14:paraId="52001DB9" w14:textId="77777777" w:rsidTr="00D35F06">
        <w:trPr>
          <w:trHeight w:val="20"/>
        </w:trPr>
        <w:tc>
          <w:tcPr>
            <w:tcW w:w="5529" w:type="dxa"/>
            <w:noWrap/>
            <w:tcMar>
              <w:top w:w="85" w:type="dxa"/>
              <w:bottom w:w="85" w:type="dxa"/>
            </w:tcMar>
            <w:vAlign w:val="center"/>
          </w:tcPr>
          <w:p w14:paraId="4D118448" w14:textId="77777777" w:rsidR="00DC2694" w:rsidRPr="00D35F06" w:rsidRDefault="00DC2694" w:rsidP="000132FA">
            <w:pPr>
              <w:keepNext/>
              <w:rPr>
                <w:bCs/>
                <w:color w:val="auto"/>
                <w:sz w:val="16"/>
                <w:szCs w:val="16"/>
                <w:lang w:val="en-US"/>
              </w:rPr>
            </w:pPr>
            <w:r w:rsidRPr="00D35F06">
              <w:rPr>
                <w:bCs/>
                <w:color w:val="auto"/>
                <w:sz w:val="16"/>
                <w:szCs w:val="16"/>
                <w:lang w:val="en-US"/>
              </w:rPr>
              <w:t>Participation rate (for population aged 55-64)</w:t>
            </w:r>
            <w:r w:rsidR="00B80FBC" w:rsidRPr="00D35F06">
              <w:rPr>
                <w:bCs/>
                <w:color w:val="auto"/>
                <w:sz w:val="16"/>
                <w:szCs w:val="16"/>
                <w:lang w:val="en-US"/>
              </w:rPr>
              <w:t xml:space="preserve"> (%)</w:t>
            </w:r>
          </w:p>
        </w:tc>
        <w:tc>
          <w:tcPr>
            <w:tcW w:w="1701" w:type="dxa"/>
            <w:tcMar>
              <w:top w:w="85" w:type="dxa"/>
              <w:bottom w:w="85" w:type="dxa"/>
            </w:tcMar>
          </w:tcPr>
          <w:p w14:paraId="340CA961" w14:textId="77777777" w:rsidR="00DC2694" w:rsidRPr="00D35F06" w:rsidRDefault="008735DE" w:rsidP="002D57E3">
            <w:pPr>
              <w:keepNext/>
              <w:jc w:val="right"/>
              <w:rPr>
                <w:color w:val="auto"/>
                <w:sz w:val="16"/>
                <w:szCs w:val="16"/>
                <w:lang w:val="en-US"/>
              </w:rPr>
            </w:pPr>
            <w:r w:rsidRPr="00D35F06">
              <w:rPr>
                <w:color w:val="auto"/>
                <w:sz w:val="16"/>
                <w:szCs w:val="16"/>
                <w:lang w:val="en-US"/>
              </w:rPr>
              <w:t>58.9</w:t>
            </w:r>
          </w:p>
        </w:tc>
        <w:tc>
          <w:tcPr>
            <w:tcW w:w="1559" w:type="dxa"/>
            <w:tcMar>
              <w:top w:w="85" w:type="dxa"/>
              <w:bottom w:w="85" w:type="dxa"/>
            </w:tcMar>
          </w:tcPr>
          <w:p w14:paraId="64CAC54E" w14:textId="77777777" w:rsidR="00DC2694" w:rsidRPr="00D35F06" w:rsidRDefault="008735DE" w:rsidP="002D57E3">
            <w:pPr>
              <w:keepNext/>
              <w:jc w:val="right"/>
              <w:rPr>
                <w:color w:val="auto"/>
                <w:sz w:val="16"/>
                <w:szCs w:val="16"/>
                <w:lang w:val="en-US"/>
              </w:rPr>
            </w:pPr>
            <w:r w:rsidRPr="00D35F06">
              <w:rPr>
                <w:color w:val="auto"/>
                <w:sz w:val="16"/>
                <w:szCs w:val="16"/>
                <w:lang w:val="en-US"/>
              </w:rPr>
              <w:t>66.3</w:t>
            </w:r>
          </w:p>
        </w:tc>
      </w:tr>
      <w:tr w:rsidR="00463160" w:rsidRPr="00D35F06" w14:paraId="32D633FC" w14:textId="77777777" w:rsidTr="00D35F06">
        <w:trPr>
          <w:trHeight w:val="20"/>
        </w:trPr>
        <w:tc>
          <w:tcPr>
            <w:tcW w:w="5529" w:type="dxa"/>
            <w:tcBorders>
              <w:top w:val="nil"/>
              <w:left w:val="nil"/>
              <w:bottom w:val="nil"/>
              <w:right w:val="nil"/>
              <w:tl2br w:val="nil"/>
              <w:tr2bl w:val="nil"/>
            </w:tcBorders>
            <w:shd w:val="clear" w:color="auto" w:fill="D3DFEE"/>
            <w:noWrap/>
            <w:tcMar>
              <w:top w:w="85" w:type="dxa"/>
              <w:bottom w:w="85" w:type="dxa"/>
            </w:tcMar>
            <w:vAlign w:val="center"/>
          </w:tcPr>
          <w:p w14:paraId="69811A9F" w14:textId="77777777" w:rsidR="00DC2694" w:rsidRPr="00D35F06" w:rsidRDefault="00DC2694" w:rsidP="000132FA">
            <w:pPr>
              <w:keepNext/>
              <w:rPr>
                <w:bCs/>
                <w:color w:val="auto"/>
                <w:sz w:val="16"/>
                <w:szCs w:val="16"/>
                <w:lang w:val="en-US"/>
              </w:rPr>
            </w:pPr>
            <w:r w:rsidRPr="00D35F06">
              <w:rPr>
                <w:bCs/>
                <w:color w:val="auto"/>
                <w:sz w:val="16"/>
                <w:szCs w:val="16"/>
                <w:lang w:val="en-US"/>
              </w:rPr>
              <w:t>Participation rate (for population aged 65+)</w:t>
            </w:r>
            <w:r w:rsidR="00B80FBC" w:rsidRPr="00D35F06">
              <w:rPr>
                <w:bCs/>
                <w:color w:val="auto"/>
                <w:sz w:val="16"/>
                <w:szCs w:val="16"/>
                <w:lang w:val="en-US"/>
              </w:rPr>
              <w:t xml:space="preserve"> (%)</w:t>
            </w:r>
          </w:p>
        </w:tc>
        <w:tc>
          <w:tcPr>
            <w:tcW w:w="1701" w:type="dxa"/>
            <w:tcBorders>
              <w:top w:val="nil"/>
              <w:left w:val="nil"/>
              <w:bottom w:val="nil"/>
              <w:right w:val="nil"/>
              <w:tl2br w:val="nil"/>
              <w:tr2bl w:val="nil"/>
            </w:tcBorders>
            <w:shd w:val="clear" w:color="auto" w:fill="D3DFEE"/>
            <w:tcMar>
              <w:top w:w="85" w:type="dxa"/>
              <w:bottom w:w="85" w:type="dxa"/>
            </w:tcMar>
          </w:tcPr>
          <w:p w14:paraId="18E72C7E" w14:textId="77777777" w:rsidR="00DC2694" w:rsidRPr="00D35F06" w:rsidRDefault="008735DE" w:rsidP="002D57E3">
            <w:pPr>
              <w:keepNext/>
              <w:jc w:val="right"/>
              <w:rPr>
                <w:color w:val="auto"/>
                <w:sz w:val="16"/>
                <w:szCs w:val="16"/>
                <w:lang w:val="en-US"/>
              </w:rPr>
            </w:pPr>
            <w:r w:rsidRPr="00D35F06">
              <w:rPr>
                <w:color w:val="auto"/>
                <w:sz w:val="16"/>
                <w:szCs w:val="16"/>
                <w:lang w:val="en-US"/>
              </w:rPr>
              <w:t>9.4</w:t>
            </w:r>
          </w:p>
        </w:tc>
        <w:tc>
          <w:tcPr>
            <w:tcW w:w="1559" w:type="dxa"/>
            <w:tcBorders>
              <w:top w:val="nil"/>
              <w:left w:val="nil"/>
              <w:bottom w:val="nil"/>
              <w:right w:val="nil"/>
              <w:tl2br w:val="nil"/>
              <w:tr2bl w:val="nil"/>
            </w:tcBorders>
            <w:shd w:val="clear" w:color="auto" w:fill="D3DFEE"/>
            <w:tcMar>
              <w:top w:w="85" w:type="dxa"/>
              <w:bottom w:w="85" w:type="dxa"/>
            </w:tcMar>
          </w:tcPr>
          <w:p w14:paraId="77A2925F" w14:textId="77777777" w:rsidR="00DC2694" w:rsidRPr="00D35F06" w:rsidRDefault="008735DE" w:rsidP="002D57E3">
            <w:pPr>
              <w:keepNext/>
              <w:jc w:val="right"/>
              <w:rPr>
                <w:color w:val="auto"/>
                <w:sz w:val="16"/>
                <w:szCs w:val="16"/>
                <w:lang w:val="en-US"/>
              </w:rPr>
            </w:pPr>
            <w:r w:rsidRPr="00D35F06">
              <w:rPr>
                <w:color w:val="auto"/>
                <w:sz w:val="16"/>
                <w:szCs w:val="16"/>
                <w:lang w:val="en-US"/>
              </w:rPr>
              <w:t>13.0</w:t>
            </w:r>
          </w:p>
        </w:tc>
      </w:tr>
      <w:tr w:rsidR="00463160" w:rsidRPr="00D35F06" w14:paraId="3C51A90E" w14:textId="77777777" w:rsidTr="00D35F06">
        <w:trPr>
          <w:trHeight w:val="20"/>
        </w:trPr>
        <w:tc>
          <w:tcPr>
            <w:tcW w:w="5529" w:type="dxa"/>
            <w:tcBorders>
              <w:top w:val="nil"/>
              <w:left w:val="nil"/>
              <w:bottom w:val="nil"/>
              <w:right w:val="nil"/>
              <w:tl2br w:val="nil"/>
              <w:tr2bl w:val="nil"/>
            </w:tcBorders>
            <w:shd w:val="clear" w:color="auto" w:fill="FFFFFF" w:themeFill="background1"/>
            <w:noWrap/>
            <w:tcMar>
              <w:top w:w="85" w:type="dxa"/>
              <w:bottom w:w="85" w:type="dxa"/>
            </w:tcMar>
            <w:vAlign w:val="center"/>
          </w:tcPr>
          <w:p w14:paraId="5E950C8F" w14:textId="77777777" w:rsidR="00DC2694" w:rsidRPr="00D35F06" w:rsidRDefault="00DC2694" w:rsidP="000132FA">
            <w:pPr>
              <w:keepNext/>
              <w:rPr>
                <w:bCs/>
                <w:color w:val="auto"/>
                <w:sz w:val="16"/>
                <w:szCs w:val="16"/>
              </w:rPr>
            </w:pPr>
            <w:r w:rsidRPr="00D35F06">
              <w:rPr>
                <w:bCs/>
                <w:color w:val="auto"/>
                <w:sz w:val="16"/>
                <w:szCs w:val="16"/>
              </w:rPr>
              <w:t>Participation rate (for women</w:t>
            </w:r>
            <w:r w:rsidR="00CC72B3" w:rsidRPr="00D35F06">
              <w:rPr>
                <w:bCs/>
                <w:color w:val="auto"/>
                <w:sz w:val="16"/>
                <w:szCs w:val="16"/>
              </w:rPr>
              <w:t xml:space="preserve"> aged 15-64</w:t>
            </w:r>
            <w:r w:rsidRPr="00D35F06">
              <w:rPr>
                <w:bCs/>
                <w:color w:val="auto"/>
                <w:sz w:val="16"/>
                <w:szCs w:val="16"/>
              </w:rPr>
              <w:t>)</w:t>
            </w:r>
            <w:r w:rsidR="00B80FBC" w:rsidRPr="00D35F06">
              <w:rPr>
                <w:bCs/>
                <w:color w:val="auto"/>
                <w:sz w:val="16"/>
                <w:szCs w:val="16"/>
              </w:rPr>
              <w:t xml:space="preserve"> (%)</w:t>
            </w:r>
          </w:p>
        </w:tc>
        <w:tc>
          <w:tcPr>
            <w:tcW w:w="1701" w:type="dxa"/>
            <w:tcBorders>
              <w:top w:val="nil"/>
              <w:left w:val="nil"/>
              <w:bottom w:val="nil"/>
              <w:right w:val="nil"/>
              <w:tl2br w:val="nil"/>
              <w:tr2bl w:val="nil"/>
            </w:tcBorders>
            <w:shd w:val="clear" w:color="auto" w:fill="FFFFFF" w:themeFill="background1"/>
            <w:tcMar>
              <w:top w:w="85" w:type="dxa"/>
              <w:bottom w:w="85" w:type="dxa"/>
            </w:tcMar>
          </w:tcPr>
          <w:p w14:paraId="170FA4C4" w14:textId="77777777" w:rsidR="00DC2694" w:rsidRPr="00D35F06" w:rsidRDefault="00C57231" w:rsidP="002D57E3">
            <w:pPr>
              <w:keepNext/>
              <w:jc w:val="right"/>
              <w:rPr>
                <w:color w:val="auto"/>
                <w:sz w:val="16"/>
                <w:szCs w:val="16"/>
              </w:rPr>
            </w:pPr>
            <w:r w:rsidRPr="00D35F06">
              <w:rPr>
                <w:color w:val="auto"/>
                <w:sz w:val="16"/>
                <w:szCs w:val="16"/>
              </w:rPr>
              <w:t>70.0</w:t>
            </w:r>
          </w:p>
        </w:tc>
        <w:tc>
          <w:tcPr>
            <w:tcW w:w="1559" w:type="dxa"/>
            <w:tcBorders>
              <w:top w:val="nil"/>
              <w:left w:val="nil"/>
              <w:bottom w:val="nil"/>
              <w:right w:val="nil"/>
              <w:tl2br w:val="nil"/>
              <w:tr2bl w:val="nil"/>
            </w:tcBorders>
            <w:shd w:val="clear" w:color="auto" w:fill="FFFFFF" w:themeFill="background1"/>
            <w:tcMar>
              <w:top w:w="85" w:type="dxa"/>
              <w:bottom w:w="85" w:type="dxa"/>
            </w:tcMar>
          </w:tcPr>
          <w:p w14:paraId="4E30AC5F" w14:textId="77777777" w:rsidR="00DC2694" w:rsidRPr="00D35F06" w:rsidRDefault="00CC72B3" w:rsidP="002D57E3">
            <w:pPr>
              <w:keepNext/>
              <w:jc w:val="right"/>
              <w:rPr>
                <w:color w:val="auto"/>
                <w:sz w:val="16"/>
                <w:szCs w:val="16"/>
              </w:rPr>
            </w:pPr>
            <w:r w:rsidRPr="00D35F06">
              <w:rPr>
                <w:color w:val="auto"/>
                <w:sz w:val="16"/>
                <w:szCs w:val="16"/>
              </w:rPr>
              <w:t>72.3</w:t>
            </w:r>
          </w:p>
        </w:tc>
      </w:tr>
      <w:tr w:rsidR="009676F2" w:rsidRPr="00D35F06" w14:paraId="53F4B5E6" w14:textId="77777777" w:rsidTr="009676F2">
        <w:trPr>
          <w:trHeight w:val="1034"/>
        </w:trPr>
        <w:tc>
          <w:tcPr>
            <w:tcW w:w="5529" w:type="dxa"/>
            <w:shd w:val="clear" w:color="auto" w:fill="D3DFEE"/>
            <w:noWrap/>
            <w:tcMar>
              <w:top w:w="85" w:type="dxa"/>
              <w:bottom w:w="85" w:type="dxa"/>
            </w:tcMar>
            <w:vAlign w:val="center"/>
          </w:tcPr>
          <w:p w14:paraId="78BFB052" w14:textId="77777777" w:rsidR="009676F2" w:rsidRDefault="009676F2" w:rsidP="000132FA">
            <w:pPr>
              <w:keepNext/>
              <w:rPr>
                <w:bCs/>
                <w:color w:val="auto"/>
                <w:sz w:val="16"/>
                <w:szCs w:val="16"/>
                <w:lang w:val="en-US"/>
              </w:rPr>
            </w:pPr>
            <w:r>
              <w:rPr>
                <w:bCs/>
                <w:color w:val="auto"/>
                <w:sz w:val="16"/>
                <w:szCs w:val="16"/>
                <w:lang w:val="en-US"/>
              </w:rPr>
              <w:t>Sectoral composition of employment (as a % of total employment)\</w:t>
            </w:r>
          </w:p>
          <w:p w14:paraId="1AA6C6C0" w14:textId="77777777" w:rsidR="009676F2" w:rsidRPr="009676F2" w:rsidRDefault="009676F2" w:rsidP="009676F2">
            <w:pPr>
              <w:pStyle w:val="ListParagraph"/>
              <w:keepNext/>
              <w:numPr>
                <w:ilvl w:val="0"/>
                <w:numId w:val="28"/>
              </w:numPr>
              <w:rPr>
                <w:rFonts w:ascii="Arial" w:hAnsi="Arial" w:cs="Arial"/>
                <w:bCs/>
                <w:sz w:val="16"/>
                <w:szCs w:val="16"/>
                <w:lang w:val="en-US"/>
              </w:rPr>
            </w:pPr>
            <w:r w:rsidRPr="009676F2">
              <w:rPr>
                <w:rFonts w:ascii="Arial" w:hAnsi="Arial" w:cs="Arial"/>
                <w:bCs/>
                <w:sz w:val="16"/>
                <w:szCs w:val="16"/>
                <w:lang w:val="en-US"/>
              </w:rPr>
              <w:t>Agriculture</w:t>
            </w:r>
          </w:p>
          <w:p w14:paraId="54E8E1FD" w14:textId="77777777" w:rsidR="009676F2" w:rsidRPr="009676F2" w:rsidRDefault="009676F2" w:rsidP="009676F2">
            <w:pPr>
              <w:pStyle w:val="ListParagraph"/>
              <w:keepNext/>
              <w:numPr>
                <w:ilvl w:val="0"/>
                <w:numId w:val="28"/>
              </w:numPr>
              <w:rPr>
                <w:rFonts w:ascii="Arial" w:hAnsi="Arial" w:cs="Arial"/>
                <w:bCs/>
                <w:sz w:val="16"/>
                <w:szCs w:val="16"/>
                <w:lang w:val="en-US"/>
              </w:rPr>
            </w:pPr>
            <w:r w:rsidRPr="009676F2">
              <w:rPr>
                <w:rFonts w:ascii="Arial" w:hAnsi="Arial" w:cs="Arial"/>
                <w:bCs/>
                <w:sz w:val="16"/>
                <w:szCs w:val="16"/>
                <w:lang w:val="en-US"/>
              </w:rPr>
              <w:t>Construction</w:t>
            </w:r>
          </w:p>
          <w:p w14:paraId="0CC30FAE" w14:textId="77777777" w:rsidR="009676F2" w:rsidRPr="009676F2" w:rsidRDefault="009676F2" w:rsidP="009676F2">
            <w:pPr>
              <w:pStyle w:val="ListParagraph"/>
              <w:keepNext/>
              <w:numPr>
                <w:ilvl w:val="0"/>
                <w:numId w:val="28"/>
              </w:numPr>
              <w:rPr>
                <w:rFonts w:ascii="Arial" w:hAnsi="Arial" w:cs="Arial"/>
                <w:bCs/>
                <w:sz w:val="16"/>
                <w:szCs w:val="16"/>
                <w:lang w:val="en-US"/>
              </w:rPr>
            </w:pPr>
            <w:r w:rsidRPr="009676F2">
              <w:rPr>
                <w:rFonts w:ascii="Arial" w:hAnsi="Arial" w:cs="Arial"/>
                <w:bCs/>
                <w:sz w:val="16"/>
                <w:szCs w:val="16"/>
                <w:lang w:val="en-US"/>
              </w:rPr>
              <w:t>Manufacturing</w:t>
            </w:r>
          </w:p>
          <w:p w14:paraId="304B02F5" w14:textId="5C69EC03" w:rsidR="009676F2" w:rsidRPr="009676F2" w:rsidRDefault="009676F2" w:rsidP="009676F2">
            <w:pPr>
              <w:pStyle w:val="ListParagraph"/>
              <w:keepNext/>
              <w:numPr>
                <w:ilvl w:val="0"/>
                <w:numId w:val="28"/>
              </w:numPr>
              <w:rPr>
                <w:bCs/>
                <w:sz w:val="16"/>
                <w:szCs w:val="16"/>
                <w:lang w:val="en-US"/>
              </w:rPr>
            </w:pPr>
            <w:r w:rsidRPr="009676F2">
              <w:rPr>
                <w:rFonts w:ascii="Arial" w:hAnsi="Arial" w:cs="Arial"/>
                <w:bCs/>
                <w:sz w:val="16"/>
                <w:szCs w:val="16"/>
                <w:lang w:val="en-US"/>
              </w:rPr>
              <w:t>Services</w:t>
            </w:r>
          </w:p>
        </w:tc>
        <w:tc>
          <w:tcPr>
            <w:tcW w:w="1701" w:type="dxa"/>
            <w:shd w:val="clear" w:color="auto" w:fill="D3DFEE"/>
            <w:tcMar>
              <w:top w:w="85" w:type="dxa"/>
              <w:bottom w:w="85" w:type="dxa"/>
            </w:tcMar>
          </w:tcPr>
          <w:p w14:paraId="37A782A0" w14:textId="77777777" w:rsidR="009676F2" w:rsidRDefault="009676F2" w:rsidP="002D57E3">
            <w:pPr>
              <w:keepNext/>
              <w:jc w:val="right"/>
              <w:rPr>
                <w:bCs/>
                <w:color w:val="auto"/>
                <w:sz w:val="16"/>
                <w:szCs w:val="16"/>
              </w:rPr>
            </w:pPr>
          </w:p>
          <w:p w14:paraId="5DD516BE" w14:textId="77777777" w:rsidR="009676F2" w:rsidRDefault="009676F2" w:rsidP="002D57E3">
            <w:pPr>
              <w:keepNext/>
              <w:jc w:val="right"/>
              <w:rPr>
                <w:bCs/>
                <w:color w:val="auto"/>
                <w:sz w:val="16"/>
                <w:szCs w:val="16"/>
              </w:rPr>
            </w:pPr>
            <w:r>
              <w:rPr>
                <w:bCs/>
                <w:color w:val="auto"/>
                <w:sz w:val="16"/>
                <w:szCs w:val="16"/>
              </w:rPr>
              <w:t>3.3</w:t>
            </w:r>
          </w:p>
          <w:p w14:paraId="4B88E0AE" w14:textId="77777777" w:rsidR="009676F2" w:rsidRDefault="009676F2" w:rsidP="002D57E3">
            <w:pPr>
              <w:keepNext/>
              <w:jc w:val="right"/>
              <w:rPr>
                <w:bCs/>
                <w:color w:val="auto"/>
                <w:sz w:val="16"/>
                <w:szCs w:val="16"/>
              </w:rPr>
            </w:pPr>
            <w:r>
              <w:rPr>
                <w:bCs/>
                <w:color w:val="auto"/>
                <w:sz w:val="16"/>
                <w:szCs w:val="16"/>
              </w:rPr>
              <w:t>9.2</w:t>
            </w:r>
          </w:p>
          <w:p w14:paraId="12EA4725" w14:textId="77777777" w:rsidR="009676F2" w:rsidRDefault="009676F2" w:rsidP="002D57E3">
            <w:pPr>
              <w:keepNext/>
              <w:jc w:val="right"/>
              <w:rPr>
                <w:bCs/>
                <w:color w:val="auto"/>
                <w:sz w:val="16"/>
                <w:szCs w:val="16"/>
              </w:rPr>
            </w:pPr>
            <w:r>
              <w:rPr>
                <w:bCs/>
                <w:color w:val="auto"/>
                <w:sz w:val="16"/>
                <w:szCs w:val="16"/>
              </w:rPr>
              <w:t>12.4</w:t>
            </w:r>
          </w:p>
          <w:p w14:paraId="48BD3C28" w14:textId="1D4A8DAD" w:rsidR="009676F2" w:rsidRPr="00D35F06" w:rsidRDefault="009676F2" w:rsidP="002D57E3">
            <w:pPr>
              <w:keepNext/>
              <w:jc w:val="right"/>
              <w:rPr>
                <w:bCs/>
                <w:color w:val="auto"/>
                <w:sz w:val="16"/>
                <w:szCs w:val="16"/>
              </w:rPr>
            </w:pPr>
            <w:r>
              <w:rPr>
                <w:bCs/>
                <w:color w:val="auto"/>
                <w:sz w:val="16"/>
                <w:szCs w:val="16"/>
              </w:rPr>
              <w:t>75.1</w:t>
            </w:r>
          </w:p>
        </w:tc>
        <w:tc>
          <w:tcPr>
            <w:tcW w:w="1559" w:type="dxa"/>
            <w:shd w:val="clear" w:color="auto" w:fill="D3DFEE"/>
            <w:tcMar>
              <w:top w:w="85" w:type="dxa"/>
              <w:bottom w:w="85" w:type="dxa"/>
            </w:tcMar>
          </w:tcPr>
          <w:p w14:paraId="634F0395" w14:textId="77777777" w:rsidR="009676F2" w:rsidRDefault="009676F2" w:rsidP="002D57E3">
            <w:pPr>
              <w:keepNext/>
              <w:jc w:val="right"/>
              <w:rPr>
                <w:color w:val="auto"/>
                <w:sz w:val="16"/>
                <w:szCs w:val="16"/>
              </w:rPr>
            </w:pPr>
          </w:p>
          <w:p w14:paraId="3DC3E124" w14:textId="77777777" w:rsidR="009676F2" w:rsidRDefault="009676F2" w:rsidP="002D57E3">
            <w:pPr>
              <w:keepNext/>
              <w:jc w:val="right"/>
              <w:rPr>
                <w:color w:val="auto"/>
                <w:sz w:val="16"/>
                <w:szCs w:val="16"/>
              </w:rPr>
            </w:pPr>
            <w:r>
              <w:rPr>
                <w:color w:val="auto"/>
                <w:sz w:val="16"/>
                <w:szCs w:val="16"/>
              </w:rPr>
              <w:t>2.6</w:t>
            </w:r>
          </w:p>
          <w:p w14:paraId="0E59F09D" w14:textId="14547EE1" w:rsidR="009676F2" w:rsidRDefault="009B271A" w:rsidP="002D57E3">
            <w:pPr>
              <w:keepNext/>
              <w:jc w:val="right"/>
              <w:rPr>
                <w:color w:val="auto"/>
                <w:sz w:val="16"/>
                <w:szCs w:val="16"/>
              </w:rPr>
            </w:pPr>
            <w:r>
              <w:rPr>
                <w:color w:val="auto"/>
                <w:sz w:val="16"/>
                <w:szCs w:val="16"/>
              </w:rPr>
              <w:t>9.3</w:t>
            </w:r>
          </w:p>
          <w:p w14:paraId="37E8EB8E" w14:textId="028D77A1" w:rsidR="009676F2" w:rsidRDefault="009B271A" w:rsidP="002D57E3">
            <w:pPr>
              <w:keepNext/>
              <w:jc w:val="right"/>
              <w:rPr>
                <w:color w:val="auto"/>
                <w:sz w:val="16"/>
                <w:szCs w:val="16"/>
              </w:rPr>
            </w:pPr>
            <w:r>
              <w:rPr>
                <w:color w:val="auto"/>
                <w:sz w:val="16"/>
                <w:szCs w:val="16"/>
              </w:rPr>
              <w:t>10.2</w:t>
            </w:r>
          </w:p>
          <w:p w14:paraId="1EB9AB7E" w14:textId="0DF1B21E" w:rsidR="009676F2" w:rsidRPr="00D35F06" w:rsidRDefault="009B271A" w:rsidP="002D57E3">
            <w:pPr>
              <w:keepNext/>
              <w:jc w:val="right"/>
              <w:rPr>
                <w:color w:val="auto"/>
                <w:sz w:val="16"/>
                <w:szCs w:val="16"/>
              </w:rPr>
            </w:pPr>
            <w:r>
              <w:rPr>
                <w:color w:val="auto"/>
                <w:sz w:val="16"/>
                <w:szCs w:val="16"/>
              </w:rPr>
              <w:t>78.0</w:t>
            </w:r>
          </w:p>
        </w:tc>
      </w:tr>
    </w:tbl>
    <w:p w14:paraId="271F0813" w14:textId="1FAACB91" w:rsidR="00D35F06" w:rsidRPr="000132FA" w:rsidRDefault="00761DE3" w:rsidP="00895D26">
      <w:pPr>
        <w:spacing w:after="200"/>
        <w:rPr>
          <w:color w:val="auto"/>
          <w:sz w:val="16"/>
          <w:szCs w:val="16"/>
        </w:rPr>
      </w:pPr>
      <w:r>
        <w:rPr>
          <w:color w:val="auto"/>
          <w:sz w:val="16"/>
          <w:szCs w:val="16"/>
        </w:rPr>
        <w:t>Source: ILOSTAT and</w:t>
      </w:r>
      <w:r w:rsidR="00DC2694" w:rsidRPr="00C42D8D">
        <w:rPr>
          <w:color w:val="auto"/>
          <w:sz w:val="16"/>
          <w:szCs w:val="16"/>
        </w:rPr>
        <w:t xml:space="preserve"> OECD.Stat</w:t>
      </w:r>
      <w:r w:rsidR="00196DF1">
        <w:rPr>
          <w:color w:val="auto"/>
          <w:sz w:val="16"/>
          <w:szCs w:val="16"/>
        </w:rPr>
        <w:t>.</w:t>
      </w:r>
      <w:r w:rsidR="00895D26">
        <w:rPr>
          <w:color w:val="auto"/>
          <w:sz w:val="16"/>
          <w:szCs w:val="16"/>
        </w:rPr>
        <w:t xml:space="preserve"> </w:t>
      </w:r>
      <w:r w:rsidR="00895D26" w:rsidRPr="00196DF1">
        <w:rPr>
          <w:color w:val="auto"/>
          <w:sz w:val="16"/>
          <w:szCs w:val="16"/>
        </w:rPr>
        <w:t xml:space="preserve">Note: Data in </w:t>
      </w:r>
      <w:r w:rsidR="00895D26">
        <w:rPr>
          <w:color w:val="auto"/>
          <w:sz w:val="16"/>
          <w:szCs w:val="16"/>
        </w:rPr>
        <w:t>T</w:t>
      </w:r>
      <w:r w:rsidR="00895D26" w:rsidRPr="00196DF1">
        <w:rPr>
          <w:color w:val="auto"/>
          <w:sz w:val="16"/>
          <w:szCs w:val="16"/>
        </w:rPr>
        <w:t xml:space="preserve">ables </w:t>
      </w:r>
      <w:r w:rsidR="00293561">
        <w:rPr>
          <w:color w:val="auto"/>
          <w:sz w:val="16"/>
          <w:szCs w:val="16"/>
        </w:rPr>
        <w:t>5</w:t>
      </w:r>
      <w:r w:rsidR="00895D26" w:rsidRPr="00196DF1">
        <w:rPr>
          <w:color w:val="auto"/>
          <w:sz w:val="16"/>
          <w:szCs w:val="16"/>
        </w:rPr>
        <w:t xml:space="preserve"> and </w:t>
      </w:r>
      <w:r w:rsidR="00293561">
        <w:rPr>
          <w:color w:val="auto"/>
          <w:sz w:val="16"/>
          <w:szCs w:val="16"/>
        </w:rPr>
        <w:t>6</w:t>
      </w:r>
      <w:r w:rsidR="00895D26" w:rsidRPr="00196DF1">
        <w:rPr>
          <w:color w:val="auto"/>
          <w:sz w:val="16"/>
          <w:szCs w:val="16"/>
        </w:rPr>
        <w:t xml:space="preserve"> have been sourced from the OECD/ILO </w:t>
      </w:r>
      <w:r w:rsidR="00895D26">
        <w:rPr>
          <w:color w:val="auto"/>
          <w:sz w:val="16"/>
          <w:szCs w:val="16"/>
        </w:rPr>
        <w:t xml:space="preserve">to aid </w:t>
      </w:r>
      <w:r w:rsidR="00895D26" w:rsidRPr="00196DF1">
        <w:rPr>
          <w:color w:val="auto"/>
          <w:sz w:val="16"/>
          <w:szCs w:val="16"/>
        </w:rPr>
        <w:t>international comparability</w:t>
      </w:r>
      <w:r w:rsidR="00895D26">
        <w:rPr>
          <w:color w:val="auto"/>
          <w:sz w:val="16"/>
          <w:szCs w:val="16"/>
        </w:rPr>
        <w:t>.</w:t>
      </w:r>
    </w:p>
    <w:p w14:paraId="2348ADBA" w14:textId="3B9D1FDE" w:rsidR="00293561" w:rsidRDefault="00293561" w:rsidP="00293561">
      <w:pPr>
        <w:pStyle w:val="Caption"/>
        <w:keepNext/>
      </w:pPr>
      <w:r>
        <w:t xml:space="preserve">Table </w:t>
      </w:r>
      <w:r w:rsidR="00A47169">
        <w:rPr>
          <w:noProof/>
        </w:rPr>
        <w:fldChar w:fldCharType="begin"/>
      </w:r>
      <w:r w:rsidR="00A47169">
        <w:rPr>
          <w:noProof/>
        </w:rPr>
        <w:instrText xml:space="preserve"> SEQ Table \* ARABIC </w:instrText>
      </w:r>
      <w:r w:rsidR="00A47169">
        <w:rPr>
          <w:noProof/>
        </w:rPr>
        <w:fldChar w:fldCharType="separate"/>
      </w:r>
      <w:r>
        <w:rPr>
          <w:noProof/>
        </w:rPr>
        <w:t>6</w:t>
      </w:r>
      <w:r w:rsidR="00A47169">
        <w:rPr>
          <w:noProof/>
        </w:rPr>
        <w:fldChar w:fldCharType="end"/>
      </w:r>
      <w:r>
        <w:t xml:space="preserve">: </w:t>
      </w:r>
      <w:r w:rsidRPr="00CA485A">
        <w:t>Selected policy indicators</w:t>
      </w:r>
    </w:p>
    <w:tbl>
      <w:tblPr>
        <w:tblW w:w="8789" w:type="dxa"/>
        <w:tblBorders>
          <w:top w:val="single" w:sz="8" w:space="0" w:color="4F81BD"/>
          <w:bottom w:val="single" w:sz="8" w:space="0" w:color="4F81BD"/>
        </w:tblBorders>
        <w:tblLayout w:type="fixed"/>
        <w:tblLook w:val="0000" w:firstRow="0" w:lastRow="0" w:firstColumn="0" w:lastColumn="0" w:noHBand="0" w:noVBand="0"/>
      </w:tblPr>
      <w:tblGrid>
        <w:gridCol w:w="5670"/>
        <w:gridCol w:w="1276"/>
        <w:gridCol w:w="1843"/>
      </w:tblGrid>
      <w:tr w:rsidR="00726A67" w:rsidRPr="00D35F06" w14:paraId="7B26FEFB" w14:textId="77777777" w:rsidTr="00293561">
        <w:trPr>
          <w:tblHeader/>
        </w:trPr>
        <w:tc>
          <w:tcPr>
            <w:tcW w:w="5670" w:type="dxa"/>
            <w:tcBorders>
              <w:top w:val="single" w:sz="8" w:space="0" w:color="4F81BD"/>
              <w:left w:val="nil"/>
              <w:bottom w:val="single" w:sz="8" w:space="0" w:color="4F81BD"/>
              <w:right w:val="nil"/>
              <w:tl2br w:val="nil"/>
              <w:tr2bl w:val="nil"/>
            </w:tcBorders>
            <w:tcMar>
              <w:top w:w="85" w:type="dxa"/>
              <w:bottom w:w="85" w:type="dxa"/>
            </w:tcMar>
          </w:tcPr>
          <w:p w14:paraId="40931CEB" w14:textId="18CFC5DD" w:rsidR="00726A67" w:rsidRPr="00D35F06" w:rsidRDefault="002D57E3" w:rsidP="000132FA">
            <w:pPr>
              <w:keepNext/>
              <w:rPr>
                <w:b/>
                <w:bCs/>
                <w:color w:val="auto"/>
                <w:sz w:val="16"/>
                <w:szCs w:val="16"/>
              </w:rPr>
            </w:pPr>
            <w:r>
              <w:rPr>
                <w:b/>
                <w:bCs/>
                <w:color w:val="auto"/>
                <w:sz w:val="16"/>
                <w:szCs w:val="16"/>
              </w:rPr>
              <w:t>I</w:t>
            </w:r>
            <w:r w:rsidR="00726A67" w:rsidRPr="00D35F06">
              <w:rPr>
                <w:b/>
                <w:bCs/>
                <w:color w:val="auto"/>
                <w:sz w:val="16"/>
                <w:szCs w:val="16"/>
              </w:rPr>
              <w:t>ndicator</w:t>
            </w:r>
          </w:p>
        </w:tc>
        <w:tc>
          <w:tcPr>
            <w:tcW w:w="1276" w:type="dxa"/>
            <w:tcBorders>
              <w:top w:val="single" w:sz="8" w:space="0" w:color="4F81BD"/>
              <w:left w:val="nil"/>
              <w:bottom w:val="single" w:sz="8" w:space="0" w:color="4F81BD"/>
              <w:right w:val="nil"/>
              <w:tl2br w:val="nil"/>
              <w:tr2bl w:val="nil"/>
            </w:tcBorders>
            <w:tcMar>
              <w:top w:w="85" w:type="dxa"/>
              <w:bottom w:w="85" w:type="dxa"/>
            </w:tcMar>
          </w:tcPr>
          <w:p w14:paraId="66C92C46" w14:textId="77777777" w:rsidR="00726A67" w:rsidRPr="00D35F06" w:rsidRDefault="00726A67" w:rsidP="002D57E3">
            <w:pPr>
              <w:keepNext/>
              <w:jc w:val="right"/>
              <w:rPr>
                <w:b/>
                <w:bCs/>
                <w:color w:val="auto"/>
                <w:sz w:val="16"/>
                <w:szCs w:val="16"/>
              </w:rPr>
            </w:pPr>
            <w:r w:rsidRPr="00D35F06">
              <w:rPr>
                <w:b/>
                <w:bCs/>
                <w:color w:val="auto"/>
                <w:sz w:val="16"/>
                <w:szCs w:val="16"/>
              </w:rPr>
              <w:t>2008</w:t>
            </w:r>
          </w:p>
        </w:tc>
        <w:tc>
          <w:tcPr>
            <w:tcW w:w="1843" w:type="dxa"/>
            <w:tcBorders>
              <w:top w:val="single" w:sz="8" w:space="0" w:color="4F81BD"/>
              <w:left w:val="nil"/>
              <w:bottom w:val="single" w:sz="8" w:space="0" w:color="4F81BD"/>
              <w:right w:val="nil"/>
              <w:tl2br w:val="nil"/>
              <w:tr2bl w:val="nil"/>
            </w:tcBorders>
            <w:tcMar>
              <w:top w:w="85" w:type="dxa"/>
              <w:bottom w:w="85" w:type="dxa"/>
            </w:tcMar>
          </w:tcPr>
          <w:p w14:paraId="4EB46F84" w14:textId="4E079A2F" w:rsidR="00726A67" w:rsidRPr="00D35F06" w:rsidRDefault="00E60FDF" w:rsidP="00E60FDF">
            <w:pPr>
              <w:keepNext/>
              <w:jc w:val="right"/>
              <w:rPr>
                <w:b/>
                <w:bCs/>
                <w:color w:val="auto"/>
                <w:sz w:val="16"/>
                <w:szCs w:val="16"/>
              </w:rPr>
            </w:pPr>
            <w:r>
              <w:rPr>
                <w:b/>
                <w:bCs/>
                <w:color w:val="auto"/>
                <w:sz w:val="16"/>
                <w:szCs w:val="16"/>
              </w:rPr>
              <w:t>Latest available</w:t>
            </w:r>
          </w:p>
        </w:tc>
      </w:tr>
      <w:tr w:rsidR="00726A67" w:rsidRPr="00D35F06" w14:paraId="407F138B" w14:textId="77777777" w:rsidTr="001A2413">
        <w:tc>
          <w:tcPr>
            <w:tcW w:w="5670" w:type="dxa"/>
            <w:tcBorders>
              <w:top w:val="nil"/>
              <w:left w:val="nil"/>
              <w:bottom w:val="nil"/>
              <w:right w:val="nil"/>
              <w:tl2br w:val="nil"/>
              <w:tr2bl w:val="nil"/>
            </w:tcBorders>
            <w:shd w:val="clear" w:color="auto" w:fill="D3DFEE"/>
            <w:tcMar>
              <w:top w:w="85" w:type="dxa"/>
              <w:bottom w:w="85" w:type="dxa"/>
            </w:tcMar>
          </w:tcPr>
          <w:p w14:paraId="2210CFD5" w14:textId="77777777" w:rsidR="00726A67" w:rsidRPr="00D35F06" w:rsidRDefault="00726A67" w:rsidP="000132FA">
            <w:pPr>
              <w:keepNext/>
              <w:rPr>
                <w:bCs/>
                <w:color w:val="auto"/>
                <w:sz w:val="16"/>
                <w:szCs w:val="16"/>
              </w:rPr>
            </w:pPr>
            <w:r w:rsidRPr="00D35F06">
              <w:rPr>
                <w:bCs/>
                <w:color w:val="auto"/>
                <w:sz w:val="16"/>
                <w:szCs w:val="16"/>
              </w:rPr>
              <w:t>Gini coefficient (income Gini)</w:t>
            </w:r>
          </w:p>
        </w:tc>
        <w:tc>
          <w:tcPr>
            <w:tcW w:w="1276" w:type="dxa"/>
            <w:tcBorders>
              <w:top w:val="nil"/>
              <w:left w:val="nil"/>
              <w:bottom w:val="nil"/>
              <w:right w:val="nil"/>
              <w:tl2br w:val="nil"/>
              <w:tr2bl w:val="nil"/>
            </w:tcBorders>
            <w:shd w:val="clear" w:color="auto" w:fill="D3DFEE"/>
            <w:tcMar>
              <w:top w:w="85" w:type="dxa"/>
              <w:bottom w:w="85" w:type="dxa"/>
            </w:tcMar>
          </w:tcPr>
          <w:p w14:paraId="7A01E08A" w14:textId="74F49B26" w:rsidR="00726A67" w:rsidRPr="00D35F06" w:rsidRDefault="00726A67" w:rsidP="002D57E3">
            <w:pPr>
              <w:keepNext/>
              <w:jc w:val="right"/>
              <w:rPr>
                <w:color w:val="auto"/>
                <w:sz w:val="16"/>
                <w:szCs w:val="16"/>
              </w:rPr>
            </w:pPr>
            <w:r w:rsidRPr="00D35F06">
              <w:rPr>
                <w:color w:val="auto"/>
                <w:sz w:val="16"/>
                <w:szCs w:val="16"/>
              </w:rPr>
              <w:t>0.336</w:t>
            </w:r>
          </w:p>
        </w:tc>
        <w:tc>
          <w:tcPr>
            <w:tcW w:w="1843" w:type="dxa"/>
            <w:tcBorders>
              <w:top w:val="nil"/>
              <w:left w:val="nil"/>
              <w:bottom w:val="nil"/>
              <w:right w:val="nil"/>
              <w:tl2br w:val="nil"/>
              <w:tr2bl w:val="nil"/>
            </w:tcBorders>
            <w:shd w:val="clear" w:color="auto" w:fill="D3DFEE"/>
            <w:tcMar>
              <w:top w:w="85" w:type="dxa"/>
              <w:bottom w:w="85" w:type="dxa"/>
            </w:tcMar>
          </w:tcPr>
          <w:p w14:paraId="350FF6E2" w14:textId="77777777" w:rsidR="00726A67" w:rsidRPr="00D35F06" w:rsidRDefault="00726A67" w:rsidP="002D57E3">
            <w:pPr>
              <w:keepNext/>
              <w:jc w:val="right"/>
              <w:rPr>
                <w:color w:val="auto"/>
                <w:sz w:val="16"/>
                <w:szCs w:val="16"/>
              </w:rPr>
            </w:pPr>
            <w:r w:rsidRPr="00D35F06">
              <w:rPr>
                <w:color w:val="auto"/>
                <w:sz w:val="16"/>
                <w:szCs w:val="16"/>
              </w:rPr>
              <w:t>0.337 (2014)</w:t>
            </w:r>
          </w:p>
        </w:tc>
      </w:tr>
      <w:tr w:rsidR="00726A67" w:rsidRPr="00D35F06" w14:paraId="646E43A4" w14:textId="77777777" w:rsidTr="001A2413">
        <w:tc>
          <w:tcPr>
            <w:tcW w:w="5670" w:type="dxa"/>
            <w:tcMar>
              <w:top w:w="85" w:type="dxa"/>
              <w:bottom w:w="85" w:type="dxa"/>
            </w:tcMar>
          </w:tcPr>
          <w:p w14:paraId="661D945C" w14:textId="77777777" w:rsidR="00726A67" w:rsidRPr="00D35F06" w:rsidRDefault="00726A67" w:rsidP="000132FA">
            <w:pPr>
              <w:keepNext/>
              <w:rPr>
                <w:bCs/>
                <w:color w:val="auto"/>
                <w:sz w:val="16"/>
                <w:szCs w:val="16"/>
                <w:lang w:val="en-US"/>
              </w:rPr>
            </w:pPr>
            <w:r w:rsidRPr="00D35F06">
              <w:rPr>
                <w:bCs/>
                <w:color w:val="auto"/>
                <w:sz w:val="16"/>
                <w:szCs w:val="16"/>
                <w:lang w:val="en-US"/>
              </w:rPr>
              <w:t>Poverty (% below national poverty line)</w:t>
            </w:r>
          </w:p>
        </w:tc>
        <w:tc>
          <w:tcPr>
            <w:tcW w:w="1276" w:type="dxa"/>
            <w:tcMar>
              <w:top w:w="85" w:type="dxa"/>
              <w:bottom w:w="85" w:type="dxa"/>
            </w:tcMar>
          </w:tcPr>
          <w:p w14:paraId="17D17799" w14:textId="77777777" w:rsidR="00726A67" w:rsidRPr="00D35F06" w:rsidRDefault="00726A67" w:rsidP="002D57E3">
            <w:pPr>
              <w:keepNext/>
              <w:jc w:val="right"/>
              <w:rPr>
                <w:color w:val="auto"/>
                <w:sz w:val="16"/>
                <w:szCs w:val="16"/>
                <w:lang w:val="en-US"/>
              </w:rPr>
            </w:pPr>
            <w:r w:rsidRPr="00D35F06">
              <w:rPr>
                <w:color w:val="auto"/>
                <w:sz w:val="16"/>
                <w:szCs w:val="16"/>
              </w:rPr>
              <w:t>14.6</w:t>
            </w:r>
          </w:p>
        </w:tc>
        <w:tc>
          <w:tcPr>
            <w:tcW w:w="1843" w:type="dxa"/>
            <w:tcMar>
              <w:top w:w="85" w:type="dxa"/>
              <w:bottom w:w="85" w:type="dxa"/>
            </w:tcMar>
          </w:tcPr>
          <w:p w14:paraId="59E5EAD1" w14:textId="77777777" w:rsidR="00726A67" w:rsidRPr="00D35F06" w:rsidRDefault="00726A67" w:rsidP="002D57E3">
            <w:pPr>
              <w:keepNext/>
              <w:jc w:val="right"/>
              <w:rPr>
                <w:color w:val="auto"/>
                <w:sz w:val="16"/>
                <w:szCs w:val="16"/>
                <w:lang w:val="en-US"/>
              </w:rPr>
            </w:pPr>
            <w:r w:rsidRPr="00D35F06">
              <w:rPr>
                <w:color w:val="auto"/>
                <w:sz w:val="16"/>
                <w:szCs w:val="16"/>
                <w:lang w:val="en-US"/>
              </w:rPr>
              <w:t>12.8 (2014)</w:t>
            </w:r>
          </w:p>
        </w:tc>
      </w:tr>
      <w:tr w:rsidR="00726A67" w:rsidRPr="00D35F06" w14:paraId="7CAA0F54" w14:textId="77777777" w:rsidTr="001A2413">
        <w:tc>
          <w:tcPr>
            <w:tcW w:w="5670" w:type="dxa"/>
            <w:shd w:val="clear" w:color="auto" w:fill="D3DFEE"/>
            <w:tcMar>
              <w:top w:w="85" w:type="dxa"/>
              <w:bottom w:w="85" w:type="dxa"/>
            </w:tcMar>
          </w:tcPr>
          <w:p w14:paraId="7525E41C" w14:textId="7078E246" w:rsidR="00726A67" w:rsidRPr="00D35F06" w:rsidRDefault="00726A67" w:rsidP="000132FA">
            <w:pPr>
              <w:keepNext/>
              <w:rPr>
                <w:bCs/>
                <w:color w:val="auto"/>
                <w:sz w:val="16"/>
                <w:szCs w:val="16"/>
                <w:lang w:val="en-US"/>
              </w:rPr>
            </w:pPr>
            <w:r w:rsidRPr="00D35F06">
              <w:rPr>
                <w:bCs/>
                <w:color w:val="auto"/>
                <w:sz w:val="16"/>
                <w:szCs w:val="16"/>
                <w:lang w:val="en-US"/>
              </w:rPr>
              <w:t>Minimum relative to average wages of full-time workers</w:t>
            </w:r>
            <w:r w:rsidR="00E91C88">
              <w:rPr>
                <w:bCs/>
                <w:color w:val="auto"/>
                <w:sz w:val="16"/>
                <w:szCs w:val="16"/>
                <w:lang w:val="en-US"/>
              </w:rPr>
              <w:t xml:space="preserve"> (a)</w:t>
            </w:r>
          </w:p>
        </w:tc>
        <w:tc>
          <w:tcPr>
            <w:tcW w:w="1276" w:type="dxa"/>
            <w:shd w:val="clear" w:color="auto" w:fill="D3DFEE"/>
            <w:tcMar>
              <w:top w:w="85" w:type="dxa"/>
              <w:bottom w:w="85" w:type="dxa"/>
            </w:tcMar>
          </w:tcPr>
          <w:p w14:paraId="49ACF7D6" w14:textId="77777777" w:rsidR="00726A67" w:rsidRPr="00D35F06" w:rsidRDefault="00726A67" w:rsidP="002D57E3">
            <w:pPr>
              <w:keepNext/>
              <w:jc w:val="right"/>
              <w:rPr>
                <w:color w:val="auto"/>
                <w:sz w:val="16"/>
                <w:szCs w:val="16"/>
                <w:lang w:val="en-US"/>
              </w:rPr>
            </w:pPr>
            <w:r w:rsidRPr="00D35F06">
              <w:rPr>
                <w:color w:val="auto"/>
                <w:sz w:val="16"/>
                <w:szCs w:val="16"/>
                <w:lang w:val="en-US"/>
              </w:rPr>
              <w:t>44.9</w:t>
            </w:r>
          </w:p>
        </w:tc>
        <w:tc>
          <w:tcPr>
            <w:tcW w:w="1843" w:type="dxa"/>
            <w:shd w:val="clear" w:color="auto" w:fill="D3DFEE"/>
            <w:tcMar>
              <w:top w:w="85" w:type="dxa"/>
              <w:bottom w:w="85" w:type="dxa"/>
            </w:tcMar>
          </w:tcPr>
          <w:p w14:paraId="0BACBBB7" w14:textId="77777777" w:rsidR="00726A67" w:rsidRPr="00D35F06" w:rsidRDefault="00726A67" w:rsidP="002D57E3">
            <w:pPr>
              <w:keepNext/>
              <w:jc w:val="right"/>
              <w:rPr>
                <w:color w:val="auto"/>
                <w:sz w:val="16"/>
                <w:szCs w:val="16"/>
                <w:lang w:val="en-US"/>
              </w:rPr>
            </w:pPr>
            <w:r w:rsidRPr="00D35F06">
              <w:rPr>
                <w:color w:val="auto"/>
                <w:sz w:val="16"/>
                <w:szCs w:val="16"/>
                <w:lang w:val="en-US"/>
              </w:rPr>
              <w:t>44.7 (2016)</w:t>
            </w:r>
          </w:p>
        </w:tc>
      </w:tr>
      <w:tr w:rsidR="00726A67" w:rsidRPr="00D35F06" w14:paraId="33B9B674" w14:textId="77777777" w:rsidTr="001A2413">
        <w:tc>
          <w:tcPr>
            <w:tcW w:w="5670" w:type="dxa"/>
            <w:tcMar>
              <w:top w:w="85" w:type="dxa"/>
              <w:bottom w:w="85" w:type="dxa"/>
            </w:tcMar>
          </w:tcPr>
          <w:p w14:paraId="231AFE08" w14:textId="4B345E3C" w:rsidR="00726A67" w:rsidRPr="00D35F06" w:rsidRDefault="00726A67" w:rsidP="000132FA">
            <w:pPr>
              <w:keepNext/>
              <w:rPr>
                <w:bCs/>
                <w:color w:val="auto"/>
                <w:sz w:val="16"/>
                <w:szCs w:val="16"/>
              </w:rPr>
            </w:pPr>
            <w:r w:rsidRPr="00D35F06">
              <w:rPr>
                <w:bCs/>
                <w:color w:val="auto"/>
                <w:sz w:val="16"/>
                <w:szCs w:val="16"/>
              </w:rPr>
              <w:t>Collective bargaining coverage (% workers)</w:t>
            </w:r>
            <w:r w:rsidR="002D1D2E">
              <w:rPr>
                <w:bCs/>
                <w:color w:val="auto"/>
                <w:sz w:val="16"/>
                <w:szCs w:val="16"/>
              </w:rPr>
              <w:t xml:space="preserve"> (b)</w:t>
            </w:r>
          </w:p>
        </w:tc>
        <w:tc>
          <w:tcPr>
            <w:tcW w:w="1276" w:type="dxa"/>
            <w:tcMar>
              <w:top w:w="85" w:type="dxa"/>
              <w:bottom w:w="85" w:type="dxa"/>
            </w:tcMar>
          </w:tcPr>
          <w:p w14:paraId="5D903DC4" w14:textId="77777777" w:rsidR="00726A67" w:rsidRPr="00D35F06" w:rsidRDefault="00726A67" w:rsidP="002D57E3">
            <w:pPr>
              <w:keepNext/>
              <w:jc w:val="right"/>
              <w:rPr>
                <w:color w:val="auto"/>
                <w:sz w:val="16"/>
                <w:szCs w:val="16"/>
              </w:rPr>
            </w:pPr>
            <w:r w:rsidRPr="00D35F06">
              <w:rPr>
                <w:color w:val="auto"/>
                <w:sz w:val="16"/>
                <w:szCs w:val="16"/>
              </w:rPr>
              <w:t>47.7</w:t>
            </w:r>
          </w:p>
        </w:tc>
        <w:tc>
          <w:tcPr>
            <w:tcW w:w="1843" w:type="dxa"/>
            <w:tcMar>
              <w:top w:w="85" w:type="dxa"/>
              <w:bottom w:w="85" w:type="dxa"/>
            </w:tcMar>
          </w:tcPr>
          <w:p w14:paraId="019E5F46" w14:textId="77777777" w:rsidR="00726A67" w:rsidRPr="00D35F06" w:rsidRDefault="00726A67" w:rsidP="002D57E3">
            <w:pPr>
              <w:keepNext/>
              <w:jc w:val="right"/>
              <w:rPr>
                <w:color w:val="auto"/>
                <w:sz w:val="16"/>
                <w:szCs w:val="16"/>
              </w:rPr>
            </w:pPr>
            <w:r w:rsidRPr="00D35F06">
              <w:rPr>
                <w:color w:val="auto"/>
                <w:sz w:val="16"/>
                <w:szCs w:val="16"/>
              </w:rPr>
              <w:t>50.6 (2014)</w:t>
            </w:r>
          </w:p>
        </w:tc>
      </w:tr>
      <w:tr w:rsidR="00726A67" w:rsidRPr="00D35F06" w14:paraId="43EBEFBF" w14:textId="77777777" w:rsidTr="001A2413">
        <w:tc>
          <w:tcPr>
            <w:tcW w:w="5670" w:type="dxa"/>
            <w:shd w:val="clear" w:color="auto" w:fill="D3DFEE"/>
            <w:tcMar>
              <w:top w:w="85" w:type="dxa"/>
              <w:bottom w:w="85" w:type="dxa"/>
            </w:tcMar>
          </w:tcPr>
          <w:p w14:paraId="7699588E" w14:textId="63934B82" w:rsidR="00726A67" w:rsidRPr="00D35F06" w:rsidRDefault="00726A67" w:rsidP="000132FA">
            <w:pPr>
              <w:keepNext/>
              <w:rPr>
                <w:bCs/>
                <w:color w:val="auto"/>
                <w:sz w:val="16"/>
                <w:szCs w:val="16"/>
              </w:rPr>
            </w:pPr>
            <w:r w:rsidRPr="00D35F06">
              <w:rPr>
                <w:bCs/>
                <w:color w:val="auto"/>
                <w:sz w:val="16"/>
                <w:szCs w:val="16"/>
              </w:rPr>
              <w:t>Labour income share (%)</w:t>
            </w:r>
            <w:r w:rsidR="005E2069">
              <w:rPr>
                <w:bCs/>
                <w:color w:val="auto"/>
                <w:sz w:val="16"/>
                <w:szCs w:val="16"/>
              </w:rPr>
              <w:t xml:space="preserve"> (c)</w:t>
            </w:r>
          </w:p>
        </w:tc>
        <w:tc>
          <w:tcPr>
            <w:tcW w:w="1276" w:type="dxa"/>
            <w:shd w:val="clear" w:color="auto" w:fill="D3DFEE"/>
            <w:tcMar>
              <w:top w:w="85" w:type="dxa"/>
              <w:bottom w:w="85" w:type="dxa"/>
            </w:tcMar>
          </w:tcPr>
          <w:p w14:paraId="73E731D0" w14:textId="77777777" w:rsidR="00726A67" w:rsidRPr="00D35F06" w:rsidRDefault="00726A67" w:rsidP="002D57E3">
            <w:pPr>
              <w:keepNext/>
              <w:jc w:val="right"/>
              <w:rPr>
                <w:color w:val="auto"/>
                <w:sz w:val="16"/>
                <w:szCs w:val="16"/>
              </w:rPr>
            </w:pPr>
            <w:r w:rsidRPr="00D35F06">
              <w:rPr>
                <w:color w:val="auto"/>
                <w:sz w:val="16"/>
                <w:szCs w:val="16"/>
              </w:rPr>
              <w:t>61.4</w:t>
            </w:r>
          </w:p>
        </w:tc>
        <w:tc>
          <w:tcPr>
            <w:tcW w:w="1843" w:type="dxa"/>
            <w:shd w:val="clear" w:color="auto" w:fill="D3DFEE"/>
            <w:tcMar>
              <w:top w:w="85" w:type="dxa"/>
              <w:bottom w:w="85" w:type="dxa"/>
            </w:tcMar>
          </w:tcPr>
          <w:p w14:paraId="076EE24A" w14:textId="77777777" w:rsidR="00726A67" w:rsidRPr="00D35F06" w:rsidRDefault="00726A67" w:rsidP="002D57E3">
            <w:pPr>
              <w:keepNext/>
              <w:jc w:val="right"/>
              <w:rPr>
                <w:color w:val="auto"/>
                <w:sz w:val="16"/>
                <w:szCs w:val="16"/>
              </w:rPr>
            </w:pPr>
            <w:r w:rsidRPr="00D35F06">
              <w:rPr>
                <w:color w:val="auto"/>
                <w:sz w:val="16"/>
                <w:szCs w:val="16"/>
              </w:rPr>
              <w:t>63.0 (2015)</w:t>
            </w:r>
          </w:p>
        </w:tc>
      </w:tr>
      <w:tr w:rsidR="00726A67" w:rsidRPr="00D35F06" w14:paraId="45CAA1E5" w14:textId="77777777" w:rsidTr="001A2413">
        <w:tc>
          <w:tcPr>
            <w:tcW w:w="5670" w:type="dxa"/>
            <w:tcMar>
              <w:top w:w="85" w:type="dxa"/>
              <w:bottom w:w="85" w:type="dxa"/>
            </w:tcMar>
          </w:tcPr>
          <w:p w14:paraId="4D595B70" w14:textId="5AE08606" w:rsidR="00726A67" w:rsidRPr="00D35F06" w:rsidRDefault="00726A67" w:rsidP="000132FA">
            <w:pPr>
              <w:keepNext/>
              <w:rPr>
                <w:bCs/>
                <w:color w:val="auto"/>
                <w:sz w:val="16"/>
                <w:szCs w:val="16"/>
                <w:lang w:val="en-US"/>
              </w:rPr>
            </w:pPr>
            <w:r w:rsidRPr="00D35F06">
              <w:rPr>
                <w:bCs/>
                <w:color w:val="auto"/>
                <w:sz w:val="16"/>
                <w:szCs w:val="16"/>
                <w:lang w:val="en-US"/>
              </w:rPr>
              <w:t>Non-agricultural labour income share (%)</w:t>
            </w:r>
          </w:p>
        </w:tc>
        <w:tc>
          <w:tcPr>
            <w:tcW w:w="1276" w:type="dxa"/>
            <w:tcMar>
              <w:top w:w="85" w:type="dxa"/>
              <w:bottom w:w="85" w:type="dxa"/>
            </w:tcMar>
          </w:tcPr>
          <w:p w14:paraId="7815A47C" w14:textId="77777777" w:rsidR="00726A67" w:rsidRPr="00D35F06" w:rsidRDefault="00726A67" w:rsidP="002D57E3">
            <w:pPr>
              <w:keepNext/>
              <w:jc w:val="right"/>
              <w:rPr>
                <w:color w:val="auto"/>
                <w:sz w:val="16"/>
                <w:szCs w:val="16"/>
                <w:lang w:val="en-US"/>
              </w:rPr>
            </w:pPr>
            <w:r w:rsidRPr="00D35F06">
              <w:rPr>
                <w:color w:val="auto"/>
                <w:sz w:val="16"/>
                <w:szCs w:val="16"/>
                <w:lang w:val="en-US"/>
              </w:rPr>
              <w:t>61.1</w:t>
            </w:r>
          </w:p>
        </w:tc>
        <w:tc>
          <w:tcPr>
            <w:tcW w:w="1843" w:type="dxa"/>
            <w:tcMar>
              <w:top w:w="85" w:type="dxa"/>
              <w:bottom w:w="85" w:type="dxa"/>
            </w:tcMar>
          </w:tcPr>
          <w:p w14:paraId="71543037" w14:textId="77777777" w:rsidR="00726A67" w:rsidRPr="00D35F06" w:rsidRDefault="00726A67" w:rsidP="002D57E3">
            <w:pPr>
              <w:keepNext/>
              <w:jc w:val="right"/>
              <w:rPr>
                <w:color w:val="auto"/>
                <w:sz w:val="16"/>
                <w:szCs w:val="16"/>
                <w:lang w:val="en-US"/>
              </w:rPr>
            </w:pPr>
            <w:r w:rsidRPr="00D35F06">
              <w:rPr>
                <w:color w:val="auto"/>
                <w:sz w:val="16"/>
                <w:szCs w:val="16"/>
                <w:lang w:val="en-US"/>
              </w:rPr>
              <w:t>63.3 (2015)</w:t>
            </w:r>
          </w:p>
        </w:tc>
      </w:tr>
      <w:tr w:rsidR="00726A67" w:rsidRPr="00D35F06" w14:paraId="3083C3D5" w14:textId="77777777" w:rsidTr="001A2413">
        <w:tc>
          <w:tcPr>
            <w:tcW w:w="5670" w:type="dxa"/>
            <w:shd w:val="clear" w:color="auto" w:fill="D3DFEE"/>
            <w:tcMar>
              <w:top w:w="85" w:type="dxa"/>
              <w:bottom w:w="85" w:type="dxa"/>
            </w:tcMar>
          </w:tcPr>
          <w:p w14:paraId="09B1A809" w14:textId="77777777" w:rsidR="00726A67" w:rsidRPr="00D35F06" w:rsidRDefault="00726A67" w:rsidP="000132FA">
            <w:pPr>
              <w:keepNext/>
              <w:rPr>
                <w:bCs/>
                <w:color w:val="auto"/>
                <w:sz w:val="16"/>
                <w:szCs w:val="16"/>
                <w:lang w:val="en-US"/>
              </w:rPr>
            </w:pPr>
            <w:r w:rsidRPr="00D35F06">
              <w:rPr>
                <w:bCs/>
                <w:color w:val="auto"/>
                <w:sz w:val="16"/>
                <w:szCs w:val="16"/>
                <w:lang w:val="en-US"/>
              </w:rPr>
              <w:t>Proportion of 20-24 year olds with Year 12 equivalent or higher qualifications</w:t>
            </w:r>
          </w:p>
        </w:tc>
        <w:tc>
          <w:tcPr>
            <w:tcW w:w="1276" w:type="dxa"/>
            <w:shd w:val="clear" w:color="auto" w:fill="D3DFEE"/>
            <w:tcMar>
              <w:top w:w="85" w:type="dxa"/>
              <w:bottom w:w="85" w:type="dxa"/>
            </w:tcMar>
          </w:tcPr>
          <w:p w14:paraId="7F880C93" w14:textId="48EE9126" w:rsidR="00726A67" w:rsidRPr="00D35F06" w:rsidRDefault="00726A67" w:rsidP="0082706A">
            <w:pPr>
              <w:keepNext/>
              <w:jc w:val="right"/>
              <w:rPr>
                <w:color w:val="auto"/>
                <w:sz w:val="16"/>
                <w:szCs w:val="16"/>
                <w:lang w:val="en-US"/>
              </w:rPr>
            </w:pPr>
            <w:r w:rsidRPr="00D35F06">
              <w:rPr>
                <w:color w:val="auto"/>
                <w:sz w:val="16"/>
                <w:szCs w:val="16"/>
                <w:lang w:val="en-US"/>
              </w:rPr>
              <w:t>84.</w:t>
            </w:r>
            <w:r w:rsidR="0082706A">
              <w:rPr>
                <w:color w:val="auto"/>
                <w:sz w:val="16"/>
                <w:szCs w:val="16"/>
                <w:lang w:val="en-US"/>
              </w:rPr>
              <w:t>2</w:t>
            </w:r>
          </w:p>
        </w:tc>
        <w:tc>
          <w:tcPr>
            <w:tcW w:w="1843" w:type="dxa"/>
            <w:shd w:val="clear" w:color="auto" w:fill="D3DFEE"/>
            <w:tcMar>
              <w:top w:w="85" w:type="dxa"/>
              <w:bottom w:w="85" w:type="dxa"/>
            </w:tcMar>
          </w:tcPr>
          <w:p w14:paraId="21576328" w14:textId="77777777" w:rsidR="00726A67" w:rsidRPr="00D35F06" w:rsidRDefault="00726A67" w:rsidP="002D57E3">
            <w:pPr>
              <w:keepNext/>
              <w:jc w:val="right"/>
              <w:rPr>
                <w:color w:val="auto"/>
                <w:sz w:val="16"/>
                <w:szCs w:val="16"/>
                <w:lang w:val="en-US"/>
              </w:rPr>
            </w:pPr>
            <w:r w:rsidRPr="00D35F06">
              <w:rPr>
                <w:color w:val="auto"/>
                <w:sz w:val="16"/>
                <w:szCs w:val="16"/>
                <w:lang w:val="en-US"/>
              </w:rPr>
              <w:t>87.1 (2017)</w:t>
            </w:r>
          </w:p>
        </w:tc>
      </w:tr>
    </w:tbl>
    <w:p w14:paraId="58FA25AA" w14:textId="232C9D56" w:rsidR="001F2CE1" w:rsidRPr="00995C58" w:rsidRDefault="00726A67" w:rsidP="00293561">
      <w:pPr>
        <w:pStyle w:val="Source"/>
      </w:pPr>
      <w:r w:rsidRPr="00C42D8D">
        <w:t xml:space="preserve">Source: ILOSTAT, OECD.Stat.and data provided by the ILO and OECD to the G20 Employment Working Group in 2017. Proportion of 20-24 year olds with Year 12 equivalent or higher qualifications: ABS, </w:t>
      </w:r>
      <w:r w:rsidRPr="00E60FDF">
        <w:rPr>
          <w:i/>
        </w:rPr>
        <w:t>Education and Work, Australia</w:t>
      </w:r>
      <w:r w:rsidRPr="00C42D8D">
        <w:t>, May 2017 (Cat. No. 6227.0).</w:t>
      </w:r>
      <w:r w:rsidR="00196DF1">
        <w:t xml:space="preserve"> </w:t>
      </w:r>
      <w:r w:rsidR="00196DF1" w:rsidRPr="00196DF1">
        <w:t>Note</w:t>
      </w:r>
      <w:r w:rsidR="005E2069">
        <w:t>s</w:t>
      </w:r>
      <w:r w:rsidR="00196DF1" w:rsidRPr="00196DF1">
        <w:t xml:space="preserve">: Data in </w:t>
      </w:r>
      <w:r w:rsidR="00196DF1">
        <w:t>T</w:t>
      </w:r>
      <w:r w:rsidR="00196DF1" w:rsidRPr="00196DF1">
        <w:t xml:space="preserve">ables </w:t>
      </w:r>
      <w:r w:rsidR="00293561">
        <w:t>5</w:t>
      </w:r>
      <w:r w:rsidR="00196DF1" w:rsidRPr="00196DF1">
        <w:t xml:space="preserve"> and </w:t>
      </w:r>
      <w:r w:rsidR="00293561">
        <w:t>6</w:t>
      </w:r>
      <w:r w:rsidR="00196DF1" w:rsidRPr="00196DF1">
        <w:t xml:space="preserve"> have been sourced from the OECD/ILO </w:t>
      </w:r>
      <w:r w:rsidR="00E60FDF">
        <w:t xml:space="preserve">to aid </w:t>
      </w:r>
      <w:r w:rsidR="00196DF1" w:rsidRPr="00196DF1">
        <w:t>international comparability</w:t>
      </w:r>
      <w:r w:rsidR="005E2069">
        <w:t xml:space="preserve">. </w:t>
      </w:r>
      <w:r w:rsidR="00E91C88">
        <w:t>(a)</w:t>
      </w:r>
      <w:r w:rsidR="00B74C49">
        <w:t> </w:t>
      </w:r>
      <w:r w:rsidR="00E91C88">
        <w:t xml:space="preserve">OECD data on </w:t>
      </w:r>
      <w:r w:rsidR="00FE52F0">
        <w:t xml:space="preserve">the </w:t>
      </w:r>
      <w:r w:rsidR="00E91C88">
        <w:t xml:space="preserve">minimum </w:t>
      </w:r>
      <w:r w:rsidR="00FE52F0">
        <w:t>wage as a proportion of</w:t>
      </w:r>
      <w:r w:rsidR="00E91C88">
        <w:t xml:space="preserve"> </w:t>
      </w:r>
      <w:r w:rsidR="00E91C88" w:rsidRPr="00FE52F0">
        <w:rPr>
          <w:i/>
        </w:rPr>
        <w:t>average</w:t>
      </w:r>
      <w:r w:rsidR="00E91C88">
        <w:t xml:space="preserve"> wages of full-time workers </w:t>
      </w:r>
      <w:r w:rsidR="00FE52F0">
        <w:t>are</w:t>
      </w:r>
      <w:r w:rsidR="00E91C88">
        <w:t xml:space="preserve"> used in Table </w:t>
      </w:r>
      <w:r w:rsidR="00293561">
        <w:t>5</w:t>
      </w:r>
      <w:r w:rsidR="00E91C88">
        <w:t xml:space="preserve"> </w:t>
      </w:r>
      <w:r w:rsidR="00FE52F0">
        <w:t xml:space="preserve">for consistency with </w:t>
      </w:r>
      <w:r w:rsidR="00B74C49">
        <w:t xml:space="preserve">other </w:t>
      </w:r>
      <w:r w:rsidR="00FE52F0">
        <w:t xml:space="preserve">G20 Employment Plans. Corresponding OECD figures for the minimum wage as a proportion of the </w:t>
      </w:r>
      <w:r w:rsidR="00FE52F0">
        <w:rPr>
          <w:i/>
        </w:rPr>
        <w:t xml:space="preserve">median </w:t>
      </w:r>
      <w:r w:rsidR="00FE52F0">
        <w:t>wage of full-time workers are 52.2 per cent (2008) and 53.8 per cent (2016).</w:t>
      </w:r>
      <w:r w:rsidR="002D1D2E">
        <w:t xml:space="preserve"> (b) Figures based on ILO data. The ILO defines </w:t>
      </w:r>
      <w:r w:rsidR="002D1D2E" w:rsidRPr="002D1D2E">
        <w:t xml:space="preserve">collective bargaining coverage as “the number of employees whose pay and/or conditions of employment are determined by one or more collective agreement(s) as a percentage of the total number of employees. Collective bargaining coverage includes, to the extent possible, workers covered by collective agreements in virtue of their extension.” </w:t>
      </w:r>
      <w:r w:rsidR="005E2069">
        <w:t>(c</w:t>
      </w:r>
      <w:r w:rsidR="005A4575">
        <w:t xml:space="preserve">) Unpublished </w:t>
      </w:r>
      <w:r w:rsidR="00EC24E7">
        <w:t xml:space="preserve">OECD estimates for </w:t>
      </w:r>
      <w:r w:rsidR="00EC24E7" w:rsidRPr="00895A18">
        <w:rPr>
          <w:i/>
        </w:rPr>
        <w:t>adjusted</w:t>
      </w:r>
      <w:r w:rsidR="00EC24E7">
        <w:t xml:space="preserve"> labour income shares (compensation of employees over gross value added adjusted by the share of employees in total employment); estimates provided to the </w:t>
      </w:r>
      <w:r w:rsidR="00895A18">
        <w:t xml:space="preserve">G20 </w:t>
      </w:r>
      <w:r w:rsidR="00EC24E7">
        <w:t>Employment Working Group</w:t>
      </w:r>
      <w:r w:rsidR="005A4575">
        <w:t xml:space="preserve"> in 2017</w:t>
      </w:r>
      <w:r w:rsidR="00EC24E7">
        <w:t>.</w:t>
      </w:r>
      <w:r w:rsidR="001F2CE1" w:rsidRPr="00C42D8D">
        <w:br w:type="page"/>
      </w:r>
    </w:p>
    <w:p w14:paraId="0F83DFA6" w14:textId="3A6DA805" w:rsidR="00EA5679" w:rsidRPr="00EA5679" w:rsidRDefault="00EA5679" w:rsidP="00293561">
      <w:pPr>
        <w:pStyle w:val="Heading2"/>
        <w:spacing w:after="120"/>
      </w:pPr>
      <w:bookmarkStart w:id="60" w:name="_Toc532892427"/>
      <w:r w:rsidRPr="00EA5679">
        <w:t>Collective commitment to increase female labour force participation</w:t>
      </w:r>
      <w:bookmarkEnd w:id="60"/>
    </w:p>
    <w:p w14:paraId="7015FA4F" w14:textId="09EB2959" w:rsidR="00166587" w:rsidRDefault="00024449" w:rsidP="007B48B8">
      <w:pPr>
        <w:pStyle w:val="BodyText1"/>
        <w:spacing w:after="240"/>
        <w:jc w:val="left"/>
      </w:pPr>
      <w:bookmarkStart w:id="61" w:name="_GoBack"/>
      <w:bookmarkEnd w:id="61"/>
      <w:r w:rsidRPr="000579A8">
        <w:t xml:space="preserve">The Australian Government is committed to increasing women’s workforce participation, understanding that it will enable Australia to realise its economic potential and help to achieve gender equality. Importantly, the economic security that comes with paid work can increase family wellbeing and reduce women’s vulnerability to poverty, homelessness and family violence. </w:t>
      </w:r>
      <w:r w:rsidRPr="000405AE">
        <w:t>The Australian Government’s approach to increasing female participation includes a flexible, affordable and accessible child care system; improving workplace diversity and flexibility; workplace sup</w:t>
      </w:r>
      <w:r>
        <w:t>port; and protection through labour laws.</w:t>
      </w:r>
    </w:p>
    <w:p w14:paraId="5900CA3A" w14:textId="48E6A287" w:rsidR="00024449" w:rsidRDefault="00024449" w:rsidP="007B48B8">
      <w:pPr>
        <w:pStyle w:val="BodyText1"/>
        <w:spacing w:after="240"/>
        <w:jc w:val="left"/>
      </w:pPr>
      <w:r w:rsidRPr="00BF73B8">
        <w:t xml:space="preserve">Australia is </w:t>
      </w:r>
      <w:r>
        <w:t xml:space="preserve">well advanced towards </w:t>
      </w:r>
      <w:r w:rsidRPr="00BF73B8">
        <w:t xml:space="preserve">meeting </w:t>
      </w:r>
      <w:r>
        <w:t xml:space="preserve">the </w:t>
      </w:r>
      <w:r w:rsidRPr="00BF73B8">
        <w:t xml:space="preserve">G20 goal </w:t>
      </w:r>
      <w:r>
        <w:t xml:space="preserve">to reduce the gender gap in labour force participation rates by 25 per cent by 2025. When measured for the population aged 15 to 64 years, the goal for Australia was </w:t>
      </w:r>
      <w:r w:rsidRPr="00BF73B8">
        <w:t xml:space="preserve">a </w:t>
      </w:r>
      <w:r>
        <w:t xml:space="preserve">gender participation gap of </w:t>
      </w:r>
      <w:r w:rsidRPr="00BF73B8">
        <w:t>9.1 per</w:t>
      </w:r>
      <w:r>
        <w:t xml:space="preserve">centage points </w:t>
      </w:r>
      <w:r w:rsidRPr="00BF73B8">
        <w:t>by 2025</w:t>
      </w:r>
      <w:r>
        <w:t xml:space="preserve"> (down from 12.1</w:t>
      </w:r>
      <w:r w:rsidR="00B74C49">
        <w:t> percentage points</w:t>
      </w:r>
      <w:r>
        <w:t xml:space="preserve"> in calendar year 2012). As of October 2018,</w:t>
      </w:r>
      <w:r w:rsidRPr="00BF73B8">
        <w:t xml:space="preserve"> the female participation rate </w:t>
      </w:r>
      <w:r>
        <w:t xml:space="preserve">had risen to </w:t>
      </w:r>
      <w:r w:rsidRPr="00BF73B8">
        <w:t>73.</w:t>
      </w:r>
      <w:r>
        <w:t>2</w:t>
      </w:r>
      <w:r w:rsidR="00B74C49">
        <w:t> </w:t>
      </w:r>
      <w:r w:rsidRPr="00BF73B8">
        <w:t>per</w:t>
      </w:r>
      <w:r w:rsidR="00B74C49">
        <w:t> </w:t>
      </w:r>
      <w:r w:rsidRPr="00BF73B8">
        <w:t xml:space="preserve">cent </w:t>
      </w:r>
      <w:r>
        <w:t xml:space="preserve">and the gender participation gap was at a record low of </w:t>
      </w:r>
      <w:r w:rsidRPr="00BF73B8">
        <w:t>9.</w:t>
      </w:r>
      <w:r>
        <w:t>5 per</w:t>
      </w:r>
      <w:r w:rsidRPr="00BF73B8">
        <w:t>cent</w:t>
      </w:r>
      <w:r>
        <w:t>age points</w:t>
      </w:r>
      <w:r w:rsidRPr="00BF73B8">
        <w:t>.</w:t>
      </w:r>
    </w:p>
    <w:p w14:paraId="3993F4AB" w14:textId="7FC52798" w:rsidR="00293561" w:rsidRDefault="00293561" w:rsidP="00293561">
      <w:pPr>
        <w:pStyle w:val="Caption"/>
        <w:keepNext/>
        <w:jc w:val="center"/>
      </w:pPr>
      <w:r>
        <w:t xml:space="preserve">Chart </w:t>
      </w:r>
      <w:r w:rsidR="00A47169">
        <w:rPr>
          <w:noProof/>
        </w:rPr>
        <w:fldChar w:fldCharType="begin"/>
      </w:r>
      <w:r w:rsidR="00A47169">
        <w:rPr>
          <w:noProof/>
        </w:rPr>
        <w:instrText xml:space="preserve"> SEQ Chart \* ARABIC </w:instrText>
      </w:r>
      <w:r w:rsidR="00A47169">
        <w:rPr>
          <w:noProof/>
        </w:rPr>
        <w:fldChar w:fldCharType="separate"/>
      </w:r>
      <w:r>
        <w:rPr>
          <w:noProof/>
        </w:rPr>
        <w:t>3</w:t>
      </w:r>
      <w:r w:rsidR="00A47169">
        <w:rPr>
          <w:noProof/>
        </w:rPr>
        <w:fldChar w:fldCharType="end"/>
      </w:r>
      <w:r>
        <w:t xml:space="preserve">: </w:t>
      </w:r>
      <w:r w:rsidRPr="00DF79D7">
        <w:t>Male and female labour force participation rates (15-64 years), 1982–2018</w:t>
      </w:r>
    </w:p>
    <w:p w14:paraId="2BCC6114" w14:textId="1924A915" w:rsidR="00C460E6" w:rsidRDefault="00E316AE" w:rsidP="007B48B8">
      <w:pPr>
        <w:pStyle w:val="BodyText1"/>
        <w:spacing w:after="240"/>
        <w:jc w:val="center"/>
      </w:pPr>
      <w:r w:rsidRPr="00E316AE">
        <w:rPr>
          <w:noProof/>
          <w:lang w:val="en-AU" w:eastAsia="en-AU"/>
        </w:rPr>
        <w:drawing>
          <wp:inline distT="0" distB="0" distL="0" distR="0" wp14:anchorId="7459D008" wp14:editId="15385142">
            <wp:extent cx="5026270" cy="3295650"/>
            <wp:effectExtent l="0" t="0" r="3175" b="0"/>
            <wp:docPr id="4" name="Picture 4" descr="The chart displays the male, female and total participation rates. Although the female rate remains lower than the male rate, it has been converging as female participation increases and male participation decreases slight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46025" cy="3308603"/>
                    </a:xfrm>
                    <a:prstGeom prst="rect">
                      <a:avLst/>
                    </a:prstGeom>
                    <a:noFill/>
                    <a:ln>
                      <a:noFill/>
                    </a:ln>
                  </pic:spPr>
                </pic:pic>
              </a:graphicData>
            </a:graphic>
          </wp:inline>
        </w:drawing>
      </w:r>
    </w:p>
    <w:p w14:paraId="5AB4FB6E" w14:textId="1B4BF7B9" w:rsidR="00DC2694" w:rsidRPr="00293561" w:rsidRDefault="00C460E6" w:rsidP="00293561">
      <w:pPr>
        <w:pStyle w:val="Source"/>
      </w:pPr>
      <w:r w:rsidRPr="00293561">
        <w:t xml:space="preserve">Source: </w:t>
      </w:r>
      <w:r w:rsidR="008F75CC" w:rsidRPr="00293561">
        <w:t>ABS</w:t>
      </w:r>
      <w:r w:rsidRPr="00293561">
        <w:t>, Labour Force, Australia</w:t>
      </w:r>
      <w:r w:rsidR="00B74C49" w:rsidRPr="00293561">
        <w:t>,</w:t>
      </w:r>
      <w:r w:rsidRPr="00293561">
        <w:t xml:space="preserve"> </w:t>
      </w:r>
      <w:r w:rsidR="00D44D9E" w:rsidRPr="00293561">
        <w:t>October</w:t>
      </w:r>
      <w:r w:rsidR="00BF73B8" w:rsidRPr="00293561">
        <w:t xml:space="preserve"> 2018</w:t>
      </w:r>
      <w:r w:rsidRPr="00293561">
        <w:t xml:space="preserve"> (</w:t>
      </w:r>
      <w:r w:rsidR="00B74C49" w:rsidRPr="00293561">
        <w:t>C</w:t>
      </w:r>
      <w:r w:rsidRPr="00293561">
        <w:t xml:space="preserve">at. </w:t>
      </w:r>
      <w:r w:rsidR="00B74C49" w:rsidRPr="00293561">
        <w:t>N</w:t>
      </w:r>
      <w:r w:rsidRPr="00293561">
        <w:t>o. 6202.0), people 15</w:t>
      </w:r>
      <w:r w:rsidR="002E2ED5" w:rsidRPr="00293561">
        <w:t xml:space="preserve">-64 </w:t>
      </w:r>
      <w:r w:rsidRPr="00293561">
        <w:t>years, trend data</w:t>
      </w:r>
    </w:p>
    <w:p w14:paraId="7A2802D0" w14:textId="44AA316D" w:rsidR="00166587" w:rsidRPr="00293561" w:rsidRDefault="00024449" w:rsidP="007B48B8">
      <w:pPr>
        <w:pStyle w:val="BodyText1"/>
        <w:spacing w:after="240"/>
        <w:jc w:val="left"/>
      </w:pPr>
      <w:r w:rsidRPr="00293561">
        <w:t xml:space="preserve">In November 2018, the Government released </w:t>
      </w:r>
      <w:r w:rsidR="00B74C49" w:rsidRPr="00293561">
        <w:t xml:space="preserve">a </w:t>
      </w:r>
      <w:r w:rsidRPr="00293561">
        <w:t>Women’s Economic Security Statement.</w:t>
      </w:r>
      <w:r w:rsidRPr="00293561">
        <w:rPr>
          <w:rStyle w:val="FootnoteReference"/>
        </w:rPr>
        <w:footnoteReference w:id="4"/>
      </w:r>
      <w:r w:rsidRPr="00293561">
        <w:t xml:space="preserve"> The new measures totaling $109 million over four years are a further step in delivering on Towards 2025: An</w:t>
      </w:r>
      <w:r w:rsidR="00C6775B" w:rsidRPr="00293561">
        <w:t> </w:t>
      </w:r>
      <w:r w:rsidRPr="00293561">
        <w:t>Australian Government Strategy to Boost Women’s Workforce Participation. The Strategy outlines the Government’s roadmap to meet the G20 goal and includes a specific focus on Aboriginal and Torres Strait Island women, migrant women and women with disabilities.</w:t>
      </w:r>
    </w:p>
    <w:p w14:paraId="07DBEA29" w14:textId="77777777" w:rsidR="00166587" w:rsidRPr="00293561" w:rsidRDefault="00166587" w:rsidP="007B48B8">
      <w:pPr>
        <w:pStyle w:val="BodyText1"/>
        <w:spacing w:after="240"/>
        <w:jc w:val="left"/>
      </w:pPr>
      <w:r w:rsidRPr="00293561">
        <w:t>Flexible working arrangements enable labour force participation by diverse cohorts of people, allowing them to work while managing their individual circumstances, such as caring responsibilities. Under the Fair Work Act 2009, employees may request flexible working arrangements in a range of circumstances, including among other things if the employee has responsibility for the care of a child who is of school age or younger.</w:t>
      </w:r>
    </w:p>
    <w:p w14:paraId="6A8E95FF" w14:textId="26295F11" w:rsidR="00CC05ED" w:rsidRPr="000579A8" w:rsidRDefault="00CC05ED" w:rsidP="007B48B8">
      <w:pPr>
        <w:pStyle w:val="BodyText1"/>
        <w:spacing w:after="240"/>
        <w:jc w:val="left"/>
      </w:pPr>
      <w:r w:rsidRPr="000579A8">
        <w:t xml:space="preserve">To build upon the existing framework, the Australian Government has introduced a range of initiatives to provide targeted support for women to enter and stay attached to the workforce across key policy areas. </w:t>
      </w:r>
      <w:r w:rsidR="0005572A">
        <w:t xml:space="preserve">Some of the most relevant </w:t>
      </w:r>
      <w:r w:rsidR="00977673">
        <w:t xml:space="preserve">measures </w:t>
      </w:r>
      <w:r w:rsidR="0005572A">
        <w:t xml:space="preserve">are </w:t>
      </w:r>
      <w:r w:rsidR="00977673">
        <w:t>outlined below.</w:t>
      </w:r>
      <w:r w:rsidRPr="000579A8">
        <w:t xml:space="preserve"> </w:t>
      </w:r>
    </w:p>
    <w:p w14:paraId="322D7397" w14:textId="1A9D7AEF" w:rsidR="00024449" w:rsidRDefault="003C658B" w:rsidP="00024449">
      <w:pPr>
        <w:pStyle w:val="BodyText1"/>
        <w:numPr>
          <w:ilvl w:val="0"/>
          <w:numId w:val="29"/>
        </w:numPr>
        <w:jc w:val="left"/>
      </w:pPr>
      <w:r>
        <w:t xml:space="preserve">A </w:t>
      </w:r>
      <w:r w:rsidR="00024449">
        <w:t>Women’s Economic Security Statement was delivered on 20 November 2018. The package of measures announced as part of the Statement is built around three pillars: increasing women’s workforce participation ($54.8 million); supporting women’s economic independence ($35.6 million); and improving women’s earning potential ($18.6 million). Together these measures will assist women in a range of ways, including boosting entrepreneurship in girls and young women, working with business to progress flexibility, expanding access to and improving flexibility of parental leave payments, and supporting women’s economic recovery after events such as</w:t>
      </w:r>
      <w:r w:rsidR="00270CF9">
        <w:t xml:space="preserve"> </w:t>
      </w:r>
      <w:r w:rsidR="00024449">
        <w:t xml:space="preserve">domestic violence and separation. </w:t>
      </w:r>
    </w:p>
    <w:p w14:paraId="24B2F9DD" w14:textId="07D75A72" w:rsidR="00F77F0D" w:rsidRPr="007D7789" w:rsidRDefault="00F77F0D" w:rsidP="00F77F0D">
      <w:pPr>
        <w:pStyle w:val="BodyText1"/>
        <w:numPr>
          <w:ilvl w:val="0"/>
          <w:numId w:val="29"/>
        </w:numPr>
        <w:pBdr>
          <w:top w:val="none" w:sz="0" w:space="0" w:color="auto"/>
          <w:left w:val="none" w:sz="0" w:space="0" w:color="auto"/>
          <w:bottom w:val="none" w:sz="0" w:space="0" w:color="auto"/>
          <w:right w:val="none" w:sz="0" w:space="0" w:color="auto"/>
          <w:between w:val="none" w:sz="0" w:space="0" w:color="auto"/>
        </w:pBdr>
        <w:jc w:val="left"/>
      </w:pPr>
      <w:r w:rsidRPr="007D7789">
        <w:t>A new child care package was successfully implemented on 2 July 2018, representing the most significant reforms to Australia’s early education and care system in forty years. The package encourages workforce participation for parents and places downward pressure on child care fees. The centrepiece of the Package, the Child Care Subsidy, is designed to encourage families to participate in the workforce, especially those on low to middle incomes. As a</w:t>
      </w:r>
      <w:r w:rsidR="00E0445B">
        <w:t xml:space="preserve"> result of these changes, in </w:t>
      </w:r>
      <w:r w:rsidRPr="007D7789">
        <w:t xml:space="preserve">2018-19 the Government will be investing a record amount of funding totalling $8.3 billion on the child care system. Over the next few years, the Government’s Child Care Subsidy expenditure will reach around $10 billion a year. </w:t>
      </w:r>
    </w:p>
    <w:p w14:paraId="17D608CA" w14:textId="77777777" w:rsidR="00181CCD" w:rsidRDefault="00855D40" w:rsidP="000132FA">
      <w:pPr>
        <w:pStyle w:val="BodyText1"/>
        <w:numPr>
          <w:ilvl w:val="0"/>
          <w:numId w:val="29"/>
        </w:numPr>
        <w:jc w:val="left"/>
      </w:pPr>
      <w:r w:rsidRPr="0012078C">
        <w:t>The Government has committed $10 million to 2019-20 for the Launch into Work pilot program</w:t>
      </w:r>
      <w:r w:rsidR="000F40B9" w:rsidRPr="0012078C">
        <w:t xml:space="preserve">, which is trialing </w:t>
      </w:r>
      <w:r w:rsidRPr="0012078C">
        <w:t>pre</w:t>
      </w:r>
      <w:r w:rsidR="00886DF7" w:rsidRPr="0012078C">
        <w:noBreakHyphen/>
      </w:r>
      <w:r w:rsidRPr="0012078C">
        <w:t>employment projects that are co</w:t>
      </w:r>
      <w:r w:rsidRPr="0012078C">
        <w:noBreakHyphen/>
        <w:t xml:space="preserve">designed with employers to prepare job seekers for identified entry-level roles in the business. The program proactively responds to labour market </w:t>
      </w:r>
      <w:r w:rsidR="00985F8C" w:rsidRPr="0012078C">
        <w:t>demands</w:t>
      </w:r>
      <w:r w:rsidR="00886DF7" w:rsidRPr="0012078C">
        <w:t xml:space="preserve"> and </w:t>
      </w:r>
      <w:r w:rsidR="00985F8C" w:rsidRPr="0012078C">
        <w:t>supports women into career pathways</w:t>
      </w:r>
      <w:r w:rsidRPr="0012078C">
        <w:t>.</w:t>
      </w:r>
    </w:p>
    <w:p w14:paraId="527AF6DD" w14:textId="0A32BD72" w:rsidR="00832A72" w:rsidRDefault="00181CCD" w:rsidP="00C27FB1">
      <w:pPr>
        <w:pStyle w:val="BodyText1"/>
        <w:numPr>
          <w:ilvl w:val="0"/>
          <w:numId w:val="29"/>
        </w:numPr>
        <w:jc w:val="left"/>
      </w:pPr>
      <w:r>
        <w:t>From 2 July 2018, the Australian Government has been delivering the $351 million ParentsNext pre-employment service nationally (excluding remote areas). The program will help an expected 68,000 parents each year to plan and prepare for employment by the time their</w:t>
      </w:r>
      <w:r w:rsidRPr="00832A72">
        <w:rPr>
          <w:lang w:val="en-NZ"/>
        </w:rPr>
        <w:t xml:space="preserve"> children </w:t>
      </w:r>
      <w:r>
        <w:t>start school. Providers arrange suitable activities for participants</w:t>
      </w:r>
      <w:r w:rsidR="0030211D">
        <w:t xml:space="preserve"> to </w:t>
      </w:r>
      <w:r>
        <w:t>towards their goals and connect them with local services to help prepare for work. An expected 95 per cent of the participants will be women and around 10,000 will be Indigenous Australians.</w:t>
      </w:r>
    </w:p>
    <w:p w14:paraId="6A2F7A07" w14:textId="1110F45B" w:rsidR="00234020" w:rsidRDefault="00F77F0D" w:rsidP="00C27FB1">
      <w:pPr>
        <w:pStyle w:val="BodyText1"/>
        <w:numPr>
          <w:ilvl w:val="0"/>
          <w:numId w:val="29"/>
        </w:numPr>
        <w:jc w:val="left"/>
      </w:pPr>
      <w:r w:rsidRPr="00832A72">
        <w:rPr>
          <w:i/>
        </w:rPr>
        <w:t>Inspiring all Australians in Digital Literacy and STEM</w:t>
      </w:r>
      <w:r w:rsidRPr="002908A2">
        <w:t>, a NISA measure, allocated $64 million for initiatives to improve the teaching and learning of STE</w:t>
      </w:r>
      <w:r w:rsidR="00481663">
        <w:t>M in early learning and schools, including by girls.</w:t>
      </w:r>
      <w:r w:rsidR="00024449">
        <w:t xml:space="preserve"> </w:t>
      </w:r>
      <w:r w:rsidR="000F40B9" w:rsidRPr="0012078C">
        <w:t>A Supporting More Women into STEM Careers National Research Internships Program has been introduced to provide additional support for industry</w:t>
      </w:r>
      <w:r w:rsidR="000F40B9" w:rsidRPr="0012078C">
        <w:noBreakHyphen/>
        <w:t xml:space="preserve">based internships over four years </w:t>
      </w:r>
      <w:r w:rsidR="00234020" w:rsidRPr="0012078C">
        <w:t>from 2016-2017</w:t>
      </w:r>
      <w:r w:rsidR="000F40B9" w:rsidRPr="0012078C">
        <w:t xml:space="preserve">, with a </w:t>
      </w:r>
      <w:r w:rsidR="00234020" w:rsidRPr="0012078C">
        <w:t>particular focus on women researchers.</w:t>
      </w:r>
    </w:p>
    <w:p w14:paraId="5A201125" w14:textId="2D333848" w:rsidR="0012078C" w:rsidRPr="0012078C" w:rsidRDefault="0012078C" w:rsidP="000F40B9">
      <w:pPr>
        <w:pStyle w:val="BodyText1"/>
        <w:numPr>
          <w:ilvl w:val="0"/>
          <w:numId w:val="29"/>
        </w:numPr>
        <w:jc w:val="left"/>
      </w:pPr>
      <w:r w:rsidRPr="005B6A65">
        <w:t>In the 2018-19 Budget, the Government committed $4.5 million over four years to support long-term strategic approaches to encourage more women and girls to pursue STEM education and careers, including a Women in STEM Strategy, a Decadal Plan for Women in STEM</w:t>
      </w:r>
      <w:r>
        <w:t xml:space="preserve"> and a </w:t>
      </w:r>
      <w:r w:rsidRPr="005B6A65">
        <w:t xml:space="preserve">Girls in STEM Toolkit. </w:t>
      </w:r>
    </w:p>
    <w:p w14:paraId="5D9228F8" w14:textId="77777777" w:rsidR="006438A4" w:rsidRDefault="00482F72" w:rsidP="0012078C">
      <w:pPr>
        <w:pStyle w:val="BodyText1"/>
        <w:numPr>
          <w:ilvl w:val="0"/>
          <w:numId w:val="29"/>
        </w:numPr>
        <w:jc w:val="left"/>
      </w:pPr>
      <w:r w:rsidRPr="005B6A65">
        <w:t xml:space="preserve">The Government is </w:t>
      </w:r>
      <w:r w:rsidR="000F40B9">
        <w:t xml:space="preserve">providing increased support for female </w:t>
      </w:r>
      <w:r w:rsidRPr="005B6A65">
        <w:t>entrepreneurship</w:t>
      </w:r>
      <w:r w:rsidR="000F40B9">
        <w:t xml:space="preserve">, assisting some women to </w:t>
      </w:r>
      <w:r w:rsidRPr="005B6A65">
        <w:t>re-enter the workforce by start</w:t>
      </w:r>
      <w:r w:rsidR="000F40B9">
        <w:t>ing</w:t>
      </w:r>
      <w:r w:rsidRPr="005B6A65">
        <w:t xml:space="preserve"> their own business. </w:t>
      </w:r>
      <w:r w:rsidR="0012078C">
        <w:t>Over 50 per cent of businesse</w:t>
      </w:r>
      <w:r w:rsidR="00754881">
        <w:t>s started under the New Business Assistance with NEIS</w:t>
      </w:r>
      <w:r w:rsidR="0012078C">
        <w:t xml:space="preserve"> program contract have been </w:t>
      </w:r>
      <w:r w:rsidR="00754881">
        <w:t>started by</w:t>
      </w:r>
      <w:r w:rsidR="0012078C">
        <w:t xml:space="preserve"> women. </w:t>
      </w:r>
      <w:r w:rsidRPr="005B6A65">
        <w:t>This assistance helps individuals by providing accredited training and business mentoring and support for the first year of their business.</w:t>
      </w:r>
    </w:p>
    <w:p w14:paraId="458545C1" w14:textId="0C5CAB4B" w:rsidR="00D5337D" w:rsidRDefault="006438A4" w:rsidP="0012078C">
      <w:pPr>
        <w:pStyle w:val="BodyText1"/>
        <w:numPr>
          <w:ilvl w:val="0"/>
          <w:numId w:val="29"/>
        </w:numPr>
        <w:jc w:val="left"/>
      </w:pPr>
      <w:r>
        <w:t xml:space="preserve">Indigenous Business </w:t>
      </w:r>
      <w:r>
        <w:rPr>
          <w:noProof/>
        </w:rPr>
        <w:t xml:space="preserve">Australia is an Australian Government authority </w:t>
      </w:r>
      <w:r w:rsidRPr="003472B0">
        <w:rPr>
          <w:noProof/>
        </w:rPr>
        <w:t>set up to assist and enhance Aboriginal and Torres Strait Islander self-management and economic self</w:t>
      </w:r>
      <w:r>
        <w:rPr>
          <w:noProof/>
        </w:rPr>
        <w:noBreakHyphen/>
      </w:r>
      <w:r w:rsidRPr="003472B0">
        <w:rPr>
          <w:noProof/>
        </w:rPr>
        <w:t>sufficiency</w:t>
      </w:r>
      <w:r>
        <w:rPr>
          <w:noProof/>
        </w:rPr>
        <w:t>. They also focus o</w:t>
      </w:r>
      <w:r w:rsidR="00832A72">
        <w:rPr>
          <w:noProof/>
        </w:rPr>
        <w:t xml:space="preserve">n increasing Indigenous women’s </w:t>
      </w:r>
      <w:r>
        <w:rPr>
          <w:noProof/>
        </w:rPr>
        <w:t>participation in business.</w:t>
      </w:r>
    </w:p>
    <w:p w14:paraId="4A334616" w14:textId="14DFFC32" w:rsidR="00851C07" w:rsidRPr="00855D40" w:rsidRDefault="00D5337D" w:rsidP="00C27FB1">
      <w:pPr>
        <w:pStyle w:val="BodyText1"/>
        <w:numPr>
          <w:ilvl w:val="0"/>
          <w:numId w:val="29"/>
        </w:numPr>
        <w:jc w:val="left"/>
      </w:pPr>
      <w:r>
        <w:t xml:space="preserve">In June 2018, the Sex Discrimination Commissioner </w:t>
      </w:r>
      <w:r w:rsidRPr="002A5F9D">
        <w:t>announced a National Inquiry into Sexual Harassment in Australian Workplaces</w:t>
      </w:r>
      <w:r>
        <w:t xml:space="preserve">. </w:t>
      </w:r>
      <w:r w:rsidRPr="00FB43FA">
        <w:rPr>
          <w:lang w:val="en-AU"/>
        </w:rPr>
        <w:t>The Inquiry will consider the drivers of behaviours that lead to sexual harassment and assault, the adequacy of the existing legal framework and the economic impact of sexual harassment in the workplace.</w:t>
      </w:r>
      <w:r w:rsidR="00851C07">
        <w:br w:type="page"/>
      </w:r>
    </w:p>
    <w:p w14:paraId="2C14A956" w14:textId="451DDD28" w:rsidR="00304AF9" w:rsidRPr="00293561" w:rsidRDefault="00EA5679" w:rsidP="00293561">
      <w:pPr>
        <w:pStyle w:val="Heading2"/>
      </w:pPr>
      <w:bookmarkStart w:id="62" w:name="_Toc532892428"/>
      <w:r w:rsidRPr="00293561">
        <w:t xml:space="preserve">Collective commitment to </w:t>
      </w:r>
      <w:r w:rsidR="00C43D51" w:rsidRPr="00293561">
        <w:t xml:space="preserve">achieve </w:t>
      </w:r>
      <w:r w:rsidRPr="00293561">
        <w:t xml:space="preserve">better employment outcomes </w:t>
      </w:r>
      <w:r w:rsidR="00C43D51" w:rsidRPr="00293561">
        <w:t xml:space="preserve">among </w:t>
      </w:r>
      <w:r w:rsidRPr="00293561">
        <w:t>y</w:t>
      </w:r>
      <w:r w:rsidR="00304AF9" w:rsidRPr="00293561">
        <w:t>outh</w:t>
      </w:r>
      <w:bookmarkEnd w:id="62"/>
    </w:p>
    <w:p w14:paraId="37A0BDEE" w14:textId="0EC2F716" w:rsidR="004349A6" w:rsidRDefault="004349A6" w:rsidP="007B48B8">
      <w:pPr>
        <w:pStyle w:val="BodyText1"/>
        <w:spacing w:after="240"/>
        <w:jc w:val="left"/>
      </w:pPr>
      <w:r>
        <w:t>Y</w:t>
      </w:r>
      <w:r w:rsidRPr="00430FCE">
        <w:t>oung people are the most vulnerable</w:t>
      </w:r>
      <w:r>
        <w:t xml:space="preserve"> </w:t>
      </w:r>
      <w:r w:rsidRPr="00430FCE">
        <w:t xml:space="preserve">to </w:t>
      </w:r>
      <w:r w:rsidR="003D0679">
        <w:t xml:space="preserve">changes in labour market </w:t>
      </w:r>
      <w:r w:rsidRPr="00430FCE">
        <w:t>conditions</w:t>
      </w:r>
      <w:r w:rsidR="005E558D">
        <w:t xml:space="preserve">. A key strategy in </w:t>
      </w:r>
      <w:r w:rsidR="003D0679">
        <w:t xml:space="preserve">addressing youth </w:t>
      </w:r>
      <w:r w:rsidRPr="00A77989">
        <w:t xml:space="preserve">unemployment is to </w:t>
      </w:r>
      <w:r w:rsidR="003D0679">
        <w:t xml:space="preserve">promote </w:t>
      </w:r>
      <w:r>
        <w:t>a strong economy</w:t>
      </w:r>
      <w:r w:rsidRPr="00A77989">
        <w:t xml:space="preserve">. </w:t>
      </w:r>
      <w:r>
        <w:t xml:space="preserve">Australia </w:t>
      </w:r>
      <w:r w:rsidR="005E558D">
        <w:t xml:space="preserve">makes a large investment in </w:t>
      </w:r>
      <w:r>
        <w:t>education</w:t>
      </w:r>
      <w:r w:rsidR="005E558D">
        <w:t xml:space="preserve">, training and employment </w:t>
      </w:r>
      <w:r>
        <w:t xml:space="preserve">programs </w:t>
      </w:r>
      <w:r w:rsidR="005E558D">
        <w:t xml:space="preserve">which, when </w:t>
      </w:r>
      <w:r>
        <w:t xml:space="preserve">added to </w:t>
      </w:r>
      <w:r w:rsidR="005E558D">
        <w:t xml:space="preserve">those </w:t>
      </w:r>
      <w:r>
        <w:t>investment</w:t>
      </w:r>
      <w:r w:rsidR="005E558D">
        <w:t>s</w:t>
      </w:r>
      <w:r>
        <w:t xml:space="preserve"> made by families and individuals, provides a </w:t>
      </w:r>
      <w:r w:rsidR="0019464E">
        <w:t xml:space="preserve">strong </w:t>
      </w:r>
      <w:r>
        <w:t xml:space="preserve">foundation for good </w:t>
      </w:r>
      <w:r w:rsidR="0019464E">
        <w:t xml:space="preserve">transitions into employment by youth. </w:t>
      </w:r>
    </w:p>
    <w:p w14:paraId="109DA35D" w14:textId="30810C0B" w:rsidR="0019464E" w:rsidRDefault="002A62DB" w:rsidP="007B48B8">
      <w:pPr>
        <w:pStyle w:val="BodyText1"/>
        <w:spacing w:after="240"/>
        <w:jc w:val="left"/>
      </w:pPr>
      <w:r w:rsidRPr="002A62DB">
        <w:t>Around 10.6 per cent of Australian youth aged 15 to 24 were not in work and not attending full-time education as of October 2018, compared with 9.9 per cent at the onset of the Global Financial Crisis in September 2008.</w:t>
      </w:r>
    </w:p>
    <w:p w14:paraId="18C6ABB5" w14:textId="1390CD43" w:rsidR="0019464E" w:rsidRDefault="0019464E" w:rsidP="007B48B8">
      <w:pPr>
        <w:pStyle w:val="BodyText1"/>
        <w:spacing w:after="240"/>
        <w:jc w:val="left"/>
      </w:pPr>
      <w:r w:rsidRPr="0019464E">
        <w:t xml:space="preserve">The G20 youth goal adopted by Leaders in 2015 was </w:t>
      </w:r>
      <w:r w:rsidR="003C658B">
        <w:t xml:space="preserve">to reduce </w:t>
      </w:r>
      <w:r w:rsidRPr="0019464E">
        <w:t>the share of young people who are most at risk of being permanently left behind in the labour market by 15 per cent by 2025.</w:t>
      </w:r>
      <w:r>
        <w:t xml:space="preserve"> </w:t>
      </w:r>
      <w:r w:rsidRPr="00C124D2">
        <w:t>Chart</w:t>
      </w:r>
      <w:r w:rsidR="003C658B">
        <w:t> </w:t>
      </w:r>
      <w:r>
        <w:t>4</w:t>
      </w:r>
      <w:r w:rsidR="003C658B">
        <w:t> </w:t>
      </w:r>
      <w:r w:rsidRPr="00C124D2">
        <w:t xml:space="preserve">shows the trend in the proportion of youth who are not in </w:t>
      </w:r>
      <w:r w:rsidR="00022C49">
        <w:t xml:space="preserve">education, employment </w:t>
      </w:r>
      <w:r w:rsidRPr="00C124D2">
        <w:t xml:space="preserve">or training (NEET), using internationally standardised data published by the OECD. </w:t>
      </w:r>
      <w:r>
        <w:t xml:space="preserve">After peaking in 2013, the proportion of youth </w:t>
      </w:r>
      <w:r w:rsidR="00022C49">
        <w:t xml:space="preserve">NEET </w:t>
      </w:r>
      <w:r>
        <w:t xml:space="preserve">has been declining </w:t>
      </w:r>
      <w:r w:rsidR="00022C49">
        <w:t xml:space="preserve">but </w:t>
      </w:r>
      <w:r w:rsidR="003C658B">
        <w:t xml:space="preserve">is </w:t>
      </w:r>
      <w:r w:rsidR="00022C49">
        <w:t xml:space="preserve">yet to </w:t>
      </w:r>
      <w:r w:rsidR="003C658B">
        <w:t xml:space="preserve">return to </w:t>
      </w:r>
      <w:r w:rsidR="00022C49">
        <w:t xml:space="preserve">pre-GFC lows </w:t>
      </w:r>
      <w:r>
        <w:t>(Chart 4).</w:t>
      </w:r>
    </w:p>
    <w:p w14:paraId="677C61A0" w14:textId="6C259DE9" w:rsidR="00293561" w:rsidRDefault="00293561" w:rsidP="00293561">
      <w:pPr>
        <w:pStyle w:val="Caption"/>
        <w:keepNext/>
        <w:jc w:val="center"/>
      </w:pPr>
      <w:r>
        <w:t xml:space="preserve">Chart </w:t>
      </w:r>
      <w:r w:rsidR="00A47169">
        <w:rPr>
          <w:noProof/>
        </w:rPr>
        <w:fldChar w:fldCharType="begin"/>
      </w:r>
      <w:r w:rsidR="00A47169">
        <w:rPr>
          <w:noProof/>
        </w:rPr>
        <w:instrText xml:space="preserve"> SEQ Chart \* ARABIC </w:instrText>
      </w:r>
      <w:r w:rsidR="00A47169">
        <w:rPr>
          <w:noProof/>
        </w:rPr>
        <w:fldChar w:fldCharType="separate"/>
      </w:r>
      <w:r>
        <w:rPr>
          <w:noProof/>
        </w:rPr>
        <w:t>4</w:t>
      </w:r>
      <w:r w:rsidR="00A47169">
        <w:rPr>
          <w:noProof/>
        </w:rPr>
        <w:fldChar w:fldCharType="end"/>
      </w:r>
      <w:r>
        <w:t xml:space="preserve">: </w:t>
      </w:r>
      <w:r w:rsidRPr="0005053F">
        <w:t>Proportion of Australian youth not in education, employment or training and the overall and youth unemployment rates, 1998-2018</w:t>
      </w:r>
    </w:p>
    <w:p w14:paraId="1E4CE006" w14:textId="77777777" w:rsidR="007B48B8" w:rsidRDefault="00E81E10" w:rsidP="007B48B8">
      <w:pPr>
        <w:pStyle w:val="BodyText1"/>
        <w:spacing w:after="240"/>
        <w:jc w:val="center"/>
        <w:rPr>
          <w:sz w:val="16"/>
          <w:szCs w:val="16"/>
          <w:lang w:val="en-AU"/>
        </w:rPr>
      </w:pPr>
      <w:r w:rsidRPr="00E81E10">
        <w:rPr>
          <w:noProof/>
          <w:lang w:val="en-AU" w:eastAsia="en-AU"/>
        </w:rPr>
        <w:drawing>
          <wp:inline distT="0" distB="0" distL="0" distR="0" wp14:anchorId="3C026E29" wp14:editId="656FC919">
            <wp:extent cx="5133975" cy="3362912"/>
            <wp:effectExtent l="0" t="0" r="0" b="0"/>
            <wp:docPr id="12" name="Picture 12" descr="The chart presents illustrates the persistently higher rate of youth unemployment, when compared to the overall employment rate. The rate of youth not in education, employment or training has followed a similar trend to the youth unemployment rate, and although it has declined between 1998 and 2016, it remains hi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161123" cy="3380695"/>
                    </a:xfrm>
                    <a:prstGeom prst="rect">
                      <a:avLst/>
                    </a:prstGeom>
                    <a:noFill/>
                    <a:ln>
                      <a:noFill/>
                    </a:ln>
                  </pic:spPr>
                </pic:pic>
              </a:graphicData>
            </a:graphic>
          </wp:inline>
        </w:drawing>
      </w:r>
    </w:p>
    <w:p w14:paraId="6A625F27" w14:textId="58DC80FA" w:rsidR="009806A8" w:rsidRPr="00293561" w:rsidRDefault="002462F0" w:rsidP="00293561">
      <w:pPr>
        <w:pStyle w:val="Source"/>
        <w:rPr>
          <w:lang w:val="en-AU"/>
        </w:rPr>
      </w:pPr>
      <w:r w:rsidRPr="00293561">
        <w:rPr>
          <w:lang w:val="en-AU"/>
        </w:rPr>
        <w:t xml:space="preserve">Sources: </w:t>
      </w:r>
      <w:r w:rsidRPr="00293561">
        <w:t>OECD Education at a Glance 2014 (1997-2012), OECD Education at a Glance 2015 Interim Report (2013), OECD Data “Youth not in employment, education or training” (2015-2016),</w:t>
      </w:r>
      <w:r w:rsidRPr="00293561">
        <w:rPr>
          <w:lang w:val="en-AU"/>
        </w:rPr>
        <w:t xml:space="preserve"> ABS, Labour Force, Australia, </w:t>
      </w:r>
      <w:r w:rsidR="00344392" w:rsidRPr="00293561">
        <w:rPr>
          <w:lang w:val="en-AU"/>
        </w:rPr>
        <w:t>October</w:t>
      </w:r>
      <w:r w:rsidR="00E76B62" w:rsidRPr="00293561">
        <w:rPr>
          <w:lang w:val="en-AU"/>
        </w:rPr>
        <w:t xml:space="preserve"> 2018</w:t>
      </w:r>
      <w:r w:rsidR="003C658B" w:rsidRPr="00293561">
        <w:rPr>
          <w:lang w:val="en-AU"/>
        </w:rPr>
        <w:t xml:space="preserve"> (Cat. No. 6202.0), </w:t>
      </w:r>
      <w:r w:rsidR="0019464E" w:rsidRPr="00293561">
        <w:rPr>
          <w:lang w:val="en-AU"/>
        </w:rPr>
        <w:t>seasonally adjusted data.</w:t>
      </w:r>
    </w:p>
    <w:p w14:paraId="5DE42CF3" w14:textId="064B917B" w:rsidR="003916FF" w:rsidRPr="00293561" w:rsidRDefault="00C334D3" w:rsidP="000132FA">
      <w:pPr>
        <w:pStyle w:val="BodyText1"/>
        <w:jc w:val="left"/>
      </w:pPr>
      <w:r w:rsidRPr="00293561">
        <w:t>Australia has a wide range of measures in place to help young people to prepare for employm</w:t>
      </w:r>
      <w:r w:rsidR="003916FF" w:rsidRPr="00293561">
        <w:t>ent and support their transition</w:t>
      </w:r>
      <w:r w:rsidRPr="00293561">
        <w:t xml:space="preserve"> into the workplace. The Government has made significant investments to help young people get jobs in </w:t>
      </w:r>
      <w:r w:rsidR="003916FF" w:rsidRPr="00293561">
        <w:t xml:space="preserve">its </w:t>
      </w:r>
      <w:r w:rsidRPr="00293561">
        <w:t xml:space="preserve">past four </w:t>
      </w:r>
      <w:r w:rsidR="003916FF" w:rsidRPr="00293561">
        <w:t>annual b</w:t>
      </w:r>
      <w:r w:rsidRPr="00293561">
        <w:t>udgets.</w:t>
      </w:r>
    </w:p>
    <w:p w14:paraId="6D7725BC" w14:textId="77777777" w:rsidR="00660F1E" w:rsidRDefault="00660F1E">
      <w:pPr>
        <w:rPr>
          <w:bCs/>
          <w:color w:val="auto"/>
          <w:sz w:val="20"/>
          <w:szCs w:val="20"/>
          <w:lang w:val="en-US"/>
        </w:rPr>
      </w:pPr>
      <w:r>
        <w:br w:type="page"/>
      </w:r>
    </w:p>
    <w:p w14:paraId="52FDC6A0" w14:textId="097F233A" w:rsidR="00BE588B" w:rsidRPr="00BE588B" w:rsidRDefault="003916FF" w:rsidP="007B48B8">
      <w:pPr>
        <w:pStyle w:val="BodyText1"/>
        <w:spacing w:after="240"/>
        <w:jc w:val="left"/>
      </w:pPr>
      <w:r>
        <w:t>I</w:t>
      </w:r>
      <w:r w:rsidR="00BE588B">
        <w:t>n the 2018-19 Budget,</w:t>
      </w:r>
      <w:r w:rsidR="00BE588B" w:rsidRPr="00BE588B">
        <w:t xml:space="preserve"> </w:t>
      </w:r>
      <w:r>
        <w:t xml:space="preserve">the Government made an </w:t>
      </w:r>
      <w:r w:rsidR="00BE588B" w:rsidRPr="00BE588B">
        <w:t xml:space="preserve">additional investment </w:t>
      </w:r>
      <w:r>
        <w:t xml:space="preserve">in the </w:t>
      </w:r>
      <w:r w:rsidR="00BE588B" w:rsidRPr="00022C49">
        <w:t>Transition to Work service</w:t>
      </w:r>
      <w:r w:rsidR="00BE588B" w:rsidRPr="00BE588B">
        <w:t>, responding to higher than expected demand. The Transition to Work service provides intensive pre-employment assistance to young people who have disengaged from work and study and are at risk of long-term welfare dependence. The service is designed to improve the work readiness of young people aged 15 to 21 and will help them get into work (including apprenticeships and traineeships) or education.</w:t>
      </w:r>
    </w:p>
    <w:p w14:paraId="2F6F5A17" w14:textId="68A73772" w:rsidR="00BE588B" w:rsidRPr="00022C49" w:rsidRDefault="00BE588B" w:rsidP="007B48B8">
      <w:pPr>
        <w:pStyle w:val="BodyText1"/>
        <w:spacing w:after="240"/>
        <w:jc w:val="left"/>
      </w:pPr>
      <w:r w:rsidRPr="00BE588B">
        <w:t>To leverag</w:t>
      </w:r>
      <w:r w:rsidR="003916FF">
        <w:t>e its investment</w:t>
      </w:r>
      <w:r w:rsidRPr="00BE588B">
        <w:t xml:space="preserve"> in youth employment </w:t>
      </w:r>
      <w:r w:rsidR="003916FF">
        <w:t xml:space="preserve">initiatives </w:t>
      </w:r>
      <w:r w:rsidRPr="00BE588B">
        <w:t xml:space="preserve">over the last </w:t>
      </w:r>
      <w:r w:rsidR="003916FF">
        <w:t xml:space="preserve">three </w:t>
      </w:r>
      <w:r w:rsidRPr="00BE588B">
        <w:t xml:space="preserve">years, the Government will </w:t>
      </w:r>
      <w:r w:rsidR="003916FF">
        <w:t xml:space="preserve">fund the </w:t>
      </w:r>
      <w:r w:rsidRPr="00BE588B">
        <w:t>Brotherhood of Saint Laurence</w:t>
      </w:r>
      <w:r w:rsidR="003916FF">
        <w:t>, a non</w:t>
      </w:r>
      <w:r w:rsidR="003916FF">
        <w:noBreakHyphen/>
        <w:t xml:space="preserve">government organization, </w:t>
      </w:r>
      <w:r w:rsidRPr="00BE588B">
        <w:t>to establish</w:t>
      </w:r>
      <w:r w:rsidR="003916FF">
        <w:t xml:space="preserve"> </w:t>
      </w:r>
      <w:r w:rsidRPr="00BE588B">
        <w:t xml:space="preserve">a </w:t>
      </w:r>
      <w:r w:rsidRPr="00022C49">
        <w:t>Youth Employment Body. The Body wil</w:t>
      </w:r>
      <w:r w:rsidR="003916FF">
        <w:t xml:space="preserve">l act as a forum to develop best </w:t>
      </w:r>
      <w:r w:rsidRPr="00022C49">
        <w:t xml:space="preserve">practice youth employment service models, </w:t>
      </w:r>
      <w:r w:rsidR="003916FF">
        <w:t xml:space="preserve">undertake </w:t>
      </w:r>
      <w:r w:rsidRPr="00022C49">
        <w:t xml:space="preserve">research to inform future </w:t>
      </w:r>
      <w:r w:rsidR="003916FF">
        <w:t xml:space="preserve">programs, </w:t>
      </w:r>
      <w:r w:rsidRPr="00022C49">
        <w:t xml:space="preserve">and mobilise employer effort and experience that can be scaled up nationally.  </w:t>
      </w:r>
    </w:p>
    <w:p w14:paraId="4DE596E7" w14:textId="3EF02594" w:rsidR="003916FF" w:rsidRDefault="00BE588B" w:rsidP="007B48B8">
      <w:pPr>
        <w:pStyle w:val="BodyText1"/>
        <w:spacing w:after="240"/>
        <w:jc w:val="left"/>
      </w:pPr>
      <w:r w:rsidRPr="00022C49">
        <w:t xml:space="preserve">These investments build on </w:t>
      </w:r>
      <w:r w:rsidR="003916FF">
        <w:t xml:space="preserve">other recent initiatives, including the </w:t>
      </w:r>
      <w:r w:rsidRPr="00022C49">
        <w:t xml:space="preserve">Youth Employment Package announced in the 2016-17 Budget. </w:t>
      </w:r>
    </w:p>
    <w:p w14:paraId="47CF0B59" w14:textId="7120A1DC" w:rsidR="00CC6901" w:rsidRDefault="00CC6901" w:rsidP="00CC6901">
      <w:pPr>
        <w:pStyle w:val="BodyText1"/>
        <w:numPr>
          <w:ilvl w:val="0"/>
          <w:numId w:val="30"/>
        </w:numPr>
        <w:jc w:val="left"/>
      </w:pPr>
      <w:r w:rsidRPr="00022C49">
        <w:t>Youth Jobs PaTH (Prepare, Trial, Hire) responds to employer feedback that young people can increase their job prospects by improving their employability skills and gaining relevant work experience. Youth Jobs PaTH includes Employability Skills Training (Prepare), Internships (Trial) and a Youth Bonus wage subsidy</w:t>
      </w:r>
      <w:r>
        <w:t xml:space="preserve"> </w:t>
      </w:r>
      <w:r w:rsidRPr="00022C49">
        <w:t>(Hire) to support the employment of young people</w:t>
      </w:r>
      <w:r>
        <w:t xml:space="preserve"> 15-24 years of age</w:t>
      </w:r>
      <w:r w:rsidRPr="00022C49">
        <w:t>.</w:t>
      </w:r>
      <w:r>
        <w:t xml:space="preserve"> </w:t>
      </w:r>
    </w:p>
    <w:p w14:paraId="6CF34246" w14:textId="77777777" w:rsidR="00CC6901" w:rsidRPr="00022C49" w:rsidRDefault="00CC6901" w:rsidP="00CC6901">
      <w:pPr>
        <w:pStyle w:val="BodyText1"/>
        <w:numPr>
          <w:ilvl w:val="0"/>
          <w:numId w:val="30"/>
        </w:numPr>
        <w:jc w:val="left"/>
      </w:pPr>
      <w:r>
        <w:t>The Government is e</w:t>
      </w:r>
      <w:r w:rsidRPr="00022C49">
        <w:t>ncouraging entrepreneurship and self-employment with $</w:t>
      </w:r>
      <w:r>
        <w:t>89</w:t>
      </w:r>
      <w:r w:rsidRPr="00022C49">
        <w:t xml:space="preserve"> million to support individuals, including young people, who wish to start their own business. The measure includes four key elements that were rolled out in December 2016, including:</w:t>
      </w:r>
    </w:p>
    <w:p w14:paraId="4B427BAE" w14:textId="77777777" w:rsidR="00CC6901" w:rsidRPr="00022C49" w:rsidRDefault="00CC6901" w:rsidP="00CC6901">
      <w:pPr>
        <w:pStyle w:val="BodyText1"/>
        <w:numPr>
          <w:ilvl w:val="1"/>
          <w:numId w:val="18"/>
        </w:numPr>
        <w:jc w:val="left"/>
      </w:pPr>
      <w:r w:rsidRPr="00022C49">
        <w:t>Two</w:t>
      </w:r>
      <w:r>
        <w:noBreakHyphen/>
      </w:r>
      <w:r w:rsidRPr="00022C49">
        <w:t>week, face-to-face ‘Exploring Being My Own Boss’ workshops</w:t>
      </w:r>
    </w:p>
    <w:p w14:paraId="508F8C9D" w14:textId="15D746AE" w:rsidR="00CC6901" w:rsidRPr="00022C49" w:rsidRDefault="00CC6901" w:rsidP="00CC6901">
      <w:pPr>
        <w:pStyle w:val="BodyText1"/>
        <w:numPr>
          <w:ilvl w:val="1"/>
          <w:numId w:val="18"/>
        </w:numPr>
        <w:jc w:val="left"/>
      </w:pPr>
      <w:r w:rsidRPr="00022C49">
        <w:t xml:space="preserve">SelfStart online hub, a new website bringing together information about existing services and programs in </w:t>
      </w:r>
      <w:r w:rsidR="00660F1E">
        <w:t>a way that engages young people</w:t>
      </w:r>
    </w:p>
    <w:p w14:paraId="2E124B09" w14:textId="358DD2D8" w:rsidR="00CC6901" w:rsidRPr="00022C49" w:rsidRDefault="00CC6901" w:rsidP="00CC6901">
      <w:pPr>
        <w:pStyle w:val="BodyText1"/>
        <w:numPr>
          <w:ilvl w:val="1"/>
          <w:numId w:val="18"/>
        </w:numPr>
        <w:jc w:val="left"/>
      </w:pPr>
      <w:r w:rsidRPr="00022C49">
        <w:t>Entrepreneurship Facilitators to promote entrepreneurship and join up available services and programs, operating in selected labour market regio</w:t>
      </w:r>
      <w:r w:rsidR="00660F1E">
        <w:t>ns with high youth unemployment</w:t>
      </w:r>
    </w:p>
    <w:p w14:paraId="66DAA537" w14:textId="6B6BB83B" w:rsidR="00482F72" w:rsidRPr="00022C49" w:rsidRDefault="00CC6901" w:rsidP="007B48B8">
      <w:pPr>
        <w:pStyle w:val="BodyText1"/>
        <w:numPr>
          <w:ilvl w:val="1"/>
          <w:numId w:val="18"/>
        </w:numPr>
        <w:spacing w:after="240"/>
        <w:jc w:val="left"/>
      </w:pPr>
      <w:r w:rsidRPr="00022C49">
        <w:t>Expansion of New Business Assistance with NEIS, which helps people to start an</w:t>
      </w:r>
      <w:r w:rsidR="00660F1E">
        <w:t>d run their own small business</w:t>
      </w:r>
    </w:p>
    <w:p w14:paraId="780E7109" w14:textId="78545E0B" w:rsidR="00015EE5" w:rsidRDefault="00015EE5" w:rsidP="007B48B8">
      <w:pPr>
        <w:pStyle w:val="BodyText1"/>
        <w:spacing w:after="240"/>
        <w:jc w:val="left"/>
      </w:pPr>
      <w:r w:rsidRPr="00022C49">
        <w:t>Other significant measures include:</w:t>
      </w:r>
    </w:p>
    <w:p w14:paraId="5012ABC4" w14:textId="167714DF" w:rsidR="00015EE5" w:rsidRPr="00022C49" w:rsidRDefault="00015EE5" w:rsidP="000132FA">
      <w:pPr>
        <w:pStyle w:val="BodyText1"/>
        <w:numPr>
          <w:ilvl w:val="0"/>
          <w:numId w:val="25"/>
        </w:numPr>
        <w:jc w:val="left"/>
      </w:pPr>
      <w:r w:rsidRPr="00022C49">
        <w:t xml:space="preserve">Empowering YOUth Initiatives, providing $50 million in grant </w:t>
      </w:r>
      <w:r w:rsidR="00ED69EE">
        <w:t>funding over 2015-16 to 2019</w:t>
      </w:r>
      <w:r w:rsidR="00ED69EE">
        <w:noBreakHyphen/>
        <w:t>20</w:t>
      </w:r>
      <w:r w:rsidRPr="00022C49">
        <w:t xml:space="preserve"> to eligible not-for-profit, non-government organisations to trial innovative approaches to help unemployed young people improve their skills and move t</w:t>
      </w:r>
      <w:r w:rsidR="008974B3" w:rsidRPr="00022C49">
        <w:t>oward sustainable employment. Thirty-nine</w:t>
      </w:r>
      <w:r w:rsidRPr="00022C49">
        <w:t xml:space="preserve"> initiatives have been funded for up to two years to help vulnerable young people, aged 15‒24 years of age and at high risk of welfare dependency, to find jobs.</w:t>
      </w:r>
    </w:p>
    <w:p w14:paraId="775467B3" w14:textId="1A0073B1" w:rsidR="00015EE5" w:rsidRPr="00022C49" w:rsidRDefault="00015EE5" w:rsidP="000132FA">
      <w:pPr>
        <w:pStyle w:val="BodyText1"/>
        <w:numPr>
          <w:ilvl w:val="0"/>
          <w:numId w:val="18"/>
        </w:numPr>
        <w:jc w:val="left"/>
      </w:pPr>
      <w:r w:rsidRPr="00022C49">
        <w:t>The national expansion of ParentsNext – a program assisting parents, including young parents, to plan and prepare for employment by the time their children start school. The</w:t>
      </w:r>
      <w:r w:rsidR="00660F1E">
        <w:t> </w:t>
      </w:r>
      <w:r w:rsidRPr="00022C49">
        <w:t>national expansion of ParentsNext from July 2018 will help more than 68,000 parents (10,000</w:t>
      </w:r>
      <w:r w:rsidR="00660F1E">
        <w:t> </w:t>
      </w:r>
      <w:r w:rsidRPr="00022C49">
        <w:t>of whom are expected to be young parents) each year.</w:t>
      </w:r>
    </w:p>
    <w:p w14:paraId="39F30361" w14:textId="2C874E7A" w:rsidR="00E7257C" w:rsidRPr="00022C49" w:rsidRDefault="00CC6901" w:rsidP="00CC6901">
      <w:pPr>
        <w:pStyle w:val="BodyText1"/>
        <w:numPr>
          <w:ilvl w:val="0"/>
          <w:numId w:val="18"/>
        </w:numPr>
        <w:jc w:val="left"/>
      </w:pPr>
      <w:r w:rsidRPr="00022C49">
        <w:t xml:space="preserve">As part of the Government’s suite of wage subsidies, a Youth Wage subsidy is available </w:t>
      </w:r>
      <w:r>
        <w:t>for employers through jobactive</w:t>
      </w:r>
      <w:r w:rsidRPr="00022C49">
        <w:t xml:space="preserve"> </w:t>
      </w:r>
      <w:r>
        <w:t xml:space="preserve">and the Intensive stream of ParentsNext </w:t>
      </w:r>
      <w:r w:rsidRPr="00022C49">
        <w:t>to assist eligible job seekers, 25-29 years of age</w:t>
      </w:r>
      <w:r>
        <w:t>,</w:t>
      </w:r>
      <w:r w:rsidRPr="00022C49">
        <w:t xml:space="preserve"> into ongoing employment. </w:t>
      </w:r>
    </w:p>
    <w:sectPr w:rsidR="00E7257C" w:rsidRPr="00022C49" w:rsidSect="00DC2694">
      <w:headerReference w:type="default" r:id="rId25"/>
      <w:footerReference w:type="default" r:id="rId26"/>
      <w:pgSz w:w="11906" w:h="16838"/>
      <w:pgMar w:top="1440" w:right="1440" w:bottom="1440" w:left="1440" w:header="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DBB78" w14:textId="77777777" w:rsidR="00B436C7" w:rsidRDefault="00B436C7" w:rsidP="001A073C">
      <w:pPr>
        <w:spacing w:line="240" w:lineRule="auto"/>
      </w:pPr>
      <w:r>
        <w:separator/>
      </w:r>
    </w:p>
  </w:endnote>
  <w:endnote w:type="continuationSeparator" w:id="0">
    <w:p w14:paraId="4D0E87EC" w14:textId="77777777" w:rsidR="00B436C7" w:rsidRDefault="00B436C7" w:rsidP="001A07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Light">
    <w:altName w:val="Aria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Roboto Condensed">
    <w:altName w:val="Roboto Condensed"/>
    <w:panose1 w:val="00000000000000000000"/>
    <w:charset w:val="00"/>
    <w:family w:val="swiss"/>
    <w:notTrueType/>
    <w:pitch w:val="default"/>
    <w:sig w:usb0="00000003" w:usb1="00000000" w:usb2="00000000" w:usb3="00000000" w:csb0="00000001" w:csb1="00000000"/>
  </w:font>
  <w:font w:name="Roboto Condensed Light">
    <w:altName w:val="Roboto Condensed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6C3B8" w14:textId="77777777" w:rsidR="00621D72" w:rsidRDefault="00621D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8A272" w14:textId="77777777" w:rsidR="00621D72" w:rsidRDefault="00621D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D0E4F" w14:textId="77777777" w:rsidR="00621D72" w:rsidRDefault="00621D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3541292"/>
      <w:docPartObj>
        <w:docPartGallery w:val="Page Numbers (Bottom of Page)"/>
        <w:docPartUnique/>
      </w:docPartObj>
    </w:sdtPr>
    <w:sdtEndPr>
      <w:rPr>
        <w:noProof/>
      </w:rPr>
    </w:sdtEndPr>
    <w:sdtContent>
      <w:p w14:paraId="2C7ABE4C" w14:textId="6104FBF2" w:rsidR="00B436C7" w:rsidRDefault="00B436C7">
        <w:pPr>
          <w:pStyle w:val="Footer"/>
          <w:jc w:val="right"/>
        </w:pPr>
        <w:r>
          <w:fldChar w:fldCharType="begin"/>
        </w:r>
        <w:r>
          <w:instrText xml:space="preserve"> PAGE   \* MERGEFORMAT </w:instrText>
        </w:r>
        <w:r>
          <w:fldChar w:fldCharType="separate"/>
        </w:r>
        <w:r w:rsidR="00C859D9">
          <w:rPr>
            <w:noProof/>
          </w:rPr>
          <w:t>18</w:t>
        </w:r>
        <w:r>
          <w:rPr>
            <w:noProof/>
          </w:rPr>
          <w:fldChar w:fldCharType="end"/>
        </w:r>
      </w:p>
    </w:sdtContent>
  </w:sdt>
  <w:p w14:paraId="7BE3252D" w14:textId="77777777" w:rsidR="00B436C7" w:rsidRDefault="00B436C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274DE" w14:textId="77777777" w:rsidR="00B436C7" w:rsidRDefault="00B436C7" w:rsidP="001A073C">
      <w:pPr>
        <w:spacing w:line="240" w:lineRule="auto"/>
      </w:pPr>
      <w:r>
        <w:separator/>
      </w:r>
    </w:p>
  </w:footnote>
  <w:footnote w:type="continuationSeparator" w:id="0">
    <w:p w14:paraId="3AA2D6F9" w14:textId="77777777" w:rsidR="00B436C7" w:rsidRDefault="00B436C7" w:rsidP="001A073C">
      <w:pPr>
        <w:spacing w:line="240" w:lineRule="auto"/>
      </w:pPr>
      <w:r>
        <w:continuationSeparator/>
      </w:r>
    </w:p>
  </w:footnote>
  <w:footnote w:id="1">
    <w:p w14:paraId="44A74CC4" w14:textId="77777777" w:rsidR="00B436C7" w:rsidRPr="0094228F" w:rsidRDefault="00B436C7" w:rsidP="00BE331A">
      <w:pPr>
        <w:pStyle w:val="FootnoteText"/>
        <w:rPr>
          <w:rFonts w:ascii="Arial" w:hAnsi="Arial" w:cs="Arial"/>
          <w:lang w:val="en-AU"/>
        </w:rPr>
      </w:pPr>
      <w:r>
        <w:rPr>
          <w:rStyle w:val="FootnoteReference"/>
        </w:rPr>
        <w:footnoteRef/>
      </w:r>
      <w:r>
        <w:t xml:space="preserve"> </w:t>
      </w:r>
      <w:r w:rsidRPr="0094228F">
        <w:rPr>
          <w:rFonts w:ascii="Arial" w:hAnsi="Arial" w:cs="Arial"/>
          <w:sz w:val="16"/>
          <w:szCs w:val="16"/>
          <w:lang w:val="en-AU"/>
        </w:rPr>
        <w:t>NEIS – New Enterprise Incentive Scheme</w:t>
      </w:r>
    </w:p>
  </w:footnote>
  <w:footnote w:id="2">
    <w:p w14:paraId="1A69E7CE" w14:textId="77777777" w:rsidR="00B436C7" w:rsidRPr="0094228F" w:rsidRDefault="00B436C7" w:rsidP="00C10F34">
      <w:pPr>
        <w:pStyle w:val="FootnoteText"/>
        <w:rPr>
          <w:rFonts w:ascii="Arial" w:hAnsi="Arial" w:cs="Arial"/>
          <w:lang w:val="en-AU"/>
        </w:rPr>
      </w:pPr>
      <w:r>
        <w:rPr>
          <w:rStyle w:val="FootnoteReference"/>
        </w:rPr>
        <w:footnoteRef/>
      </w:r>
      <w:r>
        <w:t xml:space="preserve"> </w:t>
      </w:r>
      <w:r w:rsidRPr="0094228F">
        <w:rPr>
          <w:rFonts w:ascii="Arial" w:hAnsi="Arial" w:cs="Arial"/>
          <w:sz w:val="16"/>
          <w:szCs w:val="16"/>
          <w:lang w:val="en-AU"/>
        </w:rPr>
        <w:t xml:space="preserve">Available at </w:t>
      </w:r>
      <w:hyperlink r:id="rId1" w:history="1">
        <w:r w:rsidRPr="0094228F">
          <w:rPr>
            <w:rStyle w:val="Hyperlink"/>
            <w:rFonts w:ascii="Arial" w:hAnsi="Arial" w:cs="Arial"/>
            <w:sz w:val="16"/>
            <w:szCs w:val="16"/>
            <w:lang w:val="en-AU"/>
          </w:rPr>
          <w:t>https://www.safeworkaustralia.gov.au/about-us/australian-work-health-and-safety-strategy-2012-2022</w:t>
        </w:r>
      </w:hyperlink>
      <w:r w:rsidRPr="0094228F">
        <w:rPr>
          <w:rFonts w:ascii="Arial" w:hAnsi="Arial" w:cs="Arial"/>
          <w:lang w:val="en-AU"/>
        </w:rPr>
        <w:t xml:space="preserve"> </w:t>
      </w:r>
    </w:p>
  </w:footnote>
  <w:footnote w:id="3">
    <w:p w14:paraId="4360BB7F" w14:textId="77777777" w:rsidR="00B436C7" w:rsidRPr="0094228F" w:rsidRDefault="00B436C7">
      <w:pPr>
        <w:pStyle w:val="FootnoteText"/>
        <w:rPr>
          <w:rFonts w:ascii="Arial" w:hAnsi="Arial" w:cs="Arial"/>
          <w:lang w:val="en-AU"/>
        </w:rPr>
      </w:pPr>
      <w:r>
        <w:rPr>
          <w:rStyle w:val="FootnoteReference"/>
        </w:rPr>
        <w:footnoteRef/>
      </w:r>
      <w:r>
        <w:t xml:space="preserve"> </w:t>
      </w:r>
      <w:r w:rsidRPr="0094228F">
        <w:rPr>
          <w:rFonts w:ascii="Arial" w:hAnsi="Arial" w:cs="Arial"/>
          <w:sz w:val="16"/>
          <w:szCs w:val="16"/>
        </w:rPr>
        <w:t>Australia’s social support system includes cash transfer payments to individuals and families, and a range of support services funded or provided by all levels of government and civil society (commercial and community organisations). The system is intended to help meet the costs of daily living, increase participation in work and social activities, and build individual and family functioning. Transfer payments include income support payments to help meet daily living expense costs and other payments and supplements to help meet specific costs (such as family payments to assist with the costs of children).</w:t>
      </w:r>
    </w:p>
  </w:footnote>
  <w:footnote w:id="4">
    <w:p w14:paraId="47907CC9" w14:textId="77777777" w:rsidR="00B436C7" w:rsidRPr="00282047" w:rsidRDefault="00B436C7" w:rsidP="00024449">
      <w:pPr>
        <w:pStyle w:val="FootnoteText"/>
        <w:rPr>
          <w:lang w:val="en-AU"/>
        </w:rPr>
      </w:pPr>
      <w:r>
        <w:rPr>
          <w:rStyle w:val="FootnoteReference"/>
        </w:rPr>
        <w:footnoteRef/>
      </w:r>
      <w:r>
        <w:t xml:space="preserve"> </w:t>
      </w:r>
      <w:r w:rsidRPr="0094228F">
        <w:rPr>
          <w:rFonts w:ascii="Arial" w:hAnsi="Arial" w:cs="Arial"/>
          <w:sz w:val="16"/>
          <w:szCs w:val="16"/>
          <w:lang w:val="en-AU"/>
        </w:rPr>
        <w:t xml:space="preserve">Available at </w:t>
      </w:r>
      <w:hyperlink r:id="rId2" w:history="1">
        <w:r w:rsidRPr="0094228F">
          <w:rPr>
            <w:rStyle w:val="Hyperlink"/>
            <w:rFonts w:ascii="Arial" w:hAnsi="Arial" w:cs="Arial"/>
            <w:sz w:val="16"/>
            <w:szCs w:val="16"/>
            <w:lang w:val="en-AU"/>
          </w:rPr>
          <w:t>https://www.pmc.gov.au/office-women/economic-security/wess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D1AAD" w14:textId="77777777" w:rsidR="00621D72" w:rsidRDefault="00621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A8D65" w14:textId="5E2C71EB" w:rsidR="00B436C7" w:rsidRDefault="00B436C7" w:rsidP="00A25AFF">
    <w:pPr>
      <w:pStyle w:val="Header"/>
      <w:tabs>
        <w:tab w:val="clear" w:pos="4252"/>
        <w:tab w:val="clear" w:pos="8504"/>
      </w:tabs>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D4388" w14:textId="77777777" w:rsidR="00621D72" w:rsidRDefault="00621D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83183" w14:textId="77777777" w:rsidR="00B436C7" w:rsidRPr="00B436C7" w:rsidRDefault="00B436C7" w:rsidP="00B436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60pt;visibility:visible;mso-wrap-style:square" o:bullet="t">
        <v:imagedata r:id="rId1" o:title="g20_logo argentina"/>
      </v:shape>
    </w:pict>
  </w:numPicBullet>
  <w:abstractNum w:abstractNumId="0" w15:restartNumberingAfterBreak="0">
    <w:nsid w:val="00000008"/>
    <w:multiLevelType w:val="multilevel"/>
    <w:tmpl w:val="000000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7E5AB3"/>
    <w:multiLevelType w:val="hybridMultilevel"/>
    <w:tmpl w:val="BEC4D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0F5838"/>
    <w:multiLevelType w:val="hybridMultilevel"/>
    <w:tmpl w:val="10469192"/>
    <w:lvl w:ilvl="0" w:tplc="AB20727C">
      <w:start w:val="1"/>
      <w:numFmt w:val="bullet"/>
      <w:lvlText w:val=""/>
      <w:lvlJc w:val="left"/>
      <w:pPr>
        <w:ind w:left="720" w:hanging="360"/>
      </w:pPr>
      <w:rPr>
        <w:rFonts w:ascii="Symbol" w:hAnsi="Symbol" w:hint="default"/>
      </w:rPr>
    </w:lvl>
    <w:lvl w:ilvl="1" w:tplc="764499BA">
      <w:start w:val="1"/>
      <w:numFmt w:val="bullet"/>
      <w:lvlText w:val="o"/>
      <w:lvlJc w:val="left"/>
      <w:pPr>
        <w:ind w:left="1440" w:hanging="360"/>
      </w:pPr>
      <w:rPr>
        <w:rFonts w:ascii="Courier New" w:hAnsi="Courier New" w:cs="Courier New" w:hint="default"/>
      </w:rPr>
    </w:lvl>
    <w:lvl w:ilvl="2" w:tplc="DD080B10">
      <w:start w:val="1"/>
      <w:numFmt w:val="bullet"/>
      <w:lvlText w:val=""/>
      <w:lvlJc w:val="left"/>
      <w:pPr>
        <w:ind w:left="2160" w:hanging="360"/>
      </w:pPr>
      <w:rPr>
        <w:rFonts w:ascii="Wingdings" w:hAnsi="Wingdings" w:hint="default"/>
      </w:rPr>
    </w:lvl>
    <w:lvl w:ilvl="3" w:tplc="D20A862A" w:tentative="1">
      <w:start w:val="1"/>
      <w:numFmt w:val="bullet"/>
      <w:lvlText w:val=""/>
      <w:lvlJc w:val="left"/>
      <w:pPr>
        <w:ind w:left="2880" w:hanging="360"/>
      </w:pPr>
      <w:rPr>
        <w:rFonts w:ascii="Symbol" w:hAnsi="Symbol" w:hint="default"/>
      </w:rPr>
    </w:lvl>
    <w:lvl w:ilvl="4" w:tplc="9FCE252E" w:tentative="1">
      <w:start w:val="1"/>
      <w:numFmt w:val="bullet"/>
      <w:lvlText w:val="o"/>
      <w:lvlJc w:val="left"/>
      <w:pPr>
        <w:ind w:left="3600" w:hanging="360"/>
      </w:pPr>
      <w:rPr>
        <w:rFonts w:ascii="Courier New" w:hAnsi="Courier New" w:cs="Courier New" w:hint="default"/>
      </w:rPr>
    </w:lvl>
    <w:lvl w:ilvl="5" w:tplc="CEE821EA" w:tentative="1">
      <w:start w:val="1"/>
      <w:numFmt w:val="bullet"/>
      <w:lvlText w:val=""/>
      <w:lvlJc w:val="left"/>
      <w:pPr>
        <w:ind w:left="4320" w:hanging="360"/>
      </w:pPr>
      <w:rPr>
        <w:rFonts w:ascii="Wingdings" w:hAnsi="Wingdings" w:hint="default"/>
      </w:rPr>
    </w:lvl>
    <w:lvl w:ilvl="6" w:tplc="8B86218E" w:tentative="1">
      <w:start w:val="1"/>
      <w:numFmt w:val="bullet"/>
      <w:lvlText w:val=""/>
      <w:lvlJc w:val="left"/>
      <w:pPr>
        <w:ind w:left="5040" w:hanging="360"/>
      </w:pPr>
      <w:rPr>
        <w:rFonts w:ascii="Symbol" w:hAnsi="Symbol" w:hint="default"/>
      </w:rPr>
    </w:lvl>
    <w:lvl w:ilvl="7" w:tplc="CC64C898" w:tentative="1">
      <w:start w:val="1"/>
      <w:numFmt w:val="bullet"/>
      <w:lvlText w:val="o"/>
      <w:lvlJc w:val="left"/>
      <w:pPr>
        <w:ind w:left="5760" w:hanging="360"/>
      </w:pPr>
      <w:rPr>
        <w:rFonts w:ascii="Courier New" w:hAnsi="Courier New" w:cs="Courier New" w:hint="default"/>
      </w:rPr>
    </w:lvl>
    <w:lvl w:ilvl="8" w:tplc="EACA0686" w:tentative="1">
      <w:start w:val="1"/>
      <w:numFmt w:val="bullet"/>
      <w:lvlText w:val=""/>
      <w:lvlJc w:val="left"/>
      <w:pPr>
        <w:ind w:left="6480" w:hanging="360"/>
      </w:pPr>
      <w:rPr>
        <w:rFonts w:ascii="Wingdings" w:hAnsi="Wingdings" w:hint="default"/>
      </w:rPr>
    </w:lvl>
  </w:abstractNum>
  <w:abstractNum w:abstractNumId="3" w15:restartNumberingAfterBreak="0">
    <w:nsid w:val="087240B5"/>
    <w:multiLevelType w:val="hybridMultilevel"/>
    <w:tmpl w:val="67FE17DE"/>
    <w:lvl w:ilvl="0" w:tplc="E01645A6">
      <w:start w:val="1"/>
      <w:numFmt w:val="bullet"/>
      <w:lvlText w:val=""/>
      <w:lvlPicBulletId w:val="0"/>
      <w:lvlJc w:val="left"/>
      <w:pPr>
        <w:tabs>
          <w:tab w:val="num" w:pos="720"/>
        </w:tabs>
        <w:ind w:left="720" w:hanging="360"/>
      </w:pPr>
      <w:rPr>
        <w:rFonts w:ascii="Symbol" w:hAnsi="Symbol" w:hint="default"/>
      </w:rPr>
    </w:lvl>
    <w:lvl w:ilvl="1" w:tplc="6170849E" w:tentative="1">
      <w:start w:val="1"/>
      <w:numFmt w:val="bullet"/>
      <w:lvlText w:val=""/>
      <w:lvlJc w:val="left"/>
      <w:pPr>
        <w:tabs>
          <w:tab w:val="num" w:pos="1440"/>
        </w:tabs>
        <w:ind w:left="1440" w:hanging="360"/>
      </w:pPr>
      <w:rPr>
        <w:rFonts w:ascii="Symbol" w:hAnsi="Symbol" w:hint="default"/>
      </w:rPr>
    </w:lvl>
    <w:lvl w:ilvl="2" w:tplc="13701882" w:tentative="1">
      <w:start w:val="1"/>
      <w:numFmt w:val="bullet"/>
      <w:lvlText w:val=""/>
      <w:lvlJc w:val="left"/>
      <w:pPr>
        <w:tabs>
          <w:tab w:val="num" w:pos="2160"/>
        </w:tabs>
        <w:ind w:left="2160" w:hanging="360"/>
      </w:pPr>
      <w:rPr>
        <w:rFonts w:ascii="Symbol" w:hAnsi="Symbol" w:hint="default"/>
      </w:rPr>
    </w:lvl>
    <w:lvl w:ilvl="3" w:tplc="AD481672" w:tentative="1">
      <w:start w:val="1"/>
      <w:numFmt w:val="bullet"/>
      <w:lvlText w:val=""/>
      <w:lvlJc w:val="left"/>
      <w:pPr>
        <w:tabs>
          <w:tab w:val="num" w:pos="2880"/>
        </w:tabs>
        <w:ind w:left="2880" w:hanging="360"/>
      </w:pPr>
      <w:rPr>
        <w:rFonts w:ascii="Symbol" w:hAnsi="Symbol" w:hint="default"/>
      </w:rPr>
    </w:lvl>
    <w:lvl w:ilvl="4" w:tplc="721AEB88" w:tentative="1">
      <w:start w:val="1"/>
      <w:numFmt w:val="bullet"/>
      <w:lvlText w:val=""/>
      <w:lvlJc w:val="left"/>
      <w:pPr>
        <w:tabs>
          <w:tab w:val="num" w:pos="3600"/>
        </w:tabs>
        <w:ind w:left="3600" w:hanging="360"/>
      </w:pPr>
      <w:rPr>
        <w:rFonts w:ascii="Symbol" w:hAnsi="Symbol" w:hint="default"/>
      </w:rPr>
    </w:lvl>
    <w:lvl w:ilvl="5" w:tplc="6B5655B2" w:tentative="1">
      <w:start w:val="1"/>
      <w:numFmt w:val="bullet"/>
      <w:lvlText w:val=""/>
      <w:lvlJc w:val="left"/>
      <w:pPr>
        <w:tabs>
          <w:tab w:val="num" w:pos="4320"/>
        </w:tabs>
        <w:ind w:left="4320" w:hanging="360"/>
      </w:pPr>
      <w:rPr>
        <w:rFonts w:ascii="Symbol" w:hAnsi="Symbol" w:hint="default"/>
      </w:rPr>
    </w:lvl>
    <w:lvl w:ilvl="6" w:tplc="E884D55C" w:tentative="1">
      <w:start w:val="1"/>
      <w:numFmt w:val="bullet"/>
      <w:lvlText w:val=""/>
      <w:lvlJc w:val="left"/>
      <w:pPr>
        <w:tabs>
          <w:tab w:val="num" w:pos="5040"/>
        </w:tabs>
        <w:ind w:left="5040" w:hanging="360"/>
      </w:pPr>
      <w:rPr>
        <w:rFonts w:ascii="Symbol" w:hAnsi="Symbol" w:hint="default"/>
      </w:rPr>
    </w:lvl>
    <w:lvl w:ilvl="7" w:tplc="A808B018" w:tentative="1">
      <w:start w:val="1"/>
      <w:numFmt w:val="bullet"/>
      <w:lvlText w:val=""/>
      <w:lvlJc w:val="left"/>
      <w:pPr>
        <w:tabs>
          <w:tab w:val="num" w:pos="5760"/>
        </w:tabs>
        <w:ind w:left="5760" w:hanging="360"/>
      </w:pPr>
      <w:rPr>
        <w:rFonts w:ascii="Symbol" w:hAnsi="Symbol" w:hint="default"/>
      </w:rPr>
    </w:lvl>
    <w:lvl w:ilvl="8" w:tplc="2AE03AF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A307DB7"/>
    <w:multiLevelType w:val="hybridMultilevel"/>
    <w:tmpl w:val="87AAF2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656D8D"/>
    <w:multiLevelType w:val="hybridMultilevel"/>
    <w:tmpl w:val="0D860C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D66404"/>
    <w:multiLevelType w:val="multilevel"/>
    <w:tmpl w:val="79F2B3C0"/>
    <w:name w:val="StandardBulletedList"/>
    <w:lvl w:ilvl="0">
      <w:start w:val="1"/>
      <w:numFmt w:val="bullet"/>
      <w:pStyle w:val="Bullet"/>
      <w:lvlText w:val="•"/>
      <w:lvlJc w:val="left"/>
      <w:pPr>
        <w:tabs>
          <w:tab w:val="num" w:pos="425"/>
        </w:tabs>
        <w:ind w:left="425" w:hanging="425"/>
      </w:pPr>
      <w:rPr>
        <w:rFonts w:ascii="Times New Roman" w:hAnsi="Times New Roman" w:cs="Times New Roman"/>
      </w:rPr>
    </w:lvl>
    <w:lvl w:ilvl="1">
      <w:start w:val="1"/>
      <w:numFmt w:val="bullet"/>
      <w:lvlText w:val="–"/>
      <w:lvlJc w:val="left"/>
      <w:pPr>
        <w:tabs>
          <w:tab w:val="num" w:pos="850"/>
        </w:tabs>
        <w:ind w:left="850" w:hanging="425"/>
      </w:pPr>
      <w:rPr>
        <w:rFonts w:ascii="Times New Roman" w:hAnsi="Times New Roman" w:cs="Times New Roman"/>
      </w:rPr>
    </w:lvl>
    <w:lvl w:ilvl="2">
      <w:start w:val="1"/>
      <w:numFmt w:val="bullet"/>
      <w:lvlText w:val=":"/>
      <w:lvlJc w:val="left"/>
      <w:pPr>
        <w:tabs>
          <w:tab w:val="num" w:pos="1275"/>
        </w:tabs>
        <w:ind w:left="1275"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B851E5A"/>
    <w:multiLevelType w:val="hybridMultilevel"/>
    <w:tmpl w:val="2A266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66502"/>
    <w:multiLevelType w:val="hybridMultilevel"/>
    <w:tmpl w:val="E58022C6"/>
    <w:lvl w:ilvl="0" w:tplc="38F685C0">
      <w:start w:val="1"/>
      <w:numFmt w:val="bullet"/>
      <w:pStyle w:val="Secondarypoint2"/>
      <w:lvlText w:val="o"/>
      <w:lvlJc w:val="left"/>
      <w:pPr>
        <w:ind w:left="1605" w:hanging="360"/>
      </w:pPr>
      <w:rPr>
        <w:rFonts w:ascii="Courier New" w:hAnsi="Courier New" w:cs="Courier New" w:hint="default"/>
      </w:rPr>
    </w:lvl>
    <w:lvl w:ilvl="1" w:tplc="86BE91D8">
      <w:start w:val="1"/>
      <w:numFmt w:val="bullet"/>
      <w:lvlText w:val="o"/>
      <w:lvlJc w:val="left"/>
      <w:pPr>
        <w:ind w:left="2325" w:hanging="360"/>
      </w:pPr>
      <w:rPr>
        <w:rFonts w:ascii="Courier New" w:hAnsi="Courier New" w:cs="Courier New" w:hint="default"/>
      </w:rPr>
    </w:lvl>
    <w:lvl w:ilvl="2" w:tplc="B8983896" w:tentative="1">
      <w:start w:val="1"/>
      <w:numFmt w:val="bullet"/>
      <w:lvlText w:val=""/>
      <w:lvlJc w:val="left"/>
      <w:pPr>
        <w:ind w:left="3045" w:hanging="360"/>
      </w:pPr>
      <w:rPr>
        <w:rFonts w:ascii="Wingdings" w:hAnsi="Wingdings" w:hint="default"/>
      </w:rPr>
    </w:lvl>
    <w:lvl w:ilvl="3" w:tplc="22C4215E" w:tentative="1">
      <w:start w:val="1"/>
      <w:numFmt w:val="bullet"/>
      <w:lvlText w:val=""/>
      <w:lvlJc w:val="left"/>
      <w:pPr>
        <w:ind w:left="3765" w:hanging="360"/>
      </w:pPr>
      <w:rPr>
        <w:rFonts w:ascii="Symbol" w:hAnsi="Symbol" w:hint="default"/>
      </w:rPr>
    </w:lvl>
    <w:lvl w:ilvl="4" w:tplc="7B4A56D4" w:tentative="1">
      <w:start w:val="1"/>
      <w:numFmt w:val="bullet"/>
      <w:lvlText w:val="o"/>
      <w:lvlJc w:val="left"/>
      <w:pPr>
        <w:ind w:left="4485" w:hanging="360"/>
      </w:pPr>
      <w:rPr>
        <w:rFonts w:ascii="Courier New" w:hAnsi="Courier New" w:cs="Courier New" w:hint="default"/>
      </w:rPr>
    </w:lvl>
    <w:lvl w:ilvl="5" w:tplc="64C8ECC6" w:tentative="1">
      <w:start w:val="1"/>
      <w:numFmt w:val="bullet"/>
      <w:lvlText w:val=""/>
      <w:lvlJc w:val="left"/>
      <w:pPr>
        <w:ind w:left="5205" w:hanging="360"/>
      </w:pPr>
      <w:rPr>
        <w:rFonts w:ascii="Wingdings" w:hAnsi="Wingdings" w:hint="default"/>
      </w:rPr>
    </w:lvl>
    <w:lvl w:ilvl="6" w:tplc="08AC2472" w:tentative="1">
      <w:start w:val="1"/>
      <w:numFmt w:val="bullet"/>
      <w:lvlText w:val=""/>
      <w:lvlJc w:val="left"/>
      <w:pPr>
        <w:ind w:left="5925" w:hanging="360"/>
      </w:pPr>
      <w:rPr>
        <w:rFonts w:ascii="Symbol" w:hAnsi="Symbol" w:hint="default"/>
      </w:rPr>
    </w:lvl>
    <w:lvl w:ilvl="7" w:tplc="9FFE4CA0" w:tentative="1">
      <w:start w:val="1"/>
      <w:numFmt w:val="bullet"/>
      <w:lvlText w:val="o"/>
      <w:lvlJc w:val="left"/>
      <w:pPr>
        <w:ind w:left="6645" w:hanging="360"/>
      </w:pPr>
      <w:rPr>
        <w:rFonts w:ascii="Courier New" w:hAnsi="Courier New" w:cs="Courier New" w:hint="default"/>
      </w:rPr>
    </w:lvl>
    <w:lvl w:ilvl="8" w:tplc="1F824A60" w:tentative="1">
      <w:start w:val="1"/>
      <w:numFmt w:val="bullet"/>
      <w:lvlText w:val=""/>
      <w:lvlJc w:val="left"/>
      <w:pPr>
        <w:ind w:left="7365" w:hanging="360"/>
      </w:pPr>
      <w:rPr>
        <w:rFonts w:ascii="Wingdings" w:hAnsi="Wingdings" w:hint="default"/>
      </w:rPr>
    </w:lvl>
  </w:abstractNum>
  <w:abstractNum w:abstractNumId="9" w15:restartNumberingAfterBreak="0">
    <w:nsid w:val="16254144"/>
    <w:multiLevelType w:val="hybridMultilevel"/>
    <w:tmpl w:val="7E20E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865520"/>
    <w:multiLevelType w:val="hybridMultilevel"/>
    <w:tmpl w:val="E21E5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CB629C"/>
    <w:multiLevelType w:val="hybridMultilevel"/>
    <w:tmpl w:val="98CAE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B843BB"/>
    <w:multiLevelType w:val="hybridMultilevel"/>
    <w:tmpl w:val="305A6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931F50"/>
    <w:multiLevelType w:val="hybridMultilevel"/>
    <w:tmpl w:val="07327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097321"/>
    <w:multiLevelType w:val="hybridMultilevel"/>
    <w:tmpl w:val="F612D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401D21"/>
    <w:multiLevelType w:val="hybridMultilevel"/>
    <w:tmpl w:val="6F50B772"/>
    <w:lvl w:ilvl="0" w:tplc="FA2C204A">
      <w:start w:val="1"/>
      <w:numFmt w:val="bullet"/>
      <w:pStyle w:val="Dotpoint2"/>
      <w:lvlText w:val=""/>
      <w:lvlJc w:val="left"/>
      <w:pPr>
        <w:ind w:left="720" w:hanging="360"/>
      </w:pPr>
      <w:rPr>
        <w:rFonts w:ascii="Symbol" w:hAnsi="Symbol" w:hint="default"/>
      </w:rPr>
    </w:lvl>
    <w:lvl w:ilvl="1" w:tplc="FA005D66">
      <w:start w:val="1"/>
      <w:numFmt w:val="bullet"/>
      <w:lvlText w:val="o"/>
      <w:lvlJc w:val="left"/>
      <w:pPr>
        <w:ind w:left="1440" w:hanging="360"/>
      </w:pPr>
      <w:rPr>
        <w:rFonts w:ascii="Courier New" w:hAnsi="Courier New" w:cs="Courier New" w:hint="default"/>
      </w:rPr>
    </w:lvl>
    <w:lvl w:ilvl="2" w:tplc="7CC4F89A">
      <w:start w:val="1"/>
      <w:numFmt w:val="bullet"/>
      <w:lvlText w:val=""/>
      <w:lvlJc w:val="left"/>
      <w:pPr>
        <w:ind w:left="2160" w:hanging="360"/>
      </w:pPr>
      <w:rPr>
        <w:rFonts w:ascii="Wingdings" w:hAnsi="Wingdings" w:hint="default"/>
      </w:rPr>
    </w:lvl>
    <w:lvl w:ilvl="3" w:tplc="EBDC1C2C" w:tentative="1">
      <w:start w:val="1"/>
      <w:numFmt w:val="bullet"/>
      <w:lvlText w:val=""/>
      <w:lvlJc w:val="left"/>
      <w:pPr>
        <w:ind w:left="2880" w:hanging="360"/>
      </w:pPr>
      <w:rPr>
        <w:rFonts w:ascii="Symbol" w:hAnsi="Symbol" w:hint="default"/>
      </w:rPr>
    </w:lvl>
    <w:lvl w:ilvl="4" w:tplc="2702CF9C" w:tentative="1">
      <w:start w:val="1"/>
      <w:numFmt w:val="bullet"/>
      <w:lvlText w:val="o"/>
      <w:lvlJc w:val="left"/>
      <w:pPr>
        <w:ind w:left="3600" w:hanging="360"/>
      </w:pPr>
      <w:rPr>
        <w:rFonts w:ascii="Courier New" w:hAnsi="Courier New" w:cs="Courier New" w:hint="default"/>
      </w:rPr>
    </w:lvl>
    <w:lvl w:ilvl="5" w:tplc="20722B86" w:tentative="1">
      <w:start w:val="1"/>
      <w:numFmt w:val="bullet"/>
      <w:lvlText w:val=""/>
      <w:lvlJc w:val="left"/>
      <w:pPr>
        <w:ind w:left="4320" w:hanging="360"/>
      </w:pPr>
      <w:rPr>
        <w:rFonts w:ascii="Wingdings" w:hAnsi="Wingdings" w:hint="default"/>
      </w:rPr>
    </w:lvl>
    <w:lvl w:ilvl="6" w:tplc="0EAC5220" w:tentative="1">
      <w:start w:val="1"/>
      <w:numFmt w:val="bullet"/>
      <w:lvlText w:val=""/>
      <w:lvlJc w:val="left"/>
      <w:pPr>
        <w:ind w:left="5040" w:hanging="360"/>
      </w:pPr>
      <w:rPr>
        <w:rFonts w:ascii="Symbol" w:hAnsi="Symbol" w:hint="default"/>
      </w:rPr>
    </w:lvl>
    <w:lvl w:ilvl="7" w:tplc="2E32A404" w:tentative="1">
      <w:start w:val="1"/>
      <w:numFmt w:val="bullet"/>
      <w:lvlText w:val="o"/>
      <w:lvlJc w:val="left"/>
      <w:pPr>
        <w:ind w:left="5760" w:hanging="360"/>
      </w:pPr>
      <w:rPr>
        <w:rFonts w:ascii="Courier New" w:hAnsi="Courier New" w:cs="Courier New" w:hint="default"/>
      </w:rPr>
    </w:lvl>
    <w:lvl w:ilvl="8" w:tplc="A6325CE4" w:tentative="1">
      <w:start w:val="1"/>
      <w:numFmt w:val="bullet"/>
      <w:lvlText w:val=""/>
      <w:lvlJc w:val="left"/>
      <w:pPr>
        <w:ind w:left="6480" w:hanging="360"/>
      </w:pPr>
      <w:rPr>
        <w:rFonts w:ascii="Wingdings" w:hAnsi="Wingdings" w:hint="default"/>
      </w:rPr>
    </w:lvl>
  </w:abstractNum>
  <w:abstractNum w:abstractNumId="16" w15:restartNumberingAfterBreak="0">
    <w:nsid w:val="44595CB3"/>
    <w:multiLevelType w:val="hybridMultilevel"/>
    <w:tmpl w:val="20385FD2"/>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E17ECF"/>
    <w:multiLevelType w:val="hybridMultilevel"/>
    <w:tmpl w:val="3F5C0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9442A0"/>
    <w:multiLevelType w:val="hybridMultilevel"/>
    <w:tmpl w:val="5CC80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36E74DB"/>
    <w:multiLevelType w:val="hybridMultilevel"/>
    <w:tmpl w:val="939A0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7A92ED5"/>
    <w:multiLevelType w:val="hybridMultilevel"/>
    <w:tmpl w:val="BC8E0A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B080D40"/>
    <w:multiLevelType w:val="hybridMultilevel"/>
    <w:tmpl w:val="F5521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9D1C11"/>
    <w:multiLevelType w:val="hybridMultilevel"/>
    <w:tmpl w:val="DC0C4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F661A5"/>
    <w:multiLevelType w:val="hybridMultilevel"/>
    <w:tmpl w:val="7C0C68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EB644C8"/>
    <w:multiLevelType w:val="hybridMultilevel"/>
    <w:tmpl w:val="D2442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D856E2"/>
    <w:multiLevelType w:val="hybridMultilevel"/>
    <w:tmpl w:val="DEC6F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D413242"/>
    <w:multiLevelType w:val="hybridMultilevel"/>
    <w:tmpl w:val="6C961D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625BCC"/>
    <w:multiLevelType w:val="hybridMultilevel"/>
    <w:tmpl w:val="60D069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CA5D02"/>
    <w:multiLevelType w:val="hybridMultilevel"/>
    <w:tmpl w:val="B4C0D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191588"/>
    <w:multiLevelType w:val="hybridMultilevel"/>
    <w:tmpl w:val="6E7E7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B937AD0"/>
    <w:multiLevelType w:val="hybridMultilevel"/>
    <w:tmpl w:val="FE5CD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C4E00E7"/>
    <w:multiLevelType w:val="hybridMultilevel"/>
    <w:tmpl w:val="D376D21A"/>
    <w:lvl w:ilvl="0" w:tplc="FB884C0E">
      <w:start w:val="1"/>
      <w:numFmt w:val="bullet"/>
      <w:lvlText w:val=""/>
      <w:lvlJc w:val="left"/>
      <w:pPr>
        <w:ind w:left="720" w:hanging="360"/>
      </w:pPr>
      <w:rPr>
        <w:rFonts w:ascii="Symbol" w:hAnsi="Symbol" w:hint="default"/>
      </w:rPr>
    </w:lvl>
    <w:lvl w:ilvl="1" w:tplc="319ECC7C">
      <w:start w:val="1"/>
      <w:numFmt w:val="bullet"/>
      <w:lvlText w:val="o"/>
      <w:lvlJc w:val="left"/>
      <w:pPr>
        <w:ind w:left="1440" w:hanging="360"/>
      </w:pPr>
      <w:rPr>
        <w:rFonts w:ascii="Courier New" w:hAnsi="Courier New" w:cs="Courier New" w:hint="default"/>
      </w:rPr>
    </w:lvl>
    <w:lvl w:ilvl="2" w:tplc="3E42DA9C" w:tentative="1">
      <w:start w:val="1"/>
      <w:numFmt w:val="bullet"/>
      <w:lvlText w:val=""/>
      <w:lvlJc w:val="left"/>
      <w:pPr>
        <w:ind w:left="2160" w:hanging="360"/>
      </w:pPr>
      <w:rPr>
        <w:rFonts w:ascii="Wingdings" w:hAnsi="Wingdings" w:hint="default"/>
      </w:rPr>
    </w:lvl>
    <w:lvl w:ilvl="3" w:tplc="24B47E04" w:tentative="1">
      <w:start w:val="1"/>
      <w:numFmt w:val="bullet"/>
      <w:lvlText w:val=""/>
      <w:lvlJc w:val="left"/>
      <w:pPr>
        <w:ind w:left="2880" w:hanging="360"/>
      </w:pPr>
      <w:rPr>
        <w:rFonts w:ascii="Symbol" w:hAnsi="Symbol" w:hint="default"/>
      </w:rPr>
    </w:lvl>
    <w:lvl w:ilvl="4" w:tplc="E3026842" w:tentative="1">
      <w:start w:val="1"/>
      <w:numFmt w:val="bullet"/>
      <w:lvlText w:val="o"/>
      <w:lvlJc w:val="left"/>
      <w:pPr>
        <w:ind w:left="3600" w:hanging="360"/>
      </w:pPr>
      <w:rPr>
        <w:rFonts w:ascii="Courier New" w:hAnsi="Courier New" w:cs="Courier New" w:hint="default"/>
      </w:rPr>
    </w:lvl>
    <w:lvl w:ilvl="5" w:tplc="40E85054" w:tentative="1">
      <w:start w:val="1"/>
      <w:numFmt w:val="bullet"/>
      <w:lvlText w:val=""/>
      <w:lvlJc w:val="left"/>
      <w:pPr>
        <w:ind w:left="4320" w:hanging="360"/>
      </w:pPr>
      <w:rPr>
        <w:rFonts w:ascii="Wingdings" w:hAnsi="Wingdings" w:hint="default"/>
      </w:rPr>
    </w:lvl>
    <w:lvl w:ilvl="6" w:tplc="3B966EA8" w:tentative="1">
      <w:start w:val="1"/>
      <w:numFmt w:val="bullet"/>
      <w:lvlText w:val=""/>
      <w:lvlJc w:val="left"/>
      <w:pPr>
        <w:ind w:left="5040" w:hanging="360"/>
      </w:pPr>
      <w:rPr>
        <w:rFonts w:ascii="Symbol" w:hAnsi="Symbol" w:hint="default"/>
      </w:rPr>
    </w:lvl>
    <w:lvl w:ilvl="7" w:tplc="89DC450A" w:tentative="1">
      <w:start w:val="1"/>
      <w:numFmt w:val="bullet"/>
      <w:lvlText w:val="o"/>
      <w:lvlJc w:val="left"/>
      <w:pPr>
        <w:ind w:left="5760" w:hanging="360"/>
      </w:pPr>
      <w:rPr>
        <w:rFonts w:ascii="Courier New" w:hAnsi="Courier New" w:cs="Courier New" w:hint="default"/>
      </w:rPr>
    </w:lvl>
    <w:lvl w:ilvl="8" w:tplc="EBF00B08" w:tentative="1">
      <w:start w:val="1"/>
      <w:numFmt w:val="bullet"/>
      <w:lvlText w:val=""/>
      <w:lvlJc w:val="left"/>
      <w:pPr>
        <w:ind w:left="6480" w:hanging="360"/>
      </w:pPr>
      <w:rPr>
        <w:rFonts w:ascii="Wingdings" w:hAnsi="Wingdings" w:hint="default"/>
      </w:rPr>
    </w:lvl>
  </w:abstractNum>
  <w:abstractNum w:abstractNumId="32" w15:restartNumberingAfterBreak="0">
    <w:nsid w:val="7E292DAE"/>
    <w:multiLevelType w:val="hybridMultilevel"/>
    <w:tmpl w:val="6B168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F2E67DD"/>
    <w:multiLevelType w:val="hybridMultilevel"/>
    <w:tmpl w:val="A414F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8"/>
  </w:num>
  <w:num w:numId="3">
    <w:abstractNumId w:val="33"/>
  </w:num>
  <w:num w:numId="4">
    <w:abstractNumId w:val="22"/>
  </w:num>
  <w:num w:numId="5">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10"/>
  </w:num>
  <w:num w:numId="8">
    <w:abstractNumId w:val="15"/>
  </w:num>
  <w:num w:numId="9">
    <w:abstractNumId w:val="8"/>
  </w:num>
  <w:num w:numId="10">
    <w:abstractNumId w:val="9"/>
  </w:num>
  <w:num w:numId="11">
    <w:abstractNumId w:val="11"/>
  </w:num>
  <w:num w:numId="12">
    <w:abstractNumId w:val="13"/>
  </w:num>
  <w:num w:numId="13">
    <w:abstractNumId w:val="1"/>
  </w:num>
  <w:num w:numId="14">
    <w:abstractNumId w:val="31"/>
  </w:num>
  <w:num w:numId="15">
    <w:abstractNumId w:val="27"/>
  </w:num>
  <w:num w:numId="16">
    <w:abstractNumId w:val="23"/>
  </w:num>
  <w:num w:numId="17">
    <w:abstractNumId w:val="5"/>
  </w:num>
  <w:num w:numId="18">
    <w:abstractNumId w:val="26"/>
  </w:num>
  <w:num w:numId="19">
    <w:abstractNumId w:val="16"/>
  </w:num>
  <w:num w:numId="20">
    <w:abstractNumId w:val="7"/>
  </w:num>
  <w:num w:numId="21">
    <w:abstractNumId w:val="32"/>
  </w:num>
  <w:num w:numId="22">
    <w:abstractNumId w:val="17"/>
  </w:num>
  <w:num w:numId="23">
    <w:abstractNumId w:val="25"/>
  </w:num>
  <w:num w:numId="24">
    <w:abstractNumId w:val="2"/>
  </w:num>
  <w:num w:numId="25">
    <w:abstractNumId w:val="24"/>
  </w:num>
  <w:num w:numId="26">
    <w:abstractNumId w:val="20"/>
  </w:num>
  <w:num w:numId="27">
    <w:abstractNumId w:val="14"/>
  </w:num>
  <w:num w:numId="28">
    <w:abstractNumId w:val="12"/>
  </w:num>
  <w:num w:numId="29">
    <w:abstractNumId w:val="4"/>
  </w:num>
  <w:num w:numId="30">
    <w:abstractNumId w:val="19"/>
  </w:num>
  <w:num w:numId="31">
    <w:abstractNumId w:val="29"/>
  </w:num>
  <w:num w:numId="32">
    <w:abstractNumId w:val="21"/>
  </w:num>
  <w:num w:numId="33">
    <w:abstractNumId w:val="18"/>
  </w:num>
  <w:num w:numId="34">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14B"/>
    <w:rsid w:val="00000A3F"/>
    <w:rsid w:val="00001160"/>
    <w:rsid w:val="00003ADB"/>
    <w:rsid w:val="00007D0C"/>
    <w:rsid w:val="00010F27"/>
    <w:rsid w:val="000132FA"/>
    <w:rsid w:val="00014A96"/>
    <w:rsid w:val="00015EE5"/>
    <w:rsid w:val="00016F64"/>
    <w:rsid w:val="00022C49"/>
    <w:rsid w:val="000240D9"/>
    <w:rsid w:val="00024449"/>
    <w:rsid w:val="000277D3"/>
    <w:rsid w:val="000350C6"/>
    <w:rsid w:val="00035454"/>
    <w:rsid w:val="000405AE"/>
    <w:rsid w:val="00043C42"/>
    <w:rsid w:val="00044537"/>
    <w:rsid w:val="00046A47"/>
    <w:rsid w:val="00052412"/>
    <w:rsid w:val="0005481B"/>
    <w:rsid w:val="0005572A"/>
    <w:rsid w:val="00056A37"/>
    <w:rsid w:val="000570CD"/>
    <w:rsid w:val="0005720C"/>
    <w:rsid w:val="000579A8"/>
    <w:rsid w:val="00060786"/>
    <w:rsid w:val="000608B8"/>
    <w:rsid w:val="00061E78"/>
    <w:rsid w:val="00063673"/>
    <w:rsid w:val="0006440B"/>
    <w:rsid w:val="00077559"/>
    <w:rsid w:val="000779B5"/>
    <w:rsid w:val="00077C21"/>
    <w:rsid w:val="00081245"/>
    <w:rsid w:val="00082577"/>
    <w:rsid w:val="000904B7"/>
    <w:rsid w:val="00091CF2"/>
    <w:rsid w:val="000943BA"/>
    <w:rsid w:val="00096791"/>
    <w:rsid w:val="000A44D1"/>
    <w:rsid w:val="000A5F65"/>
    <w:rsid w:val="000B5A5B"/>
    <w:rsid w:val="000B60AB"/>
    <w:rsid w:val="000B787E"/>
    <w:rsid w:val="000C1C82"/>
    <w:rsid w:val="000C2869"/>
    <w:rsid w:val="000C7B24"/>
    <w:rsid w:val="000D4210"/>
    <w:rsid w:val="000D596B"/>
    <w:rsid w:val="000D6E40"/>
    <w:rsid w:val="000D7A8A"/>
    <w:rsid w:val="000E1597"/>
    <w:rsid w:val="000E1AF3"/>
    <w:rsid w:val="000E4F08"/>
    <w:rsid w:val="000E6068"/>
    <w:rsid w:val="000F40B9"/>
    <w:rsid w:val="000F4113"/>
    <w:rsid w:val="000F4A41"/>
    <w:rsid w:val="000F6D94"/>
    <w:rsid w:val="001060E9"/>
    <w:rsid w:val="00106CF5"/>
    <w:rsid w:val="001078E1"/>
    <w:rsid w:val="0011493B"/>
    <w:rsid w:val="0012078C"/>
    <w:rsid w:val="0012230A"/>
    <w:rsid w:val="001319EA"/>
    <w:rsid w:val="0014000D"/>
    <w:rsid w:val="0014538A"/>
    <w:rsid w:val="00151473"/>
    <w:rsid w:val="0015287A"/>
    <w:rsid w:val="00156D82"/>
    <w:rsid w:val="00166587"/>
    <w:rsid w:val="001701B6"/>
    <w:rsid w:val="00170385"/>
    <w:rsid w:val="00181CCD"/>
    <w:rsid w:val="00182303"/>
    <w:rsid w:val="00182949"/>
    <w:rsid w:val="00192439"/>
    <w:rsid w:val="00193226"/>
    <w:rsid w:val="0019464E"/>
    <w:rsid w:val="00196DF1"/>
    <w:rsid w:val="00197FAD"/>
    <w:rsid w:val="001A056C"/>
    <w:rsid w:val="001A073C"/>
    <w:rsid w:val="001A2413"/>
    <w:rsid w:val="001A4039"/>
    <w:rsid w:val="001A4FBA"/>
    <w:rsid w:val="001B6146"/>
    <w:rsid w:val="001C5736"/>
    <w:rsid w:val="001C692A"/>
    <w:rsid w:val="001C7041"/>
    <w:rsid w:val="001D0AB9"/>
    <w:rsid w:val="001D216D"/>
    <w:rsid w:val="001D3FC7"/>
    <w:rsid w:val="001D56B8"/>
    <w:rsid w:val="001D56E6"/>
    <w:rsid w:val="001D6366"/>
    <w:rsid w:val="001E4315"/>
    <w:rsid w:val="001E6682"/>
    <w:rsid w:val="001E6A58"/>
    <w:rsid w:val="001E745A"/>
    <w:rsid w:val="001F29FF"/>
    <w:rsid w:val="001F2CE1"/>
    <w:rsid w:val="001F6696"/>
    <w:rsid w:val="001F799C"/>
    <w:rsid w:val="00201624"/>
    <w:rsid w:val="00204E30"/>
    <w:rsid w:val="002065DA"/>
    <w:rsid w:val="002226A5"/>
    <w:rsid w:val="002235C4"/>
    <w:rsid w:val="00227252"/>
    <w:rsid w:val="00231C6C"/>
    <w:rsid w:val="002339D1"/>
    <w:rsid w:val="00234020"/>
    <w:rsid w:val="002462F0"/>
    <w:rsid w:val="00246B96"/>
    <w:rsid w:val="00246EC8"/>
    <w:rsid w:val="00254AC9"/>
    <w:rsid w:val="00254CAB"/>
    <w:rsid w:val="0025706F"/>
    <w:rsid w:val="00260834"/>
    <w:rsid w:val="0026252A"/>
    <w:rsid w:val="002639BE"/>
    <w:rsid w:val="00264554"/>
    <w:rsid w:val="002653D5"/>
    <w:rsid w:val="00270CF9"/>
    <w:rsid w:val="00283C52"/>
    <w:rsid w:val="00290F7D"/>
    <w:rsid w:val="002917D5"/>
    <w:rsid w:val="00291BC2"/>
    <w:rsid w:val="00293561"/>
    <w:rsid w:val="0029414B"/>
    <w:rsid w:val="00294982"/>
    <w:rsid w:val="002A4675"/>
    <w:rsid w:val="002A489F"/>
    <w:rsid w:val="002A62DB"/>
    <w:rsid w:val="002B1EE4"/>
    <w:rsid w:val="002B2057"/>
    <w:rsid w:val="002B4FDB"/>
    <w:rsid w:val="002B55F8"/>
    <w:rsid w:val="002B6B05"/>
    <w:rsid w:val="002C0BB9"/>
    <w:rsid w:val="002C179B"/>
    <w:rsid w:val="002C1CC6"/>
    <w:rsid w:val="002C3EC0"/>
    <w:rsid w:val="002C6815"/>
    <w:rsid w:val="002D1D2E"/>
    <w:rsid w:val="002D216D"/>
    <w:rsid w:val="002D57E3"/>
    <w:rsid w:val="002E0A72"/>
    <w:rsid w:val="002E2ED5"/>
    <w:rsid w:val="002E4AD1"/>
    <w:rsid w:val="002E6C71"/>
    <w:rsid w:val="002E7EDC"/>
    <w:rsid w:val="002F0540"/>
    <w:rsid w:val="002F190B"/>
    <w:rsid w:val="002F1DAB"/>
    <w:rsid w:val="002F3E43"/>
    <w:rsid w:val="002F6165"/>
    <w:rsid w:val="002F77E7"/>
    <w:rsid w:val="0030211D"/>
    <w:rsid w:val="00304AF9"/>
    <w:rsid w:val="0030616F"/>
    <w:rsid w:val="00310DA9"/>
    <w:rsid w:val="00311D17"/>
    <w:rsid w:val="00314718"/>
    <w:rsid w:val="0032197D"/>
    <w:rsid w:val="0032428C"/>
    <w:rsid w:val="0032690A"/>
    <w:rsid w:val="00326E0C"/>
    <w:rsid w:val="00331417"/>
    <w:rsid w:val="00332548"/>
    <w:rsid w:val="00335F7E"/>
    <w:rsid w:val="00336569"/>
    <w:rsid w:val="003400FE"/>
    <w:rsid w:val="00344271"/>
    <w:rsid w:val="00344392"/>
    <w:rsid w:val="003465D6"/>
    <w:rsid w:val="003524A6"/>
    <w:rsid w:val="003547E9"/>
    <w:rsid w:val="00354F25"/>
    <w:rsid w:val="00354F47"/>
    <w:rsid w:val="00360E3C"/>
    <w:rsid w:val="00362497"/>
    <w:rsid w:val="00364015"/>
    <w:rsid w:val="0036666A"/>
    <w:rsid w:val="00367611"/>
    <w:rsid w:val="00367CEF"/>
    <w:rsid w:val="00371C12"/>
    <w:rsid w:val="0037300B"/>
    <w:rsid w:val="0037333C"/>
    <w:rsid w:val="00374B73"/>
    <w:rsid w:val="00390830"/>
    <w:rsid w:val="0039114A"/>
    <w:rsid w:val="003916FF"/>
    <w:rsid w:val="00391BC7"/>
    <w:rsid w:val="00391E9C"/>
    <w:rsid w:val="003A46EB"/>
    <w:rsid w:val="003B0773"/>
    <w:rsid w:val="003B6763"/>
    <w:rsid w:val="003B69CB"/>
    <w:rsid w:val="003B6C19"/>
    <w:rsid w:val="003C1023"/>
    <w:rsid w:val="003C2AFD"/>
    <w:rsid w:val="003C307C"/>
    <w:rsid w:val="003C43FC"/>
    <w:rsid w:val="003C658B"/>
    <w:rsid w:val="003D0679"/>
    <w:rsid w:val="003D14B1"/>
    <w:rsid w:val="003E604E"/>
    <w:rsid w:val="003E6940"/>
    <w:rsid w:val="003E6FFA"/>
    <w:rsid w:val="003E72F0"/>
    <w:rsid w:val="003E7347"/>
    <w:rsid w:val="003F01AA"/>
    <w:rsid w:val="003F0722"/>
    <w:rsid w:val="003F44C9"/>
    <w:rsid w:val="00406820"/>
    <w:rsid w:val="00406F3E"/>
    <w:rsid w:val="00407792"/>
    <w:rsid w:val="004132B5"/>
    <w:rsid w:val="00416168"/>
    <w:rsid w:val="00417D34"/>
    <w:rsid w:val="00424E32"/>
    <w:rsid w:val="004261EB"/>
    <w:rsid w:val="004349A6"/>
    <w:rsid w:val="00435090"/>
    <w:rsid w:val="00435D2C"/>
    <w:rsid w:val="004377F0"/>
    <w:rsid w:val="0044024F"/>
    <w:rsid w:val="00440D89"/>
    <w:rsid w:val="0044239C"/>
    <w:rsid w:val="004464BD"/>
    <w:rsid w:val="0044650D"/>
    <w:rsid w:val="0044690F"/>
    <w:rsid w:val="00455098"/>
    <w:rsid w:val="00461C3F"/>
    <w:rsid w:val="00462FE6"/>
    <w:rsid w:val="00463160"/>
    <w:rsid w:val="00464A70"/>
    <w:rsid w:val="004667AA"/>
    <w:rsid w:val="00471EE7"/>
    <w:rsid w:val="004728CB"/>
    <w:rsid w:val="00472DE6"/>
    <w:rsid w:val="00473386"/>
    <w:rsid w:val="00473838"/>
    <w:rsid w:val="00476FDD"/>
    <w:rsid w:val="00477B48"/>
    <w:rsid w:val="00481274"/>
    <w:rsid w:val="00481663"/>
    <w:rsid w:val="00482F72"/>
    <w:rsid w:val="00484D8B"/>
    <w:rsid w:val="0048689B"/>
    <w:rsid w:val="00495A66"/>
    <w:rsid w:val="0049782B"/>
    <w:rsid w:val="004A0D99"/>
    <w:rsid w:val="004A3A5C"/>
    <w:rsid w:val="004A3CCE"/>
    <w:rsid w:val="004A79F6"/>
    <w:rsid w:val="004B14CD"/>
    <w:rsid w:val="004B2F0A"/>
    <w:rsid w:val="004B5202"/>
    <w:rsid w:val="004C252B"/>
    <w:rsid w:val="004C2CC9"/>
    <w:rsid w:val="004C3848"/>
    <w:rsid w:val="004C45BF"/>
    <w:rsid w:val="004C6BED"/>
    <w:rsid w:val="004D11BF"/>
    <w:rsid w:val="004D29C6"/>
    <w:rsid w:val="004D37A8"/>
    <w:rsid w:val="004D3D69"/>
    <w:rsid w:val="004D4E04"/>
    <w:rsid w:val="004D5251"/>
    <w:rsid w:val="004D68A2"/>
    <w:rsid w:val="004E1C5E"/>
    <w:rsid w:val="004E496D"/>
    <w:rsid w:val="004E78E2"/>
    <w:rsid w:val="004F19B4"/>
    <w:rsid w:val="004F6123"/>
    <w:rsid w:val="00502101"/>
    <w:rsid w:val="00507BE8"/>
    <w:rsid w:val="0051128A"/>
    <w:rsid w:val="00512016"/>
    <w:rsid w:val="00512A80"/>
    <w:rsid w:val="005141BC"/>
    <w:rsid w:val="00517520"/>
    <w:rsid w:val="00522C72"/>
    <w:rsid w:val="0052588D"/>
    <w:rsid w:val="00525DC5"/>
    <w:rsid w:val="005274D1"/>
    <w:rsid w:val="005279B9"/>
    <w:rsid w:val="005368B7"/>
    <w:rsid w:val="005370BE"/>
    <w:rsid w:val="00540090"/>
    <w:rsid w:val="00541E2D"/>
    <w:rsid w:val="00542814"/>
    <w:rsid w:val="00545177"/>
    <w:rsid w:val="0055464C"/>
    <w:rsid w:val="00554C6A"/>
    <w:rsid w:val="005627F8"/>
    <w:rsid w:val="0056487E"/>
    <w:rsid w:val="00565A7A"/>
    <w:rsid w:val="00566494"/>
    <w:rsid w:val="0057060C"/>
    <w:rsid w:val="00572492"/>
    <w:rsid w:val="00573D8C"/>
    <w:rsid w:val="005803FD"/>
    <w:rsid w:val="00583DF7"/>
    <w:rsid w:val="00591BC4"/>
    <w:rsid w:val="00595FEB"/>
    <w:rsid w:val="005A4436"/>
    <w:rsid w:val="005A4575"/>
    <w:rsid w:val="005A65B0"/>
    <w:rsid w:val="005A78CA"/>
    <w:rsid w:val="005A7AAE"/>
    <w:rsid w:val="005B6A65"/>
    <w:rsid w:val="005C03C9"/>
    <w:rsid w:val="005C09DC"/>
    <w:rsid w:val="005C11EE"/>
    <w:rsid w:val="005C1EF7"/>
    <w:rsid w:val="005C2304"/>
    <w:rsid w:val="005C4A3E"/>
    <w:rsid w:val="005D0378"/>
    <w:rsid w:val="005D681D"/>
    <w:rsid w:val="005D6C45"/>
    <w:rsid w:val="005E1C77"/>
    <w:rsid w:val="005E2069"/>
    <w:rsid w:val="005E3999"/>
    <w:rsid w:val="005E558D"/>
    <w:rsid w:val="005F40A5"/>
    <w:rsid w:val="005F7016"/>
    <w:rsid w:val="00606290"/>
    <w:rsid w:val="00611679"/>
    <w:rsid w:val="006153A6"/>
    <w:rsid w:val="00621D72"/>
    <w:rsid w:val="00622601"/>
    <w:rsid w:val="00625F62"/>
    <w:rsid w:val="00630EEE"/>
    <w:rsid w:val="0063648F"/>
    <w:rsid w:val="00636F3F"/>
    <w:rsid w:val="00637F60"/>
    <w:rsid w:val="0064025E"/>
    <w:rsid w:val="006424F4"/>
    <w:rsid w:val="006438A4"/>
    <w:rsid w:val="00645CF4"/>
    <w:rsid w:val="00657496"/>
    <w:rsid w:val="00660F1E"/>
    <w:rsid w:val="0066400A"/>
    <w:rsid w:val="00672B67"/>
    <w:rsid w:val="00690A8D"/>
    <w:rsid w:val="006927EE"/>
    <w:rsid w:val="006A140E"/>
    <w:rsid w:val="006A4AFA"/>
    <w:rsid w:val="006A7472"/>
    <w:rsid w:val="006B0914"/>
    <w:rsid w:val="006B2237"/>
    <w:rsid w:val="006B3540"/>
    <w:rsid w:val="006B4F57"/>
    <w:rsid w:val="006B7402"/>
    <w:rsid w:val="006C2024"/>
    <w:rsid w:val="006C20D6"/>
    <w:rsid w:val="006C2D38"/>
    <w:rsid w:val="006C356C"/>
    <w:rsid w:val="006D292A"/>
    <w:rsid w:val="006D365F"/>
    <w:rsid w:val="006D4713"/>
    <w:rsid w:val="006D5E15"/>
    <w:rsid w:val="006D67C7"/>
    <w:rsid w:val="006D6F6A"/>
    <w:rsid w:val="006E39B2"/>
    <w:rsid w:val="006E3C6D"/>
    <w:rsid w:val="006E5A81"/>
    <w:rsid w:val="006E7C53"/>
    <w:rsid w:val="006F348D"/>
    <w:rsid w:val="00700E48"/>
    <w:rsid w:val="007043D3"/>
    <w:rsid w:val="007067B8"/>
    <w:rsid w:val="007077C3"/>
    <w:rsid w:val="00713BCA"/>
    <w:rsid w:val="007236D3"/>
    <w:rsid w:val="00723DCA"/>
    <w:rsid w:val="00726A67"/>
    <w:rsid w:val="0073445A"/>
    <w:rsid w:val="0073715F"/>
    <w:rsid w:val="00740626"/>
    <w:rsid w:val="00741E86"/>
    <w:rsid w:val="00744B31"/>
    <w:rsid w:val="00747BFB"/>
    <w:rsid w:val="007526C6"/>
    <w:rsid w:val="00752A2F"/>
    <w:rsid w:val="00753E9F"/>
    <w:rsid w:val="007543B3"/>
    <w:rsid w:val="00754881"/>
    <w:rsid w:val="0075718B"/>
    <w:rsid w:val="007573E7"/>
    <w:rsid w:val="00761DE3"/>
    <w:rsid w:val="0076312E"/>
    <w:rsid w:val="00764170"/>
    <w:rsid w:val="00764259"/>
    <w:rsid w:val="007647D0"/>
    <w:rsid w:val="00764EFA"/>
    <w:rsid w:val="00771675"/>
    <w:rsid w:val="00772316"/>
    <w:rsid w:val="007736E1"/>
    <w:rsid w:val="007751A9"/>
    <w:rsid w:val="00777157"/>
    <w:rsid w:val="007810D1"/>
    <w:rsid w:val="00781796"/>
    <w:rsid w:val="0078350F"/>
    <w:rsid w:val="00785554"/>
    <w:rsid w:val="00785BAB"/>
    <w:rsid w:val="00786207"/>
    <w:rsid w:val="007917CA"/>
    <w:rsid w:val="00794800"/>
    <w:rsid w:val="007A0168"/>
    <w:rsid w:val="007A0E28"/>
    <w:rsid w:val="007A35C7"/>
    <w:rsid w:val="007B15B0"/>
    <w:rsid w:val="007B2745"/>
    <w:rsid w:val="007B37F7"/>
    <w:rsid w:val="007B48B8"/>
    <w:rsid w:val="007B676D"/>
    <w:rsid w:val="007C159E"/>
    <w:rsid w:val="007C533B"/>
    <w:rsid w:val="007D30DB"/>
    <w:rsid w:val="007D3F2D"/>
    <w:rsid w:val="007E4A65"/>
    <w:rsid w:val="007E6389"/>
    <w:rsid w:val="007E7F8C"/>
    <w:rsid w:val="007F074D"/>
    <w:rsid w:val="007F1615"/>
    <w:rsid w:val="007F2FBE"/>
    <w:rsid w:val="007F33B5"/>
    <w:rsid w:val="007F49B5"/>
    <w:rsid w:val="007F542F"/>
    <w:rsid w:val="00800DBE"/>
    <w:rsid w:val="00804EA0"/>
    <w:rsid w:val="008128F2"/>
    <w:rsid w:val="00814FAD"/>
    <w:rsid w:val="008171AD"/>
    <w:rsid w:val="008176F0"/>
    <w:rsid w:val="00821471"/>
    <w:rsid w:val="00821F50"/>
    <w:rsid w:val="008228BA"/>
    <w:rsid w:val="00824712"/>
    <w:rsid w:val="00825BD5"/>
    <w:rsid w:val="00825FB8"/>
    <w:rsid w:val="0082706A"/>
    <w:rsid w:val="00832731"/>
    <w:rsid w:val="008328CB"/>
    <w:rsid w:val="00832A72"/>
    <w:rsid w:val="00833A36"/>
    <w:rsid w:val="008355EF"/>
    <w:rsid w:val="00837366"/>
    <w:rsid w:val="008403BF"/>
    <w:rsid w:val="0084610A"/>
    <w:rsid w:val="00851C07"/>
    <w:rsid w:val="008520AB"/>
    <w:rsid w:val="00855D40"/>
    <w:rsid w:val="008561F5"/>
    <w:rsid w:val="00866CBD"/>
    <w:rsid w:val="008710DB"/>
    <w:rsid w:val="00871BE5"/>
    <w:rsid w:val="008735DE"/>
    <w:rsid w:val="0087389E"/>
    <w:rsid w:val="00885904"/>
    <w:rsid w:val="00886DF7"/>
    <w:rsid w:val="008936A7"/>
    <w:rsid w:val="00894770"/>
    <w:rsid w:val="00895A18"/>
    <w:rsid w:val="00895D26"/>
    <w:rsid w:val="00896292"/>
    <w:rsid w:val="008974B3"/>
    <w:rsid w:val="00897CF2"/>
    <w:rsid w:val="00897CF4"/>
    <w:rsid w:val="00897F28"/>
    <w:rsid w:val="008A19F8"/>
    <w:rsid w:val="008A1B44"/>
    <w:rsid w:val="008A475F"/>
    <w:rsid w:val="008A5591"/>
    <w:rsid w:val="008A6195"/>
    <w:rsid w:val="008B73D7"/>
    <w:rsid w:val="008B759B"/>
    <w:rsid w:val="008C1F05"/>
    <w:rsid w:val="008C2C50"/>
    <w:rsid w:val="008C5F49"/>
    <w:rsid w:val="008D4176"/>
    <w:rsid w:val="008D504A"/>
    <w:rsid w:val="008D5885"/>
    <w:rsid w:val="008D698A"/>
    <w:rsid w:val="008D71D0"/>
    <w:rsid w:val="008E0579"/>
    <w:rsid w:val="008E06D7"/>
    <w:rsid w:val="008E0A01"/>
    <w:rsid w:val="008F5F3B"/>
    <w:rsid w:val="008F75CC"/>
    <w:rsid w:val="008F7EA4"/>
    <w:rsid w:val="00906214"/>
    <w:rsid w:val="00906BAD"/>
    <w:rsid w:val="00906D7B"/>
    <w:rsid w:val="009070AF"/>
    <w:rsid w:val="00911655"/>
    <w:rsid w:val="009141EB"/>
    <w:rsid w:val="00914C01"/>
    <w:rsid w:val="00921DB9"/>
    <w:rsid w:val="0092622A"/>
    <w:rsid w:val="009269C5"/>
    <w:rsid w:val="00927240"/>
    <w:rsid w:val="00930707"/>
    <w:rsid w:val="00933989"/>
    <w:rsid w:val="00941CFB"/>
    <w:rsid w:val="0094228F"/>
    <w:rsid w:val="0094374C"/>
    <w:rsid w:val="00945249"/>
    <w:rsid w:val="00946BC4"/>
    <w:rsid w:val="00950238"/>
    <w:rsid w:val="0095212A"/>
    <w:rsid w:val="00952919"/>
    <w:rsid w:val="00956093"/>
    <w:rsid w:val="00956386"/>
    <w:rsid w:val="00963043"/>
    <w:rsid w:val="009676F2"/>
    <w:rsid w:val="00967BD2"/>
    <w:rsid w:val="0097035E"/>
    <w:rsid w:val="00971372"/>
    <w:rsid w:val="0097717F"/>
    <w:rsid w:val="00977673"/>
    <w:rsid w:val="009806A8"/>
    <w:rsid w:val="00981FFD"/>
    <w:rsid w:val="00985F8C"/>
    <w:rsid w:val="00990D03"/>
    <w:rsid w:val="00991EBA"/>
    <w:rsid w:val="00992F49"/>
    <w:rsid w:val="00995C58"/>
    <w:rsid w:val="009A016F"/>
    <w:rsid w:val="009A242F"/>
    <w:rsid w:val="009A2F9C"/>
    <w:rsid w:val="009A4026"/>
    <w:rsid w:val="009B271A"/>
    <w:rsid w:val="009B5B3A"/>
    <w:rsid w:val="009B742D"/>
    <w:rsid w:val="009C0CF8"/>
    <w:rsid w:val="009C6AEA"/>
    <w:rsid w:val="009C6F35"/>
    <w:rsid w:val="009D0F1A"/>
    <w:rsid w:val="009D388C"/>
    <w:rsid w:val="009D7303"/>
    <w:rsid w:val="009E0664"/>
    <w:rsid w:val="009E37D2"/>
    <w:rsid w:val="009E682C"/>
    <w:rsid w:val="009E7485"/>
    <w:rsid w:val="009F62B1"/>
    <w:rsid w:val="00A03814"/>
    <w:rsid w:val="00A102A1"/>
    <w:rsid w:val="00A13F20"/>
    <w:rsid w:val="00A15366"/>
    <w:rsid w:val="00A17FF7"/>
    <w:rsid w:val="00A20148"/>
    <w:rsid w:val="00A237F5"/>
    <w:rsid w:val="00A25AFF"/>
    <w:rsid w:val="00A306CF"/>
    <w:rsid w:val="00A340DA"/>
    <w:rsid w:val="00A365C5"/>
    <w:rsid w:val="00A41249"/>
    <w:rsid w:val="00A43C26"/>
    <w:rsid w:val="00A47169"/>
    <w:rsid w:val="00A51A41"/>
    <w:rsid w:val="00A534E4"/>
    <w:rsid w:val="00A53D08"/>
    <w:rsid w:val="00A54B5C"/>
    <w:rsid w:val="00A54B9C"/>
    <w:rsid w:val="00A638E5"/>
    <w:rsid w:val="00A642C8"/>
    <w:rsid w:val="00A64BD3"/>
    <w:rsid w:val="00A64E3E"/>
    <w:rsid w:val="00A6581B"/>
    <w:rsid w:val="00A726FA"/>
    <w:rsid w:val="00A8092B"/>
    <w:rsid w:val="00A8247B"/>
    <w:rsid w:val="00A859F6"/>
    <w:rsid w:val="00A8637A"/>
    <w:rsid w:val="00A90135"/>
    <w:rsid w:val="00A96531"/>
    <w:rsid w:val="00A965E2"/>
    <w:rsid w:val="00A967E4"/>
    <w:rsid w:val="00A9752C"/>
    <w:rsid w:val="00AA0948"/>
    <w:rsid w:val="00AA3345"/>
    <w:rsid w:val="00AA5BDD"/>
    <w:rsid w:val="00AB144E"/>
    <w:rsid w:val="00AB1ECF"/>
    <w:rsid w:val="00AB32C3"/>
    <w:rsid w:val="00AB445F"/>
    <w:rsid w:val="00AB6376"/>
    <w:rsid w:val="00AC1606"/>
    <w:rsid w:val="00AC433C"/>
    <w:rsid w:val="00AD1CEE"/>
    <w:rsid w:val="00AD2AD4"/>
    <w:rsid w:val="00AD76CB"/>
    <w:rsid w:val="00AE0EF1"/>
    <w:rsid w:val="00AE29FA"/>
    <w:rsid w:val="00AE3903"/>
    <w:rsid w:val="00AE44E5"/>
    <w:rsid w:val="00AE584A"/>
    <w:rsid w:val="00AF6213"/>
    <w:rsid w:val="00B03194"/>
    <w:rsid w:val="00B04193"/>
    <w:rsid w:val="00B0747E"/>
    <w:rsid w:val="00B1298C"/>
    <w:rsid w:val="00B14E48"/>
    <w:rsid w:val="00B15EBD"/>
    <w:rsid w:val="00B400BC"/>
    <w:rsid w:val="00B401E7"/>
    <w:rsid w:val="00B42439"/>
    <w:rsid w:val="00B436C7"/>
    <w:rsid w:val="00B45FC9"/>
    <w:rsid w:val="00B46546"/>
    <w:rsid w:val="00B52F4D"/>
    <w:rsid w:val="00B63B94"/>
    <w:rsid w:val="00B73A61"/>
    <w:rsid w:val="00B7425C"/>
    <w:rsid w:val="00B74C49"/>
    <w:rsid w:val="00B76904"/>
    <w:rsid w:val="00B805A1"/>
    <w:rsid w:val="00B8063A"/>
    <w:rsid w:val="00B80FBC"/>
    <w:rsid w:val="00B82925"/>
    <w:rsid w:val="00B852BD"/>
    <w:rsid w:val="00B86D95"/>
    <w:rsid w:val="00B9107C"/>
    <w:rsid w:val="00B92367"/>
    <w:rsid w:val="00B92FD0"/>
    <w:rsid w:val="00B93E9B"/>
    <w:rsid w:val="00BA19C6"/>
    <w:rsid w:val="00BA5351"/>
    <w:rsid w:val="00BA7C39"/>
    <w:rsid w:val="00BB1293"/>
    <w:rsid w:val="00BB3721"/>
    <w:rsid w:val="00BB5573"/>
    <w:rsid w:val="00BC0472"/>
    <w:rsid w:val="00BC0974"/>
    <w:rsid w:val="00BC14E6"/>
    <w:rsid w:val="00BC2E0E"/>
    <w:rsid w:val="00BC4A88"/>
    <w:rsid w:val="00BC59AA"/>
    <w:rsid w:val="00BC6E89"/>
    <w:rsid w:val="00BD0028"/>
    <w:rsid w:val="00BD1EDA"/>
    <w:rsid w:val="00BD2C91"/>
    <w:rsid w:val="00BE331A"/>
    <w:rsid w:val="00BE588B"/>
    <w:rsid w:val="00BE7179"/>
    <w:rsid w:val="00BF080E"/>
    <w:rsid w:val="00BF397E"/>
    <w:rsid w:val="00BF73B8"/>
    <w:rsid w:val="00C00C14"/>
    <w:rsid w:val="00C053A5"/>
    <w:rsid w:val="00C06A11"/>
    <w:rsid w:val="00C10F34"/>
    <w:rsid w:val="00C1104B"/>
    <w:rsid w:val="00C11F6A"/>
    <w:rsid w:val="00C124D2"/>
    <w:rsid w:val="00C135E0"/>
    <w:rsid w:val="00C139DA"/>
    <w:rsid w:val="00C203A4"/>
    <w:rsid w:val="00C22121"/>
    <w:rsid w:val="00C2279B"/>
    <w:rsid w:val="00C22C00"/>
    <w:rsid w:val="00C27FB1"/>
    <w:rsid w:val="00C325CA"/>
    <w:rsid w:val="00C334D3"/>
    <w:rsid w:val="00C3371D"/>
    <w:rsid w:val="00C341F0"/>
    <w:rsid w:val="00C3541D"/>
    <w:rsid w:val="00C35468"/>
    <w:rsid w:val="00C37542"/>
    <w:rsid w:val="00C37B0C"/>
    <w:rsid w:val="00C42A57"/>
    <w:rsid w:val="00C42D8D"/>
    <w:rsid w:val="00C43D51"/>
    <w:rsid w:val="00C44912"/>
    <w:rsid w:val="00C45C18"/>
    <w:rsid w:val="00C460E6"/>
    <w:rsid w:val="00C508C8"/>
    <w:rsid w:val="00C52CE2"/>
    <w:rsid w:val="00C57231"/>
    <w:rsid w:val="00C577C8"/>
    <w:rsid w:val="00C611D0"/>
    <w:rsid w:val="00C61813"/>
    <w:rsid w:val="00C6775B"/>
    <w:rsid w:val="00C7557E"/>
    <w:rsid w:val="00C77DF9"/>
    <w:rsid w:val="00C80D7E"/>
    <w:rsid w:val="00C859D9"/>
    <w:rsid w:val="00C91A9E"/>
    <w:rsid w:val="00CA070E"/>
    <w:rsid w:val="00CA6697"/>
    <w:rsid w:val="00CA7F1A"/>
    <w:rsid w:val="00CB4620"/>
    <w:rsid w:val="00CB7BC9"/>
    <w:rsid w:val="00CC00E5"/>
    <w:rsid w:val="00CC05ED"/>
    <w:rsid w:val="00CC623B"/>
    <w:rsid w:val="00CC6901"/>
    <w:rsid w:val="00CC698C"/>
    <w:rsid w:val="00CC7073"/>
    <w:rsid w:val="00CC72B3"/>
    <w:rsid w:val="00CD4F51"/>
    <w:rsid w:val="00CD5FB5"/>
    <w:rsid w:val="00CD691B"/>
    <w:rsid w:val="00CE01F6"/>
    <w:rsid w:val="00CE1796"/>
    <w:rsid w:val="00CE329A"/>
    <w:rsid w:val="00CF22E4"/>
    <w:rsid w:val="00CF4718"/>
    <w:rsid w:val="00CF4F80"/>
    <w:rsid w:val="00CF6268"/>
    <w:rsid w:val="00D01FB2"/>
    <w:rsid w:val="00D04B73"/>
    <w:rsid w:val="00D063C3"/>
    <w:rsid w:val="00D104AA"/>
    <w:rsid w:val="00D10516"/>
    <w:rsid w:val="00D11B92"/>
    <w:rsid w:val="00D1226D"/>
    <w:rsid w:val="00D13021"/>
    <w:rsid w:val="00D15865"/>
    <w:rsid w:val="00D1759C"/>
    <w:rsid w:val="00D17609"/>
    <w:rsid w:val="00D226E9"/>
    <w:rsid w:val="00D2501B"/>
    <w:rsid w:val="00D35F06"/>
    <w:rsid w:val="00D44D9E"/>
    <w:rsid w:val="00D51406"/>
    <w:rsid w:val="00D514BC"/>
    <w:rsid w:val="00D51C1B"/>
    <w:rsid w:val="00D5337D"/>
    <w:rsid w:val="00D573DB"/>
    <w:rsid w:val="00D57C1A"/>
    <w:rsid w:val="00D57F55"/>
    <w:rsid w:val="00D6070E"/>
    <w:rsid w:val="00D653A4"/>
    <w:rsid w:val="00D670D1"/>
    <w:rsid w:val="00D67A1C"/>
    <w:rsid w:val="00D71FA6"/>
    <w:rsid w:val="00D72EA6"/>
    <w:rsid w:val="00D74AB0"/>
    <w:rsid w:val="00D74D50"/>
    <w:rsid w:val="00D76171"/>
    <w:rsid w:val="00D76785"/>
    <w:rsid w:val="00D806A7"/>
    <w:rsid w:val="00D80DF1"/>
    <w:rsid w:val="00D80E69"/>
    <w:rsid w:val="00D87563"/>
    <w:rsid w:val="00D9002B"/>
    <w:rsid w:val="00D90060"/>
    <w:rsid w:val="00D95416"/>
    <w:rsid w:val="00D954E5"/>
    <w:rsid w:val="00DA1A20"/>
    <w:rsid w:val="00DA4E21"/>
    <w:rsid w:val="00DA556F"/>
    <w:rsid w:val="00DA5665"/>
    <w:rsid w:val="00DA5707"/>
    <w:rsid w:val="00DA63C2"/>
    <w:rsid w:val="00DA666C"/>
    <w:rsid w:val="00DB02D5"/>
    <w:rsid w:val="00DB0E58"/>
    <w:rsid w:val="00DC218F"/>
    <w:rsid w:val="00DC2694"/>
    <w:rsid w:val="00DC274D"/>
    <w:rsid w:val="00DC7ACB"/>
    <w:rsid w:val="00DD15B1"/>
    <w:rsid w:val="00DD2A2A"/>
    <w:rsid w:val="00DD5B92"/>
    <w:rsid w:val="00DD6117"/>
    <w:rsid w:val="00DE00B4"/>
    <w:rsid w:val="00DE1509"/>
    <w:rsid w:val="00DE43F9"/>
    <w:rsid w:val="00DE547A"/>
    <w:rsid w:val="00DE74D8"/>
    <w:rsid w:val="00DF6272"/>
    <w:rsid w:val="00E001EF"/>
    <w:rsid w:val="00E0445B"/>
    <w:rsid w:val="00E06F69"/>
    <w:rsid w:val="00E11153"/>
    <w:rsid w:val="00E11DC2"/>
    <w:rsid w:val="00E12C5A"/>
    <w:rsid w:val="00E17AA6"/>
    <w:rsid w:val="00E21A76"/>
    <w:rsid w:val="00E2209F"/>
    <w:rsid w:val="00E227B7"/>
    <w:rsid w:val="00E25271"/>
    <w:rsid w:val="00E2642F"/>
    <w:rsid w:val="00E316AE"/>
    <w:rsid w:val="00E31734"/>
    <w:rsid w:val="00E32E72"/>
    <w:rsid w:val="00E335EA"/>
    <w:rsid w:val="00E34756"/>
    <w:rsid w:val="00E35140"/>
    <w:rsid w:val="00E3544D"/>
    <w:rsid w:val="00E36121"/>
    <w:rsid w:val="00E36835"/>
    <w:rsid w:val="00E422E1"/>
    <w:rsid w:val="00E43F4C"/>
    <w:rsid w:val="00E531BE"/>
    <w:rsid w:val="00E56A48"/>
    <w:rsid w:val="00E60FDF"/>
    <w:rsid w:val="00E61EC0"/>
    <w:rsid w:val="00E622F8"/>
    <w:rsid w:val="00E64F8B"/>
    <w:rsid w:val="00E669DC"/>
    <w:rsid w:val="00E7257C"/>
    <w:rsid w:val="00E72826"/>
    <w:rsid w:val="00E73493"/>
    <w:rsid w:val="00E76B62"/>
    <w:rsid w:val="00E76C7A"/>
    <w:rsid w:val="00E76FFB"/>
    <w:rsid w:val="00E774D6"/>
    <w:rsid w:val="00E81613"/>
    <w:rsid w:val="00E81E10"/>
    <w:rsid w:val="00E8238C"/>
    <w:rsid w:val="00E87FA7"/>
    <w:rsid w:val="00E916AB"/>
    <w:rsid w:val="00E91C88"/>
    <w:rsid w:val="00E93AA0"/>
    <w:rsid w:val="00E941FA"/>
    <w:rsid w:val="00EA126E"/>
    <w:rsid w:val="00EA2E3B"/>
    <w:rsid w:val="00EA3AA0"/>
    <w:rsid w:val="00EA3F6A"/>
    <w:rsid w:val="00EA5679"/>
    <w:rsid w:val="00EA77E1"/>
    <w:rsid w:val="00EB093A"/>
    <w:rsid w:val="00EB0FF8"/>
    <w:rsid w:val="00EB5314"/>
    <w:rsid w:val="00EB66C3"/>
    <w:rsid w:val="00EC15C9"/>
    <w:rsid w:val="00EC24E7"/>
    <w:rsid w:val="00EC25E6"/>
    <w:rsid w:val="00EC4C67"/>
    <w:rsid w:val="00ED3451"/>
    <w:rsid w:val="00ED5F1A"/>
    <w:rsid w:val="00ED6917"/>
    <w:rsid w:val="00ED69EE"/>
    <w:rsid w:val="00ED7875"/>
    <w:rsid w:val="00ED7C7E"/>
    <w:rsid w:val="00EF2E45"/>
    <w:rsid w:val="00EF43C5"/>
    <w:rsid w:val="00F04462"/>
    <w:rsid w:val="00F06853"/>
    <w:rsid w:val="00F06E84"/>
    <w:rsid w:val="00F07E1C"/>
    <w:rsid w:val="00F16D32"/>
    <w:rsid w:val="00F1733A"/>
    <w:rsid w:val="00F17AD7"/>
    <w:rsid w:val="00F202B4"/>
    <w:rsid w:val="00F20855"/>
    <w:rsid w:val="00F22B1E"/>
    <w:rsid w:val="00F260C6"/>
    <w:rsid w:val="00F277D2"/>
    <w:rsid w:val="00F32EB0"/>
    <w:rsid w:val="00F34519"/>
    <w:rsid w:val="00F36EB2"/>
    <w:rsid w:val="00F43C4E"/>
    <w:rsid w:val="00F45E43"/>
    <w:rsid w:val="00F51999"/>
    <w:rsid w:val="00F51CC1"/>
    <w:rsid w:val="00F51DD8"/>
    <w:rsid w:val="00F614CF"/>
    <w:rsid w:val="00F61AA8"/>
    <w:rsid w:val="00F6588E"/>
    <w:rsid w:val="00F75424"/>
    <w:rsid w:val="00F758F7"/>
    <w:rsid w:val="00F76FED"/>
    <w:rsid w:val="00F77F0D"/>
    <w:rsid w:val="00F82D7F"/>
    <w:rsid w:val="00F87A45"/>
    <w:rsid w:val="00F87FC8"/>
    <w:rsid w:val="00F92BB8"/>
    <w:rsid w:val="00F95F1D"/>
    <w:rsid w:val="00FA2C2D"/>
    <w:rsid w:val="00FA4828"/>
    <w:rsid w:val="00FA7A66"/>
    <w:rsid w:val="00FB252B"/>
    <w:rsid w:val="00FB43FA"/>
    <w:rsid w:val="00FB66CA"/>
    <w:rsid w:val="00FB6D1B"/>
    <w:rsid w:val="00FC1BFB"/>
    <w:rsid w:val="00FC2689"/>
    <w:rsid w:val="00FC4094"/>
    <w:rsid w:val="00FC5225"/>
    <w:rsid w:val="00FD3627"/>
    <w:rsid w:val="00FD62C9"/>
    <w:rsid w:val="00FE52F0"/>
    <w:rsid w:val="00FF0408"/>
    <w:rsid w:val="00FF1AF6"/>
    <w:rsid w:val="00FF2601"/>
    <w:rsid w:val="00FF2A05"/>
    <w:rsid w:val="00FF416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F03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s" w:eastAsia="es-AR"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436C7"/>
  </w:style>
  <w:style w:type="paragraph" w:styleId="Heading1">
    <w:name w:val="heading 1"/>
    <w:basedOn w:val="Normal"/>
    <w:next w:val="Normal"/>
    <w:rsid w:val="00A965E2"/>
    <w:pPr>
      <w:keepNext/>
      <w:keepLines/>
      <w:pBdr>
        <w:top w:val="none" w:sz="0" w:space="0" w:color="auto"/>
        <w:left w:val="none" w:sz="0" w:space="0" w:color="auto"/>
        <w:bottom w:val="single" w:sz="4" w:space="1" w:color="auto"/>
        <w:right w:val="none" w:sz="0" w:space="0" w:color="auto"/>
        <w:between w:val="none" w:sz="0" w:space="0" w:color="auto"/>
      </w:pBdr>
      <w:spacing w:before="400" w:after="120"/>
      <w:outlineLvl w:val="0"/>
    </w:pPr>
    <w:rPr>
      <w:b/>
      <w:sz w:val="32"/>
      <w:szCs w:val="40"/>
    </w:rPr>
  </w:style>
  <w:style w:type="paragraph" w:styleId="Heading2">
    <w:name w:val="heading 2"/>
    <w:basedOn w:val="Normal"/>
    <w:next w:val="Normal"/>
    <w:rsid w:val="00A965E2"/>
    <w:pPr>
      <w:keepNext/>
      <w:keepLines/>
      <w:spacing w:before="240"/>
      <w:outlineLvl w:val="1"/>
    </w:pPr>
    <w:rPr>
      <w:sz w:val="28"/>
      <w:szCs w:val="32"/>
    </w:rPr>
  </w:style>
  <w:style w:type="paragraph" w:styleId="Heading3">
    <w:name w:val="heading 3"/>
    <w:basedOn w:val="Normal"/>
    <w:next w:val="Normal"/>
    <w:rsid w:val="00A965E2"/>
    <w:pPr>
      <w:keepNext/>
      <w:keepLines/>
      <w:spacing w:before="240"/>
      <w:outlineLvl w:val="2"/>
    </w:pPr>
    <w:rPr>
      <w:b/>
      <w:color w:val="auto"/>
      <w:sz w:val="24"/>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rsid w:val="00B436C7"/>
    <w:pPr>
      <w:keepNext/>
      <w:keepLines/>
      <w:spacing w:before="2520" w:after="60"/>
      <w:jc w:val="center"/>
    </w:pPr>
    <w:rPr>
      <w:color w:val="00B0F0"/>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nhideWhenUsed/>
    <w:rsid w:val="001A073C"/>
    <w:pPr>
      <w:tabs>
        <w:tab w:val="center" w:pos="4252"/>
        <w:tab w:val="right" w:pos="8504"/>
      </w:tabs>
      <w:spacing w:line="240" w:lineRule="auto"/>
    </w:pPr>
  </w:style>
  <w:style w:type="character" w:customStyle="1" w:styleId="HeaderChar">
    <w:name w:val="Header Char"/>
    <w:basedOn w:val="DefaultParagraphFont"/>
    <w:link w:val="Header"/>
    <w:rsid w:val="001A073C"/>
  </w:style>
  <w:style w:type="paragraph" w:styleId="Footer">
    <w:name w:val="footer"/>
    <w:basedOn w:val="Normal"/>
    <w:link w:val="FooterChar"/>
    <w:uiPriority w:val="99"/>
    <w:unhideWhenUsed/>
    <w:rsid w:val="001A073C"/>
    <w:pPr>
      <w:tabs>
        <w:tab w:val="center" w:pos="4252"/>
        <w:tab w:val="right" w:pos="8504"/>
      </w:tabs>
      <w:spacing w:line="240" w:lineRule="auto"/>
    </w:pPr>
  </w:style>
  <w:style w:type="character" w:customStyle="1" w:styleId="FooterChar">
    <w:name w:val="Footer Char"/>
    <w:basedOn w:val="DefaultParagraphFont"/>
    <w:link w:val="Footer"/>
    <w:uiPriority w:val="99"/>
    <w:rsid w:val="001A073C"/>
  </w:style>
  <w:style w:type="paragraph" w:styleId="BalloonText">
    <w:name w:val="Balloon Text"/>
    <w:basedOn w:val="Normal"/>
    <w:link w:val="BalloonTextChar"/>
    <w:uiPriority w:val="99"/>
    <w:semiHidden/>
    <w:unhideWhenUsed/>
    <w:rsid w:val="005C09D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9DC"/>
    <w:rPr>
      <w:rFonts w:ascii="Tahoma" w:hAnsi="Tahoma" w:cs="Tahoma"/>
      <w:sz w:val="16"/>
      <w:szCs w:val="16"/>
    </w:rPr>
  </w:style>
  <w:style w:type="paragraph" w:styleId="ListParagraph">
    <w:name w:val="List Paragraph"/>
    <w:aliases w:val="Recommendation,List Paragraph1,List Paragraph11,L,F5 List Paragraph,Dot pt,CV text,Table text,List Paragraph111,Medium Grid 1 - Accent 21,Numbered Paragraph,List Paragraph2,Bulleted Para,NFP GP Bulleted List,FooterText,numbered,列出段落"/>
    <w:basedOn w:val="Normal"/>
    <w:link w:val="ListParagraphChar"/>
    <w:uiPriority w:val="34"/>
    <w:qFormat/>
    <w:rsid w:val="005C09DC"/>
    <w:pPr>
      <w:pBdr>
        <w:top w:val="none" w:sz="0" w:space="0" w:color="auto"/>
        <w:left w:val="none" w:sz="0" w:space="0" w:color="auto"/>
        <w:bottom w:val="none" w:sz="0" w:space="0" w:color="auto"/>
        <w:right w:val="none" w:sz="0" w:space="0" w:color="auto"/>
        <w:between w:val="none" w:sz="0" w:space="0" w:color="auto"/>
      </w:pBdr>
      <w:spacing w:after="160" w:line="259" w:lineRule="auto"/>
      <w:ind w:left="720"/>
      <w:contextualSpacing/>
    </w:pPr>
    <w:rPr>
      <w:rFonts w:asciiTheme="minorHAnsi" w:eastAsiaTheme="minorHAnsi" w:hAnsiTheme="minorHAnsi" w:cstheme="minorBidi"/>
      <w:color w:val="auto"/>
      <w:lang w:val="es-AR" w:eastAsia="en-US"/>
    </w:rPr>
  </w:style>
  <w:style w:type="paragraph" w:styleId="FootnoteText">
    <w:name w:val="footnote text"/>
    <w:aliases w:val="Footnote Text Char,Footnote Text Char Char Char,single space,fn,FOOTNOTES,Footnote Text Char Char Char Char Char Char,Fußnotentextr,Char,single space Char Char,single space Char,single space Char Car Car Car Car,Geneva 9,f"/>
    <w:basedOn w:val="Normal"/>
    <w:link w:val="FootnoteTextChar1"/>
    <w:uiPriority w:val="99"/>
    <w:unhideWhenUsed/>
    <w:rsid w:val="005C09DC"/>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sz w:val="20"/>
      <w:szCs w:val="20"/>
      <w:lang w:val="es-AR" w:eastAsia="en-US"/>
    </w:rPr>
  </w:style>
  <w:style w:type="character" w:customStyle="1" w:styleId="FootnoteTextChar1">
    <w:name w:val="Footnote Text Char1"/>
    <w:aliases w:val="Footnote Text Char Char,Footnote Text Char Char Char Char,single space Char1,fn Char,FOOTNOTES Char,Footnote Text Char Char Char Char Char Char Char,Fußnotentextr Char,Char Char,single space Char Char Char,single space Char Char1"/>
    <w:basedOn w:val="DefaultParagraphFont"/>
    <w:link w:val="FootnoteText"/>
    <w:uiPriority w:val="99"/>
    <w:rsid w:val="005C09DC"/>
    <w:rPr>
      <w:rFonts w:asciiTheme="minorHAnsi" w:eastAsiaTheme="minorHAnsi" w:hAnsiTheme="minorHAnsi" w:cstheme="minorBidi"/>
      <w:color w:val="auto"/>
      <w:sz w:val="20"/>
      <w:szCs w:val="20"/>
      <w:lang w:val="es-AR" w:eastAsia="en-US"/>
    </w:rPr>
  </w:style>
  <w:style w:type="character" w:styleId="FootnoteReference">
    <w:name w:val="footnote reference"/>
    <w:aliases w:val="Ref,de nota al pie,Texto nota al pie"/>
    <w:basedOn w:val="DefaultParagraphFont"/>
    <w:uiPriority w:val="99"/>
    <w:semiHidden/>
    <w:unhideWhenUsed/>
    <w:rsid w:val="005C09DC"/>
    <w:rPr>
      <w:vertAlign w:val="superscript"/>
    </w:rPr>
  </w:style>
  <w:style w:type="character" w:customStyle="1" w:styleId="ListParagraphChar">
    <w:name w:val="List Paragraph Char"/>
    <w:aliases w:val="Recommendation Char,List Paragraph1 Char,List Paragraph11 Char,L Char,F5 List Paragraph Char,Dot pt Char,CV text Char,Table text Char,List Paragraph111 Char,Medium Grid 1 - Accent 21 Char,Numbered Paragraph Char,List Paragraph2 Char"/>
    <w:link w:val="ListParagraph"/>
    <w:uiPriority w:val="34"/>
    <w:qFormat/>
    <w:rsid w:val="005C09DC"/>
    <w:rPr>
      <w:rFonts w:asciiTheme="minorHAnsi" w:eastAsiaTheme="minorHAnsi" w:hAnsiTheme="minorHAnsi" w:cstheme="minorBidi"/>
      <w:color w:val="auto"/>
      <w:lang w:val="es-AR" w:eastAsia="en-US"/>
    </w:rPr>
  </w:style>
  <w:style w:type="table" w:customStyle="1" w:styleId="Tablaconcuadrcula1">
    <w:name w:val="Tabla con cuadrícula1"/>
    <w:basedOn w:val="TableNormal"/>
    <w:next w:val="TableGrid"/>
    <w:uiPriority w:val="59"/>
    <w:rsid w:val="005C09DC"/>
    <w:pPr>
      <w:pBdr>
        <w:top w:val="none" w:sz="0" w:space="0" w:color="auto"/>
        <w:left w:val="none" w:sz="0" w:space="0" w:color="auto"/>
        <w:bottom w:val="none" w:sz="0" w:space="0" w:color="auto"/>
        <w:right w:val="none" w:sz="0" w:space="0" w:color="auto"/>
        <w:between w:val="none" w:sz="0" w:space="0" w:color="auto"/>
      </w:pBdr>
      <w:spacing w:line="240" w:lineRule="auto"/>
    </w:pPr>
    <w:rPr>
      <w:rFonts w:eastAsiaTheme="minorHAnsi" w:cstheme="minorBidi"/>
      <w:color w:val="auto"/>
      <w:sz w:val="24"/>
      <w:lang w:val="es-A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C09D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Normal"/>
    <w:rsid w:val="00502101"/>
    <w:pPr>
      <w:pBdr>
        <w:top w:val="none" w:sz="0" w:space="0" w:color="auto"/>
        <w:left w:val="none" w:sz="0" w:space="0" w:color="auto"/>
        <w:bottom w:val="none" w:sz="0" w:space="0" w:color="auto"/>
        <w:right w:val="none" w:sz="0" w:space="0" w:color="auto"/>
        <w:between w:val="none" w:sz="0" w:space="0" w:color="auto"/>
      </w:pBdr>
      <w:spacing w:line="240" w:lineRule="auto"/>
      <w:ind w:left="720"/>
      <w:contextualSpacing/>
    </w:pPr>
    <w:rPr>
      <w:rFonts w:ascii="Times New Roman" w:eastAsia="Times New Roman" w:hAnsi="Times New Roman" w:cs="Times New Roman"/>
      <w:color w:val="auto"/>
      <w:sz w:val="24"/>
      <w:szCs w:val="24"/>
      <w:lang w:val="en-US" w:eastAsia="en-US"/>
    </w:rPr>
  </w:style>
  <w:style w:type="paragraph" w:customStyle="1" w:styleId="note">
    <w:name w:val="note"/>
    <w:basedOn w:val="Normal"/>
    <w:rsid w:val="00502101"/>
    <w:pPr>
      <w:pBdr>
        <w:top w:val="none" w:sz="0" w:space="0" w:color="auto"/>
        <w:left w:val="none" w:sz="0" w:space="0" w:color="auto"/>
        <w:bottom w:val="none" w:sz="0" w:space="0" w:color="auto"/>
        <w:right w:val="none" w:sz="0" w:space="0" w:color="auto"/>
        <w:between w:val="none" w:sz="0" w:space="0" w:color="auto"/>
      </w:pBdr>
      <w:spacing w:line="240" w:lineRule="auto"/>
    </w:pPr>
    <w:rPr>
      <w:rFonts w:ascii="Cambria" w:eastAsia="Calibri" w:hAnsi="Cambria" w:cs="Times New Roman"/>
      <w:color w:val="auto"/>
      <w:sz w:val="18"/>
      <w:lang w:val="en-US" w:eastAsia="en-US"/>
    </w:rPr>
  </w:style>
  <w:style w:type="paragraph" w:customStyle="1" w:styleId="SectionHeading">
    <w:name w:val="Section Heading"/>
    <w:basedOn w:val="Heading1"/>
    <w:link w:val="SectionHeadingChar"/>
    <w:qFormat/>
    <w:rsid w:val="00B436C7"/>
    <w:pPr>
      <w:spacing w:after="200"/>
    </w:pPr>
    <w:rPr>
      <w:b w:val="0"/>
      <w:color w:val="auto"/>
      <w:szCs w:val="20"/>
      <w:lang w:val="en-US"/>
    </w:rPr>
  </w:style>
  <w:style w:type="character" w:styleId="IntenseEmphasis">
    <w:name w:val="Intense Emphasis"/>
    <w:basedOn w:val="DefaultParagraphFont"/>
    <w:uiPriority w:val="21"/>
    <w:rsid w:val="008176F0"/>
    <w:rPr>
      <w:i/>
      <w:iCs/>
      <w:color w:val="5B9BD5" w:themeColor="accent1"/>
    </w:rPr>
  </w:style>
  <w:style w:type="character" w:customStyle="1" w:styleId="SectionHeadingChar">
    <w:name w:val="Section Heading Char"/>
    <w:basedOn w:val="DefaultParagraphFont"/>
    <w:link w:val="SectionHeading"/>
    <w:rsid w:val="00B436C7"/>
    <w:rPr>
      <w:b/>
      <w:color w:val="auto"/>
      <w:sz w:val="32"/>
      <w:szCs w:val="20"/>
      <w:lang w:val="en-US"/>
    </w:rPr>
  </w:style>
  <w:style w:type="paragraph" w:customStyle="1" w:styleId="BodyText1">
    <w:name w:val="Body Text1"/>
    <w:basedOn w:val="Normal"/>
    <w:link w:val="BodytextChar"/>
    <w:qFormat/>
    <w:rsid w:val="00463160"/>
    <w:pPr>
      <w:jc w:val="both"/>
    </w:pPr>
    <w:rPr>
      <w:bCs/>
      <w:color w:val="auto"/>
      <w:sz w:val="20"/>
      <w:szCs w:val="20"/>
      <w:lang w:val="en-US"/>
    </w:rPr>
  </w:style>
  <w:style w:type="paragraph" w:customStyle="1" w:styleId="Table">
    <w:name w:val="Table"/>
    <w:basedOn w:val="Normal"/>
    <w:link w:val="TableChar"/>
    <w:qFormat/>
    <w:rsid w:val="00463160"/>
    <w:pPr>
      <w:jc w:val="both"/>
    </w:pPr>
    <w:rPr>
      <w:bCs/>
      <w:color w:val="auto"/>
      <w:sz w:val="18"/>
      <w:szCs w:val="18"/>
    </w:rPr>
  </w:style>
  <w:style w:type="character" w:customStyle="1" w:styleId="BodytextChar">
    <w:name w:val="Body text Char"/>
    <w:basedOn w:val="DefaultParagraphFont"/>
    <w:link w:val="BodyText1"/>
    <w:rsid w:val="00463160"/>
    <w:rPr>
      <w:bCs/>
      <w:color w:val="auto"/>
      <w:sz w:val="20"/>
      <w:szCs w:val="20"/>
      <w:lang w:val="en-US"/>
    </w:rPr>
  </w:style>
  <w:style w:type="paragraph" w:customStyle="1" w:styleId="Tableheading">
    <w:name w:val="Table heading"/>
    <w:basedOn w:val="Normal"/>
    <w:link w:val="TableheadingChar"/>
    <w:qFormat/>
    <w:rsid w:val="00463160"/>
    <w:pPr>
      <w:ind w:right="-1638"/>
      <w:jc w:val="both"/>
    </w:pPr>
    <w:rPr>
      <w:b/>
      <w:color w:val="auto"/>
      <w:szCs w:val="20"/>
      <w:lang w:val="en-US"/>
    </w:rPr>
  </w:style>
  <w:style w:type="character" w:customStyle="1" w:styleId="TableChar">
    <w:name w:val="Table Char"/>
    <w:basedOn w:val="DefaultParagraphFont"/>
    <w:link w:val="Table"/>
    <w:rsid w:val="00463160"/>
    <w:rPr>
      <w:bCs/>
      <w:color w:val="auto"/>
      <w:sz w:val="18"/>
      <w:szCs w:val="18"/>
    </w:rPr>
  </w:style>
  <w:style w:type="paragraph" w:customStyle="1" w:styleId="Subheading">
    <w:name w:val="Subheading"/>
    <w:basedOn w:val="Normal"/>
    <w:link w:val="SubheadingChar"/>
    <w:qFormat/>
    <w:rsid w:val="00463160"/>
    <w:pPr>
      <w:jc w:val="both"/>
    </w:pPr>
    <w:rPr>
      <w:b/>
      <w:color w:val="auto"/>
      <w:sz w:val="28"/>
      <w:szCs w:val="20"/>
      <w:lang w:val="en-US"/>
    </w:rPr>
  </w:style>
  <w:style w:type="character" w:customStyle="1" w:styleId="TableheadingChar">
    <w:name w:val="Table heading Char"/>
    <w:basedOn w:val="DefaultParagraphFont"/>
    <w:link w:val="Tableheading"/>
    <w:rsid w:val="00463160"/>
    <w:rPr>
      <w:b/>
      <w:color w:val="auto"/>
      <w:szCs w:val="20"/>
      <w:lang w:val="en-US"/>
    </w:rPr>
  </w:style>
  <w:style w:type="paragraph" w:customStyle="1" w:styleId="Default">
    <w:name w:val="Default"/>
    <w:rsid w:val="006B4F5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ascii="Myriad Pro Light" w:eastAsia="Calibri" w:hAnsi="Myriad Pro Light" w:cs="Myriad Pro Light"/>
      <w:sz w:val="24"/>
      <w:szCs w:val="24"/>
      <w:lang w:val="en-AU" w:eastAsia="en-US"/>
    </w:rPr>
  </w:style>
  <w:style w:type="character" w:customStyle="1" w:styleId="SubheadingChar">
    <w:name w:val="Subheading Char"/>
    <w:basedOn w:val="DefaultParagraphFont"/>
    <w:link w:val="Subheading"/>
    <w:rsid w:val="00463160"/>
    <w:rPr>
      <w:b/>
      <w:color w:val="auto"/>
      <w:sz w:val="28"/>
      <w:szCs w:val="20"/>
      <w:lang w:val="en-US"/>
    </w:rPr>
  </w:style>
  <w:style w:type="paragraph" w:styleId="TOC3">
    <w:name w:val="toc 3"/>
    <w:basedOn w:val="Normal"/>
    <w:next w:val="Normal"/>
    <w:autoRedefine/>
    <w:uiPriority w:val="39"/>
    <w:unhideWhenUsed/>
    <w:qFormat/>
    <w:rsid w:val="006B4F57"/>
    <w:pPr>
      <w:widowControl w:val="0"/>
      <w:pBdr>
        <w:top w:val="none" w:sz="0" w:space="0" w:color="auto"/>
        <w:left w:val="none" w:sz="0" w:space="0" w:color="auto"/>
        <w:bottom w:val="none" w:sz="0" w:space="0" w:color="auto"/>
        <w:right w:val="none" w:sz="0" w:space="0" w:color="auto"/>
        <w:between w:val="none" w:sz="0" w:space="0" w:color="auto"/>
      </w:pBdr>
      <w:spacing w:line="240" w:lineRule="auto"/>
      <w:ind w:left="420"/>
    </w:pPr>
    <w:rPr>
      <w:rFonts w:asciiTheme="minorHAnsi" w:eastAsia="SimSun" w:hAnsiTheme="minorHAnsi" w:cstheme="minorHAnsi"/>
      <w:i/>
      <w:iCs/>
      <w:color w:val="auto"/>
      <w:kern w:val="2"/>
      <w:sz w:val="20"/>
      <w:szCs w:val="20"/>
      <w:lang w:val="en-US" w:eastAsia="zh-CN"/>
    </w:rPr>
  </w:style>
  <w:style w:type="paragraph" w:customStyle="1" w:styleId="Sub-subheading">
    <w:name w:val="Sub-sub heading"/>
    <w:basedOn w:val="Subheading"/>
    <w:link w:val="Sub-subheadingChar"/>
    <w:qFormat/>
    <w:rsid w:val="000779B5"/>
    <w:rPr>
      <w:sz w:val="24"/>
      <w:szCs w:val="22"/>
    </w:rPr>
  </w:style>
  <w:style w:type="paragraph" w:customStyle="1" w:styleId="TableTextBase">
    <w:name w:val="Table Text Base"/>
    <w:link w:val="TableTextBaseChar"/>
    <w:rsid w:val="00D51406"/>
    <w:pPr>
      <w:pBdr>
        <w:top w:val="none" w:sz="0" w:space="0" w:color="auto"/>
        <w:left w:val="none" w:sz="0" w:space="0" w:color="auto"/>
        <w:bottom w:val="none" w:sz="0" w:space="0" w:color="auto"/>
        <w:right w:val="none" w:sz="0" w:space="0" w:color="auto"/>
        <w:between w:val="none" w:sz="0" w:space="0" w:color="auto"/>
      </w:pBdr>
      <w:spacing w:before="60" w:after="60" w:line="240" w:lineRule="auto"/>
    </w:pPr>
    <w:rPr>
      <w:rFonts w:eastAsia="Times New Roman" w:cs="Times New Roman"/>
      <w:sz w:val="18"/>
      <w:szCs w:val="20"/>
      <w:lang w:val="en-AU" w:eastAsia="en-AU"/>
    </w:rPr>
  </w:style>
  <w:style w:type="character" w:customStyle="1" w:styleId="Sub-subheadingChar">
    <w:name w:val="Sub-sub heading Char"/>
    <w:basedOn w:val="SubheadingChar"/>
    <w:link w:val="Sub-subheading"/>
    <w:rsid w:val="000779B5"/>
    <w:rPr>
      <w:b/>
      <w:color w:val="004F80"/>
      <w:sz w:val="24"/>
      <w:szCs w:val="20"/>
      <w:lang w:val="en-US"/>
    </w:rPr>
  </w:style>
  <w:style w:type="character" w:customStyle="1" w:styleId="TableTextBaseChar">
    <w:name w:val="Table Text Base Char"/>
    <w:basedOn w:val="DefaultParagraphFont"/>
    <w:link w:val="TableTextBase"/>
    <w:rsid w:val="00D51406"/>
    <w:rPr>
      <w:rFonts w:eastAsia="Times New Roman" w:cs="Times New Roman"/>
      <w:sz w:val="18"/>
      <w:szCs w:val="20"/>
      <w:lang w:val="en-AU" w:eastAsia="en-AU"/>
    </w:rPr>
  </w:style>
  <w:style w:type="paragraph" w:styleId="NormalWeb">
    <w:name w:val="Normal (Web)"/>
    <w:basedOn w:val="Normal"/>
    <w:uiPriority w:val="99"/>
    <w:unhideWhenUsed/>
    <w:rsid w:val="00CA669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Calibri" w:hAnsi="Times New Roman" w:cs="Times New Roman"/>
      <w:color w:val="auto"/>
      <w:sz w:val="24"/>
      <w:szCs w:val="24"/>
      <w:lang w:val="en-US" w:eastAsia="en-US"/>
    </w:rPr>
  </w:style>
  <w:style w:type="character" w:styleId="Strong">
    <w:name w:val="Strong"/>
    <w:basedOn w:val="DefaultParagraphFont"/>
    <w:uiPriority w:val="22"/>
    <w:qFormat/>
    <w:rsid w:val="00CA6697"/>
    <w:rPr>
      <w:b/>
      <w:bCs/>
    </w:rPr>
  </w:style>
  <w:style w:type="paragraph" w:styleId="CommentText">
    <w:name w:val="annotation text"/>
    <w:basedOn w:val="Normal"/>
    <w:link w:val="CommentTextChar"/>
    <w:uiPriority w:val="99"/>
    <w:semiHidden/>
    <w:unhideWhenUsed/>
    <w:rsid w:val="0044650D"/>
    <w:pPr>
      <w:spacing w:line="240" w:lineRule="auto"/>
    </w:pPr>
    <w:rPr>
      <w:sz w:val="20"/>
      <w:szCs w:val="20"/>
    </w:rPr>
  </w:style>
  <w:style w:type="character" w:customStyle="1" w:styleId="CommentTextChar">
    <w:name w:val="Comment Text Char"/>
    <w:basedOn w:val="DefaultParagraphFont"/>
    <w:link w:val="CommentText"/>
    <w:uiPriority w:val="99"/>
    <w:semiHidden/>
    <w:rsid w:val="0044650D"/>
    <w:rPr>
      <w:sz w:val="20"/>
      <w:szCs w:val="20"/>
    </w:rPr>
  </w:style>
  <w:style w:type="paragraph" w:styleId="CommentSubject">
    <w:name w:val="annotation subject"/>
    <w:basedOn w:val="CommentText"/>
    <w:next w:val="CommentText"/>
    <w:link w:val="CommentSubjectChar"/>
    <w:uiPriority w:val="99"/>
    <w:semiHidden/>
    <w:unhideWhenUsed/>
    <w:rsid w:val="0044650D"/>
    <w:pPr>
      <w:widowControl w:val="0"/>
      <w:pBdr>
        <w:top w:val="none" w:sz="0" w:space="0" w:color="auto"/>
        <w:left w:val="none" w:sz="0" w:space="0" w:color="auto"/>
        <w:bottom w:val="none" w:sz="0" w:space="0" w:color="auto"/>
        <w:right w:val="none" w:sz="0" w:space="0" w:color="auto"/>
        <w:between w:val="none" w:sz="0" w:space="0" w:color="auto"/>
      </w:pBdr>
      <w:jc w:val="both"/>
    </w:pPr>
    <w:rPr>
      <w:rFonts w:ascii="Calibri" w:eastAsia="SimSun" w:hAnsi="Calibri" w:cs="Times New Roman"/>
      <w:b/>
      <w:bCs/>
      <w:color w:val="auto"/>
      <w:kern w:val="2"/>
      <w:lang w:val="en-US" w:eastAsia="zh-CN"/>
    </w:rPr>
  </w:style>
  <w:style w:type="character" w:customStyle="1" w:styleId="CommentSubjectChar">
    <w:name w:val="Comment Subject Char"/>
    <w:basedOn w:val="CommentTextChar"/>
    <w:link w:val="CommentSubject"/>
    <w:uiPriority w:val="99"/>
    <w:semiHidden/>
    <w:rsid w:val="0044650D"/>
    <w:rPr>
      <w:rFonts w:ascii="Calibri" w:eastAsia="SimSun" w:hAnsi="Calibri" w:cs="Times New Roman"/>
      <w:b/>
      <w:bCs/>
      <w:color w:val="auto"/>
      <w:kern w:val="2"/>
      <w:sz w:val="20"/>
      <w:szCs w:val="20"/>
      <w:lang w:val="en-US" w:eastAsia="zh-CN"/>
    </w:rPr>
  </w:style>
  <w:style w:type="character" w:styleId="Hyperlink">
    <w:name w:val="Hyperlink"/>
    <w:uiPriority w:val="99"/>
    <w:unhideWhenUsed/>
    <w:rsid w:val="00E335EA"/>
    <w:rPr>
      <w:color w:val="0000FF"/>
      <w:u w:val="single"/>
    </w:rPr>
  </w:style>
  <w:style w:type="paragraph" w:styleId="TOCHeading">
    <w:name w:val="TOC Heading"/>
    <w:basedOn w:val="Heading1"/>
    <w:next w:val="Normal"/>
    <w:uiPriority w:val="39"/>
    <w:unhideWhenUsed/>
    <w:qFormat/>
    <w:rsid w:val="00BC2E0E"/>
    <w:pPr>
      <w:pBdr>
        <w:bottom w:val="none" w:sz="0" w:space="0" w:color="auto"/>
      </w:pBdr>
      <w:spacing w:before="240" w:after="0" w:line="259" w:lineRule="auto"/>
      <w:outlineLvl w:val="9"/>
    </w:pPr>
    <w:rPr>
      <w:rFonts w:asciiTheme="majorHAnsi" w:eastAsiaTheme="majorEastAsia" w:hAnsiTheme="majorHAnsi" w:cstheme="majorBidi"/>
      <w:color w:val="2E74B5" w:themeColor="accent1" w:themeShade="BF"/>
      <w:szCs w:val="32"/>
      <w:lang w:val="en-US" w:eastAsia="en-US"/>
    </w:rPr>
  </w:style>
  <w:style w:type="paragraph" w:styleId="TOC1">
    <w:name w:val="toc 1"/>
    <w:basedOn w:val="Normal"/>
    <w:next w:val="Normal"/>
    <w:autoRedefine/>
    <w:uiPriority w:val="39"/>
    <w:unhideWhenUsed/>
    <w:rsid w:val="00BC2E0E"/>
    <w:pPr>
      <w:spacing w:after="100"/>
    </w:pPr>
  </w:style>
  <w:style w:type="paragraph" w:styleId="TOC2">
    <w:name w:val="toc 2"/>
    <w:basedOn w:val="Normal"/>
    <w:next w:val="Normal"/>
    <w:autoRedefine/>
    <w:uiPriority w:val="39"/>
    <w:unhideWhenUsed/>
    <w:rsid w:val="00BC2E0E"/>
    <w:pPr>
      <w:spacing w:after="100"/>
      <w:ind w:left="220"/>
    </w:pPr>
  </w:style>
  <w:style w:type="character" w:customStyle="1" w:styleId="BulletChar">
    <w:name w:val="Bullet Char"/>
    <w:aliases w:val="b Char,b + line Char Char,b Char Char,Body Char,Bullet + line Char,b + line Char,b1 Char,level 1 Char"/>
    <w:link w:val="Bullet"/>
    <w:locked/>
    <w:rsid w:val="00390830"/>
    <w:rPr>
      <w:rFonts w:eastAsia="Times New Roman" w:cs="Calibri"/>
      <w:sz w:val="18"/>
    </w:rPr>
  </w:style>
  <w:style w:type="paragraph" w:customStyle="1" w:styleId="Bullet">
    <w:name w:val="Bullet"/>
    <w:aliases w:val="b,b1,b + line,level 1,Body,Bullet + line"/>
    <w:basedOn w:val="Normal"/>
    <w:link w:val="BulletChar"/>
    <w:qFormat/>
    <w:rsid w:val="00390830"/>
    <w:pPr>
      <w:numPr>
        <w:numId w:val="5"/>
      </w:numPr>
      <w:pBdr>
        <w:top w:val="none" w:sz="0" w:space="0" w:color="auto"/>
        <w:left w:val="none" w:sz="0" w:space="0" w:color="auto"/>
        <w:bottom w:val="none" w:sz="0" w:space="0" w:color="auto"/>
        <w:right w:val="none" w:sz="0" w:space="0" w:color="auto"/>
        <w:between w:val="none" w:sz="0" w:space="0" w:color="auto"/>
      </w:pBdr>
      <w:spacing w:before="120" w:after="200"/>
    </w:pPr>
    <w:rPr>
      <w:rFonts w:eastAsia="Times New Roman" w:cs="Calibri"/>
      <w:sz w:val="18"/>
    </w:rPr>
  </w:style>
  <w:style w:type="paragraph" w:customStyle="1" w:styleId="Dotpoint2">
    <w:name w:val="Dot point 2"/>
    <w:basedOn w:val="Normal"/>
    <w:uiPriority w:val="99"/>
    <w:rsid w:val="00821F50"/>
    <w:pPr>
      <w:numPr>
        <w:numId w:val="8"/>
      </w:numPr>
      <w:pBdr>
        <w:top w:val="none" w:sz="0" w:space="0" w:color="auto"/>
        <w:left w:val="none" w:sz="0" w:space="0" w:color="auto"/>
        <w:bottom w:val="none" w:sz="0" w:space="0" w:color="auto"/>
        <w:right w:val="none" w:sz="0" w:space="0" w:color="auto"/>
        <w:between w:val="none" w:sz="0" w:space="0" w:color="auto"/>
      </w:pBdr>
      <w:spacing w:before="120" w:after="60" w:line="240" w:lineRule="auto"/>
    </w:pPr>
    <w:rPr>
      <w:rFonts w:eastAsia="Times New Roman"/>
      <w:color w:val="auto"/>
      <w:sz w:val="24"/>
      <w:lang w:val="en-AU" w:eastAsia="en-AU"/>
    </w:rPr>
  </w:style>
  <w:style w:type="paragraph" w:customStyle="1" w:styleId="Secondarypoint2">
    <w:name w:val="Secondary point 2"/>
    <w:basedOn w:val="Dotpoint2"/>
    <w:uiPriority w:val="99"/>
    <w:rsid w:val="00821F50"/>
    <w:pPr>
      <w:numPr>
        <w:numId w:val="9"/>
      </w:numPr>
      <w:spacing w:before="100"/>
      <w:ind w:left="1452" w:hanging="567"/>
    </w:pPr>
    <w:rPr>
      <w:color w:val="000000" w:themeColor="text1"/>
      <w:szCs w:val="28"/>
    </w:rPr>
  </w:style>
  <w:style w:type="character" w:styleId="Emphasis">
    <w:name w:val="Emphasis"/>
    <w:uiPriority w:val="20"/>
    <w:qFormat/>
    <w:rsid w:val="00821F50"/>
    <w:rPr>
      <w:b/>
      <w:bCs/>
      <w:iCs/>
    </w:rPr>
  </w:style>
  <w:style w:type="paragraph" w:customStyle="1" w:styleId="Pa3">
    <w:name w:val="Pa3"/>
    <w:basedOn w:val="Default"/>
    <w:next w:val="Default"/>
    <w:uiPriority w:val="99"/>
    <w:rsid w:val="00F20855"/>
    <w:pPr>
      <w:spacing w:line="221" w:lineRule="atLeast"/>
    </w:pPr>
    <w:rPr>
      <w:rFonts w:ascii="Roboto Condensed" w:eastAsia="Arial" w:hAnsi="Roboto Condensed" w:cs="Arial"/>
      <w:lang w:eastAsia="es-AR"/>
    </w:rPr>
  </w:style>
  <w:style w:type="character" w:customStyle="1" w:styleId="A2">
    <w:name w:val="A2"/>
    <w:uiPriority w:val="99"/>
    <w:rsid w:val="002A489F"/>
    <w:rPr>
      <w:rFonts w:cs="Roboto Condensed Light"/>
      <w:sz w:val="20"/>
      <w:szCs w:val="20"/>
    </w:rPr>
  </w:style>
  <w:style w:type="paragraph" w:customStyle="1" w:styleId="Graphic">
    <w:name w:val="Graphic"/>
    <w:basedOn w:val="Normal"/>
    <w:next w:val="BodyText"/>
    <w:rsid w:val="000579A8"/>
    <w:pPr>
      <w:pBdr>
        <w:top w:val="none" w:sz="0" w:space="0" w:color="auto"/>
        <w:left w:val="none" w:sz="0" w:space="0" w:color="auto"/>
        <w:bottom w:val="none" w:sz="0" w:space="0" w:color="auto"/>
        <w:right w:val="none" w:sz="0" w:space="0" w:color="auto"/>
        <w:between w:val="none" w:sz="0" w:space="0" w:color="auto"/>
      </w:pBdr>
      <w:tabs>
        <w:tab w:val="left" w:pos="850"/>
        <w:tab w:val="left" w:pos="1191"/>
        <w:tab w:val="left" w:pos="1531"/>
      </w:tabs>
      <w:spacing w:after="240" w:line="240" w:lineRule="auto"/>
      <w:jc w:val="center"/>
    </w:pPr>
    <w:rPr>
      <w:rFonts w:ascii="Times New Roman" w:eastAsia="Times New Roman" w:hAnsi="Times New Roman" w:cs="Times New Roman"/>
      <w:color w:val="auto"/>
      <w:lang w:val="en-GB" w:eastAsia="zh-CN"/>
    </w:rPr>
  </w:style>
  <w:style w:type="paragraph" w:styleId="BodyText">
    <w:name w:val="Body Text"/>
    <w:basedOn w:val="Normal"/>
    <w:link w:val="BodyTextChar0"/>
    <w:uiPriority w:val="99"/>
    <w:semiHidden/>
    <w:unhideWhenUsed/>
    <w:rsid w:val="000579A8"/>
    <w:pPr>
      <w:spacing w:after="120"/>
    </w:pPr>
  </w:style>
  <w:style w:type="character" w:customStyle="1" w:styleId="BodyTextChar0">
    <w:name w:val="Body Text Char"/>
    <w:basedOn w:val="DefaultParagraphFont"/>
    <w:link w:val="BodyText"/>
    <w:uiPriority w:val="99"/>
    <w:semiHidden/>
    <w:rsid w:val="000579A8"/>
  </w:style>
  <w:style w:type="paragraph" w:customStyle="1" w:styleId="Tertiarypoint2">
    <w:name w:val="Tertiary point 2"/>
    <w:basedOn w:val="Dotpoint2"/>
    <w:uiPriority w:val="99"/>
    <w:rsid w:val="00855D40"/>
    <w:pPr>
      <w:numPr>
        <w:numId w:val="0"/>
      </w:numPr>
      <w:spacing w:after="120"/>
      <w:ind w:left="2019" w:hanging="425"/>
    </w:pPr>
    <w:rPr>
      <w:color w:val="000000" w:themeColor="text1"/>
      <w:szCs w:val="28"/>
    </w:rPr>
  </w:style>
  <w:style w:type="character" w:styleId="CommentReference">
    <w:name w:val="annotation reference"/>
    <w:basedOn w:val="DefaultParagraphFont"/>
    <w:uiPriority w:val="99"/>
    <w:semiHidden/>
    <w:unhideWhenUsed/>
    <w:rsid w:val="008E0A01"/>
    <w:rPr>
      <w:sz w:val="16"/>
      <w:szCs w:val="16"/>
    </w:rPr>
  </w:style>
  <w:style w:type="character" w:styleId="FollowedHyperlink">
    <w:name w:val="FollowedHyperlink"/>
    <w:basedOn w:val="DefaultParagraphFont"/>
    <w:uiPriority w:val="99"/>
    <w:semiHidden/>
    <w:unhideWhenUsed/>
    <w:rsid w:val="00D5337D"/>
    <w:rPr>
      <w:color w:val="954F72" w:themeColor="followedHyperlink"/>
      <w:u w:val="single"/>
    </w:rPr>
  </w:style>
  <w:style w:type="paragraph" w:styleId="Caption">
    <w:name w:val="caption"/>
    <w:basedOn w:val="Normal"/>
    <w:next w:val="Normal"/>
    <w:uiPriority w:val="35"/>
    <w:qFormat/>
    <w:rsid w:val="00A965E2"/>
    <w:pPr>
      <w:spacing w:before="120" w:after="40" w:line="240" w:lineRule="auto"/>
    </w:pPr>
    <w:rPr>
      <w:b/>
      <w:iCs/>
      <w:color w:val="auto"/>
      <w:sz w:val="20"/>
      <w:szCs w:val="18"/>
    </w:rPr>
  </w:style>
  <w:style w:type="paragraph" w:customStyle="1" w:styleId="Source">
    <w:name w:val="Source"/>
    <w:basedOn w:val="BodyText1"/>
    <w:rsid w:val="00293561"/>
    <w:pPr>
      <w:spacing w:after="240"/>
      <w:jc w:val="left"/>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5536">
      <w:bodyDiv w:val="1"/>
      <w:marLeft w:val="0"/>
      <w:marRight w:val="0"/>
      <w:marTop w:val="0"/>
      <w:marBottom w:val="0"/>
      <w:divBdr>
        <w:top w:val="none" w:sz="0" w:space="0" w:color="auto"/>
        <w:left w:val="none" w:sz="0" w:space="0" w:color="auto"/>
        <w:bottom w:val="none" w:sz="0" w:space="0" w:color="auto"/>
        <w:right w:val="none" w:sz="0" w:space="0" w:color="auto"/>
      </w:divBdr>
    </w:div>
    <w:div w:id="590626075">
      <w:bodyDiv w:val="1"/>
      <w:marLeft w:val="0"/>
      <w:marRight w:val="0"/>
      <w:marTop w:val="0"/>
      <w:marBottom w:val="0"/>
      <w:divBdr>
        <w:top w:val="none" w:sz="0" w:space="0" w:color="auto"/>
        <w:left w:val="none" w:sz="0" w:space="0" w:color="auto"/>
        <w:bottom w:val="none" w:sz="0" w:space="0" w:color="auto"/>
        <w:right w:val="none" w:sz="0" w:space="0" w:color="auto"/>
      </w:divBdr>
    </w:div>
    <w:div w:id="922573083">
      <w:bodyDiv w:val="1"/>
      <w:marLeft w:val="0"/>
      <w:marRight w:val="0"/>
      <w:marTop w:val="0"/>
      <w:marBottom w:val="0"/>
      <w:divBdr>
        <w:top w:val="none" w:sz="0" w:space="0" w:color="auto"/>
        <w:left w:val="none" w:sz="0" w:space="0" w:color="auto"/>
        <w:bottom w:val="none" w:sz="0" w:space="0" w:color="auto"/>
        <w:right w:val="none" w:sz="0" w:space="0" w:color="auto"/>
      </w:divBdr>
    </w:div>
    <w:div w:id="1056930041">
      <w:bodyDiv w:val="1"/>
      <w:marLeft w:val="0"/>
      <w:marRight w:val="0"/>
      <w:marTop w:val="0"/>
      <w:marBottom w:val="0"/>
      <w:divBdr>
        <w:top w:val="none" w:sz="0" w:space="0" w:color="auto"/>
        <w:left w:val="none" w:sz="0" w:space="0" w:color="auto"/>
        <w:bottom w:val="none" w:sz="0" w:space="0" w:color="auto"/>
        <w:right w:val="none" w:sz="0" w:space="0" w:color="auto"/>
      </w:divBdr>
      <w:divsChild>
        <w:div w:id="638808774">
          <w:marLeft w:val="0"/>
          <w:marRight w:val="0"/>
          <w:marTop w:val="0"/>
          <w:marBottom w:val="0"/>
          <w:divBdr>
            <w:top w:val="none" w:sz="0" w:space="0" w:color="auto"/>
            <w:left w:val="none" w:sz="0" w:space="0" w:color="auto"/>
            <w:bottom w:val="none" w:sz="0" w:space="0" w:color="auto"/>
            <w:right w:val="none" w:sz="0" w:space="0" w:color="auto"/>
          </w:divBdr>
          <w:divsChild>
            <w:div w:id="1105539800">
              <w:marLeft w:val="0"/>
              <w:marRight w:val="0"/>
              <w:marTop w:val="0"/>
              <w:marBottom w:val="0"/>
              <w:divBdr>
                <w:top w:val="none" w:sz="0" w:space="0" w:color="auto"/>
                <w:left w:val="none" w:sz="0" w:space="0" w:color="auto"/>
                <w:bottom w:val="none" w:sz="0" w:space="0" w:color="auto"/>
                <w:right w:val="none" w:sz="0" w:space="0" w:color="auto"/>
              </w:divBdr>
              <w:divsChild>
                <w:div w:id="666979492">
                  <w:marLeft w:val="0"/>
                  <w:marRight w:val="0"/>
                  <w:marTop w:val="0"/>
                  <w:marBottom w:val="0"/>
                  <w:divBdr>
                    <w:top w:val="none" w:sz="0" w:space="0" w:color="auto"/>
                    <w:left w:val="none" w:sz="0" w:space="0" w:color="auto"/>
                    <w:bottom w:val="none" w:sz="0" w:space="0" w:color="auto"/>
                    <w:right w:val="none" w:sz="0" w:space="0" w:color="auto"/>
                  </w:divBdr>
                  <w:divsChild>
                    <w:div w:id="1046024040">
                      <w:marLeft w:val="0"/>
                      <w:marRight w:val="0"/>
                      <w:marTop w:val="0"/>
                      <w:marBottom w:val="0"/>
                      <w:divBdr>
                        <w:top w:val="none" w:sz="0" w:space="0" w:color="auto"/>
                        <w:left w:val="none" w:sz="0" w:space="0" w:color="auto"/>
                        <w:bottom w:val="none" w:sz="0" w:space="0" w:color="auto"/>
                        <w:right w:val="none" w:sz="0" w:space="0" w:color="auto"/>
                      </w:divBdr>
                      <w:divsChild>
                        <w:div w:id="2068604463">
                          <w:marLeft w:val="0"/>
                          <w:marRight w:val="0"/>
                          <w:marTop w:val="0"/>
                          <w:marBottom w:val="0"/>
                          <w:divBdr>
                            <w:top w:val="none" w:sz="0" w:space="0" w:color="auto"/>
                            <w:left w:val="none" w:sz="0" w:space="0" w:color="auto"/>
                            <w:bottom w:val="none" w:sz="0" w:space="0" w:color="auto"/>
                            <w:right w:val="none" w:sz="0" w:space="0" w:color="auto"/>
                          </w:divBdr>
                          <w:divsChild>
                            <w:div w:id="220093973">
                              <w:marLeft w:val="0"/>
                              <w:marRight w:val="0"/>
                              <w:marTop w:val="0"/>
                              <w:marBottom w:val="0"/>
                              <w:divBdr>
                                <w:top w:val="none" w:sz="0" w:space="0" w:color="auto"/>
                                <w:left w:val="none" w:sz="0" w:space="0" w:color="auto"/>
                                <w:bottom w:val="none" w:sz="0" w:space="0" w:color="auto"/>
                                <w:right w:val="none" w:sz="0" w:space="0" w:color="auto"/>
                              </w:divBdr>
                              <w:divsChild>
                                <w:div w:id="281156253">
                                  <w:marLeft w:val="0"/>
                                  <w:marRight w:val="0"/>
                                  <w:marTop w:val="0"/>
                                  <w:marBottom w:val="0"/>
                                  <w:divBdr>
                                    <w:top w:val="none" w:sz="0" w:space="0" w:color="auto"/>
                                    <w:left w:val="none" w:sz="0" w:space="0" w:color="auto"/>
                                    <w:bottom w:val="none" w:sz="0" w:space="0" w:color="auto"/>
                                    <w:right w:val="none" w:sz="0" w:space="0" w:color="auto"/>
                                  </w:divBdr>
                                  <w:divsChild>
                                    <w:div w:id="1127892847">
                                      <w:marLeft w:val="0"/>
                                      <w:marRight w:val="0"/>
                                      <w:marTop w:val="0"/>
                                      <w:marBottom w:val="0"/>
                                      <w:divBdr>
                                        <w:top w:val="none" w:sz="0" w:space="0" w:color="auto"/>
                                        <w:left w:val="none" w:sz="0" w:space="0" w:color="auto"/>
                                        <w:bottom w:val="none" w:sz="0" w:space="0" w:color="auto"/>
                                        <w:right w:val="none" w:sz="0" w:space="0" w:color="auto"/>
                                      </w:divBdr>
                                      <w:divsChild>
                                        <w:div w:id="1932540103">
                                          <w:marLeft w:val="0"/>
                                          <w:marRight w:val="0"/>
                                          <w:marTop w:val="0"/>
                                          <w:marBottom w:val="0"/>
                                          <w:divBdr>
                                            <w:top w:val="none" w:sz="0" w:space="0" w:color="auto"/>
                                            <w:left w:val="none" w:sz="0" w:space="0" w:color="auto"/>
                                            <w:bottom w:val="none" w:sz="0" w:space="0" w:color="auto"/>
                                            <w:right w:val="none" w:sz="0" w:space="0" w:color="auto"/>
                                          </w:divBdr>
                                          <w:divsChild>
                                            <w:div w:id="229704357">
                                              <w:marLeft w:val="0"/>
                                              <w:marRight w:val="0"/>
                                              <w:marTop w:val="0"/>
                                              <w:marBottom w:val="0"/>
                                              <w:divBdr>
                                                <w:top w:val="none" w:sz="0" w:space="0" w:color="auto"/>
                                                <w:left w:val="none" w:sz="0" w:space="0" w:color="auto"/>
                                                <w:bottom w:val="none" w:sz="0" w:space="0" w:color="auto"/>
                                                <w:right w:val="none" w:sz="0" w:space="0" w:color="auto"/>
                                              </w:divBdr>
                                              <w:divsChild>
                                                <w:div w:id="836769911">
                                                  <w:marLeft w:val="0"/>
                                                  <w:marRight w:val="0"/>
                                                  <w:marTop w:val="0"/>
                                                  <w:marBottom w:val="0"/>
                                                  <w:divBdr>
                                                    <w:top w:val="none" w:sz="0" w:space="0" w:color="auto"/>
                                                    <w:left w:val="none" w:sz="0" w:space="0" w:color="auto"/>
                                                    <w:bottom w:val="none" w:sz="0" w:space="0" w:color="auto"/>
                                                    <w:right w:val="none" w:sz="0" w:space="0" w:color="auto"/>
                                                  </w:divBdr>
                                                  <w:divsChild>
                                                    <w:div w:id="45687775">
                                                      <w:marLeft w:val="0"/>
                                                      <w:marRight w:val="0"/>
                                                      <w:marTop w:val="0"/>
                                                      <w:marBottom w:val="0"/>
                                                      <w:divBdr>
                                                        <w:top w:val="none" w:sz="0" w:space="0" w:color="auto"/>
                                                        <w:left w:val="none" w:sz="0" w:space="0" w:color="auto"/>
                                                        <w:bottom w:val="none" w:sz="0" w:space="0" w:color="auto"/>
                                                        <w:right w:val="none" w:sz="0" w:space="0" w:color="auto"/>
                                                      </w:divBdr>
                                                      <w:divsChild>
                                                        <w:div w:id="77040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5145143">
      <w:bodyDiv w:val="1"/>
      <w:marLeft w:val="0"/>
      <w:marRight w:val="0"/>
      <w:marTop w:val="0"/>
      <w:marBottom w:val="0"/>
      <w:divBdr>
        <w:top w:val="none" w:sz="0" w:space="0" w:color="auto"/>
        <w:left w:val="none" w:sz="0" w:space="0" w:color="auto"/>
        <w:bottom w:val="none" w:sz="0" w:space="0" w:color="auto"/>
        <w:right w:val="none" w:sz="0" w:space="0" w:color="auto"/>
      </w:divBdr>
      <w:divsChild>
        <w:div w:id="357967563">
          <w:marLeft w:val="0"/>
          <w:marRight w:val="0"/>
          <w:marTop w:val="0"/>
          <w:marBottom w:val="0"/>
          <w:divBdr>
            <w:top w:val="none" w:sz="0" w:space="0" w:color="auto"/>
            <w:left w:val="none" w:sz="0" w:space="0" w:color="auto"/>
            <w:bottom w:val="none" w:sz="0" w:space="0" w:color="auto"/>
            <w:right w:val="none" w:sz="0" w:space="0" w:color="auto"/>
          </w:divBdr>
        </w:div>
      </w:divsChild>
    </w:div>
    <w:div w:id="1615481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yperlink" Target="https://www.safeworkaustralia.gov.au/glossary"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www.safeworkaustralia.gov.au/glossary"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emf"/><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yperlink" Target="https://www.safeworkaustralia.gov.au/glossa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hyperlink" Target="mailto:G20EmploymentAust@jobs.gov.au" TargetMode="External"/><Relationship Id="rId23" Type="http://schemas.openxmlformats.org/officeDocument/2006/relationships/image" Target="media/image5.emf"/><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safeworkaustralia.gov.au/glossary"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safeworkaustralia.gov.au/resources_publications/model-codes-of-practice"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pmc.gov.au/office-women/economic-security/wess" TargetMode="External"/><Relationship Id="rId1" Type="http://schemas.openxmlformats.org/officeDocument/2006/relationships/hyperlink" Target="https://www.safeworkaustralia.gov.au/about-us/australian-work-health-and-safety-strategy-2012-202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3E208-FDDD-40AC-AC31-F10152DDB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BC370F2.dotm</Template>
  <TotalTime>0</TotalTime>
  <Pages>21</Pages>
  <Words>8618</Words>
  <Characters>49124</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G20 Employment Plan 2018 Australia</vt:lpstr>
    </vt:vector>
  </TitlesOfParts>
  <Company/>
  <LinksUpToDate>false</LinksUpToDate>
  <CharactersWithSpaces>57627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G20 Employment Plan 2018 Australia</dc:title>
  <dc:creator/>
  <cp:lastModifiedBy/>
  <cp:revision>1</cp:revision>
  <dcterms:created xsi:type="dcterms:W3CDTF">2018-12-18T01:01:00Z</dcterms:created>
  <dcterms:modified xsi:type="dcterms:W3CDTF">2018-12-18T01:04:00Z</dcterms:modified>
</cp:coreProperties>
</file>